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As filed with the Securities and Exchange Commission on October 30, 2026</w:t>
      </w:r>
    </w:p>
    <w:p>
      <w:pPr>
        <w:spacing w:after="0" w:line="7" w:lineRule="exact"/>
        <w:rPr>
          <w:sz w:val="24"/>
          <w:szCs w:val="24"/>
          <w:color w:val="auto"/>
        </w:rPr>
      </w:pPr>
    </w:p>
    <w:p>
      <w:pPr>
        <w:ind w:left="7480"/>
        <w:spacing w:after="0"/>
        <w:rPr>
          <w:sz w:val="20"/>
          <w:szCs w:val="20"/>
          <w:color w:val="auto"/>
        </w:rPr>
      </w:pPr>
      <w:r>
        <w:rPr>
          <w:rFonts w:ascii="Times New Roman" w:cs="Times New Roman" w:eastAsia="Times New Roman" w:hAnsi="Times New Roman"/>
          <w:sz w:val="12"/>
          <w:szCs w:val="12"/>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83820</wp:posOffset>
            </wp:positionH>
            <wp:positionV relativeFrom="paragraph">
              <wp:posOffset>42545</wp:posOffset>
            </wp:positionV>
            <wp:extent cx="555942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59425" cy="6985"/>
                    </a:xfrm>
                    <a:prstGeom prst="rect">
                      <a:avLst/>
                    </a:prstGeom>
                    <a:noFill/>
                  </pic:spPr>
                </pic:pic>
              </a:graphicData>
            </a:graphic>
          </wp:anchor>
        </w:drawing>
        <w:drawing>
          <wp:anchor simplePos="0" relativeHeight="251657728" behindDoc="1" locked="0" layoutInCell="0" allowOverlap="1">
            <wp:simplePos x="0" y="0"/>
            <wp:positionH relativeFrom="column">
              <wp:posOffset>83820</wp:posOffset>
            </wp:positionH>
            <wp:positionV relativeFrom="paragraph">
              <wp:posOffset>76835</wp:posOffset>
            </wp:positionV>
            <wp:extent cx="555942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59425" cy="6985"/>
                    </a:xfrm>
                    <a:prstGeom prst="rect">
                      <a:avLst/>
                    </a:prstGeom>
                    <a:noFill/>
                  </pic:spPr>
                </pic:pic>
              </a:graphicData>
            </a:graphic>
          </wp:anchor>
        </w:drawing>
      </w:r>
    </w:p>
    <w:p>
      <w:pPr>
        <w:spacing w:after="0" w:line="1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2277745</wp:posOffset>
            </wp:positionH>
            <wp:positionV relativeFrom="paragraph">
              <wp:posOffset>107950</wp:posOffset>
            </wp:positionV>
            <wp:extent cx="116522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65225" cy="6985"/>
                    </a:xfrm>
                    <a:prstGeom prst="rect">
                      <a:avLst/>
                    </a:prstGeom>
                    <a:noFill/>
                  </pic:spPr>
                </pic:pic>
              </a:graphicData>
            </a:graphic>
          </wp:anchor>
        </w:drawing>
      </w:r>
    </w:p>
    <w:p>
      <w:pPr>
        <w:spacing w:after="0" w:line="1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FORM S-3</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REGISTRATION STATEMENT</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i w:val="1"/>
          <w:iCs w:val="1"/>
          <w:color w:val="auto"/>
        </w:rPr>
        <w:t>UNDER</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2277745</wp:posOffset>
            </wp:positionH>
            <wp:positionV relativeFrom="paragraph">
              <wp:posOffset>102870</wp:posOffset>
            </wp:positionV>
            <wp:extent cx="116522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65225" cy="6985"/>
                    </a:xfrm>
                    <a:prstGeom prst="rect">
                      <a:avLst/>
                    </a:prstGeom>
                    <a:noFill/>
                  </pic:spPr>
                </pic:pic>
              </a:graphicData>
            </a:graphic>
          </wp:anchor>
        </w:drawing>
      </w:r>
    </w:p>
    <w:p>
      <w:pPr>
        <w:spacing w:after="0" w:line="1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THE GEO GROUP, INC.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SEE TABLE OF ADDITIONAL REGISTRANTS</w:t>
      </w: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2277745</wp:posOffset>
            </wp:positionH>
            <wp:positionV relativeFrom="paragraph">
              <wp:posOffset>90170</wp:posOffset>
            </wp:positionV>
            <wp:extent cx="116522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65225" cy="6985"/>
                    </a:xfrm>
                    <a:prstGeom prst="rect">
                      <a:avLst/>
                    </a:prstGeom>
                    <a:noFill/>
                  </pic:spPr>
                </pic:pic>
              </a:graphicData>
            </a:graphic>
          </wp:anchor>
        </w:drawing>
      </w:r>
    </w:p>
    <w:p>
      <w:pPr>
        <w:spacing w:after="0" w:line="1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Florida</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(State or other jurisdiction of incorporation or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2277745</wp:posOffset>
            </wp:positionH>
            <wp:positionV relativeFrom="paragraph">
              <wp:posOffset>100330</wp:posOffset>
            </wp:positionV>
            <wp:extent cx="116522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65225" cy="6985"/>
                    </a:xfrm>
                    <a:prstGeom prst="rect">
                      <a:avLst/>
                    </a:prstGeom>
                    <a:noFill/>
                  </pic:spPr>
                </pic:pic>
              </a:graphicData>
            </a:graphic>
          </wp:anchor>
        </w:drawing>
      </w:r>
    </w:p>
    <w:p>
      <w:pPr>
        <w:spacing w:after="0" w:line="18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65-0043078</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(I.R.S. Employer Identification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2277745</wp:posOffset>
            </wp:positionH>
            <wp:positionV relativeFrom="paragraph">
              <wp:posOffset>93345</wp:posOffset>
            </wp:positionV>
            <wp:extent cx="116522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65225" cy="6985"/>
                    </a:xfrm>
                    <a:prstGeom prst="rect">
                      <a:avLst/>
                    </a:prstGeom>
                    <a:noFill/>
                  </pic:spPr>
                </pic:pic>
              </a:graphicData>
            </a:graphic>
          </wp:anchor>
        </w:drawing>
      </w:r>
    </w:p>
    <w:p>
      <w:pPr>
        <w:spacing w:after="0" w:line="18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4955 Technology Way</w:t>
      </w:r>
    </w:p>
    <w:p>
      <w:pPr>
        <w:jc w:val="center"/>
        <w:ind w:right="19"/>
        <w:spacing w:after="0" w:line="235" w:lineRule="auto"/>
        <w:rPr>
          <w:sz w:val="20"/>
          <w:szCs w:val="20"/>
          <w:color w:val="auto"/>
        </w:rPr>
      </w:pPr>
      <w:r>
        <w:rPr>
          <w:rFonts w:ascii="Times New Roman" w:cs="Times New Roman" w:eastAsia="Times New Roman" w:hAnsi="Times New Roman"/>
          <w:sz w:val="12"/>
          <w:szCs w:val="12"/>
          <w:b w:val="1"/>
          <w:bCs w:val="1"/>
          <w:color w:val="auto"/>
        </w:rPr>
        <w:t>Boca Raton, Florida 33431</w:t>
      </w:r>
    </w:p>
    <w:p>
      <w:pPr>
        <w:jc w:val="center"/>
        <w:ind w:right="19"/>
        <w:spacing w:after="0" w:line="217" w:lineRule="auto"/>
        <w:rPr>
          <w:sz w:val="20"/>
          <w:szCs w:val="20"/>
          <w:color w:val="auto"/>
        </w:rPr>
      </w:pPr>
      <w:r>
        <w:rPr>
          <w:rFonts w:ascii="Times New Roman" w:cs="Times New Roman" w:eastAsia="Times New Roman" w:hAnsi="Times New Roman"/>
          <w:sz w:val="12"/>
          <w:szCs w:val="12"/>
          <w:b w:val="1"/>
          <w:bCs w:val="1"/>
          <w:color w:val="auto"/>
        </w:rPr>
        <w:t>(561) 893-0101</w:t>
      </w: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2277745</wp:posOffset>
            </wp:positionH>
            <wp:positionV relativeFrom="paragraph">
              <wp:posOffset>93345</wp:posOffset>
            </wp:positionV>
            <wp:extent cx="116522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65225" cy="6985"/>
                    </a:xfrm>
                    <a:prstGeom prst="rect">
                      <a:avLst/>
                    </a:prstGeom>
                    <a:noFill/>
                  </pic:spPr>
                </pic:pic>
              </a:graphicData>
            </a:graphic>
          </wp:anchor>
        </w:drawing>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Scott A. Schipma, Esq.</w:t>
      </w:r>
    </w:p>
    <w:p>
      <w:pPr>
        <w:jc w:val="center"/>
        <w:ind w:right="19"/>
        <w:spacing w:after="0" w:line="235" w:lineRule="auto"/>
        <w:rPr>
          <w:sz w:val="20"/>
          <w:szCs w:val="20"/>
          <w:color w:val="auto"/>
        </w:rPr>
      </w:pPr>
      <w:r>
        <w:rPr>
          <w:rFonts w:ascii="Times New Roman" w:cs="Times New Roman" w:eastAsia="Times New Roman" w:hAnsi="Times New Roman"/>
          <w:sz w:val="12"/>
          <w:szCs w:val="12"/>
          <w:b w:val="1"/>
          <w:bCs w:val="1"/>
          <w:color w:val="auto"/>
        </w:rPr>
        <w:t>Senior Vice President, General Counsel and Corporate Secretary</w:t>
      </w:r>
    </w:p>
    <w:p>
      <w:pPr>
        <w:jc w:val="center"/>
        <w:ind w:right="19"/>
        <w:spacing w:after="0" w:line="224" w:lineRule="auto"/>
        <w:rPr>
          <w:sz w:val="20"/>
          <w:szCs w:val="20"/>
          <w:color w:val="auto"/>
        </w:rPr>
      </w:pPr>
      <w:r>
        <w:rPr>
          <w:rFonts w:ascii="Times New Roman" w:cs="Times New Roman" w:eastAsia="Times New Roman" w:hAnsi="Times New Roman"/>
          <w:sz w:val="12"/>
          <w:szCs w:val="12"/>
          <w:b w:val="1"/>
          <w:bCs w:val="1"/>
          <w:color w:val="auto"/>
        </w:rPr>
        <w:t>The GEO Group, Inc.</w:t>
      </w:r>
    </w:p>
    <w:p>
      <w:pPr>
        <w:jc w:val="center"/>
        <w:ind w:right="19"/>
        <w:spacing w:after="0" w:line="224" w:lineRule="auto"/>
        <w:rPr>
          <w:sz w:val="20"/>
          <w:szCs w:val="20"/>
          <w:color w:val="auto"/>
        </w:rPr>
      </w:pPr>
      <w:r>
        <w:rPr>
          <w:rFonts w:ascii="Times New Roman" w:cs="Times New Roman" w:eastAsia="Times New Roman" w:hAnsi="Times New Roman"/>
          <w:sz w:val="12"/>
          <w:szCs w:val="12"/>
          <w:b w:val="1"/>
          <w:bCs w:val="1"/>
          <w:color w:val="auto"/>
        </w:rPr>
        <w:t>4955 Technology Way</w:t>
      </w:r>
    </w:p>
    <w:p>
      <w:pPr>
        <w:jc w:val="center"/>
        <w:ind w:right="19"/>
        <w:spacing w:after="0" w:line="224" w:lineRule="auto"/>
        <w:rPr>
          <w:sz w:val="20"/>
          <w:szCs w:val="20"/>
          <w:color w:val="auto"/>
        </w:rPr>
      </w:pPr>
      <w:r>
        <w:rPr>
          <w:rFonts w:ascii="Times New Roman" w:cs="Times New Roman" w:eastAsia="Times New Roman" w:hAnsi="Times New Roman"/>
          <w:sz w:val="12"/>
          <w:szCs w:val="12"/>
          <w:b w:val="1"/>
          <w:bCs w:val="1"/>
          <w:color w:val="auto"/>
        </w:rPr>
        <w:t>Boca Raton, Florida 33431</w:t>
      </w:r>
    </w:p>
    <w:p>
      <w:pPr>
        <w:jc w:val="center"/>
        <w:ind w:right="19"/>
        <w:spacing w:after="0" w:line="216" w:lineRule="auto"/>
        <w:rPr>
          <w:sz w:val="20"/>
          <w:szCs w:val="20"/>
          <w:color w:val="auto"/>
        </w:rPr>
      </w:pPr>
      <w:r>
        <w:rPr>
          <w:rFonts w:ascii="Times New Roman" w:cs="Times New Roman" w:eastAsia="Times New Roman" w:hAnsi="Times New Roman"/>
          <w:sz w:val="12"/>
          <w:szCs w:val="12"/>
          <w:b w:val="1"/>
          <w:bCs w:val="1"/>
          <w:color w:val="auto"/>
        </w:rPr>
        <w:t>(561) 893-0101</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2277745</wp:posOffset>
            </wp:positionH>
            <wp:positionV relativeFrom="paragraph">
              <wp:posOffset>100330</wp:posOffset>
            </wp:positionV>
            <wp:extent cx="116522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65225" cy="6985"/>
                    </a:xfrm>
                    <a:prstGeom prst="rect">
                      <a:avLst/>
                    </a:prstGeom>
                    <a:noFill/>
                  </pic:spPr>
                </pic:pic>
              </a:graphicData>
            </a:graphic>
          </wp:anchor>
        </w:drawing>
      </w:r>
    </w:p>
    <w:p>
      <w:pPr>
        <w:spacing w:after="0" w:line="18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i w:val="1"/>
          <w:iCs w:val="1"/>
          <w:color w:val="auto"/>
        </w:rPr>
        <w:t>With a copy to:</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Stephen K. Roddenberry, Esq.</w:t>
      </w:r>
    </w:p>
    <w:p>
      <w:pPr>
        <w:jc w:val="center"/>
        <w:ind w:right="19"/>
        <w:spacing w:after="0" w:line="235" w:lineRule="auto"/>
        <w:rPr>
          <w:sz w:val="20"/>
          <w:szCs w:val="20"/>
          <w:color w:val="auto"/>
        </w:rPr>
      </w:pPr>
      <w:r>
        <w:rPr>
          <w:rFonts w:ascii="Times New Roman" w:cs="Times New Roman" w:eastAsia="Times New Roman" w:hAnsi="Times New Roman"/>
          <w:sz w:val="12"/>
          <w:szCs w:val="12"/>
          <w:b w:val="1"/>
          <w:bCs w:val="1"/>
          <w:color w:val="auto"/>
        </w:rPr>
        <w:t>Esther L. Moreno, Esq.</w:t>
      </w:r>
    </w:p>
    <w:p>
      <w:pPr>
        <w:jc w:val="center"/>
        <w:ind w:right="19"/>
        <w:spacing w:after="0" w:line="224" w:lineRule="auto"/>
        <w:rPr>
          <w:sz w:val="20"/>
          <w:szCs w:val="20"/>
          <w:color w:val="auto"/>
        </w:rPr>
      </w:pPr>
      <w:r>
        <w:rPr>
          <w:rFonts w:ascii="Times New Roman" w:cs="Times New Roman" w:eastAsia="Times New Roman" w:hAnsi="Times New Roman"/>
          <w:sz w:val="12"/>
          <w:szCs w:val="12"/>
          <w:b w:val="1"/>
          <w:bCs w:val="1"/>
          <w:color w:val="auto"/>
        </w:rPr>
        <w:t>Akerman LLP</w:t>
      </w:r>
    </w:p>
    <w:p>
      <w:pPr>
        <w:jc w:val="center"/>
        <w:ind w:right="19"/>
        <w:spacing w:after="0" w:line="224" w:lineRule="auto"/>
        <w:rPr>
          <w:sz w:val="20"/>
          <w:szCs w:val="20"/>
          <w:color w:val="auto"/>
        </w:rPr>
      </w:pPr>
      <w:r>
        <w:rPr>
          <w:rFonts w:ascii="Times New Roman" w:cs="Times New Roman" w:eastAsia="Times New Roman" w:hAnsi="Times New Roman"/>
          <w:sz w:val="12"/>
          <w:szCs w:val="12"/>
          <w:b w:val="1"/>
          <w:bCs w:val="1"/>
          <w:color w:val="auto"/>
        </w:rPr>
        <w:t>Three Brickell City Centre</w:t>
      </w:r>
    </w:p>
    <w:p>
      <w:pPr>
        <w:jc w:val="center"/>
        <w:ind w:right="19"/>
        <w:spacing w:after="0" w:line="224" w:lineRule="auto"/>
        <w:rPr>
          <w:sz w:val="20"/>
          <w:szCs w:val="20"/>
          <w:color w:val="auto"/>
        </w:rPr>
      </w:pPr>
      <w:r>
        <w:rPr>
          <w:rFonts w:ascii="Times New Roman" w:cs="Times New Roman" w:eastAsia="Times New Roman" w:hAnsi="Times New Roman"/>
          <w:sz w:val="12"/>
          <w:szCs w:val="12"/>
          <w:b w:val="1"/>
          <w:bCs w:val="1"/>
          <w:color w:val="auto"/>
        </w:rPr>
        <w:t>98 Southeast Seventh Street, Suite 1100</w:t>
      </w:r>
    </w:p>
    <w:p>
      <w:pPr>
        <w:jc w:val="center"/>
        <w:ind w:right="19"/>
        <w:spacing w:after="0" w:line="224" w:lineRule="auto"/>
        <w:rPr>
          <w:sz w:val="20"/>
          <w:szCs w:val="20"/>
          <w:color w:val="auto"/>
        </w:rPr>
      </w:pPr>
      <w:r>
        <w:rPr>
          <w:rFonts w:ascii="Times New Roman" w:cs="Times New Roman" w:eastAsia="Times New Roman" w:hAnsi="Times New Roman"/>
          <w:sz w:val="12"/>
          <w:szCs w:val="12"/>
          <w:b w:val="1"/>
          <w:bCs w:val="1"/>
          <w:color w:val="auto"/>
        </w:rPr>
        <w:t>Miami, Florida 33131</w:t>
      </w: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(305) 374-5600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2277745</wp:posOffset>
            </wp:positionH>
            <wp:positionV relativeFrom="paragraph">
              <wp:posOffset>90170</wp:posOffset>
            </wp:positionV>
            <wp:extent cx="1165225"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65225" cy="6985"/>
                    </a:xfrm>
                    <a:prstGeom prst="rect">
                      <a:avLst/>
                    </a:prstGeom>
                    <a:noFill/>
                  </pic:spPr>
                </pic:pic>
              </a:graphicData>
            </a:graphic>
          </wp:anchor>
        </w:drawing>
      </w:r>
    </w:p>
    <w:p>
      <w:pPr>
        <w:spacing w:after="0" w:line="1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From time to time after this registration statement becomes effective.</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(Approximate date of commencement of proposed sale to the public)</w:t>
      </w:r>
    </w:p>
    <w:p>
      <w:pPr>
        <w:spacing w:after="0" w:line="30" w:lineRule="exact"/>
        <w:rPr>
          <w:sz w:val="24"/>
          <w:szCs w:val="24"/>
          <w:color w:val="auto"/>
        </w:rPr>
      </w:pPr>
    </w:p>
    <w:p>
      <w:pPr>
        <w:ind w:left="120"/>
        <w:spacing w:after="0" w:line="138" w:lineRule="exact"/>
        <w:rPr>
          <w:sz w:val="20"/>
          <w:szCs w:val="20"/>
          <w:color w:val="auto"/>
        </w:rPr>
      </w:pPr>
      <w:r>
        <w:rPr>
          <w:rFonts w:ascii="Times New Roman" w:cs="Times New Roman" w:eastAsia="Times New Roman" w:hAnsi="Times New Roman"/>
          <w:sz w:val="12"/>
          <w:szCs w:val="12"/>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2"/>
          <w:szCs w:val="12"/>
          <w:color w:val="auto"/>
        </w:rPr>
        <w:t>☐</w:t>
      </w:r>
    </w:p>
    <w:p>
      <w:pPr>
        <w:spacing w:after="0" w:line="82" w:lineRule="exact"/>
        <w:rPr>
          <w:sz w:val="24"/>
          <w:szCs w:val="24"/>
          <w:color w:val="auto"/>
        </w:rPr>
      </w:pPr>
    </w:p>
    <w:p>
      <w:pPr>
        <w:ind w:left="120" w:right="219"/>
        <w:spacing w:after="0" w:line="159" w:lineRule="exact"/>
        <w:rPr>
          <w:sz w:val="20"/>
          <w:szCs w:val="20"/>
          <w:color w:val="auto"/>
        </w:rPr>
      </w:pPr>
      <w:r>
        <w:rPr>
          <w:rFonts w:ascii="Times New Roman" w:cs="Times New Roman" w:eastAsia="Times New Roman" w:hAnsi="Times New Roman"/>
          <w:sz w:val="12"/>
          <w:szCs w:val="12"/>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2"/>
          <w:szCs w:val="12"/>
          <w:color w:val="auto"/>
        </w:rPr>
        <w:t>☒</w:t>
      </w:r>
    </w:p>
    <w:p>
      <w:pPr>
        <w:spacing w:after="0" w:line="15" w:lineRule="exact"/>
        <w:rPr>
          <w:sz w:val="24"/>
          <w:szCs w:val="24"/>
          <w:color w:val="auto"/>
        </w:rPr>
      </w:pPr>
    </w:p>
    <w:p>
      <w:pPr>
        <w:ind w:left="120" w:right="439"/>
        <w:spacing w:after="0" w:line="159" w:lineRule="exact"/>
        <w:rPr>
          <w:sz w:val="20"/>
          <w:szCs w:val="20"/>
          <w:color w:val="auto"/>
        </w:rPr>
      </w:pPr>
      <w:r>
        <w:rPr>
          <w:rFonts w:ascii="Times New Roman" w:cs="Times New Roman" w:eastAsia="Times New Roman" w:hAnsi="Times New Roman"/>
          <w:sz w:val="12"/>
          <w:szCs w:val="12"/>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26" w:lineRule="exact"/>
        <w:rPr>
          <w:sz w:val="24"/>
          <w:szCs w:val="24"/>
          <w:color w:val="auto"/>
        </w:rPr>
      </w:pPr>
    </w:p>
    <w:p>
      <w:pPr>
        <w:ind w:left="120" w:right="179"/>
        <w:spacing w:after="0" w:line="159" w:lineRule="exact"/>
        <w:rPr>
          <w:sz w:val="20"/>
          <w:szCs w:val="20"/>
          <w:color w:val="auto"/>
        </w:rPr>
      </w:pPr>
      <w:r>
        <w:rPr>
          <w:rFonts w:ascii="Times New Roman" w:cs="Times New Roman" w:eastAsia="Times New Roman" w:hAnsi="Times New Roman"/>
          <w:sz w:val="12"/>
          <w:szCs w:val="12"/>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15" w:lineRule="exact"/>
        <w:rPr>
          <w:sz w:val="24"/>
          <w:szCs w:val="24"/>
          <w:color w:val="auto"/>
        </w:rPr>
      </w:pPr>
    </w:p>
    <w:p>
      <w:pPr>
        <w:ind w:left="120" w:right="419"/>
        <w:spacing w:after="0" w:line="159" w:lineRule="exact"/>
        <w:rPr>
          <w:sz w:val="20"/>
          <w:szCs w:val="20"/>
          <w:color w:val="auto"/>
        </w:rPr>
      </w:pPr>
      <w:r>
        <w:rPr>
          <w:rFonts w:ascii="Times New Roman" w:cs="Times New Roman" w:eastAsia="Times New Roman" w:hAnsi="Times New Roman"/>
          <w:sz w:val="12"/>
          <w:szCs w:val="12"/>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2"/>
          <w:szCs w:val="12"/>
          <w:color w:val="auto"/>
        </w:rPr>
        <w:t>☒</w:t>
      </w:r>
    </w:p>
    <w:p>
      <w:pPr>
        <w:spacing w:after="0" w:line="15" w:lineRule="exact"/>
        <w:rPr>
          <w:sz w:val="24"/>
          <w:szCs w:val="24"/>
          <w:color w:val="auto"/>
        </w:rPr>
      </w:pPr>
    </w:p>
    <w:p>
      <w:pPr>
        <w:ind w:left="120" w:right="579"/>
        <w:spacing w:after="0" w:line="159" w:lineRule="exact"/>
        <w:rPr>
          <w:sz w:val="20"/>
          <w:szCs w:val="20"/>
          <w:color w:val="auto"/>
        </w:rPr>
      </w:pPr>
      <w:r>
        <w:rPr>
          <w:rFonts w:ascii="Times New Roman" w:cs="Times New Roman" w:eastAsia="Times New Roman" w:hAnsi="Times New Roman"/>
          <w:sz w:val="12"/>
          <w:szCs w:val="12"/>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2"/>
          <w:szCs w:val="12"/>
          <w:color w:val="auto"/>
        </w:rPr>
        <w:t>☐</w:t>
      </w:r>
    </w:p>
    <w:p>
      <w:pPr>
        <w:spacing w:after="0" w:line="2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a smaller reporting company, or an emerging growth company.</w:t>
      </w:r>
    </w:p>
    <w:p>
      <w:pPr>
        <w:spacing w:after="0" w:line="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2"/>
          <w:szCs w:val="12"/>
          <w:color w:val="auto"/>
        </w:rPr>
        <w:t>See the definitions of “large accelerated filer,“ “accelerated filer,” “smaller reporting company” and “emerging growth company” in Rule 12b- 2 of the Exchange Act.</w:t>
      </w:r>
    </w:p>
    <w:p>
      <w:pPr>
        <w:spacing w:after="0" w:line="25" w:lineRule="exact"/>
        <w:rPr>
          <w:sz w:val="24"/>
          <w:szCs w:val="24"/>
          <w:color w:val="auto"/>
        </w:rPr>
      </w:pPr>
    </w:p>
    <w:tbl>
      <w:tblPr>
        <w:tblLayout w:type="fixed"/>
        <w:tblInd w:w="120" w:type="dxa"/>
        <w:tblCellMar>
          <w:top w:w="0" w:type="dxa"/>
          <w:left w:w="0" w:type="dxa"/>
          <w:bottom w:w="0" w:type="dxa"/>
          <w:right w:w="0" w:type="dxa"/>
        </w:tblCellMar>
      </w:tblPr>
      <w:tr>
        <w:trPr>
          <w:trHeight w:val="172"/>
        </w:trPr>
        <w:tc>
          <w:tcPr>
            <w:tcW w:w="1300" w:type="dxa"/>
            <w:vAlign w:val="bottom"/>
          </w:tcPr>
          <w:p>
            <w:pPr>
              <w:spacing w:after="0"/>
              <w:rPr>
                <w:sz w:val="20"/>
                <w:szCs w:val="20"/>
                <w:color w:val="auto"/>
              </w:rPr>
            </w:pPr>
            <w:r>
              <w:rPr>
                <w:rFonts w:ascii="Times New Roman" w:cs="Times New Roman" w:eastAsia="Times New Roman" w:hAnsi="Times New Roman"/>
                <w:sz w:val="12"/>
                <w:szCs w:val="12"/>
                <w:color w:val="auto"/>
              </w:rPr>
              <w:t>Large accelerated filer</w:t>
            </w:r>
          </w:p>
        </w:tc>
        <w:tc>
          <w:tcPr>
            <w:tcW w:w="2920" w:type="dxa"/>
            <w:vAlign w:val="bottom"/>
          </w:tcPr>
          <w:p>
            <w:pPr>
              <w:ind w:left="200"/>
              <w:spacing w:after="0" w:line="121" w:lineRule="exact"/>
              <w:rPr>
                <w:sz w:val="20"/>
                <w:szCs w:val="20"/>
                <w:color w:val="auto"/>
              </w:rPr>
            </w:pPr>
            <w:r>
              <w:rPr>
                <w:rFonts w:ascii="MS PGothic" w:cs="MS PGothic" w:eastAsia="MS PGothic" w:hAnsi="MS PGothic"/>
                <w:sz w:val="12"/>
                <w:szCs w:val="12"/>
                <w:color w:val="auto"/>
              </w:rPr>
              <w:t>☒</w:t>
            </w:r>
          </w:p>
        </w:tc>
        <w:tc>
          <w:tcPr>
            <w:tcW w:w="4160" w:type="dxa"/>
            <w:vAlign w:val="bottom"/>
          </w:tcPr>
          <w:p>
            <w:pPr>
              <w:ind w:left="2620"/>
              <w:spacing w:after="0"/>
              <w:rPr>
                <w:sz w:val="20"/>
                <w:szCs w:val="20"/>
                <w:color w:val="auto"/>
              </w:rPr>
            </w:pPr>
            <w:r>
              <w:rPr>
                <w:rFonts w:ascii="Times New Roman" w:cs="Times New Roman" w:eastAsia="Times New Roman" w:hAnsi="Times New Roman"/>
                <w:sz w:val="12"/>
                <w:szCs w:val="12"/>
                <w:color w:val="auto"/>
              </w:rPr>
              <w:t>Accelerated filer</w:t>
            </w:r>
          </w:p>
        </w:tc>
        <w:tc>
          <w:tcPr>
            <w:tcW w:w="320" w:type="dxa"/>
            <w:vAlign w:val="bottom"/>
          </w:tcPr>
          <w:p>
            <w:pPr>
              <w:ind w:left="200"/>
              <w:spacing w:after="0" w:line="121" w:lineRule="exact"/>
              <w:rPr>
                <w:sz w:val="20"/>
                <w:szCs w:val="20"/>
                <w:color w:val="auto"/>
              </w:rPr>
            </w:pPr>
            <w:r>
              <w:rPr>
                <w:rFonts w:ascii="MS PGothic" w:cs="MS PGothic" w:eastAsia="MS PGothic" w:hAnsi="MS PGothic"/>
                <w:sz w:val="12"/>
                <w:szCs w:val="12"/>
                <w:color w:val="auto"/>
                <w:w w:val="82"/>
              </w:rPr>
              <w:t>☐</w:t>
            </w:r>
          </w:p>
        </w:tc>
      </w:tr>
      <w:tr>
        <w:trPr>
          <w:trHeight w:val="172"/>
        </w:trPr>
        <w:tc>
          <w:tcPr>
            <w:tcW w:w="1300" w:type="dxa"/>
            <w:vAlign w:val="bottom"/>
          </w:tcPr>
          <w:p>
            <w:pPr>
              <w:spacing w:after="0"/>
              <w:rPr>
                <w:sz w:val="20"/>
                <w:szCs w:val="20"/>
                <w:color w:val="auto"/>
              </w:rPr>
            </w:pPr>
            <w:r>
              <w:rPr>
                <w:rFonts w:ascii="Times New Roman" w:cs="Times New Roman" w:eastAsia="Times New Roman" w:hAnsi="Times New Roman"/>
                <w:sz w:val="12"/>
                <w:szCs w:val="12"/>
                <w:color w:val="auto"/>
              </w:rPr>
              <w:t>Non-accelerated filer</w:t>
            </w:r>
          </w:p>
        </w:tc>
        <w:tc>
          <w:tcPr>
            <w:tcW w:w="2920" w:type="dxa"/>
            <w:vAlign w:val="bottom"/>
          </w:tcPr>
          <w:p>
            <w:pPr>
              <w:ind w:left="200"/>
              <w:spacing w:after="0" w:line="121" w:lineRule="exact"/>
              <w:rPr>
                <w:sz w:val="20"/>
                <w:szCs w:val="20"/>
                <w:color w:val="auto"/>
              </w:rPr>
            </w:pPr>
            <w:r>
              <w:rPr>
                <w:rFonts w:ascii="MS PGothic" w:cs="MS PGothic" w:eastAsia="MS PGothic" w:hAnsi="MS PGothic"/>
                <w:sz w:val="12"/>
                <w:szCs w:val="12"/>
                <w:color w:val="auto"/>
              </w:rPr>
              <w:t>☐</w:t>
            </w:r>
          </w:p>
        </w:tc>
        <w:tc>
          <w:tcPr>
            <w:tcW w:w="4160" w:type="dxa"/>
            <w:vAlign w:val="bottom"/>
          </w:tcPr>
          <w:p>
            <w:pPr>
              <w:ind w:left="2620"/>
              <w:spacing w:after="0"/>
              <w:rPr>
                <w:sz w:val="20"/>
                <w:szCs w:val="20"/>
                <w:color w:val="auto"/>
              </w:rPr>
            </w:pPr>
            <w:r>
              <w:rPr>
                <w:rFonts w:ascii="Times New Roman" w:cs="Times New Roman" w:eastAsia="Times New Roman" w:hAnsi="Times New Roman"/>
                <w:sz w:val="12"/>
                <w:szCs w:val="12"/>
                <w:color w:val="auto"/>
              </w:rPr>
              <w:t>Smaller reporting company</w:t>
            </w:r>
          </w:p>
        </w:tc>
        <w:tc>
          <w:tcPr>
            <w:tcW w:w="320" w:type="dxa"/>
            <w:vAlign w:val="bottom"/>
          </w:tcPr>
          <w:p>
            <w:pPr>
              <w:ind w:left="200"/>
              <w:spacing w:after="0" w:line="121" w:lineRule="exact"/>
              <w:rPr>
                <w:sz w:val="20"/>
                <w:szCs w:val="20"/>
                <w:color w:val="auto"/>
              </w:rPr>
            </w:pPr>
            <w:r>
              <w:rPr>
                <w:rFonts w:ascii="MS PGothic" w:cs="MS PGothic" w:eastAsia="MS PGothic" w:hAnsi="MS PGothic"/>
                <w:sz w:val="12"/>
                <w:szCs w:val="12"/>
                <w:color w:val="auto"/>
                <w:w w:val="82"/>
              </w:rPr>
              <w:t>☐</w:t>
            </w:r>
          </w:p>
        </w:tc>
      </w:tr>
      <w:tr>
        <w:trPr>
          <w:trHeight w:val="205"/>
        </w:trPr>
        <w:tc>
          <w:tcPr>
            <w:tcW w:w="130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4160" w:type="dxa"/>
            <w:vAlign w:val="bottom"/>
          </w:tcPr>
          <w:p>
            <w:pPr>
              <w:ind w:left="2620"/>
              <w:spacing w:after="0"/>
              <w:rPr>
                <w:sz w:val="20"/>
                <w:szCs w:val="20"/>
                <w:color w:val="auto"/>
              </w:rPr>
            </w:pPr>
            <w:r>
              <w:rPr>
                <w:rFonts w:ascii="Times New Roman" w:cs="Times New Roman" w:eastAsia="Times New Roman" w:hAnsi="Times New Roman"/>
                <w:sz w:val="12"/>
                <w:szCs w:val="12"/>
                <w:color w:val="auto"/>
              </w:rPr>
              <w:t>Emerging growth company</w:t>
            </w:r>
          </w:p>
        </w:tc>
        <w:tc>
          <w:tcPr>
            <w:tcW w:w="320" w:type="dxa"/>
            <w:vAlign w:val="bottom"/>
          </w:tcPr>
          <w:p>
            <w:pPr>
              <w:ind w:left="200"/>
              <w:spacing w:after="0" w:line="121" w:lineRule="exact"/>
              <w:rPr>
                <w:sz w:val="20"/>
                <w:szCs w:val="20"/>
                <w:color w:val="auto"/>
              </w:rPr>
            </w:pPr>
            <w:r>
              <w:rPr>
                <w:rFonts w:ascii="MS PGothic" w:cs="MS PGothic" w:eastAsia="MS PGothic" w:hAnsi="MS PGothic"/>
                <w:sz w:val="12"/>
                <w:szCs w:val="12"/>
                <w:color w:val="auto"/>
                <w:w w:val="82"/>
              </w:rPr>
              <w:t>☐</w:t>
            </w:r>
          </w:p>
        </w:tc>
      </w:tr>
    </w:tbl>
    <w:p>
      <w:pPr>
        <w:spacing w:after="0" w:line="15" w:lineRule="exact"/>
        <w:rPr>
          <w:sz w:val="24"/>
          <w:szCs w:val="24"/>
          <w:color w:val="auto"/>
        </w:rPr>
      </w:pPr>
    </w:p>
    <w:p>
      <w:pPr>
        <w:ind w:left="120" w:right="439"/>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83820</wp:posOffset>
            </wp:positionH>
            <wp:positionV relativeFrom="paragraph">
              <wp:posOffset>53340</wp:posOffset>
            </wp:positionV>
            <wp:extent cx="5559425"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59425" cy="6985"/>
                    </a:xfrm>
                    <a:prstGeom prst="rect">
                      <a:avLst/>
                    </a:prstGeom>
                    <a:noFill/>
                  </pic:spPr>
                </pic:pic>
              </a:graphicData>
            </a:graphic>
          </wp:anchor>
        </w:drawing>
        <w:drawing>
          <wp:anchor simplePos="0" relativeHeight="251657728" behindDoc="1" locked="0" layoutInCell="0" allowOverlap="1">
            <wp:simplePos x="0" y="0"/>
            <wp:positionH relativeFrom="column">
              <wp:posOffset>83820</wp:posOffset>
            </wp:positionH>
            <wp:positionV relativeFrom="paragraph">
              <wp:posOffset>87630</wp:posOffset>
            </wp:positionV>
            <wp:extent cx="5559425"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59425" cy="6985"/>
                    </a:xfrm>
                    <a:prstGeom prst="rect">
                      <a:avLst/>
                    </a:prstGeom>
                    <a:noFill/>
                  </pic:spPr>
                </pic:pic>
              </a:graphicData>
            </a:graphic>
          </wp:anchor>
        </w:drawing>
      </w:r>
    </w:p>
    <w:p>
      <w:pPr>
        <w:sectPr>
          <w:pgSz w:w="11900" w:h="16838" w:orient="portrait"/>
          <w:cols w:equalWidth="0" w:num="1">
            <w:col w:w="9019"/>
          </w:cols>
          <w:pgMar w:left="1440" w:top="208"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Additional Registrants</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State or Other</w:t>
            </w:r>
          </w:p>
        </w:tc>
        <w:tc>
          <w:tcPr>
            <w:tcW w:w="102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I.R.S.</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180" w:type="dxa"/>
            <w:vAlign w:val="bottom"/>
            <w:gridSpan w:val="2"/>
          </w:tcPr>
          <w:p>
            <w:pPr>
              <w:jc w:val="center"/>
              <w:ind w:right="100"/>
              <w:spacing w:after="0" w:line="118" w:lineRule="exact"/>
              <w:rPr>
                <w:sz w:val="20"/>
                <w:szCs w:val="20"/>
                <w:color w:val="auto"/>
              </w:rPr>
            </w:pPr>
            <w:r>
              <w:rPr>
                <w:rFonts w:ascii="Times New Roman" w:cs="Times New Roman" w:eastAsia="Times New Roman" w:hAnsi="Times New Roman"/>
                <w:sz w:val="11"/>
                <w:szCs w:val="11"/>
                <w:b w:val="1"/>
                <w:bCs w:val="1"/>
                <w:color w:val="auto"/>
              </w:rPr>
              <w:t>Jurisdiction of</w:t>
            </w:r>
          </w:p>
        </w:tc>
        <w:tc>
          <w:tcPr>
            <w:tcW w:w="1020" w:type="dxa"/>
            <w:vAlign w:val="bottom"/>
            <w:gridSpan w:val="2"/>
          </w:tcPr>
          <w:p>
            <w:pPr>
              <w:jc w:val="center"/>
              <w:ind w:right="60"/>
              <w:spacing w:after="0" w:line="118" w:lineRule="exact"/>
              <w:rPr>
                <w:sz w:val="20"/>
                <w:szCs w:val="20"/>
                <w:color w:val="auto"/>
              </w:rPr>
            </w:pPr>
            <w:r>
              <w:rPr>
                <w:rFonts w:ascii="Times New Roman" w:cs="Times New Roman" w:eastAsia="Times New Roman" w:hAnsi="Times New Roman"/>
                <w:sz w:val="11"/>
                <w:szCs w:val="11"/>
                <w:b w:val="1"/>
                <w:bCs w:val="1"/>
                <w:color w:val="auto"/>
              </w:rPr>
              <w:t>Employer</w:t>
            </w:r>
          </w:p>
        </w:tc>
        <w:tc>
          <w:tcPr>
            <w:tcW w:w="0" w:type="dxa"/>
            <w:vAlign w:val="bottom"/>
          </w:tcPr>
          <w:p>
            <w:pPr>
              <w:spacing w:after="0"/>
              <w:rPr>
                <w:sz w:val="1"/>
                <w:szCs w:val="1"/>
                <w:color w:val="auto"/>
              </w:rPr>
            </w:pPr>
          </w:p>
        </w:tc>
      </w:tr>
      <w:tr>
        <w:trPr>
          <w:trHeight w:val="118"/>
        </w:trPr>
        <w:tc>
          <w:tcPr>
            <w:tcW w:w="456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Exact Name of Subsidiary</w:t>
            </w:r>
          </w:p>
        </w:tc>
        <w:tc>
          <w:tcPr>
            <w:tcW w:w="2000" w:type="dxa"/>
            <w:vAlign w:val="bottom"/>
          </w:tcPr>
          <w:p>
            <w:pPr>
              <w:spacing w:after="0"/>
              <w:rPr>
                <w:sz w:val="10"/>
                <w:szCs w:val="10"/>
                <w:color w:val="auto"/>
              </w:rPr>
            </w:pPr>
          </w:p>
        </w:tc>
        <w:tc>
          <w:tcPr>
            <w:tcW w:w="1180" w:type="dxa"/>
            <w:vAlign w:val="bottom"/>
            <w:gridSpan w:val="2"/>
          </w:tcPr>
          <w:p>
            <w:pPr>
              <w:jc w:val="center"/>
              <w:ind w:right="80"/>
              <w:spacing w:after="0" w:line="118" w:lineRule="exact"/>
              <w:rPr>
                <w:sz w:val="20"/>
                <w:szCs w:val="20"/>
                <w:color w:val="auto"/>
              </w:rPr>
            </w:pPr>
            <w:r>
              <w:rPr>
                <w:rFonts w:ascii="Times New Roman" w:cs="Times New Roman" w:eastAsia="Times New Roman" w:hAnsi="Times New Roman"/>
                <w:sz w:val="11"/>
                <w:szCs w:val="11"/>
                <w:b w:val="1"/>
                <w:bCs w:val="1"/>
                <w:color w:val="auto"/>
              </w:rPr>
              <w:t>Incorporation or</w:t>
            </w:r>
          </w:p>
        </w:tc>
        <w:tc>
          <w:tcPr>
            <w:tcW w:w="1020" w:type="dxa"/>
            <w:vAlign w:val="bottom"/>
            <w:gridSpan w:val="2"/>
          </w:tcPr>
          <w:p>
            <w:pPr>
              <w:jc w:val="center"/>
              <w:ind w:right="80"/>
              <w:spacing w:after="0" w:line="118" w:lineRule="exact"/>
              <w:rPr>
                <w:sz w:val="20"/>
                <w:szCs w:val="20"/>
                <w:color w:val="auto"/>
              </w:rPr>
            </w:pPr>
            <w:r>
              <w:rPr>
                <w:rFonts w:ascii="Times New Roman" w:cs="Times New Roman" w:eastAsia="Times New Roman" w:hAnsi="Times New Roman"/>
                <w:sz w:val="11"/>
                <w:szCs w:val="11"/>
                <w:b w:val="1"/>
                <w:bCs w:val="1"/>
                <w:color w:val="auto"/>
              </w:rPr>
              <w:t>Identification</w:t>
            </w:r>
          </w:p>
        </w:tc>
        <w:tc>
          <w:tcPr>
            <w:tcW w:w="0" w:type="dxa"/>
            <w:vAlign w:val="bottom"/>
          </w:tcPr>
          <w:p>
            <w:pPr>
              <w:spacing w:after="0"/>
              <w:rPr>
                <w:sz w:val="1"/>
                <w:szCs w:val="1"/>
                <w:color w:val="auto"/>
              </w:rPr>
            </w:pPr>
          </w:p>
        </w:tc>
      </w:tr>
      <w:tr>
        <w:trPr>
          <w:trHeight w:val="137"/>
        </w:trPr>
        <w:tc>
          <w:tcPr>
            <w:tcW w:w="4560" w:type="dxa"/>
            <w:vAlign w:val="bottom"/>
            <w:gridSpan w:val="2"/>
            <w:vMerge w:val="continue"/>
          </w:tcPr>
          <w:p>
            <w:pPr>
              <w:spacing w:after="0"/>
              <w:rPr>
                <w:sz w:val="11"/>
                <w:szCs w:val="11"/>
                <w:color w:val="auto"/>
              </w:rPr>
            </w:pPr>
          </w:p>
        </w:tc>
        <w:tc>
          <w:tcPr>
            <w:tcW w:w="2000" w:type="dxa"/>
            <w:vAlign w:val="bottom"/>
          </w:tcPr>
          <w:p>
            <w:pPr>
              <w:spacing w:after="0"/>
              <w:rPr>
                <w:sz w:val="11"/>
                <w:szCs w:val="11"/>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Formation</w:t>
            </w:r>
          </w:p>
        </w:tc>
        <w:tc>
          <w:tcPr>
            <w:tcW w:w="102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ADAPPT, LLC</w:t>
            </w:r>
          </w:p>
        </w:tc>
        <w:tc>
          <w:tcPr>
            <w:tcW w:w="200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Pennsylvania</w:t>
            </w:r>
          </w:p>
        </w:tc>
        <w:tc>
          <w:tcPr>
            <w:tcW w:w="8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23-2653056</w:t>
            </w: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4"/>
                <w:szCs w:val="14"/>
                <w:color w:val="auto"/>
              </w:rPr>
              <w:t>Arapahoe County Residential Center, LLC</w:t>
            </w:r>
          </w:p>
        </w:tc>
        <w:tc>
          <w:tcPr>
            <w:tcW w:w="3180" w:type="dxa"/>
            <w:vAlign w:val="bottom"/>
            <w:gridSpan w:val="3"/>
          </w:tcPr>
          <w:p>
            <w:pPr>
              <w:ind w:left="2000"/>
              <w:spacing w:after="0"/>
              <w:rPr>
                <w:sz w:val="20"/>
                <w:szCs w:val="20"/>
                <w:color w:val="auto"/>
              </w:rPr>
            </w:pPr>
            <w:r>
              <w:rPr>
                <w:rFonts w:ascii="Times New Roman" w:cs="Times New Roman" w:eastAsia="Times New Roman" w:hAnsi="Times New Roman"/>
                <w:sz w:val="14"/>
                <w:szCs w:val="14"/>
                <w:color w:val="auto"/>
              </w:rPr>
              <w:t>Colorado</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84-1145631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B.I. Incorporated</w:t>
            </w:r>
          </w:p>
        </w:tc>
        <w:tc>
          <w:tcPr>
            <w:tcW w:w="3180" w:type="dxa"/>
            <w:vAlign w:val="bottom"/>
            <w:gridSpan w:val="3"/>
            <w:shd w:val="clear" w:color="auto" w:fill="CCEEFF"/>
          </w:tcPr>
          <w:p>
            <w:pPr>
              <w:ind w:left="2000"/>
              <w:spacing w:after="0"/>
              <w:rPr>
                <w:sz w:val="20"/>
                <w:szCs w:val="20"/>
                <w:color w:val="auto"/>
              </w:rPr>
            </w:pPr>
            <w:r>
              <w:rPr>
                <w:rFonts w:ascii="Times New Roman" w:cs="Times New Roman" w:eastAsia="Times New Roman" w:hAnsi="Times New Roman"/>
                <w:sz w:val="14"/>
                <w:szCs w:val="14"/>
                <w:color w:val="auto"/>
              </w:rPr>
              <w:t>Colorado</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84-0769926</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4"/>
                <w:szCs w:val="14"/>
                <w:color w:val="auto"/>
              </w:rPr>
              <w:t>Behavioral Acquisition Corp.</w:t>
            </w:r>
          </w:p>
        </w:tc>
        <w:tc>
          <w:tcPr>
            <w:tcW w:w="3180" w:type="dxa"/>
            <w:vAlign w:val="bottom"/>
            <w:gridSpan w:val="3"/>
          </w:tcPr>
          <w:p>
            <w:pPr>
              <w:ind w:left="2000"/>
              <w:spacing w:after="0"/>
              <w:rPr>
                <w:sz w:val="20"/>
                <w:szCs w:val="20"/>
                <w:color w:val="auto"/>
              </w:rPr>
            </w:pPr>
            <w:r>
              <w:rPr>
                <w:rFonts w:ascii="Times New Roman" w:cs="Times New Roman" w:eastAsia="Times New Roman" w:hAnsi="Times New Roman"/>
                <w:sz w:val="14"/>
                <w:szCs w:val="14"/>
                <w:color w:val="auto"/>
              </w:rPr>
              <w:t>Delaware</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22-3746193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Behavioral Holding Corp.</w:t>
            </w:r>
          </w:p>
        </w:tc>
        <w:tc>
          <w:tcPr>
            <w:tcW w:w="3180" w:type="dxa"/>
            <w:vAlign w:val="bottom"/>
            <w:gridSpan w:val="3"/>
            <w:shd w:val="clear" w:color="auto" w:fill="CCEEFF"/>
          </w:tcPr>
          <w:p>
            <w:pPr>
              <w:ind w:left="2000"/>
              <w:spacing w:after="0"/>
              <w:rPr>
                <w:sz w:val="20"/>
                <w:szCs w:val="20"/>
                <w:color w:val="auto"/>
              </w:rPr>
            </w:pPr>
            <w:r>
              <w:rPr>
                <w:rFonts w:ascii="Times New Roman" w:cs="Times New Roman" w:eastAsia="Times New Roman" w:hAnsi="Times New Roman"/>
                <w:sz w:val="14"/>
                <w:szCs w:val="14"/>
                <w:color w:val="auto"/>
              </w:rPr>
              <w:t>Delaware</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20-4244005</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4"/>
                <w:szCs w:val="14"/>
                <w:color w:val="auto"/>
              </w:rPr>
              <w:t>BI Mobile Breath, LLC</w:t>
            </w:r>
          </w:p>
        </w:tc>
        <w:tc>
          <w:tcPr>
            <w:tcW w:w="3180" w:type="dxa"/>
            <w:vAlign w:val="bottom"/>
            <w:gridSpan w:val="3"/>
          </w:tcPr>
          <w:p>
            <w:pPr>
              <w:ind w:left="2000"/>
              <w:spacing w:after="0"/>
              <w:rPr>
                <w:sz w:val="20"/>
                <w:szCs w:val="20"/>
                <w:color w:val="auto"/>
              </w:rPr>
            </w:pPr>
            <w:r>
              <w:rPr>
                <w:rFonts w:ascii="Times New Roman" w:cs="Times New Roman" w:eastAsia="Times New Roman" w:hAnsi="Times New Roman"/>
                <w:sz w:val="14"/>
                <w:szCs w:val="14"/>
                <w:color w:val="auto"/>
              </w:rPr>
              <w:t>Delaware</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27-1931247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BII Holding Corporation</w:t>
            </w:r>
          </w:p>
        </w:tc>
        <w:tc>
          <w:tcPr>
            <w:tcW w:w="3180" w:type="dxa"/>
            <w:vAlign w:val="bottom"/>
            <w:gridSpan w:val="3"/>
            <w:shd w:val="clear" w:color="auto" w:fill="CCEEFF"/>
          </w:tcPr>
          <w:p>
            <w:pPr>
              <w:ind w:left="2000"/>
              <w:spacing w:after="0"/>
              <w:rPr>
                <w:sz w:val="20"/>
                <w:szCs w:val="20"/>
                <w:color w:val="auto"/>
              </w:rPr>
            </w:pPr>
            <w:r>
              <w:rPr>
                <w:rFonts w:ascii="Times New Roman" w:cs="Times New Roman" w:eastAsia="Times New Roman" w:hAnsi="Times New Roman"/>
                <w:sz w:val="14"/>
                <w:szCs w:val="14"/>
                <w:color w:val="auto"/>
              </w:rPr>
              <w:t>Delaware</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26-3064495</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4"/>
                <w:szCs w:val="14"/>
                <w:color w:val="auto"/>
              </w:rPr>
              <w:t>BII Holding I Corporation</w:t>
            </w:r>
          </w:p>
        </w:tc>
        <w:tc>
          <w:tcPr>
            <w:tcW w:w="3180" w:type="dxa"/>
            <w:vAlign w:val="bottom"/>
            <w:gridSpan w:val="3"/>
          </w:tcPr>
          <w:p>
            <w:pPr>
              <w:ind w:left="2000"/>
              <w:spacing w:after="0"/>
              <w:rPr>
                <w:sz w:val="20"/>
                <w:szCs w:val="20"/>
                <w:color w:val="auto"/>
              </w:rPr>
            </w:pPr>
            <w:r>
              <w:rPr>
                <w:rFonts w:ascii="Times New Roman" w:cs="Times New Roman" w:eastAsia="Times New Roman" w:hAnsi="Times New Roman"/>
                <w:sz w:val="14"/>
                <w:szCs w:val="14"/>
                <w:color w:val="auto"/>
              </w:rPr>
              <w:t>Delaware</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26-3334669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Broad Real Estate Holdings LLC</w:t>
            </w:r>
          </w:p>
        </w:tc>
        <w:tc>
          <w:tcPr>
            <w:tcW w:w="3180" w:type="dxa"/>
            <w:vAlign w:val="bottom"/>
            <w:gridSpan w:val="3"/>
            <w:shd w:val="clear" w:color="auto" w:fill="CCEEFF"/>
          </w:tcPr>
          <w:p>
            <w:pPr>
              <w:ind w:left="2000"/>
              <w:spacing w:after="0"/>
              <w:rPr>
                <w:sz w:val="20"/>
                <w:szCs w:val="20"/>
                <w:color w:val="auto"/>
              </w:rPr>
            </w:pPr>
            <w:r>
              <w:rPr>
                <w:rFonts w:ascii="Times New Roman" w:cs="Times New Roman" w:eastAsia="Times New Roman" w:hAnsi="Times New Roman"/>
                <w:sz w:val="14"/>
                <w:szCs w:val="14"/>
                <w:color w:val="auto"/>
              </w:rPr>
              <w:t>Delaware</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4"/>
                <w:szCs w:val="14"/>
                <w:color w:val="auto"/>
              </w:rPr>
              <w:t>CCC Wyoming Properties, LLC</w:t>
            </w:r>
          </w:p>
        </w:tc>
        <w:tc>
          <w:tcPr>
            <w:tcW w:w="3180" w:type="dxa"/>
            <w:vAlign w:val="bottom"/>
            <w:gridSpan w:val="3"/>
          </w:tcPr>
          <w:p>
            <w:pPr>
              <w:ind w:left="2000"/>
              <w:spacing w:after="0"/>
              <w:rPr>
                <w:sz w:val="20"/>
                <w:szCs w:val="20"/>
                <w:color w:val="auto"/>
              </w:rPr>
            </w:pPr>
            <w:r>
              <w:rPr>
                <w:rFonts w:ascii="Times New Roman" w:cs="Times New Roman" w:eastAsia="Times New Roman" w:hAnsi="Times New Roman"/>
                <w:sz w:val="14"/>
                <w:szCs w:val="14"/>
                <w:color w:val="auto"/>
              </w:rPr>
              <w:t>Wyoming</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06-1531669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CCMAS LLC</w:t>
            </w:r>
          </w:p>
        </w:tc>
        <w:tc>
          <w:tcPr>
            <w:tcW w:w="3180" w:type="dxa"/>
            <w:vAlign w:val="bottom"/>
            <w:gridSpan w:val="3"/>
            <w:shd w:val="clear" w:color="auto" w:fill="CCEEFF"/>
          </w:tcPr>
          <w:p>
            <w:pPr>
              <w:ind w:left="2000"/>
              <w:spacing w:after="0"/>
              <w:rPr>
                <w:sz w:val="20"/>
                <w:szCs w:val="20"/>
                <w:color w:val="auto"/>
              </w:rPr>
            </w:pPr>
            <w:r>
              <w:rPr>
                <w:rFonts w:ascii="Times New Roman" w:cs="Times New Roman" w:eastAsia="Times New Roman" w:hAnsi="Times New Roman"/>
                <w:sz w:val="14"/>
                <w:szCs w:val="14"/>
                <w:color w:val="auto"/>
              </w:rPr>
              <w:t>Delaware</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32-0393183</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4"/>
                <w:szCs w:val="14"/>
                <w:color w:val="auto"/>
              </w:rPr>
              <w:t>CEC Intermediate Holdings LLC</w:t>
            </w:r>
          </w:p>
        </w:tc>
        <w:tc>
          <w:tcPr>
            <w:tcW w:w="3180" w:type="dxa"/>
            <w:vAlign w:val="bottom"/>
            <w:gridSpan w:val="3"/>
          </w:tcPr>
          <w:p>
            <w:pPr>
              <w:ind w:left="2000"/>
              <w:spacing w:after="0"/>
              <w:rPr>
                <w:sz w:val="20"/>
                <w:szCs w:val="20"/>
                <w:color w:val="auto"/>
              </w:rPr>
            </w:pPr>
            <w:r>
              <w:rPr>
                <w:rFonts w:ascii="Times New Roman" w:cs="Times New Roman" w:eastAsia="Times New Roman" w:hAnsi="Times New Roman"/>
                <w:sz w:val="14"/>
                <w:szCs w:val="14"/>
                <w:color w:val="auto"/>
              </w:rPr>
              <w:t>Delaware</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CEC Parent Holdings LLC</w:t>
            </w:r>
          </w:p>
        </w:tc>
        <w:tc>
          <w:tcPr>
            <w:tcW w:w="3180" w:type="dxa"/>
            <w:vAlign w:val="bottom"/>
            <w:gridSpan w:val="3"/>
            <w:shd w:val="clear" w:color="auto" w:fill="CCEEFF"/>
          </w:tcPr>
          <w:p>
            <w:pPr>
              <w:ind w:left="2000"/>
              <w:spacing w:after="0"/>
              <w:rPr>
                <w:sz w:val="20"/>
                <w:szCs w:val="20"/>
                <w:color w:val="auto"/>
              </w:rPr>
            </w:pPr>
            <w:r>
              <w:rPr>
                <w:rFonts w:ascii="Times New Roman" w:cs="Times New Roman" w:eastAsia="Times New Roman" w:hAnsi="Times New Roman"/>
                <w:sz w:val="14"/>
                <w:szCs w:val="14"/>
                <w:color w:val="auto"/>
              </w:rPr>
              <w:t>Delaware</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47-3464615</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4"/>
                <w:szCs w:val="14"/>
                <w:color w:val="auto"/>
              </w:rPr>
              <w:t>CEC Staffing Solutions LLC</w:t>
            </w:r>
          </w:p>
        </w:tc>
        <w:tc>
          <w:tcPr>
            <w:tcW w:w="3180" w:type="dxa"/>
            <w:vAlign w:val="bottom"/>
            <w:gridSpan w:val="3"/>
          </w:tcPr>
          <w:p>
            <w:pPr>
              <w:ind w:left="2000"/>
              <w:spacing w:after="0"/>
              <w:rPr>
                <w:sz w:val="20"/>
                <w:szCs w:val="20"/>
                <w:color w:val="auto"/>
              </w:rPr>
            </w:pPr>
            <w:r>
              <w:rPr>
                <w:rFonts w:ascii="Times New Roman" w:cs="Times New Roman" w:eastAsia="Times New Roman" w:hAnsi="Times New Roman"/>
                <w:sz w:val="14"/>
                <w:szCs w:val="14"/>
                <w:color w:val="auto"/>
              </w:rPr>
              <w:t>New Jersey</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47-4539867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CiviGenics Management Services, LLC</w:t>
            </w:r>
          </w:p>
        </w:tc>
        <w:tc>
          <w:tcPr>
            <w:tcW w:w="3180" w:type="dxa"/>
            <w:vAlign w:val="bottom"/>
            <w:gridSpan w:val="3"/>
            <w:shd w:val="clear" w:color="auto" w:fill="CCEEFF"/>
          </w:tcPr>
          <w:p>
            <w:pPr>
              <w:ind w:left="2000"/>
              <w:spacing w:after="0"/>
              <w:rPr>
                <w:sz w:val="20"/>
                <w:szCs w:val="20"/>
                <w:color w:val="auto"/>
              </w:rPr>
            </w:pPr>
            <w:r>
              <w:rPr>
                <w:rFonts w:ascii="Times New Roman" w:cs="Times New Roman" w:eastAsia="Times New Roman" w:hAnsi="Times New Roman"/>
                <w:sz w:val="14"/>
                <w:szCs w:val="14"/>
                <w:color w:val="auto"/>
              </w:rPr>
              <w:t>Massachusetts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04-3353973</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4"/>
                <w:szCs w:val="14"/>
                <w:color w:val="auto"/>
              </w:rPr>
              <w:t>CiviGenics, Inc.</w:t>
            </w:r>
          </w:p>
        </w:tc>
        <w:tc>
          <w:tcPr>
            <w:tcW w:w="3180" w:type="dxa"/>
            <w:vAlign w:val="bottom"/>
            <w:gridSpan w:val="3"/>
          </w:tcPr>
          <w:p>
            <w:pPr>
              <w:ind w:left="2000"/>
              <w:spacing w:after="0"/>
              <w:rPr>
                <w:sz w:val="20"/>
                <w:szCs w:val="20"/>
                <w:color w:val="auto"/>
              </w:rPr>
            </w:pPr>
            <w:r>
              <w:rPr>
                <w:rFonts w:ascii="Times New Roman" w:cs="Times New Roman" w:eastAsia="Times New Roman" w:hAnsi="Times New Roman"/>
                <w:sz w:val="14"/>
                <w:szCs w:val="14"/>
                <w:color w:val="auto"/>
              </w:rPr>
              <w:t>Massachusetts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04-3266429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CiviGenics-Texas, Inc.</w:t>
            </w:r>
          </w:p>
        </w:tc>
        <w:tc>
          <w:tcPr>
            <w:tcW w:w="3180" w:type="dxa"/>
            <w:vAlign w:val="bottom"/>
            <w:gridSpan w:val="3"/>
            <w:shd w:val="clear" w:color="auto" w:fill="CCEEFF"/>
          </w:tcPr>
          <w:p>
            <w:pPr>
              <w:ind w:left="2000"/>
              <w:spacing w:after="0"/>
              <w:rPr>
                <w:sz w:val="20"/>
                <w:szCs w:val="20"/>
                <w:color w:val="auto"/>
              </w:rPr>
            </w:pPr>
            <w:r>
              <w:rPr>
                <w:rFonts w:ascii="Times New Roman" w:cs="Times New Roman" w:eastAsia="Times New Roman" w:hAnsi="Times New Roman"/>
                <w:sz w:val="14"/>
                <w:szCs w:val="14"/>
                <w:color w:val="auto"/>
              </w:rPr>
              <w:t>Texas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74-2870249</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4"/>
                <w:szCs w:val="14"/>
                <w:color w:val="auto"/>
              </w:rPr>
              <w:t>Clearstream Development LLC</w:t>
            </w:r>
          </w:p>
        </w:tc>
        <w:tc>
          <w:tcPr>
            <w:tcW w:w="3180" w:type="dxa"/>
            <w:vAlign w:val="bottom"/>
            <w:gridSpan w:val="3"/>
          </w:tcPr>
          <w:p>
            <w:pPr>
              <w:ind w:left="2000"/>
              <w:spacing w:after="0"/>
              <w:rPr>
                <w:sz w:val="20"/>
                <w:szCs w:val="20"/>
                <w:color w:val="auto"/>
              </w:rPr>
            </w:pPr>
            <w:r>
              <w:rPr>
                <w:rFonts w:ascii="Times New Roman" w:cs="Times New Roman" w:eastAsia="Times New Roman" w:hAnsi="Times New Roman"/>
                <w:sz w:val="14"/>
                <w:szCs w:val="14"/>
                <w:color w:val="auto"/>
              </w:rPr>
              <w:t>Delaware</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82-1455265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Community Alternatives</w:t>
            </w:r>
          </w:p>
        </w:tc>
        <w:tc>
          <w:tcPr>
            <w:tcW w:w="3180" w:type="dxa"/>
            <w:vAlign w:val="bottom"/>
            <w:gridSpan w:val="3"/>
            <w:shd w:val="clear" w:color="auto" w:fill="CCEEFF"/>
          </w:tcPr>
          <w:p>
            <w:pPr>
              <w:ind w:left="2000"/>
              <w:spacing w:after="0"/>
              <w:rPr>
                <w:sz w:val="20"/>
                <w:szCs w:val="20"/>
                <w:color w:val="auto"/>
              </w:rPr>
            </w:pPr>
            <w:r>
              <w:rPr>
                <w:rFonts w:ascii="Times New Roman" w:cs="Times New Roman" w:eastAsia="Times New Roman" w:hAnsi="Times New Roman"/>
                <w:sz w:val="14"/>
                <w:szCs w:val="14"/>
                <w:color w:val="auto"/>
              </w:rPr>
              <w:t>Wyoming</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06-1536351</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4"/>
                <w:szCs w:val="14"/>
                <w:color w:val="auto"/>
              </w:rPr>
              <w:t>Community Corrections, LLC</w:t>
            </w:r>
          </w:p>
        </w:tc>
        <w:tc>
          <w:tcPr>
            <w:tcW w:w="3180" w:type="dxa"/>
            <w:vAlign w:val="bottom"/>
            <w:gridSpan w:val="3"/>
          </w:tcPr>
          <w:p>
            <w:pPr>
              <w:ind w:left="2000"/>
              <w:spacing w:after="0"/>
              <w:rPr>
                <w:sz w:val="20"/>
                <w:szCs w:val="20"/>
                <w:color w:val="auto"/>
              </w:rPr>
            </w:pPr>
            <w:r>
              <w:rPr>
                <w:rFonts w:ascii="Times New Roman" w:cs="Times New Roman" w:eastAsia="Times New Roman" w:hAnsi="Times New Roman"/>
                <w:sz w:val="14"/>
                <w:szCs w:val="14"/>
                <w:color w:val="auto"/>
              </w:rPr>
              <w:t>Colorado</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84-0984354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Community Education Centers, Inc.</w:t>
            </w:r>
          </w:p>
        </w:tc>
        <w:tc>
          <w:tcPr>
            <w:tcW w:w="3180" w:type="dxa"/>
            <w:vAlign w:val="bottom"/>
            <w:gridSpan w:val="3"/>
            <w:shd w:val="clear" w:color="auto" w:fill="CCEEFF"/>
          </w:tcPr>
          <w:p>
            <w:pPr>
              <w:ind w:left="2000"/>
              <w:spacing w:after="0"/>
              <w:rPr>
                <w:sz w:val="20"/>
                <w:szCs w:val="20"/>
                <w:color w:val="auto"/>
              </w:rPr>
            </w:pPr>
            <w:r>
              <w:rPr>
                <w:rFonts w:ascii="Times New Roman" w:cs="Times New Roman" w:eastAsia="Times New Roman" w:hAnsi="Times New Roman"/>
                <w:sz w:val="14"/>
                <w:szCs w:val="14"/>
                <w:color w:val="auto"/>
              </w:rPr>
              <w:t>Delaware</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22-3457238</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4"/>
                <w:szCs w:val="14"/>
                <w:color w:val="auto"/>
              </w:rPr>
              <w:t>Cornell Companies, Inc.</w:t>
            </w:r>
          </w:p>
        </w:tc>
        <w:tc>
          <w:tcPr>
            <w:tcW w:w="3180" w:type="dxa"/>
            <w:vAlign w:val="bottom"/>
            <w:gridSpan w:val="3"/>
          </w:tcPr>
          <w:p>
            <w:pPr>
              <w:ind w:left="2000"/>
              <w:spacing w:after="0"/>
              <w:rPr>
                <w:sz w:val="20"/>
                <w:szCs w:val="20"/>
                <w:color w:val="auto"/>
              </w:rPr>
            </w:pPr>
            <w:r>
              <w:rPr>
                <w:rFonts w:ascii="Times New Roman" w:cs="Times New Roman" w:eastAsia="Times New Roman" w:hAnsi="Times New Roman"/>
                <w:sz w:val="14"/>
                <w:szCs w:val="14"/>
                <w:color w:val="auto"/>
              </w:rPr>
              <w:t>Delaware</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76-0433642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Cornell Corrections Management, LLC</w:t>
            </w:r>
          </w:p>
        </w:tc>
        <w:tc>
          <w:tcPr>
            <w:tcW w:w="3180" w:type="dxa"/>
            <w:vAlign w:val="bottom"/>
            <w:gridSpan w:val="3"/>
            <w:shd w:val="clear" w:color="auto" w:fill="CCEEFF"/>
          </w:tcPr>
          <w:p>
            <w:pPr>
              <w:ind w:left="2000"/>
              <w:spacing w:after="0"/>
              <w:rPr>
                <w:sz w:val="20"/>
                <w:szCs w:val="20"/>
                <w:color w:val="auto"/>
              </w:rPr>
            </w:pPr>
            <w:r>
              <w:rPr>
                <w:rFonts w:ascii="Times New Roman" w:cs="Times New Roman" w:eastAsia="Times New Roman" w:hAnsi="Times New Roman"/>
                <w:sz w:val="14"/>
                <w:szCs w:val="14"/>
                <w:color w:val="auto"/>
              </w:rPr>
              <w:t>Delaware</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74-2650655</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4"/>
                <w:szCs w:val="14"/>
                <w:color w:val="auto"/>
              </w:rPr>
              <w:t>Cornell Corrections of Rhode Island, Inc.</w:t>
            </w:r>
          </w:p>
        </w:tc>
        <w:tc>
          <w:tcPr>
            <w:tcW w:w="3180" w:type="dxa"/>
            <w:vAlign w:val="bottom"/>
            <w:gridSpan w:val="3"/>
          </w:tcPr>
          <w:p>
            <w:pPr>
              <w:ind w:left="2000"/>
              <w:spacing w:after="0"/>
              <w:rPr>
                <w:sz w:val="20"/>
                <w:szCs w:val="20"/>
                <w:color w:val="auto"/>
              </w:rPr>
            </w:pPr>
            <w:r>
              <w:rPr>
                <w:rFonts w:ascii="Times New Roman" w:cs="Times New Roman" w:eastAsia="Times New Roman" w:hAnsi="Times New Roman"/>
                <w:sz w:val="14"/>
                <w:szCs w:val="14"/>
                <w:color w:val="auto"/>
              </w:rPr>
              <w:t>Delaware</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74-2650654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Cornell Corrections of Texas, Inc.</w:t>
            </w:r>
          </w:p>
        </w:tc>
        <w:tc>
          <w:tcPr>
            <w:tcW w:w="3180" w:type="dxa"/>
            <w:vAlign w:val="bottom"/>
            <w:gridSpan w:val="3"/>
            <w:shd w:val="clear" w:color="auto" w:fill="CCEEFF"/>
          </w:tcPr>
          <w:p>
            <w:pPr>
              <w:ind w:left="2000"/>
              <w:spacing w:after="0"/>
              <w:rPr>
                <w:sz w:val="20"/>
                <w:szCs w:val="20"/>
                <w:color w:val="auto"/>
              </w:rPr>
            </w:pPr>
            <w:r>
              <w:rPr>
                <w:rFonts w:ascii="Times New Roman" w:cs="Times New Roman" w:eastAsia="Times New Roman" w:hAnsi="Times New Roman"/>
                <w:sz w:val="14"/>
                <w:szCs w:val="14"/>
                <w:color w:val="auto"/>
              </w:rPr>
              <w:t>Delaware</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74-2650651</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4"/>
                <w:szCs w:val="14"/>
                <w:color w:val="auto"/>
              </w:rPr>
              <w:t>Correctional Properties Prison Finance, LLC</w:t>
            </w:r>
          </w:p>
        </w:tc>
        <w:tc>
          <w:tcPr>
            <w:tcW w:w="3180" w:type="dxa"/>
            <w:vAlign w:val="bottom"/>
            <w:gridSpan w:val="3"/>
          </w:tcPr>
          <w:p>
            <w:pPr>
              <w:ind w:left="2000"/>
              <w:spacing w:after="0"/>
              <w:rPr>
                <w:sz w:val="20"/>
                <w:szCs w:val="20"/>
                <w:color w:val="auto"/>
              </w:rPr>
            </w:pPr>
            <w:r>
              <w:rPr>
                <w:rFonts w:ascii="Times New Roman" w:cs="Times New Roman" w:eastAsia="Times New Roman" w:hAnsi="Times New Roman"/>
                <w:sz w:val="14"/>
                <w:szCs w:val="14"/>
                <w:color w:val="auto"/>
              </w:rPr>
              <w:t>Delaware</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Correctional Properties, LLC</w:t>
            </w:r>
          </w:p>
        </w:tc>
        <w:tc>
          <w:tcPr>
            <w:tcW w:w="3180" w:type="dxa"/>
            <w:vAlign w:val="bottom"/>
            <w:gridSpan w:val="3"/>
            <w:shd w:val="clear" w:color="auto" w:fill="CCEEFF"/>
          </w:tcPr>
          <w:p>
            <w:pPr>
              <w:ind w:left="2000"/>
              <w:spacing w:after="0"/>
              <w:rPr>
                <w:sz w:val="20"/>
                <w:szCs w:val="20"/>
                <w:color w:val="auto"/>
              </w:rPr>
            </w:pPr>
            <w:r>
              <w:rPr>
                <w:rFonts w:ascii="Times New Roman" w:cs="Times New Roman" w:eastAsia="Times New Roman" w:hAnsi="Times New Roman"/>
                <w:sz w:val="14"/>
                <w:szCs w:val="14"/>
                <w:color w:val="auto"/>
              </w:rPr>
              <w:t>Delaware</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47-2920630</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4"/>
                <w:szCs w:val="14"/>
                <w:color w:val="auto"/>
              </w:rPr>
              <w:t>Correctional Services Corporation, LLC</w:t>
            </w:r>
          </w:p>
        </w:tc>
        <w:tc>
          <w:tcPr>
            <w:tcW w:w="3180" w:type="dxa"/>
            <w:vAlign w:val="bottom"/>
            <w:gridSpan w:val="3"/>
          </w:tcPr>
          <w:p>
            <w:pPr>
              <w:ind w:left="2000"/>
              <w:spacing w:after="0"/>
              <w:rPr>
                <w:sz w:val="20"/>
                <w:szCs w:val="20"/>
                <w:color w:val="auto"/>
              </w:rPr>
            </w:pPr>
            <w:r>
              <w:rPr>
                <w:rFonts w:ascii="Times New Roman" w:cs="Times New Roman" w:eastAsia="Times New Roman" w:hAnsi="Times New Roman"/>
                <w:sz w:val="14"/>
                <w:szCs w:val="14"/>
                <w:color w:val="auto"/>
              </w:rPr>
              <w:t>Delaware</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11-3182580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Correctional Systems, LLC</w:t>
            </w:r>
          </w:p>
        </w:tc>
        <w:tc>
          <w:tcPr>
            <w:tcW w:w="3180" w:type="dxa"/>
            <w:vAlign w:val="bottom"/>
            <w:gridSpan w:val="3"/>
            <w:shd w:val="clear" w:color="auto" w:fill="CCEEFF"/>
          </w:tcPr>
          <w:p>
            <w:pPr>
              <w:ind w:left="2000"/>
              <w:spacing w:after="0"/>
              <w:rPr>
                <w:sz w:val="20"/>
                <w:szCs w:val="20"/>
                <w:color w:val="auto"/>
              </w:rPr>
            </w:pPr>
            <w:r>
              <w:rPr>
                <w:rFonts w:ascii="Times New Roman" w:cs="Times New Roman" w:eastAsia="Times New Roman" w:hAnsi="Times New Roman"/>
                <w:sz w:val="14"/>
                <w:szCs w:val="14"/>
                <w:color w:val="auto"/>
              </w:rPr>
              <w:t>Delaware</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33-0607766</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4"/>
                <w:szCs w:val="14"/>
                <w:color w:val="auto"/>
              </w:rPr>
              <w:t>CPT Limited Partner, LLC</w:t>
            </w:r>
          </w:p>
        </w:tc>
        <w:tc>
          <w:tcPr>
            <w:tcW w:w="3180" w:type="dxa"/>
            <w:vAlign w:val="bottom"/>
            <w:gridSpan w:val="3"/>
          </w:tcPr>
          <w:p>
            <w:pPr>
              <w:ind w:left="2000"/>
              <w:spacing w:after="0"/>
              <w:rPr>
                <w:sz w:val="20"/>
                <w:szCs w:val="20"/>
                <w:color w:val="auto"/>
              </w:rPr>
            </w:pPr>
            <w:r>
              <w:rPr>
                <w:rFonts w:ascii="Times New Roman" w:cs="Times New Roman" w:eastAsia="Times New Roman" w:hAnsi="Times New Roman"/>
                <w:sz w:val="14"/>
                <w:szCs w:val="14"/>
                <w:color w:val="auto"/>
              </w:rPr>
              <w:t>Delaware</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CPT Operating Partnership L.P.</w:t>
            </w:r>
          </w:p>
        </w:tc>
        <w:tc>
          <w:tcPr>
            <w:tcW w:w="3180" w:type="dxa"/>
            <w:vAlign w:val="bottom"/>
            <w:gridSpan w:val="3"/>
            <w:shd w:val="clear" w:color="auto" w:fill="CCEEFF"/>
          </w:tcPr>
          <w:p>
            <w:pPr>
              <w:ind w:left="2000"/>
              <w:spacing w:after="0"/>
              <w:rPr>
                <w:sz w:val="20"/>
                <w:szCs w:val="20"/>
                <w:color w:val="auto"/>
              </w:rPr>
            </w:pPr>
            <w:r>
              <w:rPr>
                <w:rFonts w:ascii="Times New Roman" w:cs="Times New Roman" w:eastAsia="Times New Roman" w:hAnsi="Times New Roman"/>
                <w:sz w:val="14"/>
                <w:szCs w:val="14"/>
                <w:color w:val="auto"/>
              </w:rPr>
              <w:t>Delaware</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4"/>
                <w:szCs w:val="14"/>
                <w:color w:val="auto"/>
              </w:rPr>
              <w:t>Fenton Security, LLC</w:t>
            </w:r>
          </w:p>
        </w:tc>
        <w:tc>
          <w:tcPr>
            <w:tcW w:w="3180" w:type="dxa"/>
            <w:vAlign w:val="bottom"/>
            <w:gridSpan w:val="3"/>
          </w:tcPr>
          <w:p>
            <w:pPr>
              <w:ind w:left="2000"/>
              <w:spacing w:after="0"/>
              <w:rPr>
                <w:sz w:val="20"/>
                <w:szCs w:val="20"/>
                <w:color w:val="auto"/>
              </w:rPr>
            </w:pPr>
            <w:r>
              <w:rPr>
                <w:rFonts w:ascii="Times New Roman" w:cs="Times New Roman" w:eastAsia="Times New Roman" w:hAnsi="Times New Roman"/>
                <w:sz w:val="14"/>
                <w:szCs w:val="14"/>
                <w:color w:val="auto"/>
              </w:rPr>
              <w:t>Pennsylvania</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23-2216896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GEO Acquisition II, Inc.</w:t>
            </w:r>
          </w:p>
        </w:tc>
        <w:tc>
          <w:tcPr>
            <w:tcW w:w="3180" w:type="dxa"/>
            <w:vAlign w:val="bottom"/>
            <w:gridSpan w:val="3"/>
            <w:shd w:val="clear" w:color="auto" w:fill="CCEEFF"/>
          </w:tcPr>
          <w:p>
            <w:pPr>
              <w:ind w:left="2000"/>
              <w:spacing w:after="0"/>
              <w:rPr>
                <w:sz w:val="20"/>
                <w:szCs w:val="20"/>
                <w:color w:val="auto"/>
              </w:rPr>
            </w:pPr>
            <w:r>
              <w:rPr>
                <w:rFonts w:ascii="Times New Roman" w:cs="Times New Roman" w:eastAsia="Times New Roman" w:hAnsi="Times New Roman"/>
                <w:sz w:val="14"/>
                <w:szCs w:val="14"/>
                <w:color w:val="auto"/>
              </w:rPr>
              <w:t>Delaware</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01-0882442</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40" w:type="dxa"/>
            <w:vAlign w:val="bottom"/>
          </w:tcPr>
          <w:p>
            <w:pPr>
              <w:spacing w:after="0" w:line="172" w:lineRule="exact"/>
              <w:rPr>
                <w:sz w:val="20"/>
                <w:szCs w:val="20"/>
                <w:color w:val="auto"/>
              </w:rPr>
            </w:pPr>
            <w:r>
              <w:rPr>
                <w:rFonts w:ascii="Times New Roman" w:cs="Times New Roman" w:eastAsia="Times New Roman" w:hAnsi="Times New Roman"/>
                <w:sz w:val="13"/>
                <w:szCs w:val="13"/>
                <w:color w:val="auto"/>
              </w:rPr>
              <w:t>GEO Care, Inc.</w:t>
            </w:r>
            <w:r>
              <w:rPr>
                <w:rFonts w:ascii="Times New Roman" w:cs="Times New Roman" w:eastAsia="Times New Roman" w:hAnsi="Times New Roman"/>
                <w:sz w:val="19"/>
                <w:szCs w:val="19"/>
                <w:color w:val="auto"/>
                <w:vertAlign w:val="superscript"/>
              </w:rPr>
              <w:t>1</w:t>
            </w:r>
          </w:p>
        </w:tc>
        <w:tc>
          <w:tcPr>
            <w:tcW w:w="3180" w:type="dxa"/>
            <w:vAlign w:val="bottom"/>
            <w:gridSpan w:val="3"/>
          </w:tcPr>
          <w:p>
            <w:pPr>
              <w:ind w:left="2000"/>
              <w:spacing w:after="0"/>
              <w:rPr>
                <w:sz w:val="20"/>
                <w:szCs w:val="20"/>
                <w:color w:val="auto"/>
              </w:rPr>
            </w:pPr>
            <w:r>
              <w:rPr>
                <w:rFonts w:ascii="Times New Roman" w:cs="Times New Roman" w:eastAsia="Times New Roman" w:hAnsi="Times New Roman"/>
                <w:sz w:val="14"/>
                <w:szCs w:val="14"/>
                <w:color w:val="auto"/>
              </w:rPr>
              <w:t>Florida</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39-3124378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GEO Care Services, LLC</w:t>
            </w:r>
          </w:p>
        </w:tc>
        <w:tc>
          <w:tcPr>
            <w:tcW w:w="3180" w:type="dxa"/>
            <w:vAlign w:val="bottom"/>
            <w:gridSpan w:val="3"/>
            <w:shd w:val="clear" w:color="auto" w:fill="CCEEFF"/>
          </w:tcPr>
          <w:p>
            <w:pPr>
              <w:ind w:left="2000"/>
              <w:spacing w:after="0"/>
              <w:rPr>
                <w:sz w:val="20"/>
                <w:szCs w:val="20"/>
                <w:color w:val="auto"/>
              </w:rPr>
            </w:pPr>
            <w:r>
              <w:rPr>
                <w:rFonts w:ascii="Times New Roman" w:cs="Times New Roman" w:eastAsia="Times New Roman" w:hAnsi="Times New Roman"/>
                <w:sz w:val="14"/>
                <w:szCs w:val="14"/>
                <w:color w:val="auto"/>
              </w:rPr>
              <w:t>Delaware</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47-3529923</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4"/>
                <w:szCs w:val="14"/>
                <w:color w:val="auto"/>
              </w:rPr>
              <w:t>GEO CC3 Inc.</w:t>
            </w:r>
          </w:p>
        </w:tc>
        <w:tc>
          <w:tcPr>
            <w:tcW w:w="3180" w:type="dxa"/>
            <w:vAlign w:val="bottom"/>
            <w:gridSpan w:val="3"/>
          </w:tcPr>
          <w:p>
            <w:pPr>
              <w:ind w:left="2000"/>
              <w:spacing w:after="0"/>
              <w:rPr>
                <w:sz w:val="20"/>
                <w:szCs w:val="20"/>
                <w:color w:val="auto"/>
              </w:rPr>
            </w:pPr>
            <w:r>
              <w:rPr>
                <w:rFonts w:ascii="Times New Roman" w:cs="Times New Roman" w:eastAsia="Times New Roman" w:hAnsi="Times New Roman"/>
                <w:sz w:val="14"/>
                <w:szCs w:val="14"/>
                <w:color w:val="auto"/>
              </w:rPr>
              <w:t>Delaware</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47-3573145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GEO Corrections Holdings, Inc.</w:t>
            </w:r>
          </w:p>
        </w:tc>
        <w:tc>
          <w:tcPr>
            <w:tcW w:w="3180" w:type="dxa"/>
            <w:vAlign w:val="bottom"/>
            <w:gridSpan w:val="3"/>
            <w:shd w:val="clear" w:color="auto" w:fill="CCEEFF"/>
          </w:tcPr>
          <w:p>
            <w:pPr>
              <w:ind w:left="2000"/>
              <w:spacing w:after="0"/>
              <w:rPr>
                <w:sz w:val="20"/>
                <w:szCs w:val="20"/>
                <w:color w:val="auto"/>
              </w:rPr>
            </w:pPr>
            <w:r>
              <w:rPr>
                <w:rFonts w:ascii="Times New Roman" w:cs="Times New Roman" w:eastAsia="Times New Roman" w:hAnsi="Times New Roman"/>
                <w:sz w:val="14"/>
                <w:szCs w:val="14"/>
                <w:color w:val="auto"/>
              </w:rPr>
              <w:t>Florida</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46-1972528</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4"/>
                <w:szCs w:val="14"/>
                <w:color w:val="auto"/>
              </w:rPr>
              <w:t>GEO CPM, Inc.</w:t>
            </w:r>
          </w:p>
        </w:tc>
        <w:tc>
          <w:tcPr>
            <w:tcW w:w="3180" w:type="dxa"/>
            <w:vAlign w:val="bottom"/>
            <w:gridSpan w:val="3"/>
          </w:tcPr>
          <w:p>
            <w:pPr>
              <w:ind w:left="2000"/>
              <w:spacing w:after="0"/>
              <w:rPr>
                <w:sz w:val="20"/>
                <w:szCs w:val="20"/>
                <w:color w:val="auto"/>
              </w:rPr>
            </w:pPr>
            <w:r>
              <w:rPr>
                <w:rFonts w:ascii="Times New Roman" w:cs="Times New Roman" w:eastAsia="Times New Roman" w:hAnsi="Times New Roman"/>
                <w:sz w:val="14"/>
                <w:szCs w:val="14"/>
                <w:color w:val="auto"/>
              </w:rPr>
              <w:t>Delaware</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47-3543394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GEO Holdings I, Inc.</w:t>
            </w:r>
          </w:p>
        </w:tc>
        <w:tc>
          <w:tcPr>
            <w:tcW w:w="3180" w:type="dxa"/>
            <w:vAlign w:val="bottom"/>
            <w:gridSpan w:val="3"/>
            <w:shd w:val="clear" w:color="auto" w:fill="CCEEFF"/>
          </w:tcPr>
          <w:p>
            <w:pPr>
              <w:ind w:left="2000"/>
              <w:spacing w:after="0"/>
              <w:rPr>
                <w:sz w:val="20"/>
                <w:szCs w:val="20"/>
                <w:color w:val="auto"/>
              </w:rPr>
            </w:pPr>
            <w:r>
              <w:rPr>
                <w:rFonts w:ascii="Times New Roman" w:cs="Times New Roman" w:eastAsia="Times New Roman" w:hAnsi="Times New Roman"/>
                <w:sz w:val="14"/>
                <w:szCs w:val="14"/>
                <w:color w:val="auto"/>
              </w:rPr>
              <w:t>Delaware</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56-2635779</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4"/>
                <w:szCs w:val="14"/>
                <w:color w:val="auto"/>
              </w:rPr>
              <w:t>GEO International Services, Inc.</w:t>
            </w:r>
          </w:p>
        </w:tc>
        <w:tc>
          <w:tcPr>
            <w:tcW w:w="3180" w:type="dxa"/>
            <w:vAlign w:val="bottom"/>
            <w:gridSpan w:val="3"/>
          </w:tcPr>
          <w:p>
            <w:pPr>
              <w:ind w:left="2000"/>
              <w:spacing w:after="0"/>
              <w:rPr>
                <w:sz w:val="20"/>
                <w:szCs w:val="20"/>
                <w:color w:val="auto"/>
              </w:rPr>
            </w:pPr>
            <w:r>
              <w:rPr>
                <w:rFonts w:ascii="Times New Roman" w:cs="Times New Roman" w:eastAsia="Times New Roman" w:hAnsi="Times New Roman"/>
                <w:sz w:val="14"/>
                <w:szCs w:val="14"/>
                <w:color w:val="auto"/>
              </w:rPr>
              <w:t>Delaware</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47-3510903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GEO Leasing, LLC</w:t>
            </w:r>
          </w:p>
        </w:tc>
        <w:tc>
          <w:tcPr>
            <w:tcW w:w="3180" w:type="dxa"/>
            <w:vAlign w:val="bottom"/>
            <w:gridSpan w:val="3"/>
            <w:shd w:val="clear" w:color="auto" w:fill="CCEEFF"/>
          </w:tcPr>
          <w:p>
            <w:pPr>
              <w:ind w:left="2000"/>
              <w:spacing w:after="0"/>
              <w:rPr>
                <w:sz w:val="20"/>
                <w:szCs w:val="20"/>
                <w:color w:val="auto"/>
              </w:rPr>
            </w:pPr>
            <w:r>
              <w:rPr>
                <w:rFonts w:ascii="Times New Roman" w:cs="Times New Roman" w:eastAsia="Times New Roman" w:hAnsi="Times New Roman"/>
                <w:sz w:val="14"/>
                <w:szCs w:val="14"/>
                <w:color w:val="auto"/>
              </w:rPr>
              <w:t>Florida</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46-1288456</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4"/>
                <w:szCs w:val="14"/>
                <w:color w:val="auto"/>
              </w:rPr>
              <w:t>GEO Management Services, Inc.</w:t>
            </w:r>
          </w:p>
        </w:tc>
        <w:tc>
          <w:tcPr>
            <w:tcW w:w="3180" w:type="dxa"/>
            <w:vAlign w:val="bottom"/>
            <w:gridSpan w:val="3"/>
          </w:tcPr>
          <w:p>
            <w:pPr>
              <w:ind w:left="2000"/>
              <w:spacing w:after="0"/>
              <w:rPr>
                <w:sz w:val="20"/>
                <w:szCs w:val="20"/>
                <w:color w:val="auto"/>
              </w:rPr>
            </w:pPr>
            <w:r>
              <w:rPr>
                <w:rFonts w:ascii="Times New Roman" w:cs="Times New Roman" w:eastAsia="Times New Roman" w:hAnsi="Times New Roman"/>
                <w:sz w:val="14"/>
                <w:szCs w:val="14"/>
                <w:color w:val="auto"/>
              </w:rPr>
              <w:t>Delaware</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47-3556698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66040</wp:posOffset>
            </wp:positionV>
            <wp:extent cx="606425"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6425" cy="6985"/>
                    </a:xfrm>
                    <a:prstGeom prst="rect">
                      <a:avLst/>
                    </a:prstGeom>
                    <a:noFill/>
                  </pic:spPr>
                </pic:pic>
              </a:graphicData>
            </a:graphic>
          </wp:anchor>
        </w:drawing>
      </w:r>
    </w:p>
    <w:p>
      <w:pPr>
        <w:spacing w:after="0" w:line="102" w:lineRule="exact"/>
        <w:rPr>
          <w:sz w:val="20"/>
          <w:szCs w:val="20"/>
          <w:color w:val="auto"/>
        </w:rPr>
      </w:pPr>
    </w:p>
    <w:p>
      <w:pPr>
        <w:ind w:left="460" w:right="239" w:hanging="333"/>
        <w:spacing w:after="0" w:line="232" w:lineRule="auto"/>
        <w:tabs>
          <w:tab w:leader="none" w:pos="460" w:val="left"/>
        </w:tabs>
        <w:numPr>
          <w:ilvl w:val="0"/>
          <w:numId w:val="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The legal name of this registrant is GEO Care, Inc., and it is referred to by that name throughout this registration statement. Because the name “GEO Care, Inc.” was already associated with another, unrelated filer’s CIK on the SEC’s EDGAR system, this registrant obtained its CIK and files under the EDGAR conformed name “GEO Care, Inc. /FL/.” The “/FL/” suffix, which refers to its Florida state of incorporation, is used only to distinguish the registrant on EDGAR and is not part of its legal name.</w:t>
      </w:r>
    </w:p>
    <w:p>
      <w:pPr>
        <w:sectPr>
          <w:pgSz w:w="11900" w:h="16838" w:orient="portrait"/>
          <w:cols w:equalWidth="0" w:num="1">
            <w:col w:w="9019"/>
          </w:cols>
          <w:pgMar w:left="1440" w:top="241" w:right="1440" w:bottom="1440" w:gutter="0" w:footer="0" w:header="0"/>
        </w:sectPr>
      </w:pPr>
    </w:p>
    <w:bookmarkStart w:id="2" w:name="page3"/>
    <w:bookmarkEnd w:id="2"/>
    <w:tbl>
      <w:tblPr>
        <w:tblLayout w:type="fixed"/>
        <w:tblInd w:w="12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46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State or Other</w:t>
            </w:r>
          </w:p>
        </w:tc>
        <w:tc>
          <w:tcPr>
            <w:tcW w:w="102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I.R.S.</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180" w:type="dxa"/>
            <w:vAlign w:val="bottom"/>
            <w:gridSpan w:val="2"/>
          </w:tcPr>
          <w:p>
            <w:pPr>
              <w:jc w:val="center"/>
              <w:ind w:right="100"/>
              <w:spacing w:after="0" w:line="118" w:lineRule="exact"/>
              <w:rPr>
                <w:sz w:val="20"/>
                <w:szCs w:val="20"/>
                <w:color w:val="auto"/>
              </w:rPr>
            </w:pPr>
            <w:r>
              <w:rPr>
                <w:rFonts w:ascii="Times New Roman" w:cs="Times New Roman" w:eastAsia="Times New Roman" w:hAnsi="Times New Roman"/>
                <w:sz w:val="11"/>
                <w:szCs w:val="11"/>
                <w:b w:val="1"/>
                <w:bCs w:val="1"/>
                <w:color w:val="auto"/>
              </w:rPr>
              <w:t>Jurisdiction of</w:t>
            </w:r>
          </w:p>
        </w:tc>
        <w:tc>
          <w:tcPr>
            <w:tcW w:w="1020" w:type="dxa"/>
            <w:vAlign w:val="bottom"/>
            <w:gridSpan w:val="2"/>
          </w:tcPr>
          <w:p>
            <w:pPr>
              <w:jc w:val="center"/>
              <w:ind w:right="60"/>
              <w:spacing w:after="0" w:line="118" w:lineRule="exact"/>
              <w:rPr>
                <w:sz w:val="20"/>
                <w:szCs w:val="20"/>
                <w:color w:val="auto"/>
              </w:rPr>
            </w:pPr>
            <w:r>
              <w:rPr>
                <w:rFonts w:ascii="Times New Roman" w:cs="Times New Roman" w:eastAsia="Times New Roman" w:hAnsi="Times New Roman"/>
                <w:sz w:val="11"/>
                <w:szCs w:val="11"/>
                <w:b w:val="1"/>
                <w:bCs w:val="1"/>
                <w:color w:val="auto"/>
              </w:rPr>
              <w:t>Employer</w:t>
            </w:r>
          </w:p>
        </w:tc>
        <w:tc>
          <w:tcPr>
            <w:tcW w:w="0" w:type="dxa"/>
            <w:vAlign w:val="bottom"/>
          </w:tcPr>
          <w:p>
            <w:pPr>
              <w:spacing w:after="0"/>
              <w:rPr>
                <w:sz w:val="1"/>
                <w:szCs w:val="1"/>
                <w:color w:val="auto"/>
              </w:rPr>
            </w:pPr>
          </w:p>
        </w:tc>
      </w:tr>
      <w:tr>
        <w:trPr>
          <w:trHeight w:val="118"/>
        </w:trPr>
        <w:tc>
          <w:tcPr>
            <w:tcW w:w="470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Exact Name of Subsidiary</w:t>
            </w:r>
          </w:p>
        </w:tc>
        <w:tc>
          <w:tcPr>
            <w:tcW w:w="1860" w:type="dxa"/>
            <w:vAlign w:val="bottom"/>
          </w:tcPr>
          <w:p>
            <w:pPr>
              <w:spacing w:after="0"/>
              <w:rPr>
                <w:sz w:val="10"/>
                <w:szCs w:val="10"/>
                <w:color w:val="auto"/>
              </w:rPr>
            </w:pPr>
          </w:p>
        </w:tc>
        <w:tc>
          <w:tcPr>
            <w:tcW w:w="1180" w:type="dxa"/>
            <w:vAlign w:val="bottom"/>
            <w:gridSpan w:val="2"/>
          </w:tcPr>
          <w:p>
            <w:pPr>
              <w:jc w:val="center"/>
              <w:ind w:right="80"/>
              <w:spacing w:after="0" w:line="118" w:lineRule="exact"/>
              <w:rPr>
                <w:sz w:val="20"/>
                <w:szCs w:val="20"/>
                <w:color w:val="auto"/>
              </w:rPr>
            </w:pPr>
            <w:r>
              <w:rPr>
                <w:rFonts w:ascii="Times New Roman" w:cs="Times New Roman" w:eastAsia="Times New Roman" w:hAnsi="Times New Roman"/>
                <w:sz w:val="11"/>
                <w:szCs w:val="11"/>
                <w:b w:val="1"/>
                <w:bCs w:val="1"/>
                <w:color w:val="auto"/>
              </w:rPr>
              <w:t>Incorporation or</w:t>
            </w:r>
          </w:p>
        </w:tc>
        <w:tc>
          <w:tcPr>
            <w:tcW w:w="1020" w:type="dxa"/>
            <w:vAlign w:val="bottom"/>
            <w:gridSpan w:val="2"/>
          </w:tcPr>
          <w:p>
            <w:pPr>
              <w:jc w:val="center"/>
              <w:ind w:right="80"/>
              <w:spacing w:after="0" w:line="118" w:lineRule="exact"/>
              <w:rPr>
                <w:sz w:val="20"/>
                <w:szCs w:val="20"/>
                <w:color w:val="auto"/>
              </w:rPr>
            </w:pPr>
            <w:r>
              <w:rPr>
                <w:rFonts w:ascii="Times New Roman" w:cs="Times New Roman" w:eastAsia="Times New Roman" w:hAnsi="Times New Roman"/>
                <w:sz w:val="11"/>
                <w:szCs w:val="11"/>
                <w:b w:val="1"/>
                <w:bCs w:val="1"/>
                <w:color w:val="auto"/>
              </w:rPr>
              <w:t>Identification</w:t>
            </w:r>
          </w:p>
        </w:tc>
        <w:tc>
          <w:tcPr>
            <w:tcW w:w="0" w:type="dxa"/>
            <w:vAlign w:val="bottom"/>
          </w:tcPr>
          <w:p>
            <w:pPr>
              <w:spacing w:after="0"/>
              <w:rPr>
                <w:sz w:val="1"/>
                <w:szCs w:val="1"/>
                <w:color w:val="auto"/>
              </w:rPr>
            </w:pPr>
          </w:p>
        </w:tc>
      </w:tr>
      <w:tr>
        <w:trPr>
          <w:trHeight w:val="137"/>
        </w:trPr>
        <w:tc>
          <w:tcPr>
            <w:tcW w:w="4700" w:type="dxa"/>
            <w:vAlign w:val="bottom"/>
            <w:gridSpan w:val="2"/>
            <w:vMerge w:val="continue"/>
          </w:tcPr>
          <w:p>
            <w:pPr>
              <w:spacing w:after="0"/>
              <w:rPr>
                <w:sz w:val="11"/>
                <w:szCs w:val="11"/>
                <w:color w:val="auto"/>
              </w:rPr>
            </w:pPr>
          </w:p>
        </w:tc>
        <w:tc>
          <w:tcPr>
            <w:tcW w:w="1860" w:type="dxa"/>
            <w:vAlign w:val="bottom"/>
          </w:tcPr>
          <w:p>
            <w:pPr>
              <w:spacing w:after="0"/>
              <w:rPr>
                <w:sz w:val="11"/>
                <w:szCs w:val="11"/>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Formation</w:t>
            </w:r>
          </w:p>
        </w:tc>
        <w:tc>
          <w:tcPr>
            <w:tcW w:w="102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GEO MCF LP, LLC</w:t>
            </w:r>
          </w:p>
        </w:tc>
        <w:tc>
          <w:tcPr>
            <w:tcW w:w="186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Delaware</w:t>
            </w:r>
          </w:p>
        </w:tc>
        <w:tc>
          <w:tcPr>
            <w:tcW w:w="8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4"/>
                <w:szCs w:val="14"/>
                <w:color w:val="auto"/>
              </w:rPr>
              <w:t>GEO RE Holdings LLC</w:t>
            </w:r>
          </w:p>
        </w:tc>
        <w:tc>
          <w:tcPr>
            <w:tcW w:w="3040" w:type="dxa"/>
            <w:vAlign w:val="bottom"/>
            <w:gridSpan w:val="3"/>
          </w:tcPr>
          <w:p>
            <w:pPr>
              <w:ind w:left="1860"/>
              <w:spacing w:after="0"/>
              <w:rPr>
                <w:sz w:val="20"/>
                <w:szCs w:val="20"/>
                <w:color w:val="auto"/>
              </w:rPr>
            </w:pPr>
            <w:r>
              <w:rPr>
                <w:rFonts w:ascii="Times New Roman" w:cs="Times New Roman" w:eastAsia="Times New Roman" w:hAnsi="Times New Roman"/>
                <w:sz w:val="14"/>
                <w:szCs w:val="14"/>
                <w:color w:val="auto"/>
              </w:rPr>
              <w:t>Delaware</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65-0853089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GEO Reentry of Alaska, Inc.</w:t>
            </w:r>
          </w:p>
        </w:tc>
        <w:tc>
          <w:tcPr>
            <w:tcW w:w="3040" w:type="dxa"/>
            <w:vAlign w:val="bottom"/>
            <w:gridSpan w:val="3"/>
            <w:shd w:val="clear" w:color="auto" w:fill="CCEEFF"/>
          </w:tcPr>
          <w:p>
            <w:pPr>
              <w:ind w:left="1860"/>
              <w:spacing w:after="0"/>
              <w:rPr>
                <w:sz w:val="20"/>
                <w:szCs w:val="20"/>
                <w:color w:val="auto"/>
              </w:rPr>
            </w:pPr>
            <w:r>
              <w:rPr>
                <w:rFonts w:ascii="Times New Roman" w:cs="Times New Roman" w:eastAsia="Times New Roman" w:hAnsi="Times New Roman"/>
                <w:sz w:val="14"/>
                <w:szCs w:val="14"/>
                <w:color w:val="auto"/>
              </w:rPr>
              <w:t>Alaska</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76-0578707</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4"/>
                <w:szCs w:val="14"/>
                <w:color w:val="auto"/>
              </w:rPr>
              <w:t>GEO Reentry Services, LLC</w:t>
            </w:r>
          </w:p>
        </w:tc>
        <w:tc>
          <w:tcPr>
            <w:tcW w:w="3040" w:type="dxa"/>
            <w:vAlign w:val="bottom"/>
            <w:gridSpan w:val="3"/>
          </w:tcPr>
          <w:p>
            <w:pPr>
              <w:ind w:left="1860"/>
              <w:spacing w:after="0"/>
              <w:rPr>
                <w:sz w:val="20"/>
                <w:szCs w:val="20"/>
                <w:color w:val="auto"/>
              </w:rPr>
            </w:pPr>
            <w:r>
              <w:rPr>
                <w:rFonts w:ascii="Times New Roman" w:cs="Times New Roman" w:eastAsia="Times New Roman" w:hAnsi="Times New Roman"/>
                <w:sz w:val="14"/>
                <w:szCs w:val="14"/>
                <w:color w:val="auto"/>
              </w:rPr>
              <w:t>Florida</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46-1260559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GEO Reentry, Inc.</w:t>
            </w:r>
          </w:p>
        </w:tc>
        <w:tc>
          <w:tcPr>
            <w:tcW w:w="3040" w:type="dxa"/>
            <w:vAlign w:val="bottom"/>
            <w:gridSpan w:val="3"/>
            <w:shd w:val="clear" w:color="auto" w:fill="CCEEFF"/>
          </w:tcPr>
          <w:p>
            <w:pPr>
              <w:ind w:left="1860"/>
              <w:spacing w:after="0"/>
              <w:rPr>
                <w:sz w:val="20"/>
                <w:szCs w:val="20"/>
                <w:color w:val="auto"/>
              </w:rPr>
            </w:pPr>
            <w:r>
              <w:rPr>
                <w:rFonts w:ascii="Times New Roman" w:cs="Times New Roman" w:eastAsia="Times New Roman" w:hAnsi="Times New Roman"/>
                <w:sz w:val="14"/>
                <w:szCs w:val="14"/>
                <w:color w:val="auto"/>
              </w:rPr>
              <w:t>Delaware</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47-3703578</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4"/>
                <w:szCs w:val="14"/>
                <w:color w:val="auto"/>
              </w:rPr>
              <w:t>GEO Secure Services, LLC</w:t>
            </w:r>
          </w:p>
        </w:tc>
        <w:tc>
          <w:tcPr>
            <w:tcW w:w="3040" w:type="dxa"/>
            <w:vAlign w:val="bottom"/>
            <w:gridSpan w:val="3"/>
          </w:tcPr>
          <w:p>
            <w:pPr>
              <w:ind w:left="1860"/>
              <w:spacing w:after="0"/>
              <w:rPr>
                <w:sz w:val="20"/>
                <w:szCs w:val="20"/>
                <w:color w:val="auto"/>
              </w:rPr>
            </w:pPr>
            <w:r>
              <w:rPr>
                <w:rFonts w:ascii="Times New Roman" w:cs="Times New Roman" w:eastAsia="Times New Roman" w:hAnsi="Times New Roman"/>
                <w:sz w:val="14"/>
                <w:szCs w:val="14"/>
                <w:color w:val="auto"/>
              </w:rPr>
              <w:t>Florida</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46-1258100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GEO Transport, Inc.</w:t>
            </w:r>
          </w:p>
        </w:tc>
        <w:tc>
          <w:tcPr>
            <w:tcW w:w="3040" w:type="dxa"/>
            <w:vAlign w:val="bottom"/>
            <w:gridSpan w:val="3"/>
            <w:shd w:val="clear" w:color="auto" w:fill="CCEEFF"/>
          </w:tcPr>
          <w:p>
            <w:pPr>
              <w:ind w:left="1860"/>
              <w:spacing w:after="0"/>
              <w:rPr>
                <w:sz w:val="20"/>
                <w:szCs w:val="20"/>
                <w:color w:val="auto"/>
              </w:rPr>
            </w:pPr>
            <w:r>
              <w:rPr>
                <w:rFonts w:ascii="Times New Roman" w:cs="Times New Roman" w:eastAsia="Times New Roman" w:hAnsi="Times New Roman"/>
                <w:sz w:val="14"/>
                <w:szCs w:val="14"/>
                <w:color w:val="auto"/>
              </w:rPr>
              <w:t>Florida</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56-2677868</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4"/>
                <w:szCs w:val="14"/>
                <w:color w:val="auto"/>
              </w:rPr>
              <w:t>GEO/DEL/R/02, Inc.</w:t>
            </w:r>
          </w:p>
        </w:tc>
        <w:tc>
          <w:tcPr>
            <w:tcW w:w="3040" w:type="dxa"/>
            <w:vAlign w:val="bottom"/>
            <w:gridSpan w:val="3"/>
          </w:tcPr>
          <w:p>
            <w:pPr>
              <w:ind w:left="1860"/>
              <w:spacing w:after="0"/>
              <w:rPr>
                <w:sz w:val="20"/>
                <w:szCs w:val="20"/>
                <w:color w:val="auto"/>
              </w:rPr>
            </w:pPr>
            <w:r>
              <w:rPr>
                <w:rFonts w:ascii="Times New Roman" w:cs="Times New Roman" w:eastAsia="Times New Roman" w:hAnsi="Times New Roman"/>
                <w:sz w:val="14"/>
                <w:szCs w:val="14"/>
                <w:color w:val="auto"/>
              </w:rPr>
              <w:t>Delaware</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GEO/DEL/T/02, Inc.</w:t>
            </w:r>
          </w:p>
        </w:tc>
        <w:tc>
          <w:tcPr>
            <w:tcW w:w="3040" w:type="dxa"/>
            <w:vAlign w:val="bottom"/>
            <w:gridSpan w:val="3"/>
            <w:shd w:val="clear" w:color="auto" w:fill="CCEEFF"/>
          </w:tcPr>
          <w:p>
            <w:pPr>
              <w:ind w:left="1860"/>
              <w:spacing w:after="0"/>
              <w:rPr>
                <w:sz w:val="20"/>
                <w:szCs w:val="20"/>
                <w:color w:val="auto"/>
              </w:rPr>
            </w:pPr>
            <w:r>
              <w:rPr>
                <w:rFonts w:ascii="Times New Roman" w:cs="Times New Roman" w:eastAsia="Times New Roman" w:hAnsi="Times New Roman"/>
                <w:sz w:val="14"/>
                <w:szCs w:val="14"/>
                <w:color w:val="auto"/>
              </w:rPr>
              <w:t>Delaware</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47-3516062</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4"/>
                <w:szCs w:val="14"/>
                <w:color w:val="auto"/>
              </w:rPr>
              <w:t>Highpoint Investments LLC</w:t>
            </w:r>
          </w:p>
        </w:tc>
        <w:tc>
          <w:tcPr>
            <w:tcW w:w="3040" w:type="dxa"/>
            <w:vAlign w:val="bottom"/>
            <w:gridSpan w:val="3"/>
          </w:tcPr>
          <w:p>
            <w:pPr>
              <w:ind w:left="1860"/>
              <w:spacing w:after="0"/>
              <w:rPr>
                <w:sz w:val="20"/>
                <w:szCs w:val="20"/>
                <w:color w:val="auto"/>
              </w:rPr>
            </w:pPr>
            <w:r>
              <w:rPr>
                <w:rFonts w:ascii="Times New Roman" w:cs="Times New Roman" w:eastAsia="Times New Roman" w:hAnsi="Times New Roman"/>
                <w:sz w:val="14"/>
                <w:szCs w:val="14"/>
                <w:color w:val="auto"/>
              </w:rPr>
              <w:t>Delaware</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MCF GP, LLC</w:t>
            </w:r>
          </w:p>
        </w:tc>
        <w:tc>
          <w:tcPr>
            <w:tcW w:w="3040" w:type="dxa"/>
            <w:vAlign w:val="bottom"/>
            <w:gridSpan w:val="3"/>
            <w:shd w:val="clear" w:color="auto" w:fill="CCEEFF"/>
          </w:tcPr>
          <w:p>
            <w:pPr>
              <w:ind w:left="1860"/>
              <w:spacing w:after="0"/>
              <w:rPr>
                <w:sz w:val="20"/>
                <w:szCs w:val="20"/>
                <w:color w:val="auto"/>
              </w:rPr>
            </w:pPr>
            <w:r>
              <w:rPr>
                <w:rFonts w:ascii="Times New Roman" w:cs="Times New Roman" w:eastAsia="Times New Roman" w:hAnsi="Times New Roman"/>
                <w:sz w:val="14"/>
                <w:szCs w:val="14"/>
                <w:color w:val="auto"/>
              </w:rPr>
              <w:t>Delaware</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4"/>
                <w:szCs w:val="14"/>
                <w:color w:val="auto"/>
              </w:rPr>
              <w:t>Minsec Companies, LLC</w:t>
            </w:r>
          </w:p>
        </w:tc>
        <w:tc>
          <w:tcPr>
            <w:tcW w:w="3040" w:type="dxa"/>
            <w:vAlign w:val="bottom"/>
            <w:gridSpan w:val="3"/>
          </w:tcPr>
          <w:p>
            <w:pPr>
              <w:ind w:left="1860"/>
              <w:spacing w:after="0"/>
              <w:rPr>
                <w:sz w:val="20"/>
                <w:szCs w:val="20"/>
                <w:color w:val="auto"/>
              </w:rPr>
            </w:pPr>
            <w:r>
              <w:rPr>
                <w:rFonts w:ascii="Times New Roman" w:cs="Times New Roman" w:eastAsia="Times New Roman" w:hAnsi="Times New Roman"/>
                <w:sz w:val="14"/>
                <w:szCs w:val="14"/>
                <w:color w:val="auto"/>
              </w:rPr>
              <w:t>Pennsylvania</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20-4798404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Minsec Treatment, LLC</w:t>
            </w:r>
          </w:p>
        </w:tc>
        <w:tc>
          <w:tcPr>
            <w:tcW w:w="3040" w:type="dxa"/>
            <w:vAlign w:val="bottom"/>
            <w:gridSpan w:val="3"/>
            <w:shd w:val="clear" w:color="auto" w:fill="CCEEFF"/>
          </w:tcPr>
          <w:p>
            <w:pPr>
              <w:ind w:left="1860"/>
              <w:spacing w:after="0"/>
              <w:rPr>
                <w:sz w:val="20"/>
                <w:szCs w:val="20"/>
                <w:color w:val="auto"/>
              </w:rPr>
            </w:pPr>
            <w:r>
              <w:rPr>
                <w:rFonts w:ascii="Times New Roman" w:cs="Times New Roman" w:eastAsia="Times New Roman" w:hAnsi="Times New Roman"/>
                <w:sz w:val="14"/>
                <w:szCs w:val="14"/>
                <w:color w:val="auto"/>
              </w:rPr>
              <w:t>Pennsylvania</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20-8432898</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4"/>
                <w:szCs w:val="14"/>
                <w:color w:val="auto"/>
              </w:rPr>
              <w:t>Municipal Corrections Finance, L.P.</w:t>
            </w:r>
          </w:p>
        </w:tc>
        <w:tc>
          <w:tcPr>
            <w:tcW w:w="3040" w:type="dxa"/>
            <w:vAlign w:val="bottom"/>
            <w:gridSpan w:val="3"/>
          </w:tcPr>
          <w:p>
            <w:pPr>
              <w:ind w:left="1860"/>
              <w:spacing w:after="0"/>
              <w:rPr>
                <w:sz w:val="20"/>
                <w:szCs w:val="20"/>
                <w:color w:val="auto"/>
              </w:rPr>
            </w:pPr>
            <w:r>
              <w:rPr>
                <w:rFonts w:ascii="Times New Roman" w:cs="Times New Roman" w:eastAsia="Times New Roman" w:hAnsi="Times New Roman"/>
                <w:sz w:val="14"/>
                <w:szCs w:val="14"/>
                <w:color w:val="auto"/>
              </w:rPr>
              <w:t>Delaware</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Protocol Criminal Justice, Inc.</w:t>
            </w:r>
          </w:p>
        </w:tc>
        <w:tc>
          <w:tcPr>
            <w:tcW w:w="3040" w:type="dxa"/>
            <w:vAlign w:val="bottom"/>
            <w:gridSpan w:val="3"/>
            <w:shd w:val="clear" w:color="auto" w:fill="CCEEFF"/>
          </w:tcPr>
          <w:p>
            <w:pPr>
              <w:ind w:left="1860"/>
              <w:spacing w:after="0"/>
              <w:rPr>
                <w:sz w:val="20"/>
                <w:szCs w:val="20"/>
                <w:color w:val="auto"/>
              </w:rPr>
            </w:pPr>
            <w:r>
              <w:rPr>
                <w:rFonts w:ascii="Times New Roman" w:cs="Times New Roman" w:eastAsia="Times New Roman" w:hAnsi="Times New Roman"/>
                <w:sz w:val="14"/>
                <w:szCs w:val="14"/>
                <w:color w:val="auto"/>
              </w:rPr>
              <w:t>Florida</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90-1031969</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4"/>
                <w:szCs w:val="14"/>
                <w:color w:val="auto"/>
              </w:rPr>
              <w:t>Public Properties Development and Leasing LLC</w:t>
            </w:r>
          </w:p>
        </w:tc>
        <w:tc>
          <w:tcPr>
            <w:tcW w:w="3040" w:type="dxa"/>
            <w:vAlign w:val="bottom"/>
            <w:gridSpan w:val="3"/>
          </w:tcPr>
          <w:p>
            <w:pPr>
              <w:ind w:left="1860"/>
              <w:spacing w:after="0"/>
              <w:rPr>
                <w:sz w:val="20"/>
                <w:szCs w:val="20"/>
                <w:color w:val="auto"/>
              </w:rPr>
            </w:pPr>
            <w:r>
              <w:rPr>
                <w:rFonts w:ascii="Times New Roman" w:cs="Times New Roman" w:eastAsia="Times New Roman" w:hAnsi="Times New Roman"/>
                <w:sz w:val="14"/>
                <w:szCs w:val="14"/>
                <w:color w:val="auto"/>
              </w:rPr>
              <w:t>Delaware</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SECON, Inc.</w:t>
            </w:r>
          </w:p>
        </w:tc>
        <w:tc>
          <w:tcPr>
            <w:tcW w:w="3040" w:type="dxa"/>
            <w:vAlign w:val="bottom"/>
            <w:gridSpan w:val="3"/>
            <w:shd w:val="clear" w:color="auto" w:fill="CCEEFF"/>
          </w:tcPr>
          <w:p>
            <w:pPr>
              <w:ind w:left="1860"/>
              <w:spacing w:after="0"/>
              <w:rPr>
                <w:sz w:val="20"/>
                <w:szCs w:val="20"/>
                <w:color w:val="auto"/>
              </w:rPr>
            </w:pPr>
            <w:r>
              <w:rPr>
                <w:rFonts w:ascii="Times New Roman" w:cs="Times New Roman" w:eastAsia="Times New Roman" w:hAnsi="Times New Roman"/>
                <w:sz w:val="14"/>
                <w:szCs w:val="14"/>
                <w:color w:val="auto"/>
              </w:rPr>
              <w:t>Massachusetts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04-3308048</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4"/>
                <w:szCs w:val="14"/>
                <w:color w:val="auto"/>
              </w:rPr>
              <w:t>WBP Leasing, LLC</w:t>
            </w:r>
          </w:p>
        </w:tc>
        <w:tc>
          <w:tcPr>
            <w:tcW w:w="3040" w:type="dxa"/>
            <w:vAlign w:val="bottom"/>
            <w:gridSpan w:val="3"/>
          </w:tcPr>
          <w:p>
            <w:pPr>
              <w:ind w:left="1860"/>
              <w:spacing w:after="0"/>
              <w:rPr>
                <w:sz w:val="20"/>
                <w:szCs w:val="20"/>
                <w:color w:val="auto"/>
              </w:rPr>
            </w:pPr>
            <w:r>
              <w:rPr>
                <w:rFonts w:ascii="Times New Roman" w:cs="Times New Roman" w:eastAsia="Times New Roman" w:hAnsi="Times New Roman"/>
                <w:sz w:val="14"/>
                <w:szCs w:val="14"/>
                <w:color w:val="auto"/>
              </w:rPr>
              <w:t>Delaware</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76-0546892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9630" cy="33020"/>
                    </a:xfrm>
                    <a:prstGeom prst="rect">
                      <a:avLst/>
                    </a:prstGeom>
                    <a:noFill/>
                  </pic:spPr>
                </pic:pic>
              </a:graphicData>
            </a:graphic>
          </wp:anchor>
        </w:drawing>
        <w:drawing>
          <wp:anchor simplePos="0" relativeHeight="251657728" behindDoc="1" locked="0" layoutInCell="0" allowOverlap="1">
            <wp:simplePos x="0" y="0"/>
            <wp:positionH relativeFrom="column">
              <wp:posOffset>83820</wp:posOffset>
            </wp:positionH>
            <wp:positionV relativeFrom="paragraph">
              <wp:posOffset>66040</wp:posOffset>
            </wp:positionV>
            <wp:extent cx="606425"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6425" cy="6985"/>
                    </a:xfrm>
                    <a:prstGeom prst="rect">
                      <a:avLst/>
                    </a:prstGeom>
                    <a:noFill/>
                  </pic:spPr>
                </pic:pic>
              </a:graphicData>
            </a:graphic>
          </wp:anchor>
        </w:drawing>
      </w:r>
    </w:p>
    <w:p>
      <w:pPr>
        <w:spacing w:after="0" w:line="1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Not applicable as these entities are disregarded for Federal Income Tax Purposes</w:t>
      </w:r>
    </w:p>
    <w:p>
      <w:pPr>
        <w:sectPr>
          <w:pgSz w:w="11900" w:h="16838" w:orient="portrait"/>
          <w:cols w:equalWidth="0" w:num="1">
            <w:col w:w="9019"/>
          </w:cols>
          <w:pgMar w:left="1440" w:top="230" w:right="1440"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972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9630" cy="497205"/>
                    </a:xfrm>
                    <a:prstGeom prst="rect">
                      <a:avLst/>
                    </a:prstGeom>
                    <a:noFill/>
                  </pic:spPr>
                </pic:pic>
              </a:graphicData>
            </a:graphic>
          </wp:anchor>
        </w:drawing>
        <w:t>Common Stock</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Preferred Stock</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Debt Securities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Guarantees of Debt Securities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Warrants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2277745</wp:posOffset>
            </wp:positionH>
            <wp:positionV relativeFrom="paragraph">
              <wp:posOffset>178435</wp:posOffset>
            </wp:positionV>
            <wp:extent cx="1165225"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65225" cy="698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120" w:right="359" w:firstLine="350"/>
        <w:spacing w:after="0" w:line="292" w:lineRule="auto"/>
        <w:rPr>
          <w:sz w:val="20"/>
          <w:szCs w:val="20"/>
          <w:color w:val="auto"/>
        </w:rPr>
      </w:pPr>
      <w:r>
        <w:rPr>
          <w:rFonts w:ascii="Times New Roman" w:cs="Times New Roman" w:eastAsia="Times New Roman" w:hAnsi="Times New Roman"/>
          <w:sz w:val="14"/>
          <w:szCs w:val="14"/>
          <w:color w:val="auto"/>
        </w:rPr>
        <w:t>We may offer common stock, preferred stock, debt securities, guarantees of debt securities, warrants and units from time to time in amounts, at prices and on terms that will be determined at the time of any such offering.</w:t>
      </w:r>
    </w:p>
    <w:p>
      <w:pPr>
        <w:spacing w:after="0" w:line="123" w:lineRule="exact"/>
        <w:rPr>
          <w:sz w:val="20"/>
          <w:szCs w:val="20"/>
          <w:color w:val="auto"/>
        </w:rPr>
      </w:pPr>
    </w:p>
    <w:p>
      <w:pPr>
        <w:ind w:left="120" w:right="239" w:firstLine="350"/>
        <w:spacing w:after="0" w:line="263" w:lineRule="auto"/>
        <w:rPr>
          <w:sz w:val="20"/>
          <w:szCs w:val="20"/>
          <w:color w:val="auto"/>
        </w:rPr>
      </w:pPr>
      <w:r>
        <w:rPr>
          <w:rFonts w:ascii="Times New Roman" w:cs="Times New Roman" w:eastAsia="Times New Roman" w:hAnsi="Times New Roman"/>
          <w:sz w:val="14"/>
          <w:szCs w:val="14"/>
          <w:color w:val="auto"/>
        </w:rPr>
        <w:t>This prospectus describes the general terms of these securities and the general manner in which we will offer the securities. The specific terms of any securities we offer will be included in a supplement to this prospectus. The prospectus supplement will also describe the specific manner in which we will offer the securities. The prospectus supplements may also add, update or change information contained in this prospectus. You should read this prospectus and any relevant prospectus supplement or free writing prospectus, as well as the documents incorporated or deemed to be incorporated by reference in this prospectus, carefully before you invest. This prospectus may not be used to sell securities unless accompanied by a prospectus supplement or free writing prospectus.</w:t>
      </w:r>
    </w:p>
    <w:p>
      <w:pPr>
        <w:spacing w:after="0" w:line="143" w:lineRule="exact"/>
        <w:rPr>
          <w:sz w:val="20"/>
          <w:szCs w:val="20"/>
          <w:color w:val="auto"/>
        </w:rPr>
      </w:pPr>
    </w:p>
    <w:p>
      <w:pPr>
        <w:ind w:left="120" w:right="319" w:firstLine="350"/>
        <w:spacing w:after="0" w:line="268" w:lineRule="auto"/>
        <w:rPr>
          <w:sz w:val="20"/>
          <w:szCs w:val="20"/>
          <w:color w:val="auto"/>
        </w:rPr>
      </w:pPr>
      <w:r>
        <w:rPr>
          <w:rFonts w:ascii="Times New Roman" w:cs="Times New Roman" w:eastAsia="Times New Roman" w:hAnsi="Times New Roman"/>
          <w:sz w:val="14"/>
          <w:szCs w:val="14"/>
          <w:color w:val="auto"/>
        </w:rPr>
        <w:t>Our common stock is listed on the New York Stock Exchange, or NYSE, under the symbol “GEO.” On October 29, 2026, the last reported sale price of our common stock on the NYSE was $28.54 per share. We will make application to list any shares of common stock sold pursuant to a supplement to this prospectus on the NYSE. We have not determined whether we will list any of the other securities we may offer on any exchange or over-the-counter market. If we decide to seek the listing of any securities, the supplement will disclose the exchange or market.</w:t>
      </w:r>
    </w:p>
    <w:p>
      <w:pPr>
        <w:spacing w:after="0" w:line="139" w:lineRule="exact"/>
        <w:rPr>
          <w:sz w:val="20"/>
          <w:szCs w:val="20"/>
          <w:color w:val="auto"/>
        </w:rPr>
      </w:pPr>
    </w:p>
    <w:p>
      <w:pPr>
        <w:ind w:left="120" w:right="199" w:firstLine="350"/>
        <w:spacing w:after="0" w:line="274" w:lineRule="auto"/>
        <w:rPr>
          <w:sz w:val="20"/>
          <w:szCs w:val="20"/>
          <w:color w:val="auto"/>
        </w:rPr>
      </w:pPr>
      <w:r>
        <w:rPr>
          <w:rFonts w:ascii="Times New Roman" w:cs="Times New Roman" w:eastAsia="Times New Roman" w:hAnsi="Times New Roman"/>
          <w:sz w:val="14"/>
          <w:szCs w:val="14"/>
          <w:color w:val="auto"/>
        </w:rPr>
        <w:t>We may offer securities through underwriting syndicates managed or co-managed by one or more underwriters, or directly to purchasers. The prospectus supplement or free writing prospectus for an offering of securities will describe in detail the plan of distribution for that offering. For general information about the distribution of securities offered, please see “Plan of Distribution” on page 21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2277745</wp:posOffset>
            </wp:positionH>
            <wp:positionV relativeFrom="paragraph">
              <wp:posOffset>170180</wp:posOffset>
            </wp:positionV>
            <wp:extent cx="1165225"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65225" cy="698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120" w:right="159" w:firstLine="350"/>
        <w:spacing w:after="0" w:line="256" w:lineRule="auto"/>
        <w:rPr>
          <w:sz w:val="20"/>
          <w:szCs w:val="20"/>
          <w:color w:val="auto"/>
        </w:rPr>
      </w:pPr>
      <w:r>
        <w:rPr>
          <w:rFonts w:ascii="Times New Roman" w:cs="Times New Roman" w:eastAsia="Times New Roman" w:hAnsi="Times New Roman"/>
          <w:sz w:val="17"/>
          <w:szCs w:val="17"/>
          <w:b w:val="1"/>
          <w:bCs w:val="1"/>
          <w:color w:val="auto"/>
        </w:rPr>
        <w:t>Investing in these securities involves risks. You should carefully consider the risks incorporated by reference under the “</w:t>
      </w:r>
      <w:r>
        <w:rPr>
          <w:rFonts w:ascii="Times New Roman" w:cs="Times New Roman" w:eastAsia="Times New Roman" w:hAnsi="Times New Roman"/>
          <w:sz w:val="17"/>
          <w:szCs w:val="17"/>
          <w:b w:val="1"/>
          <w:bCs w:val="1"/>
          <w:u w:val="single" w:color="auto"/>
          <w:color w:val="0000EE"/>
        </w:rPr>
        <w:t>Risk Factors</w:t>
      </w:r>
      <w:r>
        <w:rPr>
          <w:rFonts w:ascii="Times New Roman" w:cs="Times New Roman" w:eastAsia="Times New Roman" w:hAnsi="Times New Roman"/>
          <w:sz w:val="17"/>
          <w:szCs w:val="17"/>
          <w:b w:val="1"/>
          <w:bCs w:val="1"/>
          <w:color w:val="auto"/>
        </w:rPr>
        <w:t>” section of this prospectus on page 9, our filings with the Securities and Exchange Commission (“SEC”) and any applicable prospectus supplement.</w:t>
      </w:r>
    </w:p>
    <w:p>
      <w:pPr>
        <w:spacing w:after="0" w:line="134" w:lineRule="exact"/>
        <w:rPr>
          <w:sz w:val="20"/>
          <w:szCs w:val="20"/>
          <w:color w:val="auto"/>
        </w:rPr>
      </w:pPr>
    </w:p>
    <w:p>
      <w:pPr>
        <w:ind w:left="120" w:right="459" w:firstLine="350"/>
        <w:spacing w:after="0" w:line="295" w:lineRule="auto"/>
        <w:rPr>
          <w:sz w:val="20"/>
          <w:szCs w:val="20"/>
          <w:color w:val="auto"/>
        </w:rPr>
      </w:pPr>
      <w:r>
        <w:rPr>
          <w:rFonts w:ascii="Times New Roman" w:cs="Times New Roman" w:eastAsia="Times New Roman" w:hAnsi="Times New Roman"/>
          <w:sz w:val="14"/>
          <w:szCs w:val="14"/>
          <w:b w:val="1"/>
          <w:bCs w:val="1"/>
          <w:color w:val="auto"/>
        </w:rPr>
        <w:t>Neither the SEC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2277745</wp:posOffset>
            </wp:positionH>
            <wp:positionV relativeFrom="paragraph">
              <wp:posOffset>154305</wp:posOffset>
            </wp:positionV>
            <wp:extent cx="1165225"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65225" cy="6985"/>
                    </a:xfrm>
                    <a:prstGeom prst="rect">
                      <a:avLst/>
                    </a:prstGeom>
                    <a:noFill/>
                  </pic:spPr>
                </pic:pic>
              </a:graphicData>
            </a:graphic>
          </wp:anchor>
        </w:drawing>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The date of this prospectus is October 30, 2026.</w:t>
      </w:r>
    </w:p>
    <w:p>
      <w:pPr>
        <w:sectPr>
          <w:pgSz w:w="11900" w:h="16838" w:orient="portrait"/>
          <w:cols w:equalWidth="0" w:num="1">
            <w:col w:w="9019"/>
          </w:cols>
          <w:pgMar w:left="1440" w:top="1072" w:right="1440" w:bottom="1440" w:gutter="0" w:footer="0" w:header="0"/>
        </w:sectPr>
      </w:pPr>
    </w:p>
    <w:bookmarkStart w:id="4" w:name="page5"/>
    <w:bookmarkEnd w:id="4"/>
    <w:tbl>
      <w:tblPr>
        <w:tblLayout w:type="fixed"/>
        <w:tblInd w:w="120" w:type="dxa"/>
        <w:tblCellMar>
          <w:top w:w="0" w:type="dxa"/>
          <w:left w:w="0" w:type="dxa"/>
          <w:bottom w:w="0" w:type="dxa"/>
          <w:right w:w="0" w:type="dxa"/>
        </w:tblCellMar>
      </w:tblPr>
      <w:tr>
        <w:trPr>
          <w:trHeight w:val="187"/>
        </w:trPr>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82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1860" w:type="dxa"/>
            <w:vAlign w:val="bottom"/>
          </w:tcPr>
          <w:p>
            <w:pPr>
              <w:spacing w:after="0"/>
              <w:rPr>
                <w:sz w:val="16"/>
                <w:szCs w:val="16"/>
                <w:color w:val="auto"/>
              </w:rPr>
            </w:pPr>
          </w:p>
        </w:tc>
      </w:tr>
      <w:tr>
        <w:trPr>
          <w:trHeight w:val="334"/>
        </w:trPr>
        <w:tc>
          <w:tcPr>
            <w:tcW w:w="17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4"/>
                <w:szCs w:val="14"/>
                <w:color w:val="0000EE"/>
              </w:rPr>
              <w:t>ABOUT THIS PROSPECTUS</w:t>
            </w:r>
          </w:p>
        </w:tc>
        <w:tc>
          <w:tcPr>
            <w:tcW w:w="5080" w:type="dxa"/>
            <w:vAlign w:val="bottom"/>
            <w:gridSpan w:val="8"/>
          </w:tcPr>
          <w:p>
            <w:pPr>
              <w:spacing w:after="0"/>
              <w:rPr>
                <w:sz w:val="24"/>
                <w:szCs w:val="24"/>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52"/>
        </w:trPr>
        <w:tc>
          <w:tcPr>
            <w:tcW w:w="2340" w:type="dxa"/>
            <w:vAlign w:val="bottom"/>
            <w:tcBorders>
              <w:bottom w:val="single" w:sz="8" w:color="0000EE"/>
            </w:tcBorders>
            <w:gridSpan w:val="12"/>
          </w:tcPr>
          <w:p>
            <w:pPr>
              <w:spacing w:after="0" w:line="152" w:lineRule="exact"/>
              <w:rPr>
                <w:sz w:val="20"/>
                <w:szCs w:val="20"/>
                <w:color w:val="auto"/>
              </w:rPr>
            </w:pPr>
            <w:r>
              <w:rPr>
                <w:rFonts w:ascii="Times New Roman" w:cs="Times New Roman" w:eastAsia="Times New Roman" w:hAnsi="Times New Roman"/>
                <w:sz w:val="14"/>
                <w:szCs w:val="14"/>
                <w:color w:val="0000EE"/>
                <w:w w:val="99"/>
              </w:rPr>
              <w:t>FORWARD-LOOKING STATEMENTS</w:t>
            </w:r>
          </w:p>
        </w:tc>
        <w:tc>
          <w:tcPr>
            <w:tcW w:w="4520" w:type="dxa"/>
            <w:vAlign w:val="bottom"/>
            <w:gridSpan w:val="4"/>
          </w:tcPr>
          <w:p>
            <w:pPr>
              <w:spacing w:after="0"/>
              <w:rPr>
                <w:sz w:val="13"/>
                <w:szCs w:val="13"/>
                <w:color w:val="auto"/>
              </w:rPr>
            </w:pPr>
          </w:p>
        </w:tc>
        <w:tc>
          <w:tcPr>
            <w:tcW w:w="186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2</w:t>
            </w:r>
          </w:p>
        </w:tc>
      </w:tr>
      <w:tr>
        <w:trPr>
          <w:trHeight w:val="152"/>
        </w:trPr>
        <w:tc>
          <w:tcPr>
            <w:tcW w:w="6860" w:type="dxa"/>
            <w:vAlign w:val="bottom"/>
            <w:gridSpan w:val="16"/>
          </w:tcPr>
          <w:p>
            <w:pPr>
              <w:spacing w:after="0" w:line="152" w:lineRule="exact"/>
              <w:rPr>
                <w:sz w:val="20"/>
                <w:szCs w:val="20"/>
                <w:color w:val="auto"/>
              </w:rPr>
            </w:pPr>
            <w:r>
              <w:rPr>
                <w:rFonts w:ascii="Times New Roman" w:cs="Times New Roman" w:eastAsia="Times New Roman" w:hAnsi="Times New Roman"/>
                <w:sz w:val="14"/>
                <w:szCs w:val="14"/>
                <w:color w:val="0000EE"/>
              </w:rPr>
              <w:t>PROSPECTUS SUMMARY</w:t>
            </w:r>
          </w:p>
        </w:tc>
        <w:tc>
          <w:tcPr>
            <w:tcW w:w="186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7</w:t>
            </w:r>
          </w:p>
        </w:tc>
      </w:tr>
      <w:tr>
        <w:trPr>
          <w:trHeight w:val="152"/>
        </w:trPr>
        <w:tc>
          <w:tcPr>
            <w:tcW w:w="1000" w:type="dxa"/>
            <w:vAlign w:val="bottom"/>
            <w:tcBorders>
              <w:top w:val="single" w:sz="8" w:color="0000EE"/>
              <w:bottom w:val="single" w:sz="8" w:color="0000EE"/>
            </w:tcBorders>
            <w:gridSpan w:val="2"/>
          </w:tcPr>
          <w:p>
            <w:pPr>
              <w:spacing w:after="0" w:line="152" w:lineRule="exact"/>
              <w:rPr>
                <w:sz w:val="20"/>
                <w:szCs w:val="20"/>
                <w:color w:val="auto"/>
              </w:rPr>
            </w:pPr>
            <w:r>
              <w:rPr>
                <w:rFonts w:ascii="Times New Roman" w:cs="Times New Roman" w:eastAsia="Times New Roman" w:hAnsi="Times New Roman"/>
                <w:sz w:val="14"/>
                <w:szCs w:val="14"/>
                <w:color w:val="0000EE"/>
                <w:w w:val="99"/>
              </w:rPr>
              <w:t>RISK FACTORS</w:t>
            </w:r>
          </w:p>
        </w:tc>
        <w:tc>
          <w:tcPr>
            <w:tcW w:w="660" w:type="dxa"/>
            <w:vAlign w:val="bottom"/>
            <w:tcBorders>
              <w:top w:val="single" w:sz="8" w:color="0000EE"/>
            </w:tcBorders>
            <w:gridSpan w:val="5"/>
          </w:tcPr>
          <w:p>
            <w:pPr>
              <w:spacing w:after="0"/>
              <w:rPr>
                <w:sz w:val="13"/>
                <w:szCs w:val="13"/>
                <w:color w:val="auto"/>
              </w:rPr>
            </w:pPr>
          </w:p>
        </w:tc>
        <w:tc>
          <w:tcPr>
            <w:tcW w:w="5200" w:type="dxa"/>
            <w:vAlign w:val="bottom"/>
            <w:gridSpan w:val="9"/>
          </w:tcPr>
          <w:p>
            <w:pPr>
              <w:spacing w:after="0"/>
              <w:rPr>
                <w:sz w:val="13"/>
                <w:szCs w:val="13"/>
                <w:color w:val="auto"/>
              </w:rPr>
            </w:pPr>
          </w:p>
        </w:tc>
        <w:tc>
          <w:tcPr>
            <w:tcW w:w="186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9</w:t>
            </w:r>
          </w:p>
        </w:tc>
      </w:tr>
      <w:tr>
        <w:trPr>
          <w:trHeight w:val="152"/>
        </w:trPr>
        <w:tc>
          <w:tcPr>
            <w:tcW w:w="6860" w:type="dxa"/>
            <w:vAlign w:val="bottom"/>
            <w:gridSpan w:val="16"/>
          </w:tcPr>
          <w:p>
            <w:pPr>
              <w:spacing w:after="0" w:line="152" w:lineRule="exact"/>
              <w:rPr>
                <w:sz w:val="20"/>
                <w:szCs w:val="20"/>
                <w:color w:val="auto"/>
              </w:rPr>
            </w:pPr>
            <w:r>
              <w:rPr>
                <w:rFonts w:ascii="Times New Roman" w:cs="Times New Roman" w:eastAsia="Times New Roman" w:hAnsi="Times New Roman"/>
                <w:sz w:val="14"/>
                <w:szCs w:val="14"/>
                <w:color w:val="0000EE"/>
              </w:rPr>
              <w:t>SUPPLEMENTAL GUARANTOR FINANCIAL INFORMATION</w:t>
            </w:r>
          </w:p>
        </w:tc>
        <w:tc>
          <w:tcPr>
            <w:tcW w:w="186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10</w:t>
            </w:r>
          </w:p>
        </w:tc>
      </w:tr>
      <w:tr>
        <w:trPr>
          <w:trHeight w:val="152"/>
        </w:trPr>
        <w:tc>
          <w:tcPr>
            <w:tcW w:w="3860" w:type="dxa"/>
            <w:vAlign w:val="bottom"/>
            <w:tcBorders>
              <w:top w:val="single" w:sz="8" w:color="0000EE"/>
            </w:tcBorders>
            <w:gridSpan w:val="15"/>
          </w:tcPr>
          <w:p>
            <w:pPr>
              <w:spacing w:after="0" w:line="152" w:lineRule="exact"/>
              <w:rPr>
                <w:sz w:val="20"/>
                <w:szCs w:val="20"/>
                <w:color w:val="auto"/>
              </w:rPr>
            </w:pPr>
            <w:r>
              <w:rPr>
                <w:rFonts w:ascii="Times New Roman" w:cs="Times New Roman" w:eastAsia="Times New Roman" w:hAnsi="Times New Roman"/>
                <w:sz w:val="14"/>
                <w:szCs w:val="14"/>
                <w:color w:val="0000EE"/>
              </w:rPr>
              <w:t>USE OF PROCEEDS</w:t>
            </w:r>
          </w:p>
        </w:tc>
        <w:tc>
          <w:tcPr>
            <w:tcW w:w="3000" w:type="dxa"/>
            <w:vAlign w:val="bottom"/>
          </w:tcPr>
          <w:p>
            <w:pPr>
              <w:spacing w:after="0"/>
              <w:rPr>
                <w:sz w:val="13"/>
                <w:szCs w:val="13"/>
                <w:color w:val="auto"/>
              </w:rPr>
            </w:pPr>
          </w:p>
        </w:tc>
        <w:tc>
          <w:tcPr>
            <w:tcW w:w="186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12</w:t>
            </w:r>
          </w:p>
        </w:tc>
      </w:tr>
      <w:tr>
        <w:trPr>
          <w:trHeight w:val="20"/>
        </w:trPr>
        <w:tc>
          <w:tcPr>
            <w:tcW w:w="6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52"/>
        </w:trPr>
        <w:tc>
          <w:tcPr>
            <w:tcW w:w="6860" w:type="dxa"/>
            <w:vAlign w:val="bottom"/>
            <w:gridSpan w:val="16"/>
          </w:tcPr>
          <w:p>
            <w:pPr>
              <w:spacing w:after="0" w:line="152" w:lineRule="exact"/>
              <w:rPr>
                <w:sz w:val="20"/>
                <w:szCs w:val="20"/>
                <w:color w:val="auto"/>
              </w:rPr>
            </w:pPr>
            <w:r>
              <w:rPr>
                <w:rFonts w:ascii="Times New Roman" w:cs="Times New Roman" w:eastAsia="Times New Roman" w:hAnsi="Times New Roman"/>
                <w:sz w:val="14"/>
                <w:szCs w:val="14"/>
                <w:color w:val="0000EE"/>
              </w:rPr>
              <w:t>DESCRIPTION OF CAPITAL STOCK</w:t>
            </w:r>
          </w:p>
        </w:tc>
        <w:tc>
          <w:tcPr>
            <w:tcW w:w="186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13</w:t>
            </w:r>
          </w:p>
        </w:tc>
      </w:tr>
      <w:tr>
        <w:trPr>
          <w:trHeight w:val="20"/>
        </w:trPr>
        <w:tc>
          <w:tcPr>
            <w:tcW w:w="6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52"/>
        </w:trPr>
        <w:tc>
          <w:tcPr>
            <w:tcW w:w="6860" w:type="dxa"/>
            <w:vAlign w:val="bottom"/>
            <w:gridSpan w:val="16"/>
          </w:tcPr>
          <w:p>
            <w:pPr>
              <w:spacing w:after="0" w:line="152" w:lineRule="exact"/>
              <w:rPr>
                <w:sz w:val="20"/>
                <w:szCs w:val="20"/>
                <w:color w:val="auto"/>
              </w:rPr>
            </w:pPr>
            <w:r>
              <w:rPr>
                <w:rFonts w:ascii="Times New Roman" w:cs="Times New Roman" w:eastAsia="Times New Roman" w:hAnsi="Times New Roman"/>
                <w:sz w:val="14"/>
                <w:szCs w:val="14"/>
                <w:color w:val="0000EE"/>
              </w:rPr>
              <w:t>DESCRIPTION OF DEBT SECURITIES</w:t>
            </w:r>
          </w:p>
        </w:tc>
        <w:tc>
          <w:tcPr>
            <w:tcW w:w="186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15</w:t>
            </w:r>
          </w:p>
        </w:tc>
      </w:tr>
      <w:tr>
        <w:trPr>
          <w:trHeight w:val="152"/>
        </w:trPr>
        <w:tc>
          <w:tcPr>
            <w:tcW w:w="2400" w:type="dxa"/>
            <w:vAlign w:val="bottom"/>
            <w:tcBorders>
              <w:top w:val="single" w:sz="8" w:color="0000EE"/>
            </w:tcBorders>
            <w:gridSpan w:val="13"/>
          </w:tcPr>
          <w:p>
            <w:pPr>
              <w:spacing w:after="0" w:line="152" w:lineRule="exact"/>
              <w:rPr>
                <w:sz w:val="20"/>
                <w:szCs w:val="20"/>
                <w:color w:val="auto"/>
              </w:rPr>
            </w:pPr>
            <w:r>
              <w:rPr>
                <w:rFonts w:ascii="Times New Roman" w:cs="Times New Roman" w:eastAsia="Times New Roman" w:hAnsi="Times New Roman"/>
                <w:sz w:val="14"/>
                <w:szCs w:val="14"/>
                <w:color w:val="0000EE"/>
              </w:rPr>
              <w:t>DESCRIPTION OF GUARANTEES</w:t>
            </w:r>
          </w:p>
        </w:tc>
        <w:tc>
          <w:tcPr>
            <w:tcW w:w="4460" w:type="dxa"/>
            <w:vAlign w:val="bottom"/>
            <w:gridSpan w:val="3"/>
          </w:tcPr>
          <w:p>
            <w:pPr>
              <w:spacing w:after="0"/>
              <w:rPr>
                <w:sz w:val="13"/>
                <w:szCs w:val="13"/>
                <w:color w:val="auto"/>
              </w:rPr>
            </w:pPr>
          </w:p>
        </w:tc>
        <w:tc>
          <w:tcPr>
            <w:tcW w:w="186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18</w:t>
            </w:r>
          </w:p>
        </w:tc>
      </w:tr>
      <w:tr>
        <w:trPr>
          <w:trHeight w:val="152"/>
        </w:trPr>
        <w:tc>
          <w:tcPr>
            <w:tcW w:w="1980" w:type="dxa"/>
            <w:vAlign w:val="bottom"/>
            <w:tcBorders>
              <w:top w:val="single" w:sz="8" w:color="0000EE"/>
              <w:bottom w:val="single" w:sz="8" w:color="0000EE"/>
            </w:tcBorders>
            <w:gridSpan w:val="9"/>
          </w:tcPr>
          <w:p>
            <w:pPr>
              <w:spacing w:after="0" w:line="152" w:lineRule="exact"/>
              <w:rPr>
                <w:sz w:val="20"/>
                <w:szCs w:val="20"/>
                <w:color w:val="auto"/>
              </w:rPr>
            </w:pPr>
            <w:r>
              <w:rPr>
                <w:rFonts w:ascii="Times New Roman" w:cs="Times New Roman" w:eastAsia="Times New Roman" w:hAnsi="Times New Roman"/>
                <w:sz w:val="14"/>
                <w:szCs w:val="14"/>
                <w:color w:val="0000EE"/>
              </w:rPr>
              <w:t>DESCRIPTION OF WARRANTS</w:t>
            </w:r>
          </w:p>
        </w:tc>
        <w:tc>
          <w:tcPr>
            <w:tcW w:w="160" w:type="dxa"/>
            <w:vAlign w:val="bottom"/>
            <w:tcBorders>
              <w:top w:val="single" w:sz="8" w:color="0000EE"/>
            </w:tcBorders>
          </w:tcPr>
          <w:p>
            <w:pPr>
              <w:spacing w:after="0"/>
              <w:rPr>
                <w:sz w:val="13"/>
                <w:szCs w:val="13"/>
                <w:color w:val="auto"/>
              </w:rPr>
            </w:pPr>
          </w:p>
        </w:tc>
        <w:tc>
          <w:tcPr>
            <w:tcW w:w="4720" w:type="dxa"/>
            <w:vAlign w:val="bottom"/>
            <w:gridSpan w:val="6"/>
          </w:tcPr>
          <w:p>
            <w:pPr>
              <w:spacing w:after="0"/>
              <w:rPr>
                <w:sz w:val="13"/>
                <w:szCs w:val="13"/>
                <w:color w:val="auto"/>
              </w:rPr>
            </w:pPr>
          </w:p>
        </w:tc>
        <w:tc>
          <w:tcPr>
            <w:tcW w:w="186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19</w:t>
            </w:r>
          </w:p>
        </w:tc>
      </w:tr>
      <w:tr>
        <w:trPr>
          <w:trHeight w:val="152"/>
        </w:trPr>
        <w:tc>
          <w:tcPr>
            <w:tcW w:w="1620" w:type="dxa"/>
            <w:vAlign w:val="bottom"/>
            <w:tcBorders>
              <w:bottom w:val="single" w:sz="8" w:color="0000EE"/>
            </w:tcBorders>
            <w:gridSpan w:val="5"/>
          </w:tcPr>
          <w:p>
            <w:pPr>
              <w:spacing w:after="0" w:line="152" w:lineRule="exact"/>
              <w:rPr>
                <w:sz w:val="20"/>
                <w:szCs w:val="20"/>
                <w:color w:val="auto"/>
              </w:rPr>
            </w:pPr>
            <w:r>
              <w:rPr>
                <w:rFonts w:ascii="Times New Roman" w:cs="Times New Roman" w:eastAsia="Times New Roman" w:hAnsi="Times New Roman"/>
                <w:sz w:val="14"/>
                <w:szCs w:val="14"/>
                <w:color w:val="0000EE"/>
              </w:rPr>
              <w:t>DESCRIPTION OF UNITS</w:t>
            </w:r>
          </w:p>
        </w:tc>
        <w:tc>
          <w:tcPr>
            <w:tcW w:w="5240" w:type="dxa"/>
            <w:vAlign w:val="bottom"/>
            <w:gridSpan w:val="11"/>
          </w:tcPr>
          <w:p>
            <w:pPr>
              <w:spacing w:after="0"/>
              <w:rPr>
                <w:sz w:val="13"/>
                <w:szCs w:val="13"/>
                <w:color w:val="auto"/>
              </w:rPr>
            </w:pPr>
          </w:p>
        </w:tc>
        <w:tc>
          <w:tcPr>
            <w:tcW w:w="186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20</w:t>
            </w:r>
          </w:p>
        </w:tc>
      </w:tr>
      <w:tr>
        <w:trPr>
          <w:trHeight w:val="152"/>
        </w:trPr>
        <w:tc>
          <w:tcPr>
            <w:tcW w:w="1640" w:type="dxa"/>
            <w:vAlign w:val="bottom"/>
            <w:tcBorders>
              <w:bottom w:val="single" w:sz="8" w:color="0000EE"/>
            </w:tcBorders>
            <w:gridSpan w:val="6"/>
          </w:tcPr>
          <w:p>
            <w:pPr>
              <w:spacing w:after="0" w:line="152" w:lineRule="exact"/>
              <w:rPr>
                <w:sz w:val="20"/>
                <w:szCs w:val="20"/>
                <w:color w:val="auto"/>
              </w:rPr>
            </w:pPr>
            <w:r>
              <w:rPr>
                <w:rFonts w:ascii="Times New Roman" w:cs="Times New Roman" w:eastAsia="Times New Roman" w:hAnsi="Times New Roman"/>
                <w:sz w:val="14"/>
                <w:szCs w:val="14"/>
                <w:color w:val="0000EE"/>
              </w:rPr>
              <w:t>PLAN OF DISTRIBUTION</w:t>
            </w:r>
          </w:p>
        </w:tc>
        <w:tc>
          <w:tcPr>
            <w:tcW w:w="5220" w:type="dxa"/>
            <w:vAlign w:val="bottom"/>
            <w:gridSpan w:val="10"/>
          </w:tcPr>
          <w:p>
            <w:pPr>
              <w:spacing w:after="0"/>
              <w:rPr>
                <w:sz w:val="13"/>
                <w:szCs w:val="13"/>
                <w:color w:val="auto"/>
              </w:rPr>
            </w:pPr>
          </w:p>
        </w:tc>
        <w:tc>
          <w:tcPr>
            <w:tcW w:w="186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21</w:t>
            </w:r>
          </w:p>
        </w:tc>
      </w:tr>
      <w:tr>
        <w:trPr>
          <w:trHeight w:val="152"/>
        </w:trPr>
        <w:tc>
          <w:tcPr>
            <w:tcW w:w="6860" w:type="dxa"/>
            <w:vAlign w:val="bottom"/>
            <w:gridSpan w:val="16"/>
          </w:tcPr>
          <w:p>
            <w:pPr>
              <w:spacing w:after="0" w:line="152" w:lineRule="exact"/>
              <w:rPr>
                <w:sz w:val="20"/>
                <w:szCs w:val="20"/>
                <w:color w:val="auto"/>
              </w:rPr>
            </w:pPr>
            <w:r>
              <w:rPr>
                <w:rFonts w:ascii="Times New Roman" w:cs="Times New Roman" w:eastAsia="Times New Roman" w:hAnsi="Times New Roman"/>
                <w:sz w:val="14"/>
                <w:szCs w:val="14"/>
                <w:color w:val="0000EE"/>
              </w:rPr>
              <w:t>LEGAL MATTERS</w:t>
            </w:r>
          </w:p>
        </w:tc>
        <w:tc>
          <w:tcPr>
            <w:tcW w:w="186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24</w:t>
            </w:r>
          </w:p>
        </w:tc>
      </w:tr>
      <w:tr>
        <w:trPr>
          <w:trHeight w:val="152"/>
        </w:trPr>
        <w:tc>
          <w:tcPr>
            <w:tcW w:w="620" w:type="dxa"/>
            <w:vAlign w:val="bottom"/>
            <w:tcBorders>
              <w:top w:val="single" w:sz="8" w:color="0000EE"/>
              <w:bottom w:val="single" w:sz="8" w:color="0000EE"/>
            </w:tcBorders>
          </w:tcPr>
          <w:p>
            <w:pPr>
              <w:spacing w:after="0" w:line="152" w:lineRule="exact"/>
              <w:rPr>
                <w:sz w:val="20"/>
                <w:szCs w:val="20"/>
                <w:color w:val="auto"/>
              </w:rPr>
            </w:pPr>
            <w:r>
              <w:rPr>
                <w:rFonts w:ascii="Times New Roman" w:cs="Times New Roman" w:eastAsia="Times New Roman" w:hAnsi="Times New Roman"/>
                <w:sz w:val="14"/>
                <w:szCs w:val="14"/>
                <w:color w:val="0000EE"/>
                <w:w w:val="98"/>
              </w:rPr>
              <w:t>EXPERTS</w:t>
            </w:r>
          </w:p>
        </w:tc>
        <w:tc>
          <w:tcPr>
            <w:tcW w:w="540" w:type="dxa"/>
            <w:vAlign w:val="bottom"/>
            <w:tcBorders>
              <w:top w:val="single" w:sz="8" w:color="0000EE"/>
            </w:tcBorders>
            <w:gridSpan w:val="2"/>
          </w:tcPr>
          <w:p>
            <w:pPr>
              <w:spacing w:after="0"/>
              <w:rPr>
                <w:sz w:val="13"/>
                <w:szCs w:val="13"/>
                <w:color w:val="auto"/>
              </w:rPr>
            </w:pPr>
          </w:p>
        </w:tc>
        <w:tc>
          <w:tcPr>
            <w:tcW w:w="5700" w:type="dxa"/>
            <w:vAlign w:val="bottom"/>
            <w:gridSpan w:val="13"/>
          </w:tcPr>
          <w:p>
            <w:pPr>
              <w:spacing w:after="0"/>
              <w:rPr>
                <w:sz w:val="13"/>
                <w:szCs w:val="13"/>
                <w:color w:val="auto"/>
              </w:rPr>
            </w:pPr>
          </w:p>
        </w:tc>
        <w:tc>
          <w:tcPr>
            <w:tcW w:w="186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24</w:t>
            </w:r>
          </w:p>
        </w:tc>
      </w:tr>
      <w:tr>
        <w:trPr>
          <w:trHeight w:val="152"/>
        </w:trPr>
        <w:tc>
          <w:tcPr>
            <w:tcW w:w="3040" w:type="dxa"/>
            <w:vAlign w:val="bottom"/>
            <w:tcBorders>
              <w:bottom w:val="single" w:sz="8" w:color="0000EE"/>
            </w:tcBorders>
            <w:gridSpan w:val="14"/>
          </w:tcPr>
          <w:p>
            <w:pPr>
              <w:spacing w:after="0" w:line="152" w:lineRule="exact"/>
              <w:rPr>
                <w:sz w:val="20"/>
                <w:szCs w:val="20"/>
                <w:color w:val="auto"/>
              </w:rPr>
            </w:pPr>
            <w:r>
              <w:rPr>
                <w:rFonts w:ascii="Times New Roman" w:cs="Times New Roman" w:eastAsia="Times New Roman" w:hAnsi="Times New Roman"/>
                <w:sz w:val="14"/>
                <w:szCs w:val="14"/>
                <w:color w:val="0000EE"/>
              </w:rPr>
              <w:t>WHERE YOU CAN FIND MORE INFORMATION</w:t>
            </w:r>
          </w:p>
        </w:tc>
        <w:tc>
          <w:tcPr>
            <w:tcW w:w="3820" w:type="dxa"/>
            <w:vAlign w:val="bottom"/>
            <w:gridSpan w:val="2"/>
          </w:tcPr>
          <w:p>
            <w:pPr>
              <w:spacing w:after="0"/>
              <w:rPr>
                <w:sz w:val="13"/>
                <w:szCs w:val="13"/>
                <w:color w:val="auto"/>
              </w:rPr>
            </w:pPr>
          </w:p>
        </w:tc>
        <w:tc>
          <w:tcPr>
            <w:tcW w:w="186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25</w:t>
            </w:r>
          </w:p>
        </w:tc>
      </w:tr>
    </w:tbl>
    <w:p>
      <w:pPr>
        <w:spacing w:after="0" w:line="1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9630" cy="3302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9019"/>
          </w:cols>
          <w:pgMar w:left="1440" w:top="241" w:right="1440"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9630" cy="33020"/>
                    </a:xfrm>
                    <a:prstGeom prst="rect">
                      <a:avLst/>
                    </a:prstGeom>
                    <a:noFill/>
                  </pic:spPr>
                </pic:pic>
              </a:graphicData>
            </a:graphic>
          </wp:anchor>
        </w:drawing>
        <w:t>ABOUT THIS PROSPECTUS</w:t>
      </w:r>
    </w:p>
    <w:p>
      <w:pPr>
        <w:spacing w:after="0" w:line="184" w:lineRule="exact"/>
        <w:rPr>
          <w:sz w:val="20"/>
          <w:szCs w:val="20"/>
          <w:color w:val="auto"/>
        </w:rPr>
      </w:pPr>
    </w:p>
    <w:p>
      <w:pPr>
        <w:ind w:left="120" w:right="159" w:firstLine="350"/>
        <w:spacing w:after="0" w:line="261" w:lineRule="auto"/>
        <w:rPr>
          <w:sz w:val="20"/>
          <w:szCs w:val="20"/>
          <w:color w:val="auto"/>
        </w:rPr>
      </w:pPr>
      <w:r>
        <w:rPr>
          <w:rFonts w:ascii="Times New Roman" w:cs="Times New Roman" w:eastAsia="Times New Roman" w:hAnsi="Times New Roman"/>
          <w:sz w:val="14"/>
          <w:szCs w:val="14"/>
          <w:color w:val="auto"/>
        </w:rPr>
        <w:t>This prospectus is part of a Registration Statement on Form S-3 that we filed with the Securities and Exchange Commission, or the SEC, utilizing an “automatic shelf” registration process as a “well-known seasoned issuer,” as defined in Rule 405 under the Securities Act of 1933, as amended (the “Securities Act”). Under this shelf registration process, we may, from time to time, sell any combination of securities described in this prospectus in one or more offerings. This prospectus provides you with a general description of the securities we may offer. Each time we sell securities, we will provide a prospectus supplement that will contain specific information about the terms of that offering and the securities being offered. The prospectus supplement may also add, update or change information contained in this prospectus. You should read both this prospectus and any applicable prospectus supplement together with the additional information described below under the heading “Where You Can Find More Information.”</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this prospectus, unless the context otherwise requires or unless the applicable prospectus supplement otherwise indicates, all references to:</w:t>
      </w:r>
    </w:p>
    <w:p>
      <w:pPr>
        <w:spacing w:after="0" w:line="24" w:lineRule="exact"/>
        <w:rPr>
          <w:sz w:val="20"/>
          <w:szCs w:val="20"/>
          <w:color w:val="auto"/>
        </w:rPr>
      </w:pPr>
    </w:p>
    <w:p>
      <w:pPr>
        <w:ind w:left="120" w:right="139" w:firstLine="7"/>
        <w:spacing w:after="0" w:line="257" w:lineRule="auto"/>
        <w:tabs>
          <w:tab w:leader="none" w:pos="291"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“The GEO Group, Inc.,” “GEO,” “we,” “us” and “our” mean The GEO Group, Inc., a Florida corporation, and all entities owned or controlled by The GEO Group, Inc.; (ii) “securities” mean, collectively, shares of Common Stock, shares of Preferred Stock, Debt Securities, Guarantees of Debt Securities, Warrants and Units; (iii) “Common Stock” mean shares of common stock of the Company, par value $0.01 per share; (iv) “Preferred Stock” mean shares of preferred stock of the Company, par value $0.01 per share; (v) “Debt Securities” mean the debt securities of the Company that may be offered and sold pursuant to the registration statement to which this prospectus relates; (vi) “Guarantees of Debt Securities” mean the guarantees of debt securities that may be issued by the subsidiaries of the Company listed in the “Table of Additional Registrants”, (vii) “Warrants” mean warrants to purchase securities of the Company that may be offered and sold pursuant to the registration statement to which this prospectus relates and (viii) “Units” mean units consisting of one or more of our Common Stock, Preferred Stock, Debt Securities, Guarantees of Debt Securities or Warrants of the Company that may be offered and sold pursuant to the registration statement to which this prospectus relates.</w:t>
      </w:r>
    </w:p>
    <w:p>
      <w:pPr>
        <w:spacing w:after="0" w:line="151" w:lineRule="exact"/>
        <w:rPr>
          <w:sz w:val="20"/>
          <w:szCs w:val="20"/>
          <w:color w:val="auto"/>
        </w:rPr>
      </w:pPr>
    </w:p>
    <w:p>
      <w:pPr>
        <w:ind w:left="120" w:right="259" w:firstLine="350"/>
        <w:spacing w:after="0" w:line="274" w:lineRule="auto"/>
        <w:rPr>
          <w:sz w:val="20"/>
          <w:szCs w:val="20"/>
          <w:color w:val="auto"/>
        </w:rPr>
      </w:pPr>
      <w:r>
        <w:rPr>
          <w:rFonts w:ascii="Times New Roman" w:cs="Times New Roman" w:eastAsia="Times New Roman" w:hAnsi="Times New Roman"/>
          <w:sz w:val="14"/>
          <w:szCs w:val="14"/>
          <w:color w:val="auto"/>
        </w:rPr>
        <w:t>We prepare our financial statements in U.S. dollars and prepare our financial statements, including all of the financial statements incorporated by reference in this prospectus, in conformity with accounting principles generally accepted in the United States, or U.S. GAAP. Our fiscal year ends on December 31. In this prospectus, except where otherwise indicated, references to “$” or “dollars” are to the lawful currency of the United States.</w:t>
      </w:r>
    </w:p>
    <w:p>
      <w:pPr>
        <w:spacing w:after="0" w:line="135" w:lineRule="exact"/>
        <w:rPr>
          <w:sz w:val="20"/>
          <w:szCs w:val="20"/>
          <w:color w:val="auto"/>
        </w:rPr>
      </w:pPr>
    </w:p>
    <w:p>
      <w:pPr>
        <w:ind w:left="120" w:right="299" w:firstLine="350"/>
        <w:spacing w:after="0" w:line="268" w:lineRule="auto"/>
        <w:rPr>
          <w:sz w:val="20"/>
          <w:szCs w:val="20"/>
          <w:color w:val="auto"/>
        </w:rPr>
      </w:pPr>
      <w:r>
        <w:rPr>
          <w:rFonts w:ascii="Times New Roman" w:cs="Times New Roman" w:eastAsia="Times New Roman" w:hAnsi="Times New Roman"/>
          <w:sz w:val="14"/>
          <w:szCs w:val="14"/>
          <w:color w:val="auto"/>
        </w:rPr>
        <w:t>This prospectus contains summaries of certain provisions contained in some of the documents described herein. Please refer to the actual documents for complete information. All of the summaries are qualified in their entirety by the actual documents. Copies of the documents referred to herein have been filed or will be filed or incorporated by reference as exhibits to the registration statement of which this prospectus is a part, and you may obtain copies of those documents as described below under “Where You Can Find More Information.”</w:t>
      </w:r>
    </w:p>
    <w:p>
      <w:pPr>
        <w:spacing w:after="0" w:line="139" w:lineRule="exact"/>
        <w:rPr>
          <w:sz w:val="20"/>
          <w:szCs w:val="20"/>
          <w:color w:val="auto"/>
        </w:rPr>
      </w:pPr>
    </w:p>
    <w:p>
      <w:pPr>
        <w:ind w:left="120" w:right="179" w:firstLine="350"/>
        <w:spacing w:after="0" w:line="261" w:lineRule="auto"/>
        <w:rPr>
          <w:sz w:val="20"/>
          <w:szCs w:val="20"/>
          <w:color w:val="auto"/>
        </w:rPr>
      </w:pPr>
      <w:r>
        <w:rPr>
          <w:rFonts w:ascii="Times New Roman" w:cs="Times New Roman" w:eastAsia="Times New Roman" w:hAnsi="Times New Roman"/>
          <w:sz w:val="14"/>
          <w:szCs w:val="14"/>
          <w:color w:val="auto"/>
        </w:rPr>
        <w:t>We have not authorized any person to provide you with any information other than that contained in or incorporated by reference into this prospectus or any prospectus supplement or that is contained in any free writing prospectus issued by us. We take no responsibility for, and can provide no assurances as to the reliability of, any other information that others may give you. The distribution of this prospectus and sale of the securities in certain jurisdictions may be restricted by law. Persons in possession of this prospectus are required to inform themselves about and observe any such restrictions. We are only offering the securities in states where offers are permitted. You should assume that the information appearing in this prospectus or in any prospectus supplement is accurate as of the date on the front cover of those documents only. Our business, financial condition, results of operations and prospects may have changed since that date.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9019"/>
          </w:cols>
          <w:pgMar w:left="1440" w:top="241" w:right="1440"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9630" cy="33020"/>
                    </a:xfrm>
                    <a:prstGeom prst="rect">
                      <a:avLst/>
                    </a:prstGeom>
                    <a:noFill/>
                  </pic:spPr>
                </pic:pic>
              </a:graphicData>
            </a:graphic>
          </wp:anchor>
        </w:drawing>
        <w:t>FORWARD-LOOKING STATEMENTS</w:t>
      </w:r>
    </w:p>
    <w:p>
      <w:pPr>
        <w:spacing w:after="0" w:line="184" w:lineRule="exact"/>
        <w:rPr>
          <w:sz w:val="20"/>
          <w:szCs w:val="20"/>
          <w:color w:val="auto"/>
        </w:rPr>
      </w:pPr>
    </w:p>
    <w:p>
      <w:pPr>
        <w:ind w:left="120" w:right="159" w:firstLine="350"/>
        <w:spacing w:after="0" w:line="259" w:lineRule="auto"/>
        <w:rPr>
          <w:sz w:val="20"/>
          <w:szCs w:val="20"/>
          <w:color w:val="auto"/>
        </w:rPr>
      </w:pPr>
      <w:r>
        <w:rPr>
          <w:rFonts w:ascii="Times New Roman" w:cs="Times New Roman" w:eastAsia="Times New Roman" w:hAnsi="Times New Roman"/>
          <w:sz w:val="14"/>
          <w:szCs w:val="14"/>
          <w:color w:val="auto"/>
        </w:rPr>
        <w:t>Certain statements in this prospectus constitute “forward-looking statements” within the meaning of the Private Securities Litigation Reform Act of 1995. This prospectus and the documents incorporated by reference herein contain “forward-looking” statements. “Forward-looking” statements are any statements that are not based on historical information. All statements other than statements of historical facts included in this prospectus and the applicable prospectus supplement, including, without limitation, statements regarding our future financial position, business strategy, budgets, projected costs and plans and objectives of management for future operations, legal proceedings and potential steps to address our future debt maturities, are “forward-looking” statements. Forward-looking statements generally can be identified by the use of forward-looking terminology such as “may,” “will,” “expect,” “anticipate,” “intend,” “plan,” “believe,” “seek,” “estimate” or “continue” or the negative of such words or variations of such words and similar expressions. These statements are not guarantees of future performance and involve certain risks, uncertainties and assumptions, which are difficult to predict. Therefore, actual outcomes and results may differ materially from what is expressed or forecasted in such forward-looking statements and we can give no assurance that such forward-looking statements will prove to be correct. Important factors that could cause actual results to differ materially from those expressed or implied by the forward-looking statements, or “cautionary statements,” include, but are not limited to:</w:t>
      </w:r>
    </w:p>
    <w:p>
      <w:pPr>
        <w:spacing w:after="0" w:line="74" w:lineRule="exact"/>
        <w:rPr>
          <w:sz w:val="20"/>
          <w:szCs w:val="20"/>
          <w:color w:val="auto"/>
        </w:rPr>
      </w:pPr>
    </w:p>
    <w:p>
      <w:pPr>
        <w:ind w:left="900" w:hanging="344"/>
        <w:spacing w:after="0"/>
        <w:tabs>
          <w:tab w:leader="none" w:pos="9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adverse impact on our financial results caused by the most recent and any future federal government shutdown;</w:t>
      </w:r>
    </w:p>
    <w:p>
      <w:pPr>
        <w:spacing w:after="0" w:line="107" w:lineRule="exact"/>
        <w:rPr>
          <w:rFonts w:ascii="Times New Roman" w:cs="Times New Roman" w:eastAsia="Times New Roman" w:hAnsi="Times New Roman"/>
          <w:sz w:val="14"/>
          <w:szCs w:val="14"/>
          <w:color w:val="auto"/>
        </w:rPr>
      </w:pPr>
    </w:p>
    <w:p>
      <w:pPr>
        <w:ind w:left="900" w:right="339" w:hanging="344"/>
        <w:spacing w:after="0" w:line="292" w:lineRule="auto"/>
        <w:tabs>
          <w:tab w:leader="none" w:pos="9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timely build and/or open facilities as planned, successfully manage such facilities and successfully integrate such facilities into our operations without substantial additional costs;</w:t>
      </w:r>
    </w:p>
    <w:p>
      <w:pPr>
        <w:spacing w:after="0" w:line="48" w:lineRule="exact"/>
        <w:rPr>
          <w:rFonts w:ascii="Times New Roman" w:cs="Times New Roman" w:eastAsia="Times New Roman" w:hAnsi="Times New Roman"/>
          <w:sz w:val="14"/>
          <w:szCs w:val="14"/>
          <w:color w:val="auto"/>
        </w:rPr>
      </w:pPr>
    </w:p>
    <w:p>
      <w:pPr>
        <w:ind w:left="900" w:right="659" w:hanging="344"/>
        <w:spacing w:after="0" w:line="292" w:lineRule="auto"/>
        <w:tabs>
          <w:tab w:leader="none" w:pos="9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estimate the government’s level of utilization of public-private partnerships for secure services and the impact of any modifications or reductions by our government customers of their utilization of public-private partnerships;</w:t>
      </w:r>
    </w:p>
    <w:p>
      <w:pPr>
        <w:spacing w:after="0" w:line="48" w:lineRule="exact"/>
        <w:rPr>
          <w:rFonts w:ascii="Times New Roman" w:cs="Times New Roman" w:eastAsia="Times New Roman" w:hAnsi="Times New Roman"/>
          <w:sz w:val="14"/>
          <w:szCs w:val="14"/>
          <w:color w:val="auto"/>
        </w:rPr>
      </w:pPr>
    </w:p>
    <w:p>
      <w:pPr>
        <w:ind w:left="900" w:right="339" w:hanging="344"/>
        <w:spacing w:after="0" w:line="292" w:lineRule="auto"/>
        <w:tabs>
          <w:tab w:leader="none" w:pos="9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accurately project the size and growth of public-private partnerships for secure services in the U.S. and internationally and our ability to capitalize on opportunities for public-private partnerships;</w:t>
      </w:r>
    </w:p>
    <w:p>
      <w:pPr>
        <w:spacing w:after="0" w:line="48" w:lineRule="exact"/>
        <w:rPr>
          <w:rFonts w:ascii="Times New Roman" w:cs="Times New Roman" w:eastAsia="Times New Roman" w:hAnsi="Times New Roman"/>
          <w:sz w:val="14"/>
          <w:szCs w:val="14"/>
          <w:color w:val="auto"/>
        </w:rPr>
      </w:pPr>
    </w:p>
    <w:p>
      <w:pPr>
        <w:ind w:left="900" w:right="159" w:hanging="344"/>
        <w:spacing w:after="0" w:line="274" w:lineRule="auto"/>
        <w:tabs>
          <w:tab w:leader="none" w:pos="9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respond to any challenges or concerns that our government customers may raise regarding their use of public-private partnerships for secure services, including finding other government customers or alternative uses for facilities where a government customer has discontinued or announced that a contract with us will be discontinued;</w:t>
      </w:r>
    </w:p>
    <w:p>
      <w:pPr>
        <w:spacing w:after="0" w:line="60" w:lineRule="exact"/>
        <w:rPr>
          <w:rFonts w:ascii="Times New Roman" w:cs="Times New Roman" w:eastAsia="Times New Roman" w:hAnsi="Times New Roman"/>
          <w:sz w:val="14"/>
          <w:szCs w:val="14"/>
          <w:color w:val="auto"/>
        </w:rPr>
      </w:pPr>
    </w:p>
    <w:p>
      <w:pPr>
        <w:ind w:left="900" w:right="339" w:hanging="344"/>
        <w:spacing w:after="0" w:line="274" w:lineRule="auto"/>
        <w:tabs>
          <w:tab w:leader="none" w:pos="9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adopted or proposed executive action or legislation aimed at limiting public-private partnerships for secure facilities, processing centers and community reentry centers or limiting or restricting the business and operations of financial institutions or others who do business with us;</w:t>
      </w:r>
    </w:p>
    <w:p>
      <w:pPr>
        <w:spacing w:after="0" w:line="60" w:lineRule="exact"/>
        <w:rPr>
          <w:rFonts w:ascii="Times New Roman" w:cs="Times New Roman" w:eastAsia="Times New Roman" w:hAnsi="Times New Roman"/>
          <w:sz w:val="14"/>
          <w:szCs w:val="14"/>
          <w:color w:val="auto"/>
        </w:rPr>
      </w:pPr>
    </w:p>
    <w:p>
      <w:pPr>
        <w:ind w:left="900" w:right="159" w:hanging="344"/>
        <w:spacing w:after="0" w:line="292" w:lineRule="auto"/>
        <w:tabs>
          <w:tab w:leader="none" w:pos="9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respond to delays encountered by states pursuing public-private partnerships for secure services and cost savings initiatives implemented by a number of states;</w:t>
      </w:r>
    </w:p>
    <w:p>
      <w:pPr>
        <w:spacing w:after="0" w:line="48" w:lineRule="exact"/>
        <w:rPr>
          <w:rFonts w:ascii="Times New Roman" w:cs="Times New Roman" w:eastAsia="Times New Roman" w:hAnsi="Times New Roman"/>
          <w:sz w:val="14"/>
          <w:szCs w:val="14"/>
          <w:color w:val="auto"/>
        </w:rPr>
      </w:pPr>
    </w:p>
    <w:p>
      <w:pPr>
        <w:ind w:left="900" w:hanging="344"/>
        <w:spacing w:after="0"/>
        <w:tabs>
          <w:tab w:leader="none" w:pos="9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activate the inactive beds at our idle facilities;</w:t>
      </w:r>
    </w:p>
    <w:p>
      <w:pPr>
        <w:spacing w:after="0" w:line="107" w:lineRule="exact"/>
        <w:rPr>
          <w:rFonts w:ascii="Times New Roman" w:cs="Times New Roman" w:eastAsia="Times New Roman" w:hAnsi="Times New Roman"/>
          <w:sz w:val="14"/>
          <w:szCs w:val="14"/>
          <w:color w:val="auto"/>
        </w:rPr>
      </w:pPr>
    </w:p>
    <w:p>
      <w:pPr>
        <w:ind w:left="900" w:right="219" w:hanging="344"/>
        <w:spacing w:after="0" w:line="292" w:lineRule="auto"/>
        <w:tabs>
          <w:tab w:leader="none" w:pos="9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or increase occupancy rates at our facilities and the impact of fluctuations in occupancy levels or participants in the Intensive Supervision Appearance Program (“ISAP”) on our revenues and profitability;</w:t>
      </w:r>
    </w:p>
    <w:p>
      <w:pPr>
        <w:spacing w:after="0" w:line="48" w:lineRule="exact"/>
        <w:rPr>
          <w:rFonts w:ascii="Times New Roman" w:cs="Times New Roman" w:eastAsia="Times New Roman" w:hAnsi="Times New Roman"/>
          <w:sz w:val="14"/>
          <w:szCs w:val="14"/>
          <w:color w:val="auto"/>
        </w:rPr>
      </w:pPr>
    </w:p>
    <w:p>
      <w:pPr>
        <w:ind w:left="900" w:right="439" w:hanging="344"/>
        <w:spacing w:after="0" w:line="292" w:lineRule="auto"/>
        <w:tabs>
          <w:tab w:leader="none" w:pos="9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expand, diversify and grow our secure services, reentry, community-based services, monitoring services, evidence-based supervision and treatment programs and secure transportation services businesses;</w:t>
      </w:r>
    </w:p>
    <w:p>
      <w:pPr>
        <w:spacing w:after="0" w:line="48" w:lineRule="exact"/>
        <w:rPr>
          <w:rFonts w:ascii="Times New Roman" w:cs="Times New Roman" w:eastAsia="Times New Roman" w:hAnsi="Times New Roman"/>
          <w:sz w:val="14"/>
          <w:szCs w:val="14"/>
          <w:color w:val="auto"/>
        </w:rPr>
      </w:pPr>
    </w:p>
    <w:p>
      <w:pPr>
        <w:ind w:left="900" w:right="399" w:hanging="344"/>
        <w:spacing w:after="0" w:line="274" w:lineRule="auto"/>
        <w:tabs>
          <w:tab w:leader="none" w:pos="9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win management contracts for which we have submitted proposals, retain existing management contracts, prevail in any challenge or protest involving the award of a management contract and meet any performance standards required by such management contracts;</w:t>
      </w:r>
    </w:p>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41" w:right="1440" w:bottom="1440" w:gutter="0" w:footer="0" w:header="0"/>
        </w:sectPr>
      </w:pPr>
    </w:p>
    <w:bookmarkStart w:id="7" w:name="page8"/>
    <w:bookmarkEnd w:id="7"/>
    <w:p>
      <w:pPr>
        <w:ind w:left="900" w:right="719" w:hanging="344"/>
        <w:spacing w:after="0" w:line="292" w:lineRule="auto"/>
        <w:tabs>
          <w:tab w:leader="none" w:pos="9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9630" cy="33020"/>
                    </a:xfrm>
                    <a:prstGeom prst="rect">
                      <a:avLst/>
                    </a:prstGeom>
                    <a:noFill/>
                  </pic:spPr>
                </pic:pic>
              </a:graphicData>
            </a:graphic>
          </wp:anchor>
        </w:drawing>
        <w:t>our ability to raise new project development capital given the often short-term nature of the customers’ commitment to use newly developed facilities;</w:t>
      </w:r>
    </w:p>
    <w:p>
      <w:pPr>
        <w:spacing w:after="0" w:line="48" w:lineRule="exact"/>
        <w:rPr>
          <w:rFonts w:ascii="Times New Roman" w:cs="Times New Roman" w:eastAsia="Times New Roman" w:hAnsi="Times New Roman"/>
          <w:sz w:val="14"/>
          <w:szCs w:val="14"/>
          <w:color w:val="auto"/>
        </w:rPr>
      </w:pPr>
    </w:p>
    <w:p>
      <w:pPr>
        <w:ind w:left="900" w:hanging="344"/>
        <w:spacing w:after="0"/>
        <w:tabs>
          <w:tab w:leader="none" w:pos="9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develop long-term earnings visibility;</w:t>
      </w:r>
    </w:p>
    <w:p>
      <w:pPr>
        <w:spacing w:after="0" w:line="107" w:lineRule="exact"/>
        <w:rPr>
          <w:rFonts w:ascii="Times New Roman" w:cs="Times New Roman" w:eastAsia="Times New Roman" w:hAnsi="Times New Roman"/>
          <w:sz w:val="14"/>
          <w:szCs w:val="14"/>
          <w:color w:val="auto"/>
        </w:rPr>
      </w:pPr>
    </w:p>
    <w:p>
      <w:pPr>
        <w:ind w:left="900" w:hanging="344"/>
        <w:spacing w:after="0"/>
        <w:tabs>
          <w:tab w:leader="none" w:pos="9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conduct our operations in the United Kingdom and South Africa through joint ventures;</w:t>
      </w:r>
    </w:p>
    <w:p>
      <w:pPr>
        <w:spacing w:after="0" w:line="107" w:lineRule="exact"/>
        <w:rPr>
          <w:rFonts w:ascii="Times New Roman" w:cs="Times New Roman" w:eastAsia="Times New Roman" w:hAnsi="Times New Roman"/>
          <w:sz w:val="14"/>
          <w:szCs w:val="14"/>
          <w:color w:val="auto"/>
        </w:rPr>
      </w:pPr>
    </w:p>
    <w:p>
      <w:pPr>
        <w:ind w:left="900" w:right="599" w:hanging="344"/>
        <w:spacing w:after="0" w:line="292" w:lineRule="auto"/>
        <w:tabs>
          <w:tab w:leader="none" w:pos="9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instability of foreign exchange rates, exposing us to currency risks in Australia, the United Kingdom, and South Africa, or other countries in which we may choose to conduct our business;</w:t>
      </w:r>
    </w:p>
    <w:p>
      <w:pPr>
        <w:spacing w:after="0" w:line="48" w:lineRule="exact"/>
        <w:rPr>
          <w:rFonts w:ascii="Times New Roman" w:cs="Times New Roman" w:eastAsia="Times New Roman" w:hAnsi="Times New Roman"/>
          <w:sz w:val="14"/>
          <w:szCs w:val="14"/>
          <w:color w:val="auto"/>
        </w:rPr>
      </w:pPr>
    </w:p>
    <w:p>
      <w:pPr>
        <w:ind w:left="900" w:hanging="344"/>
        <w:spacing w:after="0"/>
        <w:tabs>
          <w:tab w:leader="none" w:pos="9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unreimbursed labor rates;</w:t>
      </w:r>
    </w:p>
    <w:p>
      <w:pPr>
        <w:spacing w:after="0" w:line="107" w:lineRule="exact"/>
        <w:rPr>
          <w:rFonts w:ascii="Times New Roman" w:cs="Times New Roman" w:eastAsia="Times New Roman" w:hAnsi="Times New Roman"/>
          <w:sz w:val="14"/>
          <w:szCs w:val="14"/>
          <w:color w:val="auto"/>
        </w:rPr>
      </w:pPr>
    </w:p>
    <w:p>
      <w:pPr>
        <w:ind w:left="900" w:hanging="344"/>
        <w:spacing w:after="0"/>
        <w:tabs>
          <w:tab w:leader="none" w:pos="9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exposure to rising medical costs;</w:t>
      </w:r>
    </w:p>
    <w:p>
      <w:pPr>
        <w:spacing w:after="0" w:line="107" w:lineRule="exact"/>
        <w:rPr>
          <w:rFonts w:ascii="Times New Roman" w:cs="Times New Roman" w:eastAsia="Times New Roman" w:hAnsi="Times New Roman"/>
          <w:sz w:val="14"/>
          <w:szCs w:val="14"/>
          <w:color w:val="auto"/>
        </w:rPr>
      </w:pPr>
    </w:p>
    <w:p>
      <w:pPr>
        <w:ind w:left="900" w:hanging="344"/>
        <w:spacing w:after="0"/>
        <w:tabs>
          <w:tab w:leader="none" w:pos="9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manage costs and expenses relating to ongoing litigation arising from our operations;</w:t>
      </w:r>
    </w:p>
    <w:p>
      <w:pPr>
        <w:spacing w:after="0" w:line="107" w:lineRule="exact"/>
        <w:rPr>
          <w:rFonts w:ascii="Times New Roman" w:cs="Times New Roman" w:eastAsia="Times New Roman" w:hAnsi="Times New Roman"/>
          <w:sz w:val="14"/>
          <w:szCs w:val="14"/>
          <w:color w:val="auto"/>
        </w:rPr>
      </w:pPr>
    </w:p>
    <w:p>
      <w:pPr>
        <w:jc w:val="both"/>
        <w:ind w:left="900" w:right="219" w:hanging="344"/>
        <w:spacing w:after="0" w:line="274" w:lineRule="auto"/>
        <w:tabs>
          <w:tab w:leader="none" w:pos="9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risks associated with the U.S. Supreme Court agreeing to hear our appeal in the Nwauzor case and our ability to prevail on the merits, our company being required to record an additional accrual for the judgments in the future, and our ability to defend similar other pending litigation and the effect such litigation may have on our company;</w:t>
      </w:r>
    </w:p>
    <w:p>
      <w:pPr>
        <w:spacing w:after="0" w:line="60" w:lineRule="exact"/>
        <w:rPr>
          <w:rFonts w:ascii="Times New Roman" w:cs="Times New Roman" w:eastAsia="Times New Roman" w:hAnsi="Times New Roman"/>
          <w:sz w:val="14"/>
          <w:szCs w:val="14"/>
          <w:color w:val="auto"/>
        </w:rPr>
      </w:pPr>
    </w:p>
    <w:p>
      <w:pPr>
        <w:ind w:left="900" w:right="539" w:hanging="344"/>
        <w:spacing w:after="0" w:line="292" w:lineRule="auto"/>
        <w:tabs>
          <w:tab w:leader="none" w:pos="9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accurately estimate on an annual basis, loss reserves related to general liability, workers’ compensation and automobile liability claims;</w:t>
      </w:r>
    </w:p>
    <w:p>
      <w:pPr>
        <w:spacing w:after="0" w:line="48" w:lineRule="exact"/>
        <w:rPr>
          <w:rFonts w:ascii="Times New Roman" w:cs="Times New Roman" w:eastAsia="Times New Roman" w:hAnsi="Times New Roman"/>
          <w:sz w:val="14"/>
          <w:szCs w:val="14"/>
          <w:color w:val="auto"/>
        </w:rPr>
      </w:pPr>
    </w:p>
    <w:p>
      <w:pPr>
        <w:ind w:left="900" w:hanging="344"/>
        <w:spacing w:after="0"/>
        <w:tabs>
          <w:tab w:leader="none" w:pos="9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fulfill our debt service obligations and its impact on our liquidity;</w:t>
      </w:r>
    </w:p>
    <w:p>
      <w:pPr>
        <w:spacing w:after="0" w:line="107" w:lineRule="exact"/>
        <w:rPr>
          <w:rFonts w:ascii="Times New Roman" w:cs="Times New Roman" w:eastAsia="Times New Roman" w:hAnsi="Times New Roman"/>
          <w:sz w:val="14"/>
          <w:szCs w:val="14"/>
          <w:color w:val="auto"/>
        </w:rPr>
      </w:pPr>
    </w:p>
    <w:p>
      <w:pPr>
        <w:ind w:left="900" w:hanging="344"/>
        <w:spacing w:after="0"/>
        <w:tabs>
          <w:tab w:leader="none" w:pos="9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deleverage and repay, refinance or otherwise address our debt maturities in an amount or on the timeline we expect, or at all;</w:t>
      </w:r>
    </w:p>
    <w:p>
      <w:pPr>
        <w:spacing w:after="0" w:line="107" w:lineRule="exact"/>
        <w:rPr>
          <w:rFonts w:ascii="Times New Roman" w:cs="Times New Roman" w:eastAsia="Times New Roman" w:hAnsi="Times New Roman"/>
          <w:sz w:val="14"/>
          <w:szCs w:val="14"/>
          <w:color w:val="auto"/>
        </w:rPr>
      </w:pPr>
    </w:p>
    <w:p>
      <w:pPr>
        <w:ind w:left="900" w:right="719" w:hanging="344"/>
        <w:spacing w:after="0" w:line="292" w:lineRule="auto"/>
        <w:tabs>
          <w:tab w:leader="none" w:pos="9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despite current indebtedness levels, we may still incur more indebtedness, which could further exacerbate the risks relating to our indebtedness;</w:t>
      </w:r>
    </w:p>
    <w:p>
      <w:pPr>
        <w:spacing w:after="0" w:line="48" w:lineRule="exact"/>
        <w:rPr>
          <w:rFonts w:ascii="Times New Roman" w:cs="Times New Roman" w:eastAsia="Times New Roman" w:hAnsi="Times New Roman"/>
          <w:sz w:val="14"/>
          <w:szCs w:val="14"/>
          <w:color w:val="auto"/>
        </w:rPr>
      </w:pPr>
    </w:p>
    <w:p>
      <w:pPr>
        <w:ind w:left="900" w:right="279" w:hanging="344"/>
        <w:spacing w:after="0" w:line="292" w:lineRule="auto"/>
        <w:tabs>
          <w:tab w:leader="none" w:pos="9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covenants in the indenture governing the 10.250% Senior Notes due 2031 (the “Unsecured Notes”) and the Credit Agreement impose significant operating and financial restrictions which may adversely affect our ability to operate our business;</w:t>
      </w:r>
    </w:p>
    <w:p>
      <w:pPr>
        <w:spacing w:after="0" w:line="48" w:lineRule="exact"/>
        <w:rPr>
          <w:rFonts w:ascii="Times New Roman" w:cs="Times New Roman" w:eastAsia="Times New Roman" w:hAnsi="Times New Roman"/>
          <w:sz w:val="14"/>
          <w:szCs w:val="14"/>
          <w:color w:val="auto"/>
        </w:rPr>
      </w:pPr>
    </w:p>
    <w:p>
      <w:pPr>
        <w:ind w:left="900" w:right="279" w:hanging="344"/>
        <w:spacing w:after="0" w:line="292" w:lineRule="auto"/>
        <w:tabs>
          <w:tab w:leader="none" w:pos="9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servicing our indebtedness will require a significant amount of cash and our ability to generate cash depends on many factors beyond our control and we may not be able to generate the cash required to service our indebtedness;</w:t>
      </w:r>
    </w:p>
    <w:p>
      <w:pPr>
        <w:spacing w:after="0" w:line="48" w:lineRule="exact"/>
        <w:rPr>
          <w:rFonts w:ascii="Times New Roman" w:cs="Times New Roman" w:eastAsia="Times New Roman" w:hAnsi="Times New Roman"/>
          <w:sz w:val="14"/>
          <w:szCs w:val="14"/>
          <w:color w:val="auto"/>
        </w:rPr>
      </w:pPr>
    </w:p>
    <w:p>
      <w:pPr>
        <w:ind w:left="900" w:hanging="344"/>
        <w:spacing w:after="0"/>
        <w:tabs>
          <w:tab w:leader="none" w:pos="9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because portions of our senior indebtedness have floating interest rates, an increase in interest rates would adversely affect cash flows;</w:t>
      </w:r>
    </w:p>
    <w:p>
      <w:pPr>
        <w:spacing w:after="0" w:line="107" w:lineRule="exact"/>
        <w:rPr>
          <w:rFonts w:ascii="Times New Roman" w:cs="Times New Roman" w:eastAsia="Times New Roman" w:hAnsi="Times New Roman"/>
          <w:sz w:val="14"/>
          <w:szCs w:val="14"/>
          <w:color w:val="auto"/>
        </w:rPr>
      </w:pPr>
    </w:p>
    <w:p>
      <w:pPr>
        <w:ind w:left="900" w:hanging="344"/>
        <w:spacing w:after="0"/>
        <w:tabs>
          <w:tab w:leader="none" w:pos="9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depend on distributions from our subsidiaries to make payments on our indebtedness and these distributions may not be made;</w:t>
      </w:r>
    </w:p>
    <w:p>
      <w:pPr>
        <w:spacing w:after="0" w:line="107" w:lineRule="exact"/>
        <w:rPr>
          <w:rFonts w:ascii="Times New Roman" w:cs="Times New Roman" w:eastAsia="Times New Roman" w:hAnsi="Times New Roman"/>
          <w:sz w:val="14"/>
          <w:szCs w:val="14"/>
          <w:color w:val="auto"/>
        </w:rPr>
      </w:pPr>
    </w:p>
    <w:p>
      <w:pPr>
        <w:ind w:left="900" w:right="279" w:hanging="344"/>
        <w:spacing w:after="0" w:line="292" w:lineRule="auto"/>
        <w:tabs>
          <w:tab w:leader="none" w:pos="9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able to satisfy our repurchase obligations in the event of a change of control because the terms of our indebtedness or lack of funds may prevent us from doing so;</w:t>
      </w:r>
    </w:p>
    <w:p>
      <w:pPr>
        <w:spacing w:after="0" w:line="48" w:lineRule="exact"/>
        <w:rPr>
          <w:rFonts w:ascii="Times New Roman" w:cs="Times New Roman" w:eastAsia="Times New Roman" w:hAnsi="Times New Roman"/>
          <w:sz w:val="14"/>
          <w:szCs w:val="14"/>
          <w:color w:val="auto"/>
        </w:rPr>
      </w:pPr>
    </w:p>
    <w:p>
      <w:pPr>
        <w:ind w:left="900" w:right="159" w:hanging="344"/>
        <w:spacing w:after="0" w:line="292" w:lineRule="auto"/>
        <w:tabs>
          <w:tab w:leader="none" w:pos="9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Unsecured Notes and the guarantees thereof will be effectively subordinated to our and the guarantors’ senior secured indebtedness and structurally subordinated to the indebtedness of our subsidiaries that do not guarantee such notes;</w:t>
      </w:r>
    </w:p>
    <w:p>
      <w:pPr>
        <w:spacing w:after="0" w:line="48" w:lineRule="exact"/>
        <w:rPr>
          <w:rFonts w:ascii="Times New Roman" w:cs="Times New Roman" w:eastAsia="Times New Roman" w:hAnsi="Times New Roman"/>
          <w:sz w:val="14"/>
          <w:szCs w:val="14"/>
          <w:color w:val="auto"/>
        </w:rPr>
      </w:pPr>
    </w:p>
    <w:p>
      <w:pPr>
        <w:ind w:left="900" w:right="199" w:hanging="344"/>
        <w:spacing w:after="0" w:line="292" w:lineRule="auto"/>
        <w:tabs>
          <w:tab w:leader="none" w:pos="9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identify and successfully complete any potential acquisitions of assets and businesses or sales of Company-owned assets and businesses, including the potential sale of multiple facilities to ICE, on commercially advantageous terms on a timely basis, or at all;</w:t>
      </w:r>
    </w:p>
    <w:p>
      <w:pPr>
        <w:spacing w:after="0" w:line="48" w:lineRule="exact"/>
        <w:rPr>
          <w:rFonts w:ascii="Times New Roman" w:cs="Times New Roman" w:eastAsia="Times New Roman" w:hAnsi="Times New Roman"/>
          <w:sz w:val="14"/>
          <w:szCs w:val="14"/>
          <w:color w:val="auto"/>
        </w:rPr>
      </w:pPr>
    </w:p>
    <w:p>
      <w:pPr>
        <w:jc w:val="both"/>
        <w:ind w:left="900" w:right="239" w:hanging="344"/>
        <w:spacing w:after="0" w:line="274" w:lineRule="auto"/>
        <w:tabs>
          <w:tab w:leader="none" w:pos="9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from time to time, we may not have a management contract with a client to operate existing beds at a facility or new beds at a facility that we are expanding, and we cannot assure you that such a contract will be obtained. Failure to obtain a management contract for these beds will subject us to carrying costs with no corresponding management revenue;</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43" w:right="1440" w:bottom="1440" w:gutter="0" w:footer="0" w:header="0"/>
        </w:sectPr>
      </w:pPr>
    </w:p>
    <w:bookmarkStart w:id="8" w:name="page9"/>
    <w:bookmarkEnd w:id="8"/>
    <w:p>
      <w:pPr>
        <w:ind w:left="900" w:right="439" w:hanging="344"/>
        <w:spacing w:after="0" w:line="292" w:lineRule="auto"/>
        <w:tabs>
          <w:tab w:leader="none" w:pos="9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9630" cy="33020"/>
                    </a:xfrm>
                    <a:prstGeom prst="rect">
                      <a:avLst/>
                    </a:prstGeom>
                    <a:noFill/>
                  </pic:spPr>
                </pic:pic>
              </a:graphicData>
            </a:graphic>
          </wp:anchor>
        </w:drawing>
        <w:t>negative conditions in the capital markets could prevent us from obtaining future financing on desirable terms, which could materially harm our business;</w:t>
      </w:r>
    </w:p>
    <w:p>
      <w:pPr>
        <w:spacing w:after="0" w:line="48" w:lineRule="exact"/>
        <w:rPr>
          <w:rFonts w:ascii="Times New Roman" w:cs="Times New Roman" w:eastAsia="Times New Roman" w:hAnsi="Times New Roman"/>
          <w:sz w:val="14"/>
          <w:szCs w:val="14"/>
          <w:color w:val="auto"/>
        </w:rPr>
      </w:pPr>
    </w:p>
    <w:p>
      <w:pPr>
        <w:jc w:val="both"/>
        <w:ind w:left="900" w:right="159" w:hanging="344"/>
        <w:spacing w:after="0" w:line="274" w:lineRule="auto"/>
        <w:tabs>
          <w:tab w:leader="none" w:pos="9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subject to the loss of our facility management contracts, due to executive orders, terminations, non-renewals or competitive re-bids, which could adversely affect our results of operations and liquidity, including our ability to secure new facility management contracts from other government customers;</w:t>
      </w:r>
    </w:p>
    <w:p>
      <w:pPr>
        <w:spacing w:after="0" w:line="60" w:lineRule="exact"/>
        <w:rPr>
          <w:rFonts w:ascii="Times New Roman" w:cs="Times New Roman" w:eastAsia="Times New Roman" w:hAnsi="Times New Roman"/>
          <w:sz w:val="14"/>
          <w:szCs w:val="14"/>
          <w:color w:val="auto"/>
        </w:rPr>
      </w:pPr>
    </w:p>
    <w:p>
      <w:pPr>
        <w:ind w:left="900" w:right="339" w:hanging="344"/>
        <w:spacing w:after="0" w:line="274" w:lineRule="auto"/>
        <w:tabs>
          <w:tab w:leader="none" w:pos="9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growth depends on our ability to secure contracts to develop and manage new secure facilities, processing centers and community-based facilities and to secure contracts to provide electronic monitoring services, community-based reentry services and monitoring and supervision services, the demand for which is outside our control;</w:t>
      </w:r>
    </w:p>
    <w:p>
      <w:pPr>
        <w:spacing w:after="0" w:line="60" w:lineRule="exact"/>
        <w:rPr>
          <w:rFonts w:ascii="Times New Roman" w:cs="Times New Roman" w:eastAsia="Times New Roman" w:hAnsi="Times New Roman"/>
          <w:sz w:val="14"/>
          <w:szCs w:val="14"/>
          <w:color w:val="auto"/>
        </w:rPr>
      </w:pPr>
    </w:p>
    <w:p>
      <w:pPr>
        <w:ind w:left="900" w:right="459" w:hanging="344"/>
        <w:spacing w:after="0" w:line="292" w:lineRule="auto"/>
        <w:tabs>
          <w:tab w:leader="none" w:pos="9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able to meet state requirements for capital investment or locate land for the development of new facilities, which could adversely affect our results of operations and future growth;</w:t>
      </w:r>
    </w:p>
    <w:p>
      <w:pPr>
        <w:spacing w:after="0" w:line="48" w:lineRule="exact"/>
        <w:rPr>
          <w:rFonts w:ascii="Times New Roman" w:cs="Times New Roman" w:eastAsia="Times New Roman" w:hAnsi="Times New Roman"/>
          <w:sz w:val="14"/>
          <w:szCs w:val="14"/>
          <w:color w:val="auto"/>
        </w:rPr>
      </w:pPr>
    </w:p>
    <w:p>
      <w:pPr>
        <w:ind w:left="900" w:right="539" w:hanging="344"/>
        <w:spacing w:after="0" w:line="292" w:lineRule="auto"/>
        <w:tabs>
          <w:tab w:leader="none" w:pos="9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partner with a limited number of governmental customers who account for a significant portion of our revenues. The loss of, or a significant decrease in revenues from, these customers could seriously harm our financial condition and results of operations;</w:t>
      </w:r>
    </w:p>
    <w:p>
      <w:pPr>
        <w:spacing w:after="0" w:line="48" w:lineRule="exact"/>
        <w:rPr>
          <w:rFonts w:ascii="Times New Roman" w:cs="Times New Roman" w:eastAsia="Times New Roman" w:hAnsi="Times New Roman"/>
          <w:sz w:val="14"/>
          <w:szCs w:val="14"/>
          <w:color w:val="auto"/>
        </w:rPr>
      </w:pPr>
    </w:p>
    <w:p>
      <w:pPr>
        <w:ind w:left="900" w:hanging="344"/>
        <w:spacing w:after="0"/>
        <w:tabs>
          <w:tab w:leader="none" w:pos="9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efforts to reduce the U.S. federal deficit could adversely affect our liquidity, results of operations and financial condition;</w:t>
      </w:r>
    </w:p>
    <w:p>
      <w:pPr>
        <w:spacing w:after="0" w:line="107" w:lineRule="exact"/>
        <w:rPr>
          <w:rFonts w:ascii="Times New Roman" w:cs="Times New Roman" w:eastAsia="Times New Roman" w:hAnsi="Times New Roman"/>
          <w:sz w:val="14"/>
          <w:szCs w:val="14"/>
          <w:color w:val="auto"/>
        </w:rPr>
      </w:pPr>
    </w:p>
    <w:p>
      <w:pPr>
        <w:ind w:left="900" w:hanging="344"/>
        <w:spacing w:after="0"/>
        <w:tabs>
          <w:tab w:leader="none" w:pos="9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State budgetary constraints may have a material adverse impact on us;</w:t>
      </w:r>
    </w:p>
    <w:p>
      <w:pPr>
        <w:spacing w:after="0" w:line="107" w:lineRule="exact"/>
        <w:rPr>
          <w:rFonts w:ascii="Times New Roman" w:cs="Times New Roman" w:eastAsia="Times New Roman" w:hAnsi="Times New Roman"/>
          <w:sz w:val="14"/>
          <w:szCs w:val="14"/>
          <w:color w:val="auto"/>
        </w:rPr>
      </w:pPr>
    </w:p>
    <w:p>
      <w:pPr>
        <w:ind w:left="900" w:hanging="344"/>
        <w:spacing w:after="0"/>
        <w:tabs>
          <w:tab w:leader="none" w:pos="9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competition for contracts may adversely affect the profitability of our business;</w:t>
      </w:r>
    </w:p>
    <w:p>
      <w:pPr>
        <w:spacing w:after="0" w:line="107" w:lineRule="exact"/>
        <w:rPr>
          <w:rFonts w:ascii="Times New Roman" w:cs="Times New Roman" w:eastAsia="Times New Roman" w:hAnsi="Times New Roman"/>
          <w:sz w:val="14"/>
          <w:szCs w:val="14"/>
          <w:color w:val="auto"/>
        </w:rPr>
      </w:pPr>
    </w:p>
    <w:p>
      <w:pPr>
        <w:ind w:left="900" w:right="439" w:hanging="344"/>
        <w:spacing w:after="0" w:line="292" w:lineRule="auto"/>
        <w:tabs>
          <w:tab w:leader="none" w:pos="9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dependent on government appropriations, which may not be made on a timely basis or at all and may be adversely impacted by budgetary constraints at the federal, state, local and foreign government levels;</w:t>
      </w:r>
    </w:p>
    <w:p>
      <w:pPr>
        <w:spacing w:after="0" w:line="48" w:lineRule="exact"/>
        <w:rPr>
          <w:rFonts w:ascii="Times New Roman" w:cs="Times New Roman" w:eastAsia="Times New Roman" w:hAnsi="Times New Roman"/>
          <w:sz w:val="14"/>
          <w:szCs w:val="14"/>
          <w:color w:val="auto"/>
        </w:rPr>
      </w:pPr>
    </w:p>
    <w:p>
      <w:pPr>
        <w:ind w:left="900" w:right="239" w:hanging="344"/>
        <w:spacing w:after="0" w:line="268" w:lineRule="auto"/>
        <w:tabs>
          <w:tab w:leader="none" w:pos="9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public and political resistance to the use of public-private partnerships for secure facilities, electronic monitoring and supervision as alternatives to detention, processing centers and community reentry centers could result in our inability to obtain new contracts or the loss of existing contracts, impact our ability to obtain or refinance debt financing or enter into commercial arrangements, which could have a material adverse effect on our business, financial condition, results of operations and the market price of our securities;</w:t>
      </w:r>
    </w:p>
    <w:p>
      <w:pPr>
        <w:spacing w:after="0" w:line="64" w:lineRule="exact"/>
        <w:rPr>
          <w:rFonts w:ascii="Times New Roman" w:cs="Times New Roman" w:eastAsia="Times New Roman" w:hAnsi="Times New Roman"/>
          <w:sz w:val="14"/>
          <w:szCs w:val="14"/>
          <w:color w:val="auto"/>
        </w:rPr>
      </w:pPr>
    </w:p>
    <w:p>
      <w:pPr>
        <w:ind w:left="900" w:hanging="344"/>
        <w:spacing w:after="0"/>
        <w:tabs>
          <w:tab w:leader="none" w:pos="9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publicity may negatively impact our ability to retain existing contracts and obtain new contracts;</w:t>
      </w:r>
    </w:p>
    <w:p>
      <w:pPr>
        <w:spacing w:after="0" w:line="107" w:lineRule="exact"/>
        <w:rPr>
          <w:rFonts w:ascii="Times New Roman" w:cs="Times New Roman" w:eastAsia="Times New Roman" w:hAnsi="Times New Roman"/>
          <w:sz w:val="14"/>
          <w:szCs w:val="14"/>
          <w:color w:val="auto"/>
        </w:rPr>
      </w:pPr>
    </w:p>
    <w:p>
      <w:pPr>
        <w:ind w:left="900" w:right="159" w:hanging="344"/>
        <w:spacing w:after="0" w:line="292" w:lineRule="auto"/>
        <w:tabs>
          <w:tab w:leader="none" w:pos="9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incur significant start-up and operating costs on new contracts before receiving related revenues, which may impact our cash flows and may not be recouped;</w:t>
      </w:r>
    </w:p>
    <w:p>
      <w:pPr>
        <w:spacing w:after="0" w:line="48" w:lineRule="exact"/>
        <w:rPr>
          <w:rFonts w:ascii="Times New Roman" w:cs="Times New Roman" w:eastAsia="Times New Roman" w:hAnsi="Times New Roman"/>
          <w:sz w:val="14"/>
          <w:szCs w:val="14"/>
          <w:color w:val="auto"/>
        </w:rPr>
      </w:pPr>
    </w:p>
    <w:p>
      <w:pPr>
        <w:ind w:left="900" w:right="339" w:hanging="344"/>
        <w:spacing w:after="0" w:line="292" w:lineRule="auto"/>
        <w:tabs>
          <w:tab w:leader="none" w:pos="9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comply with extensive government regulation and applicable contractual requirements could have a material adverse effect on our business, financial condition or results of operations;</w:t>
      </w:r>
    </w:p>
    <w:p>
      <w:pPr>
        <w:spacing w:after="0" w:line="48" w:lineRule="exact"/>
        <w:rPr>
          <w:rFonts w:ascii="Times New Roman" w:cs="Times New Roman" w:eastAsia="Times New Roman" w:hAnsi="Times New Roman"/>
          <w:sz w:val="14"/>
          <w:szCs w:val="14"/>
          <w:color w:val="auto"/>
        </w:rPr>
      </w:pPr>
    </w:p>
    <w:p>
      <w:pPr>
        <w:ind w:left="900" w:hanging="344"/>
        <w:spacing w:after="0"/>
        <w:tabs>
          <w:tab w:leader="none" w:pos="9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face community opposition to facility locations, which may adversely affect our ability to obtain new contracts;</w:t>
      </w:r>
    </w:p>
    <w:p>
      <w:pPr>
        <w:spacing w:after="0" w:line="107" w:lineRule="exact"/>
        <w:rPr>
          <w:rFonts w:ascii="Times New Roman" w:cs="Times New Roman" w:eastAsia="Times New Roman" w:hAnsi="Times New Roman"/>
          <w:sz w:val="14"/>
          <w:szCs w:val="14"/>
          <w:color w:val="auto"/>
        </w:rPr>
      </w:pPr>
    </w:p>
    <w:p>
      <w:pPr>
        <w:ind w:left="900" w:right="719" w:hanging="344"/>
        <w:spacing w:after="0" w:line="292" w:lineRule="auto"/>
        <w:tabs>
          <w:tab w:leader="none" w:pos="9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operations expose us to various liabilities for which we may not have adequate insurance, including legal claims and proceedings, and may have a material adverse effect on our business, financial condition or results of operations;</w:t>
      </w:r>
    </w:p>
    <w:p>
      <w:pPr>
        <w:spacing w:after="0" w:line="48" w:lineRule="exact"/>
        <w:rPr>
          <w:rFonts w:ascii="Times New Roman" w:cs="Times New Roman" w:eastAsia="Times New Roman" w:hAnsi="Times New Roman"/>
          <w:sz w:val="14"/>
          <w:szCs w:val="14"/>
          <w:color w:val="auto"/>
        </w:rPr>
      </w:pPr>
    </w:p>
    <w:p>
      <w:pPr>
        <w:ind w:left="900" w:hanging="344"/>
        <w:spacing w:after="0"/>
        <w:tabs>
          <w:tab w:leader="none" w:pos="9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able to obtain or maintain the insurance levels required by our government contracts;</w:t>
      </w:r>
    </w:p>
    <w:p>
      <w:pPr>
        <w:spacing w:after="0" w:line="107" w:lineRule="exact"/>
        <w:rPr>
          <w:rFonts w:ascii="Times New Roman" w:cs="Times New Roman" w:eastAsia="Times New Roman" w:hAnsi="Times New Roman"/>
          <w:sz w:val="14"/>
          <w:szCs w:val="14"/>
          <w:color w:val="auto"/>
        </w:rPr>
      </w:pPr>
    </w:p>
    <w:p>
      <w:pPr>
        <w:ind w:left="900" w:hanging="344"/>
        <w:spacing w:after="0"/>
        <w:tabs>
          <w:tab w:leader="none" w:pos="9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exposure to rising general insurance costs;</w:t>
      </w:r>
    </w:p>
    <w:p>
      <w:pPr>
        <w:spacing w:after="0" w:line="107" w:lineRule="exact"/>
        <w:rPr>
          <w:rFonts w:ascii="Times New Roman" w:cs="Times New Roman" w:eastAsia="Times New Roman" w:hAnsi="Times New Roman"/>
          <w:sz w:val="14"/>
          <w:szCs w:val="14"/>
          <w:color w:val="auto"/>
        </w:rPr>
      </w:pPr>
    </w:p>
    <w:p>
      <w:pPr>
        <w:ind w:left="900" w:right="259" w:hanging="344"/>
        <w:spacing w:after="0" w:line="292" w:lineRule="auto"/>
        <w:tabs>
          <w:tab w:leader="none" w:pos="9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natural disasters, pandemic outbreaks, global political events and other serious catastrophic events could disrupt operations and otherwise materially adversely affect our business and financial condition;</w:t>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243" w:right="1440" w:bottom="1440" w:gutter="0" w:footer="0" w:header="0"/>
        </w:sectPr>
      </w:pPr>
    </w:p>
    <w:bookmarkStart w:id="9" w:name="page10"/>
    <w:bookmarkEnd w:id="9"/>
    <w:p>
      <w:pPr>
        <w:ind w:left="900" w:hanging="344"/>
        <w:spacing w:after="0"/>
        <w:tabs>
          <w:tab w:leader="none" w:pos="9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9630" cy="33020"/>
                    </a:xfrm>
                    <a:prstGeom prst="rect">
                      <a:avLst/>
                    </a:prstGeom>
                    <a:noFill/>
                  </pic:spPr>
                </pic:pic>
              </a:graphicData>
            </a:graphic>
          </wp:anchor>
        </w:drawing>
        <w:t>our international operations expose us to risks that could materially adversely affect our financial condition and results of operations;</w:t>
      </w:r>
    </w:p>
    <w:p>
      <w:pPr>
        <w:spacing w:after="0" w:line="107" w:lineRule="exact"/>
        <w:rPr>
          <w:rFonts w:ascii="Times New Roman" w:cs="Times New Roman" w:eastAsia="Times New Roman" w:hAnsi="Times New Roman"/>
          <w:sz w:val="14"/>
          <w:szCs w:val="14"/>
          <w:color w:val="auto"/>
        </w:rPr>
      </w:pPr>
    </w:p>
    <w:p>
      <w:pPr>
        <w:ind w:left="900" w:right="579" w:hanging="344"/>
        <w:spacing w:after="0" w:line="292" w:lineRule="auto"/>
        <w:tabs>
          <w:tab w:leader="none" w:pos="9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conduct certain of our operations through joint ventures or consortiums, which may lead to disagreements with our joint venture partners or business partners and adversely affect our interest in the joint ventures or consortiums;</w:t>
      </w:r>
    </w:p>
    <w:p>
      <w:pPr>
        <w:spacing w:after="0" w:line="48" w:lineRule="exact"/>
        <w:rPr>
          <w:rFonts w:ascii="Times New Roman" w:cs="Times New Roman" w:eastAsia="Times New Roman" w:hAnsi="Times New Roman"/>
          <w:sz w:val="14"/>
          <w:szCs w:val="14"/>
          <w:color w:val="auto"/>
        </w:rPr>
      </w:pPr>
    </w:p>
    <w:p>
      <w:pPr>
        <w:ind w:left="900" w:hanging="344"/>
        <w:spacing w:after="0"/>
        <w:tabs>
          <w:tab w:leader="none" w:pos="9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dependent upon our senior management and our ability to attract and retain sufficient qualified personnel;</w:t>
      </w:r>
    </w:p>
    <w:p>
      <w:pPr>
        <w:spacing w:after="0" w:line="107" w:lineRule="exact"/>
        <w:rPr>
          <w:rFonts w:ascii="Times New Roman" w:cs="Times New Roman" w:eastAsia="Times New Roman" w:hAnsi="Times New Roman"/>
          <w:sz w:val="14"/>
          <w:szCs w:val="14"/>
          <w:color w:val="auto"/>
        </w:rPr>
      </w:pPr>
    </w:p>
    <w:p>
      <w:pPr>
        <w:ind w:left="900" w:hanging="344"/>
        <w:spacing w:after="0"/>
        <w:tabs>
          <w:tab w:leader="none" w:pos="9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profitability may be materially adversely affected by inflation;</w:t>
      </w:r>
    </w:p>
    <w:p>
      <w:pPr>
        <w:spacing w:after="0" w:line="107" w:lineRule="exact"/>
        <w:rPr>
          <w:rFonts w:ascii="Times New Roman" w:cs="Times New Roman" w:eastAsia="Times New Roman" w:hAnsi="Times New Roman"/>
          <w:sz w:val="14"/>
          <w:szCs w:val="14"/>
          <w:color w:val="auto"/>
        </w:rPr>
      </w:pPr>
    </w:p>
    <w:p>
      <w:pPr>
        <w:ind w:left="900" w:right="599" w:hanging="344"/>
        <w:spacing w:after="0" w:line="292" w:lineRule="auto"/>
        <w:tabs>
          <w:tab w:leader="none" w:pos="9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various risks associated with the ownership of real estate may increase costs, expose us to uninsured losses and adversely affect our financial condition and results of operations;</w:t>
      </w:r>
    </w:p>
    <w:p>
      <w:pPr>
        <w:spacing w:after="0" w:line="48" w:lineRule="exact"/>
        <w:rPr>
          <w:rFonts w:ascii="Times New Roman" w:cs="Times New Roman" w:eastAsia="Times New Roman" w:hAnsi="Times New Roman"/>
          <w:sz w:val="14"/>
          <w:szCs w:val="14"/>
          <w:color w:val="auto"/>
        </w:rPr>
      </w:pPr>
    </w:p>
    <w:p>
      <w:pPr>
        <w:ind w:left="900" w:hanging="344"/>
        <w:spacing w:after="0"/>
        <w:tabs>
          <w:tab w:leader="none" w:pos="9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facility construction and development activities may increase our costs related to such activities;</w:t>
      </w:r>
    </w:p>
    <w:p>
      <w:pPr>
        <w:spacing w:after="0" w:line="107" w:lineRule="exact"/>
        <w:rPr>
          <w:rFonts w:ascii="Times New Roman" w:cs="Times New Roman" w:eastAsia="Times New Roman" w:hAnsi="Times New Roman"/>
          <w:sz w:val="14"/>
          <w:szCs w:val="14"/>
          <w:color w:val="auto"/>
        </w:rPr>
      </w:pPr>
    </w:p>
    <w:p>
      <w:pPr>
        <w:ind w:left="900" w:right="719" w:hanging="344"/>
        <w:spacing w:after="0" w:line="292" w:lineRule="auto"/>
        <w:tabs>
          <w:tab w:leader="none" w:pos="9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rising cost and increasing difficulty of obtaining adequate levels of surety credit on favorable terms could adversely affect our operating results;</w:t>
      </w:r>
    </w:p>
    <w:p>
      <w:pPr>
        <w:spacing w:after="0" w:line="48" w:lineRule="exact"/>
        <w:rPr>
          <w:rFonts w:ascii="Times New Roman" w:cs="Times New Roman" w:eastAsia="Times New Roman" w:hAnsi="Times New Roman"/>
          <w:sz w:val="14"/>
          <w:szCs w:val="14"/>
          <w:color w:val="auto"/>
        </w:rPr>
      </w:pPr>
    </w:p>
    <w:p>
      <w:pPr>
        <w:ind w:left="900" w:right="699" w:hanging="344"/>
        <w:spacing w:after="0" w:line="292" w:lineRule="auto"/>
        <w:tabs>
          <w:tab w:leader="none" w:pos="9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developments in our relationship with our employees could adversely affect our business, financial condition or results of operations;</w:t>
      </w:r>
    </w:p>
    <w:p>
      <w:pPr>
        <w:spacing w:after="0" w:line="48" w:lineRule="exact"/>
        <w:rPr>
          <w:rFonts w:ascii="Times New Roman" w:cs="Times New Roman" w:eastAsia="Times New Roman" w:hAnsi="Times New Roman"/>
          <w:sz w:val="14"/>
          <w:szCs w:val="14"/>
          <w:color w:val="auto"/>
        </w:rPr>
      </w:pPr>
    </w:p>
    <w:p>
      <w:pPr>
        <w:ind w:left="900" w:hanging="344"/>
        <w:spacing w:after="0"/>
        <w:tabs>
          <w:tab w:leader="none" w:pos="9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interruption, delay or failure of the provision of our services or information systems could adversely affect our business;</w:t>
      </w:r>
    </w:p>
    <w:p>
      <w:pPr>
        <w:spacing w:after="0" w:line="107" w:lineRule="exact"/>
        <w:rPr>
          <w:rFonts w:ascii="Times New Roman" w:cs="Times New Roman" w:eastAsia="Times New Roman" w:hAnsi="Times New Roman"/>
          <w:sz w:val="14"/>
          <w:szCs w:val="14"/>
          <w:color w:val="auto"/>
        </w:rPr>
      </w:pPr>
    </w:p>
    <w:p>
      <w:pPr>
        <w:ind w:left="900" w:right="339" w:hanging="344"/>
        <w:spacing w:after="0" w:line="292" w:lineRule="auto"/>
        <w:tabs>
          <w:tab w:leader="none" w:pos="9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failure to comply with data privacy, security and exchange legal requirements could have a material adverse impact on our business, financial position, results of operations, cash flows and reputation;</w:t>
      </w:r>
    </w:p>
    <w:p>
      <w:pPr>
        <w:spacing w:after="0" w:line="48" w:lineRule="exact"/>
        <w:rPr>
          <w:rFonts w:ascii="Times New Roman" w:cs="Times New Roman" w:eastAsia="Times New Roman" w:hAnsi="Times New Roman"/>
          <w:sz w:val="14"/>
          <w:szCs w:val="14"/>
          <w:color w:val="auto"/>
        </w:rPr>
      </w:pPr>
    </w:p>
    <w:p>
      <w:pPr>
        <w:jc w:val="both"/>
        <w:ind w:left="900" w:right="179" w:hanging="344"/>
        <w:spacing w:after="0" w:line="212" w:lineRule="auto"/>
        <w:tabs>
          <w:tab w:leader="none" w:pos="9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technological changes could cause our electronic monitoring products and technology, including our BI VeriWatch</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xml:space="preserve"> wrist-worn device, to become obsolete or require the redesign of our electronic monitoring products, which could have a material adverse effect on our business;</w:t>
      </w:r>
    </w:p>
    <w:p>
      <w:pPr>
        <w:spacing w:after="0" w:line="84" w:lineRule="exact"/>
        <w:rPr>
          <w:rFonts w:ascii="Times New Roman" w:cs="Times New Roman" w:eastAsia="Times New Roman" w:hAnsi="Times New Roman"/>
          <w:sz w:val="14"/>
          <w:szCs w:val="14"/>
          <w:color w:val="auto"/>
        </w:rPr>
      </w:pPr>
    </w:p>
    <w:p>
      <w:pPr>
        <w:ind w:left="900" w:right="199" w:hanging="344"/>
        <w:spacing w:after="0" w:line="225" w:lineRule="auto"/>
        <w:tabs>
          <w:tab w:leader="none" w:pos="9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negative changes in the level of acceptance of or resistance to the use of electronic monitoring products, including our BI VeriWatch</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xml:space="preserve"> wrist-worn device, and services by governmental customers could have a material adverse effect on our business, financial condition and results of operations;</w:t>
      </w:r>
    </w:p>
    <w:p>
      <w:pPr>
        <w:spacing w:after="0" w:line="83" w:lineRule="exact"/>
        <w:rPr>
          <w:rFonts w:ascii="Times New Roman" w:cs="Times New Roman" w:eastAsia="Times New Roman" w:hAnsi="Times New Roman"/>
          <w:sz w:val="14"/>
          <w:szCs w:val="14"/>
          <w:color w:val="auto"/>
        </w:rPr>
      </w:pPr>
    </w:p>
    <w:p>
      <w:pPr>
        <w:ind w:left="900" w:right="219" w:hanging="344"/>
        <w:spacing w:after="0" w:line="274" w:lineRule="auto"/>
        <w:tabs>
          <w:tab w:leader="none" w:pos="9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depend on a limited number of third parties to manufacture and supply quality infrastructure components for our electronic monitoring products. If our suppliers cannot provide the components or services we require and with such quality and at such cost as we expect, our ability to market and sell our electronic monitoring products and services could be harmed;</w:t>
      </w:r>
    </w:p>
    <w:p>
      <w:pPr>
        <w:spacing w:after="0" w:line="60" w:lineRule="exact"/>
        <w:rPr>
          <w:rFonts w:ascii="Times New Roman" w:cs="Times New Roman" w:eastAsia="Times New Roman" w:hAnsi="Times New Roman"/>
          <w:sz w:val="14"/>
          <w:szCs w:val="14"/>
          <w:color w:val="auto"/>
        </w:rPr>
      </w:pPr>
    </w:p>
    <w:p>
      <w:pPr>
        <w:ind w:left="900" w:right="179" w:hanging="344"/>
        <w:spacing w:after="0" w:line="292" w:lineRule="auto"/>
        <w:tabs>
          <w:tab w:leader="none" w:pos="9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inability to acquire, protect or maintain our intellectual property and patents in the electronic monitoring space could harm our ability to compete or grow;</w:t>
      </w:r>
    </w:p>
    <w:p>
      <w:pPr>
        <w:spacing w:after="0" w:line="48" w:lineRule="exact"/>
        <w:rPr>
          <w:rFonts w:ascii="Times New Roman" w:cs="Times New Roman" w:eastAsia="Times New Roman" w:hAnsi="Times New Roman"/>
          <w:sz w:val="14"/>
          <w:szCs w:val="14"/>
          <w:color w:val="auto"/>
        </w:rPr>
      </w:pPr>
    </w:p>
    <w:p>
      <w:pPr>
        <w:ind w:left="900" w:right="199" w:hanging="344"/>
        <w:spacing w:after="0" w:line="274" w:lineRule="auto"/>
        <w:tabs>
          <w:tab w:leader="none" w:pos="9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electronic monitoring products could infringe on the intellectual property rights of others, which may lead to litigation that could itself be costly, could result in the payment of substantial damages or royalties, and/or prevent us from using technology that is essential to our products;</w:t>
      </w:r>
    </w:p>
    <w:p>
      <w:pPr>
        <w:spacing w:after="0" w:line="60" w:lineRule="exact"/>
        <w:rPr>
          <w:rFonts w:ascii="Times New Roman" w:cs="Times New Roman" w:eastAsia="Times New Roman" w:hAnsi="Times New Roman"/>
          <w:sz w:val="14"/>
          <w:szCs w:val="14"/>
          <w:color w:val="auto"/>
        </w:rPr>
      </w:pPr>
    </w:p>
    <w:p>
      <w:pPr>
        <w:ind w:left="900" w:right="199" w:hanging="344"/>
        <w:spacing w:after="0" w:line="274" w:lineRule="auto"/>
        <w:tabs>
          <w:tab w:leader="none" w:pos="9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license intellectual property rights in the electronic monitoring space, including patents, from third party owners. If such owners do not properly maintain or enforce the intellectual property underlying such licenses, our competitive position and business prospects could be harmed. Our licensors may also seek to terminate our license;</w:t>
      </w:r>
    </w:p>
    <w:p>
      <w:pPr>
        <w:spacing w:after="0" w:line="60" w:lineRule="exact"/>
        <w:rPr>
          <w:rFonts w:ascii="Times New Roman" w:cs="Times New Roman" w:eastAsia="Times New Roman" w:hAnsi="Times New Roman"/>
          <w:sz w:val="14"/>
          <w:szCs w:val="14"/>
          <w:color w:val="auto"/>
        </w:rPr>
      </w:pPr>
    </w:p>
    <w:p>
      <w:pPr>
        <w:ind w:left="900" w:right="619" w:hanging="344"/>
        <w:spacing w:after="0" w:line="274" w:lineRule="auto"/>
        <w:tabs>
          <w:tab w:leader="none" w:pos="9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subject to costly product liability claims from the use of our electronic monitoring products, which could damage our reputation, impair the marketability of our products and services and force us to pay costs and damages that may not be covered by adequate insurance;</w:t>
      </w:r>
    </w:p>
    <w:p>
      <w:pPr>
        <w:spacing w:after="0" w:line="60" w:lineRule="exact"/>
        <w:rPr>
          <w:rFonts w:ascii="Times New Roman" w:cs="Times New Roman" w:eastAsia="Times New Roman" w:hAnsi="Times New Roman"/>
          <w:sz w:val="14"/>
          <w:szCs w:val="14"/>
          <w:color w:val="auto"/>
        </w:rPr>
      </w:pPr>
    </w:p>
    <w:p>
      <w:pPr>
        <w:ind w:left="900" w:right="159" w:hanging="344"/>
        <w:spacing w:after="0" w:line="274" w:lineRule="auto"/>
        <w:tabs>
          <w:tab w:leader="none" w:pos="9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 result of our acquisitions, we have recorded and will continue to record a significant amount of goodwill and other intangible assets. In the future, our goodwill or other intangible assets may become impaired, which could result in material non-cash charges to our results of operations;</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243" w:right="1440" w:bottom="1440" w:gutter="0" w:footer="0" w:header="0"/>
        </w:sectPr>
      </w:pPr>
    </w:p>
    <w:bookmarkStart w:id="10" w:name="page11"/>
    <w:bookmarkEnd w:id="10"/>
    <w:p>
      <w:pPr>
        <w:ind w:left="900" w:hanging="344"/>
        <w:spacing w:after="0"/>
        <w:tabs>
          <w:tab w:leader="none" w:pos="9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9630" cy="33020"/>
                    </a:xfrm>
                    <a:prstGeom prst="rect">
                      <a:avLst/>
                    </a:prstGeom>
                    <a:noFill/>
                  </pic:spPr>
                </pic:pic>
              </a:graphicData>
            </a:graphic>
          </wp:anchor>
        </w:drawing>
        <w:t>federal, state and local tax rules can adversely affect our results of operations and financial position;</w:t>
      </w:r>
    </w:p>
    <w:p>
      <w:pPr>
        <w:spacing w:after="0" w:line="107" w:lineRule="exact"/>
        <w:rPr>
          <w:rFonts w:ascii="Times New Roman" w:cs="Times New Roman" w:eastAsia="Times New Roman" w:hAnsi="Times New Roman"/>
          <w:sz w:val="14"/>
          <w:szCs w:val="14"/>
          <w:color w:val="auto"/>
        </w:rPr>
      </w:pPr>
    </w:p>
    <w:p>
      <w:pPr>
        <w:ind w:left="900" w:hanging="344"/>
        <w:spacing w:after="0"/>
        <w:tabs>
          <w:tab w:leader="none" w:pos="9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subject to risks related to corporate social responsibility;</w:t>
      </w:r>
    </w:p>
    <w:p>
      <w:pPr>
        <w:spacing w:after="0" w:line="107" w:lineRule="exact"/>
        <w:rPr>
          <w:rFonts w:ascii="Times New Roman" w:cs="Times New Roman" w:eastAsia="Times New Roman" w:hAnsi="Times New Roman"/>
          <w:sz w:val="14"/>
          <w:szCs w:val="14"/>
          <w:color w:val="auto"/>
        </w:rPr>
      </w:pPr>
    </w:p>
    <w:p>
      <w:pPr>
        <w:ind w:left="900" w:hanging="344"/>
        <w:spacing w:after="0"/>
        <w:tabs>
          <w:tab w:leader="none" w:pos="9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market price of our common stock may vary substantially;</w:t>
      </w:r>
    </w:p>
    <w:p>
      <w:pPr>
        <w:spacing w:after="0" w:line="107" w:lineRule="exact"/>
        <w:rPr>
          <w:rFonts w:ascii="Times New Roman" w:cs="Times New Roman" w:eastAsia="Times New Roman" w:hAnsi="Times New Roman"/>
          <w:sz w:val="14"/>
          <w:szCs w:val="14"/>
          <w:color w:val="auto"/>
        </w:rPr>
      </w:pPr>
    </w:p>
    <w:p>
      <w:pPr>
        <w:ind w:left="900" w:right="519" w:hanging="344"/>
        <w:spacing w:after="0" w:line="292" w:lineRule="auto"/>
        <w:tabs>
          <w:tab w:leader="none" w:pos="9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expectations about growth in the utilization of detention beds by the federal government may not be realized, which could negatively impact our stock price;</w:t>
      </w:r>
    </w:p>
    <w:p>
      <w:pPr>
        <w:spacing w:after="0" w:line="48" w:lineRule="exact"/>
        <w:rPr>
          <w:rFonts w:ascii="Times New Roman" w:cs="Times New Roman" w:eastAsia="Times New Roman" w:hAnsi="Times New Roman"/>
          <w:sz w:val="14"/>
          <w:szCs w:val="14"/>
          <w:color w:val="auto"/>
        </w:rPr>
      </w:pPr>
    </w:p>
    <w:p>
      <w:pPr>
        <w:ind w:left="900" w:right="479" w:hanging="344"/>
        <w:spacing w:after="0" w:line="292" w:lineRule="auto"/>
        <w:tabs>
          <w:tab w:leader="none" w:pos="9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sales of shares of our common stock or securities convertible into common stock could adversely affect the market price of our common stock and may be dilutive to current shareholders;</w:t>
      </w:r>
    </w:p>
    <w:p>
      <w:pPr>
        <w:spacing w:after="0" w:line="48" w:lineRule="exact"/>
        <w:rPr>
          <w:rFonts w:ascii="Times New Roman" w:cs="Times New Roman" w:eastAsia="Times New Roman" w:hAnsi="Times New Roman"/>
          <w:sz w:val="14"/>
          <w:szCs w:val="14"/>
          <w:color w:val="auto"/>
        </w:rPr>
      </w:pPr>
    </w:p>
    <w:p>
      <w:pPr>
        <w:ind w:left="900" w:hanging="344"/>
        <w:spacing w:after="0"/>
        <w:tabs>
          <w:tab w:leader="none" w:pos="9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execute on our share repurchase program on the anticipated timeline;</w:t>
      </w:r>
    </w:p>
    <w:p>
      <w:pPr>
        <w:spacing w:after="0" w:line="107" w:lineRule="exact"/>
        <w:rPr>
          <w:rFonts w:ascii="Times New Roman" w:cs="Times New Roman" w:eastAsia="Times New Roman" w:hAnsi="Times New Roman"/>
          <w:sz w:val="14"/>
          <w:szCs w:val="14"/>
          <w:color w:val="auto"/>
        </w:rPr>
      </w:pPr>
    </w:p>
    <w:p>
      <w:pPr>
        <w:ind w:left="900" w:right="679" w:hanging="344"/>
        <w:spacing w:after="0" w:line="292" w:lineRule="auto"/>
        <w:tabs>
          <w:tab w:leader="none" w:pos="9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various anti-takeover protections applicable to us may make an acquisition of us more difficult and reduce the market value of our common stock;</w:t>
      </w:r>
    </w:p>
    <w:p>
      <w:pPr>
        <w:spacing w:after="0" w:line="48" w:lineRule="exact"/>
        <w:rPr>
          <w:rFonts w:ascii="Times New Roman" w:cs="Times New Roman" w:eastAsia="Times New Roman" w:hAnsi="Times New Roman"/>
          <w:sz w:val="14"/>
          <w:szCs w:val="14"/>
          <w:color w:val="auto"/>
        </w:rPr>
      </w:pPr>
    </w:p>
    <w:p>
      <w:pPr>
        <w:ind w:left="900" w:right="399" w:hanging="344"/>
        <w:spacing w:after="0" w:line="292" w:lineRule="auto"/>
        <w:tabs>
          <w:tab w:leader="none" w:pos="9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maintain effective internal controls in accordance with Section 404 of the Sarbanes-Oxley Act of 2002 could have an adverse effect on our business and the trading price of our common stock;</w:t>
      </w:r>
    </w:p>
    <w:p>
      <w:pPr>
        <w:spacing w:after="0" w:line="48" w:lineRule="exact"/>
        <w:rPr>
          <w:rFonts w:ascii="Times New Roman" w:cs="Times New Roman" w:eastAsia="Times New Roman" w:hAnsi="Times New Roman"/>
          <w:sz w:val="14"/>
          <w:szCs w:val="14"/>
          <w:color w:val="auto"/>
        </w:rPr>
      </w:pPr>
    </w:p>
    <w:p>
      <w:pPr>
        <w:ind w:left="900" w:hanging="344"/>
        <w:spacing w:after="0"/>
        <w:tabs>
          <w:tab w:leader="none" w:pos="9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issue additional debt securities that could limit our operating flexibility and negatively affect the value of our common stock;</w:t>
      </w:r>
    </w:p>
    <w:p>
      <w:pPr>
        <w:spacing w:after="0" w:line="107" w:lineRule="exact"/>
        <w:rPr>
          <w:rFonts w:ascii="Times New Roman" w:cs="Times New Roman" w:eastAsia="Times New Roman" w:hAnsi="Times New Roman"/>
          <w:sz w:val="14"/>
          <w:szCs w:val="14"/>
          <w:color w:val="auto"/>
        </w:rPr>
      </w:pPr>
    </w:p>
    <w:p>
      <w:pPr>
        <w:ind w:left="900" w:right="479" w:hanging="344"/>
        <w:spacing w:after="0" w:line="292" w:lineRule="auto"/>
        <w:tabs>
          <w:tab w:leader="none" w:pos="9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“short squeeze” due to a sudden increase in demand for shares of our common stock that largely exceeds supply has led to, and may continue to lead to, extreme price volatility in shares of our common stock;</w:t>
      </w:r>
    </w:p>
    <w:p>
      <w:pPr>
        <w:spacing w:after="0" w:line="48" w:lineRule="exact"/>
        <w:rPr>
          <w:rFonts w:ascii="Times New Roman" w:cs="Times New Roman" w:eastAsia="Times New Roman" w:hAnsi="Times New Roman"/>
          <w:sz w:val="14"/>
          <w:szCs w:val="14"/>
          <w:color w:val="auto"/>
        </w:rPr>
      </w:pPr>
    </w:p>
    <w:p>
      <w:pPr>
        <w:ind w:left="900" w:hanging="344"/>
        <w:spacing w:after="0"/>
        <w:tabs>
          <w:tab w:leader="none" w:pos="9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comply with anti-bribery and anti-corruption laws could subject us to penalties and other adverse consequences; and</w:t>
      </w:r>
    </w:p>
    <w:p>
      <w:pPr>
        <w:spacing w:after="0" w:line="107" w:lineRule="exact"/>
        <w:rPr>
          <w:rFonts w:ascii="Times New Roman" w:cs="Times New Roman" w:eastAsia="Times New Roman" w:hAnsi="Times New Roman"/>
          <w:sz w:val="14"/>
          <w:szCs w:val="14"/>
          <w:color w:val="auto"/>
        </w:rPr>
      </w:pPr>
    </w:p>
    <w:p>
      <w:pPr>
        <w:ind w:left="900" w:right="339" w:hanging="344"/>
        <w:spacing w:after="0" w:line="292" w:lineRule="auto"/>
        <w:tabs>
          <w:tab w:leader="none" w:pos="9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factors contained in our filings with the SEC, including, but not limited to, those detailed in our Annual Report on Form 10-K, our Quarterly Reports on Form 10-Q and our Current Reports on Form 8-K filed with the SEC.</w:t>
      </w:r>
    </w:p>
    <w:p>
      <w:pPr>
        <w:spacing w:after="0" w:line="123" w:lineRule="exact"/>
        <w:rPr>
          <w:sz w:val="20"/>
          <w:szCs w:val="20"/>
          <w:color w:val="auto"/>
        </w:rPr>
      </w:pPr>
    </w:p>
    <w:p>
      <w:pPr>
        <w:ind w:left="120" w:right="159" w:firstLine="350"/>
        <w:spacing w:after="0" w:line="274" w:lineRule="auto"/>
        <w:rPr>
          <w:sz w:val="20"/>
          <w:szCs w:val="20"/>
          <w:color w:val="auto"/>
        </w:rPr>
      </w:pPr>
      <w:r>
        <w:rPr>
          <w:rFonts w:ascii="Times New Roman" w:cs="Times New Roman" w:eastAsia="Times New Roman" w:hAnsi="Times New Roman"/>
          <w:sz w:val="14"/>
          <w:szCs w:val="14"/>
          <w:color w:val="auto"/>
        </w:rPr>
        <w:t>We undertake no obligation to update publicly any forward-looking statements, whether as a result of new information, future events or otherwise, except as required by law. All subsequent written and oral forward-looking statements attributable to us, or persons acting on our behalf, are expressly qualified in their entirety by the cautionary statements included in this prospectus.</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243" w:right="1440"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5589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9630" cy="5589905"/>
                    </a:xfrm>
                    <a:prstGeom prst="rect">
                      <a:avLst/>
                    </a:prstGeom>
                    <a:noFill/>
                  </pic:spPr>
                </pic:pic>
              </a:graphicData>
            </a:graphic>
          </wp:anchor>
        </w:drawing>
        <w:t>PROSPECTUS SUMMARY</w:t>
      </w:r>
    </w:p>
    <w:p>
      <w:pPr>
        <w:spacing w:after="0" w:line="184" w:lineRule="exact"/>
        <w:rPr>
          <w:sz w:val="20"/>
          <w:szCs w:val="20"/>
          <w:color w:val="auto"/>
        </w:rPr>
      </w:pPr>
    </w:p>
    <w:p>
      <w:pPr>
        <w:ind w:left="280" w:right="559" w:firstLine="338"/>
        <w:spacing w:after="0" w:line="268" w:lineRule="auto"/>
        <w:rPr>
          <w:sz w:val="20"/>
          <w:szCs w:val="20"/>
          <w:color w:val="auto"/>
        </w:rPr>
      </w:pPr>
      <w:r>
        <w:rPr>
          <w:rFonts w:ascii="Times New Roman" w:cs="Times New Roman" w:eastAsia="Times New Roman" w:hAnsi="Times New Roman"/>
          <w:sz w:val="14"/>
          <w:szCs w:val="14"/>
          <w:color w:val="auto"/>
        </w:rPr>
        <w:t>This summary highlights information contained elsewhere in this prospectus or the documents incorporated by reference herein. It is not complete and may not contain all of the information that you should consider before investing in these securities. You should carefully read the entire prospectus, including the “Risk Factors” section, the documents incorporated by reference into this prospectus, and any prospectus supplement.</w:t>
      </w:r>
    </w:p>
    <w:p>
      <w:pPr>
        <w:spacing w:after="0" w:line="139" w:lineRule="exact"/>
        <w:rPr>
          <w:sz w:val="20"/>
          <w:szCs w:val="20"/>
          <w:color w:val="auto"/>
        </w:rPr>
      </w:pPr>
    </w:p>
    <w:p>
      <w:pPr>
        <w:ind w:left="280" w:right="379" w:firstLine="338"/>
        <w:spacing w:after="0" w:line="268" w:lineRule="auto"/>
        <w:rPr>
          <w:sz w:val="20"/>
          <w:szCs w:val="20"/>
          <w:color w:val="auto"/>
        </w:rPr>
      </w:pPr>
      <w:r>
        <w:rPr>
          <w:rFonts w:ascii="Times New Roman" w:cs="Times New Roman" w:eastAsia="Times New Roman" w:hAnsi="Times New Roman"/>
          <w:sz w:val="14"/>
          <w:szCs w:val="14"/>
          <w:color w:val="auto"/>
        </w:rPr>
        <w:t>The following summary highlights selected information contained or incorporated by reference in this prospectus and does not contain all of the information that may be important to you. You should carefully read this entire prospectus and any prospectus supplement, including the financial statements and related notes and the documents incorporated by reference in this prospectus, before making a decision to invest in the securities.</w:t>
      </w:r>
    </w:p>
    <w:p>
      <w:pPr>
        <w:spacing w:after="0" w:line="22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The GEO Group, Inc.</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84" w:lineRule="exact"/>
        <w:rPr>
          <w:sz w:val="20"/>
          <w:szCs w:val="20"/>
          <w:color w:val="auto"/>
        </w:rPr>
      </w:pPr>
    </w:p>
    <w:p>
      <w:pPr>
        <w:ind w:left="280" w:right="359" w:firstLine="338"/>
        <w:spacing w:after="0" w:line="261" w:lineRule="auto"/>
        <w:rPr>
          <w:sz w:val="20"/>
          <w:szCs w:val="20"/>
          <w:color w:val="auto"/>
        </w:rPr>
      </w:pPr>
      <w:r>
        <w:rPr>
          <w:rFonts w:ascii="Times New Roman" w:cs="Times New Roman" w:eastAsia="Times New Roman" w:hAnsi="Times New Roman"/>
          <w:sz w:val="14"/>
          <w:szCs w:val="14"/>
          <w:color w:val="auto"/>
        </w:rPr>
        <w:t>We specialize in the ownership, leasing and management of secure facilities, processing centers and reentry facilities and the provision of community-based services in the United States, Australia and South Africa. We own, lease and operate a broad range of secure facilities including maximum, medium and minimum-security facilities, processing centers, as well as community-based reentry facilities. We develop new facilities based on contract awards, using our project development expertise and experience to design, construct and finance what we believe are state-of-the-art facilities. We provide innovative technologies, industry-leading monitoring services, and evidence-based supervision and treatment programs for community-based programs. We also provide secure transportation services domestically and in the United Kingdom through our joint venture GEOAmey Ltd. (“GEOAmey”).</w:t>
      </w:r>
    </w:p>
    <w:p>
      <w:pPr>
        <w:spacing w:after="0" w:line="148" w:lineRule="exact"/>
        <w:rPr>
          <w:sz w:val="20"/>
          <w:szCs w:val="20"/>
          <w:color w:val="auto"/>
        </w:rPr>
      </w:pPr>
    </w:p>
    <w:p>
      <w:pPr>
        <w:jc w:val="both"/>
        <w:ind w:left="280" w:right="319" w:firstLine="338"/>
        <w:spacing w:after="0" w:line="274" w:lineRule="auto"/>
        <w:rPr>
          <w:sz w:val="20"/>
          <w:szCs w:val="20"/>
          <w:color w:val="auto"/>
        </w:rPr>
      </w:pPr>
      <w:r>
        <w:rPr>
          <w:rFonts w:ascii="Times New Roman" w:cs="Times New Roman" w:eastAsia="Times New Roman" w:hAnsi="Times New Roman"/>
          <w:sz w:val="14"/>
          <w:szCs w:val="14"/>
          <w:color w:val="auto"/>
        </w:rPr>
        <w:t>At June 30, 2026, our worldwide operations included the management and/or ownership of approximately 75,000 beds at 96 secure services and community based facilities, including idle facilities, and also included the provision of community supervision services for individuals through an array of technology products including radio frequency, GPS, and alcohol monitoring devices.</w:t>
      </w:r>
    </w:p>
    <w:p>
      <w:pPr>
        <w:spacing w:after="0" w:line="13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We provide a diversified scope of services on behalf of our government agency partners:</w:t>
      </w:r>
    </w:p>
    <w:p>
      <w:pPr>
        <w:spacing w:after="0" w:line="107" w:lineRule="exact"/>
        <w:rPr>
          <w:sz w:val="20"/>
          <w:szCs w:val="20"/>
          <w:color w:val="auto"/>
        </w:rPr>
      </w:pPr>
    </w:p>
    <w:p>
      <w:pPr>
        <w:ind w:left="1020" w:right="399" w:hanging="330"/>
        <w:spacing w:after="0" w:line="292" w:lineRule="auto"/>
        <w:tabs>
          <w:tab w:leader="none" w:pos="10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secure facility management services involve the provision of security, administrative, rehabilitation, education, and food services at secure services facilities;</w:t>
      </w:r>
    </w:p>
    <w:p>
      <w:pPr>
        <w:spacing w:after="0" w:line="48" w:lineRule="exact"/>
        <w:rPr>
          <w:rFonts w:ascii="Times New Roman" w:cs="Times New Roman" w:eastAsia="Times New Roman" w:hAnsi="Times New Roman"/>
          <w:sz w:val="14"/>
          <w:szCs w:val="14"/>
          <w:color w:val="auto"/>
        </w:rPr>
      </w:pPr>
    </w:p>
    <w:p>
      <w:pPr>
        <w:ind w:left="1020" w:right="659" w:hanging="330"/>
        <w:spacing w:after="0" w:line="274" w:lineRule="auto"/>
        <w:tabs>
          <w:tab w:leader="none" w:pos="10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reentry services involve supervision of individuals in community-based programs and reentry centers and the provision of temporary housing, programming, employment assistance and other services with the intention of the successful reintegration of residents into the community;</w:t>
      </w:r>
    </w:p>
    <w:p>
      <w:pPr>
        <w:spacing w:after="0" w:line="60" w:lineRule="exact"/>
        <w:rPr>
          <w:rFonts w:ascii="Times New Roman" w:cs="Times New Roman" w:eastAsia="Times New Roman" w:hAnsi="Times New Roman"/>
          <w:sz w:val="14"/>
          <w:szCs w:val="14"/>
          <w:color w:val="auto"/>
        </w:rPr>
      </w:pPr>
    </w:p>
    <w:p>
      <w:pPr>
        <w:ind w:left="1020" w:hanging="330"/>
        <w:spacing w:after="0"/>
        <w:tabs>
          <w:tab w:leader="none" w:pos="10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provide comprehensive electronic monitoring and supervision services;</w:t>
      </w:r>
    </w:p>
    <w:p>
      <w:pPr>
        <w:spacing w:after="0" w:line="107" w:lineRule="exact"/>
        <w:rPr>
          <w:rFonts w:ascii="Times New Roman" w:cs="Times New Roman" w:eastAsia="Times New Roman" w:hAnsi="Times New Roman"/>
          <w:sz w:val="14"/>
          <w:szCs w:val="14"/>
          <w:color w:val="auto"/>
        </w:rPr>
      </w:pPr>
    </w:p>
    <w:p>
      <w:pPr>
        <w:ind w:left="1020" w:right="1059" w:hanging="330"/>
        <w:spacing w:after="0" w:line="292" w:lineRule="auto"/>
        <w:tabs>
          <w:tab w:leader="none" w:pos="10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develop new facilities, using our project development experience to design, construct and finance what we believe are state-of-the-art facilities;</w:t>
      </w:r>
    </w:p>
    <w:p>
      <w:pPr>
        <w:spacing w:after="0" w:line="48" w:lineRule="exact"/>
        <w:rPr>
          <w:rFonts w:ascii="Times New Roman" w:cs="Times New Roman" w:eastAsia="Times New Roman" w:hAnsi="Times New Roman"/>
          <w:sz w:val="14"/>
          <w:szCs w:val="14"/>
          <w:color w:val="auto"/>
        </w:rPr>
      </w:pPr>
    </w:p>
    <w:p>
      <w:pPr>
        <w:ind w:left="1020" w:hanging="330"/>
        <w:spacing w:after="0"/>
        <w:tabs>
          <w:tab w:leader="none" w:pos="10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provide secure transportation services; and</w:t>
      </w:r>
    </w:p>
    <w:p>
      <w:pPr>
        <w:spacing w:after="0" w:line="107" w:lineRule="exact"/>
        <w:rPr>
          <w:rFonts w:ascii="Times New Roman" w:cs="Times New Roman" w:eastAsia="Times New Roman" w:hAnsi="Times New Roman"/>
          <w:sz w:val="14"/>
          <w:szCs w:val="14"/>
          <w:color w:val="auto"/>
        </w:rPr>
      </w:pPr>
    </w:p>
    <w:p>
      <w:pPr>
        <w:ind w:left="1020" w:hanging="330"/>
        <w:spacing w:after="0"/>
        <w:tabs>
          <w:tab w:leader="none" w:pos="10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services are provided at facilities which we either own, lease or are owned by our government agency partners.</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184" w:lineRule="exact"/>
        <w:rPr>
          <w:sz w:val="20"/>
          <w:szCs w:val="20"/>
          <w:color w:val="auto"/>
        </w:rPr>
      </w:pPr>
    </w:p>
    <w:p>
      <w:pPr>
        <w:ind w:left="280" w:right="299" w:firstLine="338"/>
        <w:spacing w:after="0" w:line="292" w:lineRule="auto"/>
        <w:rPr>
          <w:sz w:val="20"/>
          <w:szCs w:val="20"/>
          <w:color w:val="auto"/>
        </w:rPr>
      </w:pPr>
      <w:r>
        <w:rPr>
          <w:rFonts w:ascii="Times New Roman" w:cs="Times New Roman" w:eastAsia="Times New Roman" w:hAnsi="Times New Roman"/>
          <w:sz w:val="14"/>
          <w:szCs w:val="14"/>
          <w:color w:val="auto"/>
        </w:rPr>
        <w:t>Our business was founded in 1984 as a division of The Wackenhut Corporation, or TWC, a multinational provider of global security services. We were incorporated in 1988 as a wholly-owned subsidiary of TWC. In</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391" w:right="1440" w:bottom="1440" w:gutter="0" w:footer="0" w:header="0"/>
        </w:sectPr>
      </w:pPr>
    </w:p>
    <w:bookmarkStart w:id="12" w:name="page13"/>
    <w:bookmarkEnd w:id="12"/>
    <w:p>
      <w:pPr>
        <w:ind w:left="280" w:right="339"/>
        <w:spacing w:after="0" w:line="26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140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99630" cy="3314065"/>
                    </a:xfrm>
                    <a:prstGeom prst="rect">
                      <a:avLst/>
                    </a:prstGeom>
                    <a:noFill/>
                  </pic:spPr>
                </pic:pic>
              </a:graphicData>
            </a:graphic>
          </wp:anchor>
        </w:drawing>
        <w:t>July 1994, we became a publicly-traded company. In 2002, TWC was acquired by Group 4 Falck A/S, which became our new parent company. In July 2003, we purchased all of our common stock owned by Group 4 Falck A/S and became an independent company. In November 2003, we changed our corporate name to “The GEO Group, Inc.” On June 27, 2014, as part of the plan to reorganize the business operations of The GEO Group, Inc. so that it could qualify as a real estate investment trust (“REIT”) for federal income tax purposes, The GEO Group, Inc. merged with and into its wholly-owned subsidiary, The GEO Group REIT, Inc., a Florida corporation, pursuant to an Agreement and Plan of Merger dated March 21, 2014 (the “Merger Agreement”), with The GEO Group REIT, Inc. surviving the merger. The merger was approved by the shareholders of The GEO Group, Inc. at a special meeting of shareholders held on May 2, 2014. At 4:10 p.m. on June 27, 2014, the effective time of the merger, The GEO Group REIT, Inc. was renamed “The GEO Group, Inc.” and succeeded to and began conducting, directly or indirectly, all of the business conducted by The GEO Group, Inc. immediately prior to the merger.</w:t>
      </w:r>
    </w:p>
    <w:p>
      <w:pPr>
        <w:spacing w:after="0" w:line="147" w:lineRule="exact"/>
        <w:rPr>
          <w:sz w:val="20"/>
          <w:szCs w:val="20"/>
          <w:color w:val="auto"/>
        </w:rPr>
      </w:pPr>
    </w:p>
    <w:p>
      <w:pPr>
        <w:ind w:left="280" w:right="319" w:firstLine="338"/>
        <w:spacing w:after="0" w:line="263" w:lineRule="auto"/>
        <w:rPr>
          <w:sz w:val="20"/>
          <w:szCs w:val="20"/>
          <w:color w:val="auto"/>
        </w:rPr>
      </w:pPr>
      <w:r>
        <w:rPr>
          <w:rFonts w:ascii="Times New Roman" w:cs="Times New Roman" w:eastAsia="Times New Roman" w:hAnsi="Times New Roman"/>
          <w:sz w:val="14"/>
          <w:szCs w:val="14"/>
          <w:color w:val="auto"/>
        </w:rPr>
        <w:t>GEO operated as a REIT from January 1, 2013 through December 31, 2020. On December 2, 2021, we announced that our Board of Directors (“Board”) unanimously approved a plan to terminate GEO’s REIT election and become a taxable C corporation, effective for the year ended December 31, 2021, and voted unanimously to discontinue quarterly dividend payments. Effective January 1, 2021, we are subject to federal and state income taxes on our taxable income at applicable tax rates and we are no longer entitled to a tax deduction for dividends paid. GEO operated as a REIT for the 2020 tax year, and existing REIT requirements and limitations, including those established by GEO’s organizational documents, remained in place until December 31, 2020.</w:t>
      </w:r>
    </w:p>
    <w:p>
      <w:pPr>
        <w:spacing w:after="0" w:line="1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We currently trade on the New York Stock Exchange under the ticker symbol “GEO.”</w:t>
      </w:r>
    </w:p>
    <w:p>
      <w:pPr>
        <w:spacing w:after="0" w:line="182" w:lineRule="exact"/>
        <w:rPr>
          <w:sz w:val="20"/>
          <w:szCs w:val="20"/>
          <w:color w:val="auto"/>
        </w:rPr>
      </w:pPr>
    </w:p>
    <w:p>
      <w:pPr>
        <w:ind w:left="280" w:right="579" w:firstLine="338"/>
        <w:spacing w:after="0" w:line="268" w:lineRule="auto"/>
        <w:rPr>
          <w:sz w:val="20"/>
          <w:szCs w:val="20"/>
          <w:color w:val="auto"/>
        </w:rPr>
      </w:pPr>
      <w:r>
        <w:rPr>
          <w:rFonts w:ascii="Times New Roman" w:cs="Times New Roman" w:eastAsia="Times New Roman" w:hAnsi="Times New Roman"/>
          <w:sz w:val="14"/>
          <w:szCs w:val="14"/>
          <w:color w:val="auto"/>
        </w:rPr>
        <w:t>Our principal executive offices are located at 4955 Technology Way, Boca Raton, Florida 33431 and our telephone number is (561) 893-0101. We also maintain a website at www.geogroup.com where general information about the Company is available. The information contained on or accessible through GEO’s website is not part of this prospectus, other than the documents that GEO files with the SEC that are expressly incorporated by reference into this prospectus. See “Where You Can Find More Information.”</w:t>
      </w:r>
    </w:p>
    <w:p>
      <w:pPr>
        <w:spacing w:after="0" w:line="22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The Offering</w:t>
      </w:r>
    </w:p>
    <w:p>
      <w:pPr>
        <w:spacing w:after="0" w:line="99" w:lineRule="exact"/>
        <w:rPr>
          <w:sz w:val="20"/>
          <w:szCs w:val="20"/>
          <w:color w:val="auto"/>
        </w:rPr>
      </w:pPr>
    </w:p>
    <w:p>
      <w:pPr>
        <w:ind w:left="280" w:right="879" w:firstLine="338"/>
        <w:spacing w:after="0" w:line="292" w:lineRule="auto"/>
        <w:rPr>
          <w:sz w:val="20"/>
          <w:szCs w:val="20"/>
          <w:color w:val="auto"/>
        </w:rPr>
      </w:pPr>
      <w:r>
        <w:rPr>
          <w:rFonts w:ascii="Times New Roman" w:cs="Times New Roman" w:eastAsia="Times New Roman" w:hAnsi="Times New Roman"/>
          <w:sz w:val="14"/>
          <w:szCs w:val="14"/>
          <w:color w:val="auto"/>
        </w:rPr>
        <w:t>Under this prospectus, GEO may offer and sell to the public in one or more series or issuances common stock, preferred stock, debt securities, guarantees of debt securities, warrants and units.</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393" w:right="1440"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99630" cy="33020"/>
                    </a:xfrm>
                    <a:prstGeom prst="rect">
                      <a:avLst/>
                    </a:prstGeom>
                    <a:noFill/>
                  </pic:spPr>
                </pic:pic>
              </a:graphicData>
            </a:graphic>
          </wp:anchor>
        </w:drawing>
        <w:t>RISK FACTORS</w:t>
      </w:r>
    </w:p>
    <w:p>
      <w:pPr>
        <w:spacing w:after="0" w:line="184" w:lineRule="exact"/>
        <w:rPr>
          <w:sz w:val="20"/>
          <w:szCs w:val="20"/>
          <w:color w:val="auto"/>
        </w:rPr>
      </w:pPr>
    </w:p>
    <w:p>
      <w:pPr>
        <w:ind w:left="120" w:right="239" w:firstLine="350"/>
        <w:spacing w:after="0" w:line="265" w:lineRule="auto"/>
        <w:rPr>
          <w:sz w:val="20"/>
          <w:szCs w:val="20"/>
          <w:color w:val="auto"/>
        </w:rPr>
      </w:pPr>
      <w:r>
        <w:rPr>
          <w:rFonts w:ascii="Times New Roman" w:cs="Times New Roman" w:eastAsia="Times New Roman" w:hAnsi="Times New Roman"/>
          <w:sz w:val="14"/>
          <w:szCs w:val="14"/>
          <w:color w:val="auto"/>
        </w:rPr>
        <w:t>An investment in our securities involves risks. Before making an investment decision, you should carefully consider the risks described in our filings with the SEC referred to under the heading “Where You Can Find More Information,” including the risks discussed in the section titled “Risk Factors” incorporated by reference herein from our Annual Report on Form 10-K for the fiscal year ended December 31, 2025, as may be updated by the risks described in the section titled “Risk Factors” in annual, quarterly and other reports we file with the SEC thereafter. Additional risk factors will be included in a prospectus supplement relating to a particular series or offering of securities.</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9019"/>
          </w:cols>
          <w:pgMar w:left="1440" w:top="241" w:right="1440" w:bottom="1440" w:gutter="0" w:footer="0" w:header="0"/>
        </w:sectPr>
      </w:pPr>
    </w:p>
    <w:bookmarkStart w:id="14" w:name="page15"/>
    <w:bookmarkEnd w:id="14"/>
    <w:p>
      <w:pPr>
        <w:ind w:left="24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99630" cy="33020"/>
                    </a:xfrm>
                    <a:prstGeom prst="rect">
                      <a:avLst/>
                    </a:prstGeom>
                    <a:noFill/>
                  </pic:spPr>
                </pic:pic>
              </a:graphicData>
            </a:graphic>
          </wp:anchor>
        </w:drawing>
        <w:t>SUPPLEMENTAL GUARANTOR FINANCIAL INFORMATION</w:t>
      </w:r>
    </w:p>
    <w:p>
      <w:pPr>
        <w:spacing w:after="0" w:line="1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Guarantor Group Summarized Financial Information</w:t>
      </w:r>
    </w:p>
    <w:p>
      <w:pPr>
        <w:spacing w:after="0" w:line="99" w:lineRule="exact"/>
        <w:rPr>
          <w:sz w:val="20"/>
          <w:szCs w:val="20"/>
          <w:color w:val="auto"/>
        </w:rPr>
      </w:pPr>
    </w:p>
    <w:p>
      <w:pPr>
        <w:ind w:left="120" w:right="179" w:firstLine="350"/>
        <w:spacing w:after="0" w:line="261" w:lineRule="auto"/>
        <w:rPr>
          <w:sz w:val="20"/>
          <w:szCs w:val="20"/>
          <w:color w:val="auto"/>
        </w:rPr>
      </w:pPr>
      <w:r>
        <w:rPr>
          <w:rFonts w:ascii="Times New Roman" w:cs="Times New Roman" w:eastAsia="Times New Roman" w:hAnsi="Times New Roman"/>
          <w:sz w:val="14"/>
          <w:szCs w:val="14"/>
          <w:color w:val="auto"/>
        </w:rPr>
        <w:t>In this section, the term “Company” refers solely to The GEO Group, Inc. (and not to any of its affiliates, including subsidiaries). The debt securities that may be issued by the Company may be fully and unconditionally guaranteed, jointly and severally, on a secured or unsecured, subordinated or unsubordinated basis, subject to certain customary guarantor release conditions, by the Company’s domestic subsidiaries that are guarantors under the Company’s revolving credit facility (each a “Guarantor,” collectively, the “Guarantors” and, the Guarantors together with the Company, the “Guarantor Group”). The other subsidiaries of the Company (the “non-guarantor subsidiaries”) are not registering for possible issuance any guarantees of the Company’s debt securities by the non-guarantor subsidiaries. For a brief description of the general terms of the debt securities that we may offer and the guarantees that the Guarantor may offer, see the information under the heading “Description of Debt Securities” and “Description of Guarantees” in this prospectus.</w:t>
      </w:r>
    </w:p>
    <w:p>
      <w:pPr>
        <w:spacing w:after="0" w:line="144" w:lineRule="exact"/>
        <w:rPr>
          <w:sz w:val="20"/>
          <w:szCs w:val="20"/>
          <w:color w:val="auto"/>
        </w:rPr>
      </w:pPr>
    </w:p>
    <w:p>
      <w:pPr>
        <w:ind w:left="120" w:right="339" w:firstLine="350"/>
        <w:spacing w:after="0" w:line="268" w:lineRule="auto"/>
        <w:rPr>
          <w:sz w:val="20"/>
          <w:szCs w:val="20"/>
          <w:color w:val="auto"/>
        </w:rPr>
      </w:pPr>
      <w:r>
        <w:rPr>
          <w:rFonts w:ascii="Times New Roman" w:cs="Times New Roman" w:eastAsia="Times New Roman" w:hAnsi="Times New Roman"/>
          <w:sz w:val="14"/>
          <w:szCs w:val="14"/>
          <w:color w:val="auto"/>
        </w:rPr>
        <w:t>The Company conducts operations almost entirely through its subsidiaries. Accordingly, the Guarantor Group’s cash flow and ability to service any guaranteed registered debt securities will depend on the earnings of the Company’s subsidiaries and the distribution of those earnings to the Guarantor Group, including the earnings of the non-guarantor subsidiaries, whether by dividends, loans or otherwise. Holders of the guaranteed registered debt securities will have a direct claim only against the Guarantor Group.</w:t>
      </w:r>
    </w:p>
    <w:p>
      <w:pPr>
        <w:spacing w:after="0" w:line="139" w:lineRule="exact"/>
        <w:rPr>
          <w:sz w:val="20"/>
          <w:szCs w:val="20"/>
          <w:color w:val="auto"/>
        </w:rPr>
      </w:pPr>
    </w:p>
    <w:p>
      <w:pPr>
        <w:ind w:left="120" w:right="139" w:firstLine="350"/>
        <w:spacing w:after="0" w:line="265" w:lineRule="auto"/>
        <w:rPr>
          <w:sz w:val="20"/>
          <w:szCs w:val="20"/>
          <w:color w:val="auto"/>
        </w:rPr>
      </w:pPr>
      <w:r>
        <w:rPr>
          <w:rFonts w:ascii="Times New Roman" w:cs="Times New Roman" w:eastAsia="Times New Roman" w:hAnsi="Times New Roman"/>
          <w:sz w:val="14"/>
          <w:szCs w:val="14"/>
          <w:color w:val="auto"/>
        </w:rPr>
        <w:t>Summarized financial information is provided for the Company and the Guarantor Group on a combined basis in accordance with SEC Regulation S-X Rules 3-10 and 13-01. The accounting policies used in the preparation of this summarized financial information are consistent with those used in the consolidated financial statements of the Company, except that intercompany transactions and balances of the Company and the Guarantor Group entities with non-guarantor entities have not been eliminated. Intercompany transactions between the Company and the Guarantor Group have been eliminated and equity in earnings from and investments in non-guarantor subsidiaries have not been presented.</w:t>
      </w:r>
    </w:p>
    <w:p>
      <w:pPr>
        <w:spacing w:after="0" w:line="141" w:lineRule="exact"/>
        <w:rPr>
          <w:sz w:val="20"/>
          <w:szCs w:val="20"/>
          <w:color w:val="auto"/>
        </w:rPr>
      </w:pPr>
    </w:p>
    <w:p>
      <w:pPr>
        <w:ind w:left="120" w:right="139" w:firstLine="350"/>
        <w:spacing w:after="0" w:line="263" w:lineRule="auto"/>
        <w:rPr>
          <w:sz w:val="20"/>
          <w:szCs w:val="20"/>
          <w:color w:val="auto"/>
        </w:rPr>
      </w:pPr>
      <w:r>
        <w:rPr>
          <w:rFonts w:ascii="Times New Roman" w:cs="Times New Roman" w:eastAsia="Times New Roman" w:hAnsi="Times New Roman"/>
          <w:sz w:val="14"/>
          <w:szCs w:val="14"/>
          <w:color w:val="auto"/>
        </w:rPr>
        <w:t>The summarized financial information below is presented as of and for the six months ended June 30, 2026 and as of and for the year ended December 31, 2025 and does not give effect to the redemption, of all $650.0 million aggregate principal amount of the Company’s 8.625% Senior Secured Notes due 2029, which were guaranteed by the Guarantors and secured by liens on the collateral, for approximately $678 million, plus accrued and unpaid interest to, but excluding, the redemption date of October 15, 2026. The indenture governing the 8.625% Senior Secured Notes due 2029 was satisfied and has been discharged. The redemption did not change the composition of the Guarantor Group. As of October 19, 2026, the Guarantor Group had no secured indebtedness outstanding as there were no outstanding borrowings under the revolving credit facility.</w:t>
      </w:r>
    </w:p>
    <w:p>
      <w:pPr>
        <w:spacing w:after="0" w:line="1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Summarized balance sheets (in thousands):</w:t>
      </w:r>
    </w:p>
    <w:p>
      <w:pPr>
        <w:spacing w:after="0" w:line="191" w:lineRule="exact"/>
        <w:rPr>
          <w:sz w:val="20"/>
          <w:szCs w:val="20"/>
          <w:color w:val="auto"/>
        </w:rPr>
      </w:pPr>
    </w:p>
    <w:tbl>
      <w:tblPr>
        <w:tblLayout w:type="fixed"/>
        <w:tblInd w:w="1180" w:type="dxa"/>
        <w:tblCellMar>
          <w:top w:w="0" w:type="dxa"/>
          <w:left w:w="0" w:type="dxa"/>
          <w:bottom w:w="0" w:type="dxa"/>
          <w:right w:w="0" w:type="dxa"/>
        </w:tblCellMar>
      </w:tblPr>
      <w:tr>
        <w:trPr>
          <w:trHeight w:val="126"/>
        </w:trPr>
        <w:tc>
          <w:tcPr>
            <w:tcW w:w="2660" w:type="dxa"/>
            <w:vAlign w:val="bottom"/>
          </w:tcPr>
          <w:p>
            <w:pPr>
              <w:spacing w:after="0"/>
              <w:rPr>
                <w:sz w:val="11"/>
                <w:szCs w:val="11"/>
                <w:color w:val="auto"/>
              </w:rPr>
            </w:pPr>
          </w:p>
        </w:tc>
        <w:tc>
          <w:tcPr>
            <w:tcW w:w="2180" w:type="dxa"/>
            <w:vAlign w:val="bottom"/>
            <w:gridSpan w:val="3"/>
            <w:vMerge w:val="restart"/>
          </w:tcPr>
          <w:p>
            <w:pPr>
              <w:ind w:left="1240"/>
              <w:spacing w:after="0"/>
              <w:rPr>
                <w:sz w:val="20"/>
                <w:szCs w:val="20"/>
                <w:color w:val="auto"/>
              </w:rPr>
            </w:pPr>
            <w:r>
              <w:rPr>
                <w:rFonts w:ascii="Times New Roman" w:cs="Times New Roman" w:eastAsia="Times New Roman" w:hAnsi="Times New Roman"/>
                <w:sz w:val="11"/>
                <w:szCs w:val="11"/>
                <w:b w:val="1"/>
                <w:bCs w:val="1"/>
                <w:color w:val="auto"/>
              </w:rPr>
              <w:t>As of June 30, 2026</w:t>
            </w:r>
          </w:p>
        </w:tc>
        <w:tc>
          <w:tcPr>
            <w:tcW w:w="1820" w:type="dxa"/>
            <w:vAlign w:val="bottom"/>
            <w:gridSpan w:val="4"/>
          </w:tcPr>
          <w:p>
            <w:pPr>
              <w:ind w:left="820"/>
              <w:spacing w:after="0"/>
              <w:rPr>
                <w:sz w:val="20"/>
                <w:szCs w:val="20"/>
                <w:color w:val="auto"/>
              </w:rPr>
            </w:pPr>
            <w:r>
              <w:rPr>
                <w:rFonts w:ascii="Times New Roman" w:cs="Times New Roman" w:eastAsia="Times New Roman" w:hAnsi="Times New Roman"/>
                <w:sz w:val="11"/>
                <w:szCs w:val="11"/>
                <w:b w:val="1"/>
                <w:bCs w:val="1"/>
                <w:color w:val="auto"/>
              </w:rPr>
              <w:t>As of December 31,</w:t>
            </w:r>
          </w:p>
        </w:tc>
        <w:tc>
          <w:tcPr>
            <w:tcW w:w="0" w:type="dxa"/>
            <w:vAlign w:val="bottom"/>
          </w:tcPr>
          <w:p>
            <w:pPr>
              <w:spacing w:after="0"/>
              <w:rPr>
                <w:sz w:val="1"/>
                <w:szCs w:val="1"/>
                <w:color w:val="auto"/>
              </w:rPr>
            </w:pPr>
          </w:p>
        </w:tc>
      </w:tr>
      <w:tr>
        <w:trPr>
          <w:trHeight w:val="137"/>
        </w:trPr>
        <w:tc>
          <w:tcPr>
            <w:tcW w:w="266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180" w:type="dxa"/>
            <w:vAlign w:val="bottom"/>
            <w:gridSpan w:val="3"/>
            <w:vMerge w:val="continue"/>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jc w:val="right"/>
              <w:ind w:right="311"/>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66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146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556,776</w:t>
            </w:r>
          </w:p>
        </w:tc>
        <w:tc>
          <w:tcPr>
            <w:tcW w:w="10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645,982</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660" w:type="dxa"/>
            <w:vAlign w:val="bottom"/>
          </w:tcPr>
          <w:p>
            <w:pPr>
              <w:spacing w:after="0"/>
              <w:rPr>
                <w:sz w:val="20"/>
                <w:szCs w:val="20"/>
                <w:color w:val="auto"/>
              </w:rPr>
            </w:pPr>
            <w:r>
              <w:rPr>
                <w:rFonts w:ascii="Times New Roman" w:cs="Times New Roman" w:eastAsia="Times New Roman" w:hAnsi="Times New Roman"/>
                <w:sz w:val="14"/>
                <w:szCs w:val="14"/>
                <w:color w:val="auto"/>
              </w:rPr>
              <w:t>Noncurrent assets (a)</w:t>
            </w: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2,944,747</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2,971,002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1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247,423</w:t>
            </w: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257,936</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660" w:type="dxa"/>
            <w:vAlign w:val="bottom"/>
          </w:tcPr>
          <w:p>
            <w:pPr>
              <w:spacing w:after="0"/>
              <w:rPr>
                <w:sz w:val="20"/>
                <w:szCs w:val="20"/>
                <w:color w:val="auto"/>
              </w:rPr>
            </w:pPr>
            <w:r>
              <w:rPr>
                <w:rFonts w:ascii="Times New Roman" w:cs="Times New Roman" w:eastAsia="Times New Roman" w:hAnsi="Times New Roman"/>
                <w:sz w:val="14"/>
                <w:szCs w:val="14"/>
                <w:color w:val="auto"/>
              </w:rPr>
              <w:t>Noncurrent liabilities (b)</w:t>
            </w: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1,910,974</w:t>
            </w: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2,021,019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460" w:right="839" w:hanging="333"/>
        <w:spacing w:after="0" w:line="266" w:lineRule="auto"/>
        <w:tabs>
          <w:tab w:leader="none" w:pos="4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due from non-guarantor subsidiaries of $54.2 million and $52.8 million as of June 30, 2026 and December 31, 2025, respectively.</w:t>
      </w:r>
    </w:p>
    <w:p>
      <w:pPr>
        <w:ind w:left="460" w:hanging="333"/>
        <w:spacing w:after="0"/>
        <w:tabs>
          <w:tab w:leader="none" w:pos="4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due to non-guarantor subsidiaries of $41.8 million and $42.1 million as of June 30, 2026 and December 31, 2025, respectively.</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9019"/>
          </w:cols>
          <w:pgMar w:left="1440" w:top="241" w:right="1440" w:bottom="1440" w:gutter="0" w:footer="0" w:header="0"/>
        </w:sectPr>
      </w:pPr>
    </w:p>
    <w:bookmarkStart w:id="15" w:name="page16"/>
    <w:bookmarkEnd w:id="15"/>
    <w:p>
      <w:pPr>
        <w:ind w:left="1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99630" cy="33020"/>
                    </a:xfrm>
                    <a:prstGeom prst="rect">
                      <a:avLst/>
                    </a:prstGeom>
                    <a:noFill/>
                  </pic:spPr>
                </pic:pic>
              </a:graphicData>
            </a:graphic>
          </wp:anchor>
        </w:drawing>
        <w:t>Summarized statement of operations (in thousands):</w:t>
      </w:r>
    </w:p>
    <w:p>
      <w:pPr>
        <w:spacing w:after="0" w:line="191" w:lineRule="exact"/>
        <w:rPr>
          <w:sz w:val="20"/>
          <w:szCs w:val="20"/>
          <w:color w:val="auto"/>
        </w:rPr>
      </w:pPr>
    </w:p>
    <w:tbl>
      <w:tblPr>
        <w:tblLayout w:type="fixed"/>
        <w:tblInd w:w="1180" w:type="dxa"/>
        <w:tblCellMar>
          <w:top w:w="0" w:type="dxa"/>
          <w:left w:w="0" w:type="dxa"/>
          <w:bottom w:w="0" w:type="dxa"/>
          <w:right w:w="0" w:type="dxa"/>
        </w:tblCellMar>
      </w:tblPr>
      <w:tr>
        <w:trPr>
          <w:trHeight w:val="126"/>
        </w:trPr>
        <w:tc>
          <w:tcPr>
            <w:tcW w:w="3020" w:type="dxa"/>
            <w:vAlign w:val="bottom"/>
          </w:tcPr>
          <w:p>
            <w:pPr>
              <w:spacing w:after="0"/>
              <w:rPr>
                <w:sz w:val="11"/>
                <w:szCs w:val="11"/>
                <w:color w:val="auto"/>
              </w:rPr>
            </w:pPr>
          </w:p>
        </w:tc>
        <w:tc>
          <w:tcPr>
            <w:tcW w:w="2020" w:type="dxa"/>
            <w:vAlign w:val="bottom"/>
            <w:gridSpan w:val="3"/>
          </w:tcPr>
          <w:p>
            <w:pPr>
              <w:ind w:left="1100"/>
              <w:spacing w:after="0"/>
              <w:rPr>
                <w:sz w:val="20"/>
                <w:szCs w:val="20"/>
                <w:color w:val="auto"/>
              </w:rPr>
            </w:pPr>
            <w:r>
              <w:rPr>
                <w:rFonts w:ascii="Times New Roman" w:cs="Times New Roman" w:eastAsia="Times New Roman" w:hAnsi="Times New Roman"/>
                <w:sz w:val="11"/>
                <w:szCs w:val="11"/>
                <w:b w:val="1"/>
                <w:bCs w:val="1"/>
                <w:color w:val="auto"/>
              </w:rPr>
              <w:t>Six Months Ended</w:t>
            </w:r>
          </w:p>
        </w:tc>
        <w:tc>
          <w:tcPr>
            <w:tcW w:w="1620" w:type="dxa"/>
            <w:vAlign w:val="bottom"/>
            <w:gridSpan w:val="4"/>
          </w:tcPr>
          <w:p>
            <w:pPr>
              <w:ind w:left="660"/>
              <w:spacing w:after="0"/>
              <w:rPr>
                <w:sz w:val="20"/>
                <w:szCs w:val="20"/>
                <w:color w:val="auto"/>
              </w:rPr>
            </w:pPr>
            <w:r>
              <w:rPr>
                <w:rFonts w:ascii="Times New Roman" w:cs="Times New Roman" w:eastAsia="Times New Roman" w:hAnsi="Times New Roman"/>
                <w:sz w:val="11"/>
                <w:szCs w:val="11"/>
                <w:b w:val="1"/>
                <w:bCs w:val="1"/>
                <w:color w:val="auto"/>
              </w:rPr>
              <w:t>Six Months Ended</w:t>
            </w:r>
          </w:p>
        </w:tc>
        <w:tc>
          <w:tcPr>
            <w:tcW w:w="0" w:type="dxa"/>
            <w:vAlign w:val="bottom"/>
          </w:tcPr>
          <w:p>
            <w:pPr>
              <w:spacing w:after="0"/>
              <w:rPr>
                <w:sz w:val="1"/>
                <w:szCs w:val="1"/>
                <w:color w:val="auto"/>
              </w:rPr>
            </w:pPr>
          </w:p>
        </w:tc>
      </w:tr>
      <w:tr>
        <w:trPr>
          <w:trHeight w:val="137"/>
        </w:trPr>
        <w:tc>
          <w:tcPr>
            <w:tcW w:w="302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ind w:right="71"/>
              <w:spacing w:after="0"/>
              <w:rPr>
                <w:sz w:val="20"/>
                <w:szCs w:val="20"/>
                <w:color w:val="auto"/>
              </w:rPr>
            </w:pPr>
            <w:r>
              <w:rPr>
                <w:rFonts w:ascii="Times New Roman" w:cs="Times New Roman" w:eastAsia="Times New Roman" w:hAnsi="Times New Roman"/>
                <w:sz w:val="11"/>
                <w:szCs w:val="11"/>
                <w:b w:val="1"/>
                <w:bCs w:val="1"/>
                <w:color w:val="auto"/>
              </w:rPr>
              <w:t>June 30, 2026</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June 30, 2025</w:t>
            </w:r>
          </w:p>
        </w:tc>
        <w:tc>
          <w:tcPr>
            <w:tcW w:w="0" w:type="dxa"/>
            <w:vAlign w:val="bottom"/>
          </w:tcPr>
          <w:p>
            <w:pPr>
              <w:spacing w:after="0"/>
              <w:rPr>
                <w:sz w:val="1"/>
                <w:szCs w:val="1"/>
                <w:color w:val="auto"/>
              </w:rPr>
            </w:pPr>
          </w:p>
        </w:tc>
      </w:tr>
      <w:tr>
        <w:trPr>
          <w:trHeight w:val="109"/>
        </w:trPr>
        <w:tc>
          <w:tcPr>
            <w:tcW w:w="302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operating revenues</w:t>
            </w:r>
          </w:p>
        </w:tc>
        <w:tc>
          <w:tcPr>
            <w:tcW w:w="120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1,310,809</w:t>
            </w:r>
          </w:p>
        </w:tc>
        <w:tc>
          <w:tcPr>
            <w:tcW w:w="7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1,139,342</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020" w:type="dxa"/>
            <w:vAlign w:val="bottom"/>
          </w:tcPr>
          <w:p>
            <w:pPr>
              <w:spacing w:after="0"/>
              <w:rPr>
                <w:sz w:val="20"/>
                <w:szCs w:val="20"/>
                <w:color w:val="auto"/>
              </w:rPr>
            </w:pPr>
            <w:r>
              <w:rPr>
                <w:rFonts w:ascii="Times New Roman" w:cs="Times New Roman" w:eastAsia="Times New Roman" w:hAnsi="Times New Roman"/>
                <w:sz w:val="14"/>
                <w:szCs w:val="14"/>
                <w:color w:val="auto"/>
              </w:rPr>
              <w:t>Income from operations</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168,606</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115,028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w:t>
            </w: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66,406</w:t>
            </w: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24,578</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020" w:type="dxa"/>
            <w:vAlign w:val="bottom"/>
          </w:tcPr>
          <w:p>
            <w:pPr>
              <w:spacing w:after="0"/>
              <w:rPr>
                <w:sz w:val="20"/>
                <w:szCs w:val="20"/>
                <w:color w:val="auto"/>
              </w:rPr>
            </w:pPr>
            <w:r>
              <w:rPr>
                <w:rFonts w:ascii="Times New Roman" w:cs="Times New Roman" w:eastAsia="Times New Roman" w:hAnsi="Times New Roman"/>
                <w:sz w:val="14"/>
                <w:szCs w:val="14"/>
                <w:color w:val="auto"/>
              </w:rPr>
              <w:t>Net income attributable to The GEO Group, Inc.</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66,406</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24,578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3020" w:type="dxa"/>
            <w:vAlign w:val="bottom"/>
          </w:tcPr>
          <w:p>
            <w:pPr>
              <w:spacing w:after="0"/>
              <w:rPr>
                <w:sz w:val="23"/>
                <w:szCs w:val="23"/>
                <w:color w:val="auto"/>
              </w:rPr>
            </w:pPr>
          </w:p>
        </w:tc>
        <w:tc>
          <w:tcPr>
            <w:tcW w:w="1100" w:type="dxa"/>
            <w:vAlign w:val="bottom"/>
          </w:tcPr>
          <w:p>
            <w:pPr>
              <w:jc w:val="right"/>
              <w:ind w:right="653"/>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43" w:right="1440"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99630" cy="33020"/>
                    </a:xfrm>
                    <a:prstGeom prst="rect">
                      <a:avLst/>
                    </a:prstGeom>
                    <a:noFill/>
                  </pic:spPr>
                </pic:pic>
              </a:graphicData>
            </a:graphic>
          </wp:anchor>
        </w:drawing>
        <w:t>USE OF PROCEEDS</w:t>
      </w:r>
    </w:p>
    <w:p>
      <w:pPr>
        <w:spacing w:after="0" w:line="184" w:lineRule="exact"/>
        <w:rPr>
          <w:sz w:val="20"/>
          <w:szCs w:val="20"/>
          <w:color w:val="auto"/>
        </w:rPr>
      </w:pPr>
    </w:p>
    <w:p>
      <w:pPr>
        <w:ind w:left="120" w:right="379" w:firstLine="350"/>
        <w:spacing w:after="0" w:line="292" w:lineRule="auto"/>
        <w:rPr>
          <w:sz w:val="20"/>
          <w:szCs w:val="20"/>
          <w:color w:val="auto"/>
        </w:rPr>
      </w:pPr>
      <w:r>
        <w:rPr>
          <w:rFonts w:ascii="Times New Roman" w:cs="Times New Roman" w:eastAsia="Times New Roman" w:hAnsi="Times New Roman"/>
          <w:sz w:val="14"/>
          <w:szCs w:val="14"/>
          <w:color w:val="auto"/>
        </w:rPr>
        <w:t>Unless we inform you otherwise in a prospectus supplement or a free writing prospectus, we intend to use the net proceeds from the sale of the securities under this prospectus for general corporate purposes. General corporate purposes may include any of the following:</w:t>
      </w:r>
    </w:p>
    <w:p>
      <w:pPr>
        <w:spacing w:after="0" w:line="48" w:lineRule="exact"/>
        <w:rPr>
          <w:sz w:val="20"/>
          <w:szCs w:val="20"/>
          <w:color w:val="auto"/>
        </w:rPr>
      </w:pPr>
    </w:p>
    <w:p>
      <w:pPr>
        <w:ind w:left="900" w:hanging="344"/>
        <w:spacing w:after="0"/>
        <w:tabs>
          <w:tab w:leader="none" w:pos="9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debt service requirements, repaying debt and repurchases of senior notes;</w:t>
      </w:r>
    </w:p>
    <w:p>
      <w:pPr>
        <w:spacing w:after="0" w:line="107" w:lineRule="exact"/>
        <w:rPr>
          <w:rFonts w:ascii="Times New Roman" w:cs="Times New Roman" w:eastAsia="Times New Roman" w:hAnsi="Times New Roman"/>
          <w:sz w:val="14"/>
          <w:szCs w:val="14"/>
          <w:color w:val="auto"/>
        </w:rPr>
      </w:pPr>
    </w:p>
    <w:p>
      <w:pPr>
        <w:ind w:left="900" w:hanging="344"/>
        <w:spacing w:after="0"/>
        <w:tabs>
          <w:tab w:leader="none" w:pos="9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repurchases of shares of our common stock;</w:t>
      </w:r>
    </w:p>
    <w:p>
      <w:pPr>
        <w:spacing w:after="0" w:line="107" w:lineRule="exact"/>
        <w:rPr>
          <w:rFonts w:ascii="Times New Roman" w:cs="Times New Roman" w:eastAsia="Times New Roman" w:hAnsi="Times New Roman"/>
          <w:sz w:val="14"/>
          <w:szCs w:val="14"/>
          <w:color w:val="auto"/>
        </w:rPr>
      </w:pPr>
    </w:p>
    <w:p>
      <w:pPr>
        <w:ind w:left="900" w:hanging="344"/>
        <w:spacing w:after="0"/>
        <w:tabs>
          <w:tab w:leader="none" w:pos="9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providing working capital;</w:t>
      </w:r>
    </w:p>
    <w:p>
      <w:pPr>
        <w:spacing w:after="0" w:line="107" w:lineRule="exact"/>
        <w:rPr>
          <w:rFonts w:ascii="Times New Roman" w:cs="Times New Roman" w:eastAsia="Times New Roman" w:hAnsi="Times New Roman"/>
          <w:sz w:val="14"/>
          <w:szCs w:val="14"/>
          <w:color w:val="auto"/>
        </w:rPr>
      </w:pPr>
    </w:p>
    <w:p>
      <w:pPr>
        <w:ind w:left="900" w:hanging="344"/>
        <w:spacing w:after="0"/>
        <w:tabs>
          <w:tab w:leader="none" w:pos="9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funding capital expenditures;</w:t>
      </w:r>
    </w:p>
    <w:p>
      <w:pPr>
        <w:spacing w:after="0" w:line="107" w:lineRule="exact"/>
        <w:rPr>
          <w:rFonts w:ascii="Times New Roman" w:cs="Times New Roman" w:eastAsia="Times New Roman" w:hAnsi="Times New Roman"/>
          <w:sz w:val="14"/>
          <w:szCs w:val="14"/>
          <w:color w:val="auto"/>
        </w:rPr>
      </w:pPr>
    </w:p>
    <w:p>
      <w:pPr>
        <w:ind w:left="900" w:hanging="344"/>
        <w:spacing w:after="0"/>
        <w:tabs>
          <w:tab w:leader="none" w:pos="9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funding possible acquisitions or business expansion; or</w:t>
      </w:r>
    </w:p>
    <w:p>
      <w:pPr>
        <w:spacing w:after="0" w:line="107" w:lineRule="exact"/>
        <w:rPr>
          <w:rFonts w:ascii="Times New Roman" w:cs="Times New Roman" w:eastAsia="Times New Roman" w:hAnsi="Times New Roman"/>
          <w:sz w:val="14"/>
          <w:szCs w:val="14"/>
          <w:color w:val="auto"/>
        </w:rPr>
      </w:pPr>
    </w:p>
    <w:p>
      <w:pPr>
        <w:ind w:left="900" w:hanging="344"/>
        <w:spacing w:after="0"/>
        <w:tabs>
          <w:tab w:leader="none" w:pos="9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investing in or lending money to our subsidiaries.</w:t>
      </w:r>
    </w:p>
    <w:p>
      <w:pPr>
        <w:spacing w:after="0" w:line="182" w:lineRule="exact"/>
        <w:rPr>
          <w:sz w:val="20"/>
          <w:szCs w:val="20"/>
          <w:color w:val="auto"/>
        </w:rPr>
      </w:pPr>
    </w:p>
    <w:p>
      <w:pPr>
        <w:ind w:left="120" w:right="179" w:firstLine="350"/>
        <w:spacing w:after="0" w:line="274" w:lineRule="auto"/>
        <w:rPr>
          <w:sz w:val="20"/>
          <w:szCs w:val="20"/>
          <w:color w:val="auto"/>
        </w:rPr>
      </w:pPr>
      <w:r>
        <w:rPr>
          <w:rFonts w:ascii="Times New Roman" w:cs="Times New Roman" w:eastAsia="Times New Roman" w:hAnsi="Times New Roman"/>
          <w:sz w:val="14"/>
          <w:szCs w:val="14"/>
          <w:color w:val="auto"/>
        </w:rPr>
        <w:t>When a particular series of securities is offered, the prospectus supplement relating to that offer will set forth our intended use for the proceeds we receive from the sale of those securities. Pending the application of the net proceeds, we may invest the proceeds in short-term, interest-bearing instruments or other investment-grade securities.</w:t>
      </w:r>
    </w:p>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9019"/>
          </w:cols>
          <w:pgMar w:left="1440" w:top="241" w:right="1440"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99630" cy="33020"/>
                    </a:xfrm>
                    <a:prstGeom prst="rect">
                      <a:avLst/>
                    </a:prstGeom>
                    <a:noFill/>
                  </pic:spPr>
                </pic:pic>
              </a:graphicData>
            </a:graphic>
          </wp:anchor>
        </w:drawing>
        <w:t>DESCRIPTION OF CAPITAL STOCK</w:t>
      </w:r>
    </w:p>
    <w:p>
      <w:pPr>
        <w:spacing w:after="0" w:line="184" w:lineRule="exact"/>
        <w:rPr>
          <w:sz w:val="20"/>
          <w:szCs w:val="20"/>
          <w:color w:val="auto"/>
        </w:rPr>
      </w:pPr>
    </w:p>
    <w:p>
      <w:pPr>
        <w:ind w:left="120" w:right="379" w:firstLine="350"/>
        <w:spacing w:after="0" w:line="268" w:lineRule="auto"/>
        <w:rPr>
          <w:sz w:val="20"/>
          <w:szCs w:val="20"/>
          <w:color w:val="auto"/>
        </w:rPr>
      </w:pPr>
      <w:r>
        <w:rPr>
          <w:rFonts w:ascii="Times New Roman" w:cs="Times New Roman" w:eastAsia="Times New Roman" w:hAnsi="Times New Roman"/>
          <w:sz w:val="14"/>
          <w:szCs w:val="14"/>
          <w:color w:val="auto"/>
        </w:rPr>
        <w:t>The following is a description of the material terms of our common stock and undesignated preferred stock as set forth in our Amended and Restated Articles of Incorporation, as amended (the “Amended Articles”) and our Third Amended and Restated Bylaws, as amended (the “Amended Bylaws”), which govern the rights of our capital stock. The following description of our capital stock is only a summary. You should read it together with the Amended Articles and Amended Bylaws, which have been publicly filed with the SEC. See “Where You Can Find More Information.”</w:t>
      </w:r>
    </w:p>
    <w:p>
      <w:pPr>
        <w:spacing w:after="0" w:line="2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Authorized Capital</w:t>
      </w:r>
    </w:p>
    <w:p>
      <w:pPr>
        <w:spacing w:after="0" w:line="99" w:lineRule="exact"/>
        <w:rPr>
          <w:sz w:val="20"/>
          <w:szCs w:val="20"/>
          <w:color w:val="auto"/>
        </w:rPr>
      </w:pPr>
    </w:p>
    <w:p>
      <w:pPr>
        <w:ind w:left="120" w:right="259" w:firstLine="350"/>
        <w:spacing w:after="0" w:line="292" w:lineRule="auto"/>
        <w:rPr>
          <w:sz w:val="20"/>
          <w:szCs w:val="20"/>
          <w:color w:val="auto"/>
        </w:rPr>
      </w:pPr>
      <w:r>
        <w:rPr>
          <w:rFonts w:ascii="Times New Roman" w:cs="Times New Roman" w:eastAsia="Times New Roman" w:hAnsi="Times New Roman"/>
          <w:sz w:val="14"/>
          <w:szCs w:val="14"/>
          <w:color w:val="auto"/>
        </w:rPr>
        <w:t>The Amended Articles authorize GEO to issue up to 255,000,000 shares of capital stock, consisting of 225,000,000 shares of common stock, par value $0.01 per share, and 30,000,000 shares of preferred stock, par value $0.01 per share.</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9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As of October 29, 2026, 132,368,960 shares of common stock were issued and outstanding.</w:t>
      </w:r>
    </w:p>
    <w:p>
      <w:pPr>
        <w:spacing w:after="0" w:line="180" w:lineRule="exact"/>
        <w:rPr>
          <w:sz w:val="20"/>
          <w:szCs w:val="20"/>
          <w:color w:val="auto"/>
        </w:rPr>
      </w:pPr>
    </w:p>
    <w:p>
      <w:pPr>
        <w:ind w:left="120" w:right="179" w:firstLine="350"/>
        <w:spacing w:after="0" w:line="267" w:lineRule="auto"/>
        <w:rPr>
          <w:sz w:val="20"/>
          <w:szCs w:val="20"/>
          <w:color w:val="auto"/>
        </w:rPr>
      </w:pPr>
      <w:r>
        <w:rPr>
          <w:rFonts w:ascii="Times New Roman" w:cs="Times New Roman" w:eastAsia="Times New Roman" w:hAnsi="Times New Roman"/>
          <w:sz w:val="14"/>
          <w:szCs w:val="14"/>
          <w:i w:val="1"/>
          <w:iCs w:val="1"/>
          <w:color w:val="auto"/>
        </w:rPr>
        <w:t>Voting Rights</w:t>
      </w:r>
      <w:r>
        <w:rPr>
          <w:rFonts w:ascii="Times New Roman" w:cs="Times New Roman" w:eastAsia="Times New Roman" w:hAnsi="Times New Roman"/>
          <w:sz w:val="14"/>
          <w:szCs w:val="14"/>
          <w:color w:val="auto"/>
        </w:rPr>
        <w:t>. With respect to all matters upon which shareholders are entitled to vote, the holders of common stock are entitled to one vote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person or by proxy for each share of common stock outstanding in the name of such shareholders on the record of shareholders. Generally, all matters to be voted on by shareholders must be approved by a majority (or by a plurality in the case of election of directors where the number of candidates nominated for election exceeds the number of directors to be elected) of the votes entitled to be cast by all shares of common stock present in person or by proxy.</w:t>
      </w:r>
    </w:p>
    <w:p>
      <w:pPr>
        <w:spacing w:after="0" w:line="314" w:lineRule="exact"/>
        <w:rPr>
          <w:sz w:val="20"/>
          <w:szCs w:val="20"/>
          <w:color w:val="auto"/>
        </w:rPr>
      </w:pPr>
    </w:p>
    <w:p>
      <w:pPr>
        <w:ind w:left="120" w:right="199" w:firstLine="350"/>
        <w:spacing w:after="0" w:line="262" w:lineRule="auto"/>
        <w:rPr>
          <w:sz w:val="20"/>
          <w:szCs w:val="20"/>
          <w:color w:val="auto"/>
        </w:rPr>
      </w:pPr>
      <w:r>
        <w:rPr>
          <w:rFonts w:ascii="Times New Roman" w:cs="Times New Roman" w:eastAsia="Times New Roman" w:hAnsi="Times New Roman"/>
          <w:sz w:val="14"/>
          <w:szCs w:val="14"/>
          <w:i w:val="1"/>
          <w:iCs w:val="1"/>
          <w:color w:val="auto"/>
        </w:rPr>
        <w:t>Dividends</w:t>
      </w:r>
      <w:r>
        <w:rPr>
          <w:rFonts w:ascii="Times New Roman" w:cs="Times New Roman" w:eastAsia="Times New Roman" w:hAnsi="Times New Roman"/>
          <w:sz w:val="14"/>
          <w:szCs w:val="14"/>
          <w:color w:val="auto"/>
        </w:rPr>
        <w:t>. Subject to applicable law and rights, if any, of the holders of any outstanding series of preferred stock or any class or series of stock</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having a preference over common stock with respect to the payment of dividends, dividends may be declared and paid on the common stock from time to time and in amounts as the board of directors may determine. We commenced declaring regular quarterly distributions beginning the first quarter of 2013. On December 2, 2021, GEO’s board of directors unanimously approved a plan to terminate our REIT status and become a taxable C Corporation, effective for the year ended December 31, 2021. In connection with terminating GEO’s REIT status, the board of directors also voted unanimously to discontinue our quarterly dividend payments. The amount, timing and frequency of any future dividends will be at the sole discretion of the board of directors based upon various factors.</w:t>
      </w:r>
    </w:p>
    <w:p>
      <w:pPr>
        <w:spacing w:after="0" w:line="143" w:lineRule="exact"/>
        <w:rPr>
          <w:sz w:val="20"/>
          <w:szCs w:val="20"/>
          <w:color w:val="auto"/>
        </w:rPr>
      </w:pPr>
    </w:p>
    <w:p>
      <w:pPr>
        <w:jc w:val="both"/>
        <w:ind w:left="120" w:right="259" w:firstLine="350"/>
        <w:spacing w:after="0" w:line="263" w:lineRule="auto"/>
        <w:rPr>
          <w:sz w:val="20"/>
          <w:szCs w:val="20"/>
          <w:color w:val="auto"/>
        </w:rPr>
      </w:pPr>
      <w:r>
        <w:rPr>
          <w:rFonts w:ascii="Times New Roman" w:cs="Times New Roman" w:eastAsia="Times New Roman" w:hAnsi="Times New Roman"/>
          <w:sz w:val="14"/>
          <w:szCs w:val="14"/>
          <w:i w:val="1"/>
          <w:iCs w:val="1"/>
          <w:color w:val="auto"/>
        </w:rPr>
        <w:t>Liquidation Rights</w:t>
      </w:r>
      <w:r>
        <w:rPr>
          <w:rFonts w:ascii="Times New Roman" w:cs="Times New Roman" w:eastAsia="Times New Roman" w:hAnsi="Times New Roman"/>
          <w:sz w:val="14"/>
          <w:szCs w:val="14"/>
          <w:color w:val="auto"/>
        </w:rPr>
        <w:t>. Upon the liquidation, dissolution or winding up of GEO, whether voluntary or involuntary, the holders of common stock will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be entitled to share ratably in all assets available for distribution after payment in full to creditors and payment in full to holders of preferred stock then outstanding of any amount required to be paid to them. Neither the merger, consolidation or business combination of GEO with or into any other entity in which our shareholders receive capital stock and/or other securities (including debt securities) of the surviving entity (or the direct or indirect parent entity thereof), nor the sale, lease or transfer by us of any part of our business and assets, nor the reduction of our capital stock, will be deemed to be a voluntary or involuntary liquidation, dissolution or winding up.</w:t>
      </w:r>
    </w:p>
    <w:p>
      <w:pPr>
        <w:spacing w:after="0" w:line="143" w:lineRule="exact"/>
        <w:rPr>
          <w:sz w:val="20"/>
          <w:szCs w:val="20"/>
          <w:color w:val="auto"/>
        </w:rPr>
      </w:pPr>
    </w:p>
    <w:p>
      <w:pPr>
        <w:ind w:left="120" w:right="319" w:firstLine="350"/>
        <w:spacing w:after="0" w:line="295" w:lineRule="auto"/>
        <w:rPr>
          <w:sz w:val="20"/>
          <w:szCs w:val="20"/>
          <w:color w:val="auto"/>
        </w:rPr>
      </w:pPr>
      <w:r>
        <w:rPr>
          <w:rFonts w:ascii="Times New Roman" w:cs="Times New Roman" w:eastAsia="Times New Roman" w:hAnsi="Times New Roman"/>
          <w:sz w:val="14"/>
          <w:szCs w:val="14"/>
          <w:i w:val="1"/>
          <w:iCs w:val="1"/>
          <w:color w:val="auto"/>
        </w:rPr>
        <w:t>Other Provisions</w:t>
      </w:r>
      <w:r>
        <w:rPr>
          <w:rFonts w:ascii="Times New Roman" w:cs="Times New Roman" w:eastAsia="Times New Roman" w:hAnsi="Times New Roman"/>
          <w:sz w:val="14"/>
          <w:szCs w:val="14"/>
          <w:color w:val="auto"/>
        </w:rPr>
        <w:t>. The holders of common stock have no preemptive, subscription or redemption rights and are not entitled to the benefit of any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sinking fund.</w:t>
      </w:r>
    </w:p>
    <w:p>
      <w:pPr>
        <w:spacing w:after="0" w:line="121" w:lineRule="exact"/>
        <w:rPr>
          <w:sz w:val="20"/>
          <w:szCs w:val="20"/>
          <w:color w:val="auto"/>
        </w:rPr>
      </w:pPr>
    </w:p>
    <w:p>
      <w:pPr>
        <w:ind w:left="120" w:right="739" w:firstLine="350"/>
        <w:spacing w:after="0" w:line="292" w:lineRule="auto"/>
        <w:rPr>
          <w:sz w:val="20"/>
          <w:szCs w:val="20"/>
          <w:color w:val="auto"/>
        </w:rPr>
      </w:pPr>
      <w:r>
        <w:rPr>
          <w:rFonts w:ascii="Times New Roman" w:cs="Times New Roman" w:eastAsia="Times New Roman" w:hAnsi="Times New Roman"/>
          <w:sz w:val="14"/>
          <w:szCs w:val="14"/>
          <w:color w:val="auto"/>
        </w:rPr>
        <w:t>GEO is not permitted to subdivide, combine, or pay or declare any stock dividend on, the outstanding shares of common stock unless all outstanding shares of common stock are subdivided or combined, or the holders of common stock receive a proportionate dividend.</w:t>
      </w:r>
    </w:p>
    <w:p>
      <w:pPr>
        <w:spacing w:after="0" w:line="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9019"/>
          </w:cols>
          <w:pgMar w:left="1440" w:top="241" w:right="1440" w:bottom="1440" w:gutter="0" w:footer="0" w:header="0"/>
        </w:sectPr>
      </w:pPr>
    </w:p>
    <w:bookmarkStart w:id="18" w:name="page19"/>
    <w:bookmarkEnd w:id="18"/>
    <w:p>
      <w:pPr>
        <w:ind w:left="1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99630" cy="33020"/>
                    </a:xfrm>
                    <a:prstGeom prst="rect">
                      <a:avLst/>
                    </a:prstGeom>
                    <a:noFill/>
                  </pic:spPr>
                </pic:pic>
              </a:graphicData>
            </a:graphic>
          </wp:anchor>
        </w:drawing>
        <w:t>Preferred Stock</w:t>
      </w:r>
    </w:p>
    <w:p>
      <w:pPr>
        <w:spacing w:after="0" w:line="99" w:lineRule="exact"/>
        <w:rPr>
          <w:sz w:val="20"/>
          <w:szCs w:val="20"/>
          <w:color w:val="auto"/>
        </w:rPr>
      </w:pPr>
    </w:p>
    <w:p>
      <w:pPr>
        <w:ind w:left="120" w:right="199" w:firstLine="350"/>
        <w:spacing w:after="0" w:line="274" w:lineRule="auto"/>
        <w:rPr>
          <w:sz w:val="20"/>
          <w:szCs w:val="20"/>
          <w:color w:val="auto"/>
        </w:rPr>
      </w:pPr>
      <w:r>
        <w:rPr>
          <w:rFonts w:ascii="Times New Roman" w:cs="Times New Roman" w:eastAsia="Times New Roman" w:hAnsi="Times New Roman"/>
          <w:sz w:val="14"/>
          <w:szCs w:val="14"/>
          <w:color w:val="auto"/>
        </w:rPr>
        <w:t>Pursuant to the Amended Articles, the board of directors is empowered, without any approval of our shareholders, to issue shares of preferred stock in one or more series, to establish the number of shares in each series, and to fix the relative rights, preferences, powers, qualifications, limitations and restrictions of each such series. The specific matters that may be determined by the board of directors include:</w:t>
      </w:r>
    </w:p>
    <w:p>
      <w:pPr>
        <w:spacing w:after="0" w:line="60" w:lineRule="exact"/>
        <w:rPr>
          <w:sz w:val="20"/>
          <w:szCs w:val="20"/>
          <w:color w:val="auto"/>
        </w:rPr>
      </w:pPr>
    </w:p>
    <w:p>
      <w:pPr>
        <w:ind w:left="900" w:right="339" w:hanging="344"/>
        <w:spacing w:after="0" w:line="274" w:lineRule="auto"/>
        <w:tabs>
          <w:tab w:leader="none" w:pos="9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shares of the series are redeemable, and if so, the prices at which, and the terms and conditions on which, the shares may be redeemed, including the date or dates upon or after which the shares shall be redeemable and the amount per share payable in case of redemption;</w:t>
      </w:r>
    </w:p>
    <w:p>
      <w:pPr>
        <w:spacing w:after="0" w:line="60" w:lineRule="exact"/>
        <w:rPr>
          <w:rFonts w:ascii="Times New Roman" w:cs="Times New Roman" w:eastAsia="Times New Roman" w:hAnsi="Times New Roman"/>
          <w:sz w:val="14"/>
          <w:szCs w:val="14"/>
          <w:color w:val="auto"/>
        </w:rPr>
      </w:pPr>
    </w:p>
    <w:p>
      <w:pPr>
        <w:ind w:left="900" w:right="239" w:hanging="344"/>
        <w:spacing w:after="0" w:line="285" w:lineRule="auto"/>
        <w:tabs>
          <w:tab w:leader="none" w:pos="9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shares of the series will be entitled to receive distributions and, if so, the distribution rate on the shares, any restriction, limitation or condition upon the payment of the distributions, whether distributions will be cumulative, and the dates on which distributions are payable;</w:t>
      </w:r>
    </w:p>
    <w:p>
      <w:pPr>
        <w:spacing w:after="0" w:line="229" w:lineRule="exact"/>
        <w:rPr>
          <w:rFonts w:ascii="Times New Roman" w:cs="Times New Roman" w:eastAsia="Times New Roman" w:hAnsi="Times New Roman"/>
          <w:sz w:val="14"/>
          <w:szCs w:val="14"/>
          <w:color w:val="auto"/>
        </w:rPr>
      </w:pPr>
    </w:p>
    <w:p>
      <w:pPr>
        <w:ind w:left="900" w:right="199" w:hanging="344"/>
        <w:spacing w:after="0" w:line="292" w:lineRule="auto"/>
        <w:tabs>
          <w:tab w:leader="none" w:pos="9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preferential amount payable upon shares of the series in the event of voluntary or involuntary liquidation, dissolution or winding up of GEO;</w:t>
      </w:r>
    </w:p>
    <w:p>
      <w:pPr>
        <w:spacing w:after="0" w:line="48" w:lineRule="exact"/>
        <w:rPr>
          <w:rFonts w:ascii="Times New Roman" w:cs="Times New Roman" w:eastAsia="Times New Roman" w:hAnsi="Times New Roman"/>
          <w:sz w:val="14"/>
          <w:szCs w:val="14"/>
          <w:color w:val="auto"/>
        </w:rPr>
      </w:pPr>
    </w:p>
    <w:p>
      <w:pPr>
        <w:ind w:left="900" w:right="259" w:hanging="344"/>
        <w:spacing w:after="0" w:line="274" w:lineRule="auto"/>
        <w:tabs>
          <w:tab w:leader="none" w:pos="9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shares of the series are convertible, or exchangeable for, shares of any other class or classes of stock or of any other series of stock, or any other securities of GEO, and if so, the terms and conditions of such conversion or exchange, including price or rates of conversion at which, and the terms and conditions on which, the shares of the series may be converted or exchanged into other securities;</w:t>
      </w:r>
    </w:p>
    <w:p>
      <w:pPr>
        <w:spacing w:after="0" w:line="60" w:lineRule="exact"/>
        <w:rPr>
          <w:rFonts w:ascii="Times New Roman" w:cs="Times New Roman" w:eastAsia="Times New Roman" w:hAnsi="Times New Roman"/>
          <w:sz w:val="14"/>
          <w:szCs w:val="14"/>
          <w:color w:val="auto"/>
        </w:rPr>
      </w:pPr>
    </w:p>
    <w:p>
      <w:pPr>
        <w:ind w:left="900" w:hanging="344"/>
        <w:spacing w:after="0"/>
        <w:tabs>
          <w:tab w:leader="none" w:pos="9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terms and conditions of retirement or sinking fund provisions, if any, for the purchase or redemption of shares of the series;</w:t>
      </w:r>
    </w:p>
    <w:p>
      <w:pPr>
        <w:spacing w:after="0" w:line="107" w:lineRule="exact"/>
        <w:rPr>
          <w:rFonts w:ascii="Times New Roman" w:cs="Times New Roman" w:eastAsia="Times New Roman" w:hAnsi="Times New Roman"/>
          <w:sz w:val="14"/>
          <w:szCs w:val="14"/>
          <w:color w:val="auto"/>
        </w:rPr>
      </w:pPr>
    </w:p>
    <w:p>
      <w:pPr>
        <w:ind w:left="900" w:hanging="344"/>
        <w:spacing w:after="0"/>
        <w:tabs>
          <w:tab w:leader="none" w:pos="9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distinctive designation of each series and the number of shares that will constitute the series;</w:t>
      </w:r>
    </w:p>
    <w:p>
      <w:pPr>
        <w:spacing w:after="0" w:line="107" w:lineRule="exact"/>
        <w:rPr>
          <w:rFonts w:ascii="Times New Roman" w:cs="Times New Roman" w:eastAsia="Times New Roman" w:hAnsi="Times New Roman"/>
          <w:sz w:val="14"/>
          <w:szCs w:val="14"/>
          <w:color w:val="auto"/>
        </w:rPr>
      </w:pPr>
    </w:p>
    <w:p>
      <w:pPr>
        <w:ind w:left="900" w:hanging="344"/>
        <w:spacing w:after="0"/>
        <w:tabs>
          <w:tab w:leader="none" w:pos="9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voting power, if any, of shares of the series; and</w:t>
      </w:r>
    </w:p>
    <w:p>
      <w:pPr>
        <w:spacing w:after="0" w:line="107" w:lineRule="exact"/>
        <w:rPr>
          <w:rFonts w:ascii="Times New Roman" w:cs="Times New Roman" w:eastAsia="Times New Roman" w:hAnsi="Times New Roman"/>
          <w:sz w:val="14"/>
          <w:szCs w:val="14"/>
          <w:color w:val="auto"/>
        </w:rPr>
      </w:pPr>
    </w:p>
    <w:p>
      <w:pPr>
        <w:ind w:left="900" w:hanging="344"/>
        <w:spacing w:after="0"/>
        <w:tabs>
          <w:tab w:leader="none" w:pos="9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relative rights, preferences or limitations.</w:t>
      </w:r>
    </w:p>
    <w:p>
      <w:pPr>
        <w:spacing w:after="0" w:line="1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Currently, there are no shares of preferred stock issued and outstanding.</w:t>
      </w:r>
    </w:p>
    <w:p>
      <w:pPr>
        <w:spacing w:after="0" w:line="182" w:lineRule="exact"/>
        <w:rPr>
          <w:sz w:val="20"/>
          <w:szCs w:val="20"/>
          <w:color w:val="auto"/>
        </w:rPr>
      </w:pPr>
    </w:p>
    <w:p>
      <w:pPr>
        <w:ind w:left="120" w:right="239" w:firstLine="350"/>
        <w:spacing w:after="0" w:line="274" w:lineRule="auto"/>
        <w:rPr>
          <w:sz w:val="20"/>
          <w:szCs w:val="20"/>
          <w:color w:val="auto"/>
        </w:rPr>
      </w:pPr>
      <w:r>
        <w:rPr>
          <w:rFonts w:ascii="Times New Roman" w:cs="Times New Roman" w:eastAsia="Times New Roman" w:hAnsi="Times New Roman"/>
          <w:sz w:val="14"/>
          <w:szCs w:val="14"/>
          <w:color w:val="auto"/>
        </w:rPr>
        <w:t>Because the board of directors will have the power to establish the preferences and rights of each series of preferred stock, it may afford the shareholders of any series of preferred stock preferences, powers and rights senior to the rights of holders of shares of common stock which could have the effect of delaying, deferring or preventing a change in control of GEO.</w:t>
      </w:r>
    </w:p>
    <w:p>
      <w:pPr>
        <w:spacing w:after="0" w:line="2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Proxy Access</w:t>
      </w:r>
    </w:p>
    <w:p>
      <w:pPr>
        <w:spacing w:after="0" w:line="99" w:lineRule="exact"/>
        <w:rPr>
          <w:sz w:val="20"/>
          <w:szCs w:val="20"/>
          <w:color w:val="auto"/>
        </w:rPr>
      </w:pPr>
    </w:p>
    <w:p>
      <w:pPr>
        <w:ind w:left="120" w:right="179" w:firstLine="350"/>
        <w:spacing w:after="0" w:line="264" w:lineRule="auto"/>
        <w:rPr>
          <w:sz w:val="20"/>
          <w:szCs w:val="20"/>
          <w:color w:val="auto"/>
        </w:rPr>
      </w:pPr>
      <w:r>
        <w:rPr>
          <w:rFonts w:ascii="Times New Roman" w:cs="Times New Roman" w:eastAsia="Times New Roman" w:hAnsi="Times New Roman"/>
          <w:sz w:val="14"/>
          <w:szCs w:val="14"/>
          <w:color w:val="auto"/>
        </w:rPr>
        <w:t>Our Amended Bylaws permit a shareholder, or a group of up to twenty (20) shareholders, owning three percent (3%) or more of the Company’s outstanding common stock continuously for at least three (3) years, to nominate twenty percent (20%) of the number of directors then in office (rounding down to the nearest whole number) provided that the shareholder or group and each nominee satisfy the eligibility, procedural and disclosure requirements for proxy access as specified in the Amended Bylaws, including that the Company receive notice of such nominations between 90 and 120 days prior to the anniversary date of the previous year’s annual meeting of shareholders. The notice must contain certain information specified in the Amended Bylaws.</w:t>
      </w:r>
    </w:p>
    <w:p>
      <w:pPr>
        <w:spacing w:after="0" w:line="4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Listing</w:t>
      </w:r>
    </w:p>
    <w:p>
      <w:pPr>
        <w:spacing w:after="0" w:line="9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Our common stock is listed on the NYSE under the trading symbol “GEO.”</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Transfer Agent and Registrar</w:t>
      </w:r>
    </w:p>
    <w:p>
      <w:pPr>
        <w:spacing w:after="0" w:line="99" w:lineRule="exact"/>
        <w:rPr>
          <w:sz w:val="20"/>
          <w:szCs w:val="20"/>
          <w:color w:val="auto"/>
        </w:rPr>
      </w:pPr>
    </w:p>
    <w:p>
      <w:pPr>
        <w:ind w:left="120" w:right="299" w:firstLine="350"/>
        <w:spacing w:after="0" w:line="292" w:lineRule="auto"/>
        <w:rPr>
          <w:sz w:val="20"/>
          <w:szCs w:val="20"/>
          <w:color w:val="auto"/>
        </w:rPr>
      </w:pPr>
      <w:r>
        <w:rPr>
          <w:rFonts w:ascii="Times New Roman" w:cs="Times New Roman" w:eastAsia="Times New Roman" w:hAnsi="Times New Roman"/>
          <w:sz w:val="14"/>
          <w:szCs w:val="14"/>
          <w:color w:val="auto"/>
        </w:rPr>
        <w:t>The transfer agent and registrar for GEO’s common stock is Computershare Trust Company, N.A., whose principal executive office is located at 250 Royall Street, Canton, MA 02021.</w:t>
      </w:r>
    </w:p>
    <w:p>
      <w:pPr>
        <w:spacing w:after="0" w:line="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9019"/>
          </w:cols>
          <w:pgMar w:left="1440" w:top="241" w:right="1440"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99630" cy="33020"/>
                    </a:xfrm>
                    <a:prstGeom prst="rect">
                      <a:avLst/>
                    </a:prstGeom>
                    <a:noFill/>
                  </pic:spPr>
                </pic:pic>
              </a:graphicData>
            </a:graphic>
          </wp:anchor>
        </w:drawing>
        <w:t>DESCRIPTION OF DEBT SECURITIES</w:t>
      </w:r>
    </w:p>
    <w:p>
      <w:pPr>
        <w:spacing w:after="0" w:line="184" w:lineRule="exact"/>
        <w:rPr>
          <w:sz w:val="20"/>
          <w:szCs w:val="20"/>
          <w:color w:val="auto"/>
        </w:rPr>
      </w:pPr>
    </w:p>
    <w:p>
      <w:pPr>
        <w:ind w:left="120" w:right="319" w:firstLine="350"/>
        <w:spacing w:after="0" w:line="263" w:lineRule="auto"/>
        <w:rPr>
          <w:sz w:val="20"/>
          <w:szCs w:val="20"/>
          <w:color w:val="auto"/>
        </w:rPr>
      </w:pPr>
      <w:r>
        <w:rPr>
          <w:rFonts w:ascii="Times New Roman" w:cs="Times New Roman" w:eastAsia="Times New Roman" w:hAnsi="Times New Roman"/>
          <w:sz w:val="14"/>
          <w:szCs w:val="14"/>
          <w:color w:val="auto"/>
        </w:rPr>
        <w:t>We may issue debt securities under one or more indentures or supplemental indentures between us and the trustee identified in the applicable prospectus supplement. Any indenture or supplemental indenture will be subject to, and governed by, the Trust Indenture Act of 1939, as amended, as provided in such indenture or supplemental indenture. The statements made in this prospectus relating to the debt securities to be issued under the indenture(s) or supplemental indenture(s) are summaries of certain anticipated provisions of the indenture(s) or supplemental indenture(s) and are not complete. We will file a copy of the supplemental indenture(s) with the SEC at or before the time of the offering of the applicable series of debt securities. You should refer to those indenture(s) or supplemental indenture(s) for the complete terms of the debt securities.</w:t>
      </w:r>
    </w:p>
    <w:p>
      <w:pPr>
        <w:spacing w:after="0" w:line="143" w:lineRule="exact"/>
        <w:rPr>
          <w:sz w:val="20"/>
          <w:szCs w:val="20"/>
          <w:color w:val="auto"/>
        </w:rPr>
      </w:pPr>
    </w:p>
    <w:p>
      <w:pPr>
        <w:ind w:left="120" w:right="319" w:firstLine="350"/>
        <w:spacing w:after="0" w:line="292" w:lineRule="auto"/>
        <w:rPr>
          <w:sz w:val="20"/>
          <w:szCs w:val="20"/>
          <w:color w:val="auto"/>
        </w:rPr>
      </w:pPr>
      <w:r>
        <w:rPr>
          <w:rFonts w:ascii="Times New Roman" w:cs="Times New Roman" w:eastAsia="Times New Roman" w:hAnsi="Times New Roman"/>
          <w:sz w:val="14"/>
          <w:szCs w:val="14"/>
          <w:color w:val="auto"/>
        </w:rPr>
        <w:t>As of June 30, 2026, we had outstanding $650.0 million of 8.625% Senior Secured Notes due 2029 and $625.0 million of Unsecured Notes. On October 15, 2026, we redeemed all $650.0 million outstanding of 8.625% Senior Secured Notes due 2029.</w:t>
      </w:r>
    </w:p>
    <w:p>
      <w:pPr>
        <w:spacing w:after="0" w:line="123" w:lineRule="exact"/>
        <w:rPr>
          <w:sz w:val="20"/>
          <w:szCs w:val="20"/>
          <w:color w:val="auto"/>
        </w:rPr>
      </w:pPr>
    </w:p>
    <w:p>
      <w:pPr>
        <w:ind w:left="120" w:right="219" w:firstLine="350"/>
        <w:spacing w:after="0" w:line="265" w:lineRule="auto"/>
        <w:rPr>
          <w:sz w:val="20"/>
          <w:szCs w:val="20"/>
          <w:color w:val="auto"/>
        </w:rPr>
      </w:pPr>
      <w:r>
        <w:rPr>
          <w:rFonts w:ascii="Times New Roman" w:cs="Times New Roman" w:eastAsia="Times New Roman" w:hAnsi="Times New Roman"/>
          <w:sz w:val="14"/>
          <w:szCs w:val="14"/>
          <w:color w:val="auto"/>
        </w:rPr>
        <w:t>The following description, together with the additional information we include in any applicable prospectus supplement, summarizes the material terms and provisions of the debt securities that we may offer under this prospectus. While the terms we have summarized below will generally apply to any future debt securities we may offer under this prospectus, we will describe the particular terms of any debt securities that we may offer in more detail in the applicable prospectus supplements. The terms of any debt securities we offer under a prospectus supplement may differ from the terms we describe below.</w:t>
      </w:r>
    </w:p>
    <w:p>
      <w:pPr>
        <w:spacing w:after="0" w:line="141" w:lineRule="exact"/>
        <w:rPr>
          <w:sz w:val="20"/>
          <w:szCs w:val="20"/>
          <w:color w:val="auto"/>
        </w:rPr>
      </w:pPr>
    </w:p>
    <w:p>
      <w:pPr>
        <w:ind w:left="120" w:right="219" w:firstLine="350"/>
        <w:spacing w:after="0" w:line="266" w:lineRule="auto"/>
        <w:rPr>
          <w:sz w:val="20"/>
          <w:szCs w:val="20"/>
          <w:color w:val="auto"/>
        </w:rPr>
      </w:pPr>
      <w:r>
        <w:rPr>
          <w:rFonts w:ascii="Times New Roman" w:cs="Times New Roman" w:eastAsia="Times New Roman" w:hAnsi="Times New Roman"/>
          <w:sz w:val="14"/>
          <w:szCs w:val="14"/>
          <w:color w:val="auto"/>
        </w:rPr>
        <w:t>We may offer debt securities in the form of either senior debt securities or subordinated debt securities. The senior debt securities and the subordinated debt securities are together referred to in this prospectus as the “debt securities.” Unless otherwise specified in a supplement to this prospectus, any senior debt securities will be our direct, unsecured obligations and will rank equally with all of our other unsecured and unsubordinated indebtedness. Any subordinated debt securities generally will be entitled to payment only after payment of our senior debt. See “—Subordination” below.</w:t>
      </w:r>
    </w:p>
    <w:p>
      <w:pPr>
        <w:spacing w:after="0" w:line="4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9" w:lineRule="exact"/>
        <w:rPr>
          <w:sz w:val="20"/>
          <w:szCs w:val="20"/>
          <w:color w:val="auto"/>
        </w:rPr>
      </w:pPr>
    </w:p>
    <w:p>
      <w:pPr>
        <w:ind w:left="120" w:right="239" w:firstLine="350"/>
        <w:spacing w:after="0" w:line="274" w:lineRule="auto"/>
        <w:rPr>
          <w:sz w:val="20"/>
          <w:szCs w:val="20"/>
          <w:color w:val="auto"/>
        </w:rPr>
      </w:pPr>
      <w:r>
        <w:rPr>
          <w:rFonts w:ascii="Times New Roman" w:cs="Times New Roman" w:eastAsia="Times New Roman" w:hAnsi="Times New Roman"/>
          <w:sz w:val="14"/>
          <w:szCs w:val="14"/>
          <w:color w:val="auto"/>
        </w:rPr>
        <w:t>The terms of each series of debt securities will be established by or pursuant to a resolution of our board of directors, or a committee thereof, and set forth or determined in the manner provided in an officers’ certificate or by a supplemental indenture. The particular terms of each series of debt securities will be described in a prospectus supplement relating to such series, including any pricing supplement.</w:t>
      </w:r>
    </w:p>
    <w:p>
      <w:pPr>
        <w:spacing w:after="0" w:line="135" w:lineRule="exact"/>
        <w:rPr>
          <w:sz w:val="20"/>
          <w:szCs w:val="20"/>
          <w:color w:val="auto"/>
        </w:rPr>
      </w:pPr>
    </w:p>
    <w:p>
      <w:pPr>
        <w:ind w:left="120" w:right="299" w:firstLine="350"/>
        <w:spacing w:after="0" w:line="274" w:lineRule="auto"/>
        <w:rPr>
          <w:sz w:val="20"/>
          <w:szCs w:val="20"/>
          <w:color w:val="auto"/>
        </w:rPr>
      </w:pPr>
      <w:r>
        <w:rPr>
          <w:rFonts w:ascii="Times New Roman" w:cs="Times New Roman" w:eastAsia="Times New Roman" w:hAnsi="Times New Roman"/>
          <w:sz w:val="14"/>
          <w:szCs w:val="14"/>
          <w:color w:val="auto"/>
        </w:rPr>
        <w:t>We can issue an unlimited amount of debt securities under an indenture that may be in one or more series with the same or various maturities, at par, at a premium or at a discount. We will set forth in a prospectus supplement, including any pricing supplement, relating to any series of debt securities being offered, the following terms of the debt securities:</w:t>
      </w:r>
    </w:p>
    <w:p>
      <w:pPr>
        <w:spacing w:after="0" w:line="60" w:lineRule="exact"/>
        <w:rPr>
          <w:sz w:val="20"/>
          <w:szCs w:val="20"/>
          <w:color w:val="auto"/>
        </w:rPr>
      </w:pPr>
    </w:p>
    <w:p>
      <w:pPr>
        <w:ind w:left="900" w:hanging="344"/>
        <w:spacing w:after="0"/>
        <w:tabs>
          <w:tab w:leader="none" w:pos="9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w:t>
      </w:r>
    </w:p>
    <w:p>
      <w:pPr>
        <w:spacing w:after="0" w:line="107" w:lineRule="exact"/>
        <w:rPr>
          <w:rFonts w:ascii="Times New Roman" w:cs="Times New Roman" w:eastAsia="Times New Roman" w:hAnsi="Times New Roman"/>
          <w:sz w:val="14"/>
          <w:szCs w:val="14"/>
          <w:color w:val="auto"/>
        </w:rPr>
      </w:pPr>
    </w:p>
    <w:p>
      <w:pPr>
        <w:ind w:left="900" w:hanging="344"/>
        <w:spacing w:after="0"/>
        <w:tabs>
          <w:tab w:leader="none" w:pos="9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principal amount being offered, and, if a series, the total amount authorized and the total amount outstanding;</w:t>
      </w:r>
    </w:p>
    <w:p>
      <w:pPr>
        <w:spacing w:after="0" w:line="107" w:lineRule="exact"/>
        <w:rPr>
          <w:rFonts w:ascii="Times New Roman" w:cs="Times New Roman" w:eastAsia="Times New Roman" w:hAnsi="Times New Roman"/>
          <w:sz w:val="14"/>
          <w:szCs w:val="14"/>
          <w:color w:val="auto"/>
        </w:rPr>
      </w:pPr>
    </w:p>
    <w:p>
      <w:pPr>
        <w:ind w:left="900" w:hanging="344"/>
        <w:spacing w:after="0"/>
        <w:tabs>
          <w:tab w:leader="none" w:pos="9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limit on the amount that may be issued;</w:t>
      </w:r>
    </w:p>
    <w:p>
      <w:pPr>
        <w:spacing w:after="0" w:line="107" w:lineRule="exact"/>
        <w:rPr>
          <w:rFonts w:ascii="Times New Roman" w:cs="Times New Roman" w:eastAsia="Times New Roman" w:hAnsi="Times New Roman"/>
          <w:sz w:val="14"/>
          <w:szCs w:val="14"/>
          <w:color w:val="auto"/>
        </w:rPr>
      </w:pPr>
    </w:p>
    <w:p>
      <w:pPr>
        <w:ind w:left="900" w:right="199" w:hanging="344"/>
        <w:spacing w:after="0" w:line="274" w:lineRule="auto"/>
        <w:tabs>
          <w:tab w:leader="none" w:pos="9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or not we will issue the series of debt securities in global form and, if so, who the depositary will be and the terms and conditions, if any, upon which interests in the global security may be exchanged, in whole or in part, for the individual debt securities represented by the global security;</w:t>
      </w:r>
    </w:p>
    <w:p>
      <w:pPr>
        <w:spacing w:after="0" w:line="60" w:lineRule="exact"/>
        <w:rPr>
          <w:rFonts w:ascii="Times New Roman" w:cs="Times New Roman" w:eastAsia="Times New Roman" w:hAnsi="Times New Roman"/>
          <w:sz w:val="14"/>
          <w:szCs w:val="14"/>
          <w:color w:val="auto"/>
        </w:rPr>
      </w:pPr>
    </w:p>
    <w:p>
      <w:pPr>
        <w:ind w:left="900" w:hanging="344"/>
        <w:spacing w:after="0"/>
        <w:tabs>
          <w:tab w:leader="none" w:pos="9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maturity date;</w:t>
      </w:r>
    </w:p>
    <w:p>
      <w:pPr>
        <w:spacing w:after="0" w:line="107" w:lineRule="exact"/>
        <w:rPr>
          <w:rFonts w:ascii="Times New Roman" w:cs="Times New Roman" w:eastAsia="Times New Roman" w:hAnsi="Times New Roman"/>
          <w:sz w:val="14"/>
          <w:szCs w:val="14"/>
          <w:color w:val="auto"/>
        </w:rPr>
      </w:pPr>
    </w:p>
    <w:p>
      <w:pPr>
        <w:ind w:left="900" w:hanging="344"/>
        <w:spacing w:after="0"/>
        <w:tabs>
          <w:tab w:leader="none" w:pos="9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principal amount due at maturity, and whether the debt securities will be issued with any original issue discount;</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9019"/>
          </w:cols>
          <w:pgMar w:left="1440" w:top="241" w:right="1440" w:bottom="1440" w:gutter="0" w:footer="0" w:header="0"/>
        </w:sectPr>
      </w:pPr>
    </w:p>
    <w:bookmarkStart w:id="20" w:name="page21"/>
    <w:bookmarkEnd w:id="20"/>
    <w:p>
      <w:pPr>
        <w:ind w:left="900" w:right="579" w:hanging="344"/>
        <w:spacing w:after="0" w:line="292" w:lineRule="auto"/>
        <w:tabs>
          <w:tab w:leader="none" w:pos="9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99630" cy="33020"/>
                    </a:xfrm>
                    <a:prstGeom prst="rect">
                      <a:avLst/>
                    </a:prstGeom>
                    <a:noFill/>
                  </pic:spPr>
                </pic:pic>
              </a:graphicData>
            </a:graphic>
          </wp:anchor>
        </w:drawing>
        <w:t>whether and the extent the debt securities will be guaranteed by the guarantors, the ranking of any such guarantee, the terms of such subordination, if applicable, of any such guarantee and the form of any such guarantee;</w:t>
      </w:r>
    </w:p>
    <w:p>
      <w:pPr>
        <w:spacing w:after="0" w:line="48" w:lineRule="exact"/>
        <w:rPr>
          <w:rFonts w:ascii="Times New Roman" w:cs="Times New Roman" w:eastAsia="Times New Roman" w:hAnsi="Times New Roman"/>
          <w:sz w:val="14"/>
          <w:szCs w:val="14"/>
          <w:color w:val="auto"/>
        </w:rPr>
      </w:pPr>
    </w:p>
    <w:p>
      <w:pPr>
        <w:ind w:left="900" w:right="199" w:hanging="344"/>
        <w:spacing w:after="0" w:line="292" w:lineRule="auto"/>
        <w:tabs>
          <w:tab w:leader="none" w:pos="9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we will pay additional amounts on the debt securities in respect of any tax, assessment or governmental charge and, if so, whether we will have the option to redeem the debt securities instead of making this payment;</w:t>
      </w:r>
    </w:p>
    <w:p>
      <w:pPr>
        <w:spacing w:after="0" w:line="48" w:lineRule="exact"/>
        <w:rPr>
          <w:rFonts w:ascii="Times New Roman" w:cs="Times New Roman" w:eastAsia="Times New Roman" w:hAnsi="Times New Roman"/>
          <w:sz w:val="14"/>
          <w:szCs w:val="14"/>
          <w:color w:val="auto"/>
        </w:rPr>
      </w:pPr>
    </w:p>
    <w:p>
      <w:pPr>
        <w:ind w:left="900" w:right="319" w:hanging="344"/>
        <w:spacing w:after="0" w:line="292" w:lineRule="auto"/>
        <w:tabs>
          <w:tab w:leader="none" w:pos="9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annual interest rate, which may be fixed or variable, or the method for determining the rate, the date interest will begin to accrue, the dates interest will be payable and the regular record dates for interest payment dates or the method for determining such dates;</w:t>
      </w:r>
    </w:p>
    <w:p>
      <w:pPr>
        <w:spacing w:after="0" w:line="48" w:lineRule="exact"/>
        <w:rPr>
          <w:rFonts w:ascii="Times New Roman" w:cs="Times New Roman" w:eastAsia="Times New Roman" w:hAnsi="Times New Roman"/>
          <w:sz w:val="14"/>
          <w:szCs w:val="14"/>
          <w:color w:val="auto"/>
        </w:rPr>
      </w:pPr>
    </w:p>
    <w:p>
      <w:pPr>
        <w:ind w:left="900" w:hanging="344"/>
        <w:spacing w:after="0"/>
        <w:tabs>
          <w:tab w:leader="none" w:pos="9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or not the debt securities will be secured or unsecured, and the terms of any secured debt;</w:t>
      </w:r>
    </w:p>
    <w:p>
      <w:pPr>
        <w:spacing w:after="0" w:line="107" w:lineRule="exact"/>
        <w:rPr>
          <w:rFonts w:ascii="Times New Roman" w:cs="Times New Roman" w:eastAsia="Times New Roman" w:hAnsi="Times New Roman"/>
          <w:sz w:val="14"/>
          <w:szCs w:val="14"/>
          <w:color w:val="auto"/>
        </w:rPr>
      </w:pPr>
    </w:p>
    <w:p>
      <w:pPr>
        <w:ind w:left="900" w:hanging="344"/>
        <w:spacing w:after="0"/>
        <w:tabs>
          <w:tab w:leader="none" w:pos="9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the subordination of any series of subordinated debt;</w:t>
      </w:r>
    </w:p>
    <w:p>
      <w:pPr>
        <w:spacing w:after="0" w:line="107" w:lineRule="exact"/>
        <w:rPr>
          <w:rFonts w:ascii="Times New Roman" w:cs="Times New Roman" w:eastAsia="Times New Roman" w:hAnsi="Times New Roman"/>
          <w:sz w:val="14"/>
          <w:szCs w:val="14"/>
          <w:color w:val="auto"/>
        </w:rPr>
      </w:pPr>
    </w:p>
    <w:p>
      <w:pPr>
        <w:ind w:left="900" w:hanging="344"/>
        <w:spacing w:after="0"/>
        <w:tabs>
          <w:tab w:leader="none" w:pos="9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place where payments will be payable;</w:t>
      </w:r>
    </w:p>
    <w:p>
      <w:pPr>
        <w:spacing w:after="0" w:line="107" w:lineRule="exact"/>
        <w:rPr>
          <w:rFonts w:ascii="Times New Roman" w:cs="Times New Roman" w:eastAsia="Times New Roman" w:hAnsi="Times New Roman"/>
          <w:sz w:val="14"/>
          <w:szCs w:val="14"/>
          <w:color w:val="auto"/>
        </w:rPr>
      </w:pPr>
    </w:p>
    <w:p>
      <w:pPr>
        <w:ind w:left="900" w:right="199" w:hanging="344"/>
        <w:spacing w:after="0" w:line="268" w:lineRule="auto"/>
        <w:tabs>
          <w:tab w:leader="none" w:pos="9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convertible, the number of debt securities or shares of any class, classes or series into which the debt securities will be convertible, the conversion price (or manner of calculation thereof), the conversion period, provisions as to whether conversion will be mandatory, at our option or at the option of the holders of the debt securities, the events requiring an adjustment of the conversion price, provisions affecting conversion in the event of redemption of the debt securities, restrictions on conversion and any other terms governing such conversion;</w:t>
      </w:r>
    </w:p>
    <w:p>
      <w:pPr>
        <w:spacing w:after="0" w:line="64" w:lineRule="exact"/>
        <w:rPr>
          <w:rFonts w:ascii="Times New Roman" w:cs="Times New Roman" w:eastAsia="Times New Roman" w:hAnsi="Times New Roman"/>
          <w:sz w:val="14"/>
          <w:szCs w:val="14"/>
          <w:color w:val="auto"/>
        </w:rPr>
      </w:pPr>
    </w:p>
    <w:p>
      <w:pPr>
        <w:ind w:left="900" w:hanging="344"/>
        <w:spacing w:after="0"/>
        <w:tabs>
          <w:tab w:leader="none" w:pos="9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on transfer, sale, assignment or conversion, if any;</w:t>
      </w:r>
    </w:p>
    <w:p>
      <w:pPr>
        <w:spacing w:after="0" w:line="107" w:lineRule="exact"/>
        <w:rPr>
          <w:rFonts w:ascii="Times New Roman" w:cs="Times New Roman" w:eastAsia="Times New Roman" w:hAnsi="Times New Roman"/>
          <w:sz w:val="14"/>
          <w:szCs w:val="14"/>
          <w:color w:val="auto"/>
        </w:rPr>
      </w:pPr>
    </w:p>
    <w:p>
      <w:pPr>
        <w:ind w:left="900" w:hanging="344"/>
        <w:spacing w:after="0"/>
        <w:tabs>
          <w:tab w:leader="none" w:pos="9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right, if any, to defer payment of interest and the maximum length of any such deferral period;</w:t>
      </w:r>
    </w:p>
    <w:p>
      <w:pPr>
        <w:spacing w:after="0" w:line="107" w:lineRule="exact"/>
        <w:rPr>
          <w:rFonts w:ascii="Times New Roman" w:cs="Times New Roman" w:eastAsia="Times New Roman" w:hAnsi="Times New Roman"/>
          <w:sz w:val="14"/>
          <w:szCs w:val="14"/>
          <w:color w:val="auto"/>
        </w:rPr>
      </w:pPr>
    </w:p>
    <w:p>
      <w:pPr>
        <w:ind w:left="900" w:right="279" w:hanging="344"/>
        <w:spacing w:after="0" w:line="292" w:lineRule="auto"/>
        <w:tabs>
          <w:tab w:leader="none" w:pos="9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if any, after which, the conditions upon which, and the price at which we may, at our option, redeem the series of debt securities pursuant to any optional or provisional redemption provisions, and any other applicable terms of those redemption provisions;</w:t>
      </w:r>
    </w:p>
    <w:p>
      <w:pPr>
        <w:spacing w:after="0" w:line="48" w:lineRule="exact"/>
        <w:rPr>
          <w:rFonts w:ascii="Times New Roman" w:cs="Times New Roman" w:eastAsia="Times New Roman" w:hAnsi="Times New Roman"/>
          <w:sz w:val="14"/>
          <w:szCs w:val="14"/>
          <w:color w:val="auto"/>
        </w:rPr>
      </w:pPr>
    </w:p>
    <w:p>
      <w:pPr>
        <w:ind w:left="900" w:hanging="344"/>
        <w:spacing w:after="0"/>
        <w:tabs>
          <w:tab w:leader="none" w:pos="9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sinking fund requirements, if any;</w:t>
      </w:r>
    </w:p>
    <w:p>
      <w:pPr>
        <w:spacing w:after="0" w:line="107" w:lineRule="exact"/>
        <w:rPr>
          <w:rFonts w:ascii="Times New Roman" w:cs="Times New Roman" w:eastAsia="Times New Roman" w:hAnsi="Times New Roman"/>
          <w:sz w:val="14"/>
          <w:szCs w:val="14"/>
          <w:color w:val="auto"/>
        </w:rPr>
      </w:pPr>
    </w:p>
    <w:p>
      <w:pPr>
        <w:ind w:left="900" w:hanging="344"/>
        <w:spacing w:after="0"/>
        <w:tabs>
          <w:tab w:leader="none" w:pos="9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indenture will restrict our ability and/or the ability of our subsidiaries to:</w:t>
      </w:r>
    </w:p>
    <w:p>
      <w:pPr>
        <w:spacing w:after="0" w:line="107" w:lineRule="exact"/>
        <w:rPr>
          <w:rFonts w:ascii="Times New Roman" w:cs="Times New Roman" w:eastAsia="Times New Roman" w:hAnsi="Times New Roman"/>
          <w:sz w:val="14"/>
          <w:szCs w:val="14"/>
          <w:color w:val="auto"/>
        </w:rPr>
      </w:pPr>
    </w:p>
    <w:p>
      <w:pPr>
        <w:ind w:left="900" w:hanging="344"/>
        <w:spacing w:after="0"/>
        <w:tabs>
          <w:tab w:leader="none" w:pos="9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incur additional indebtedness;</w:t>
      </w:r>
    </w:p>
    <w:p>
      <w:pPr>
        <w:spacing w:after="0" w:line="107" w:lineRule="exact"/>
        <w:rPr>
          <w:rFonts w:ascii="Times New Roman" w:cs="Times New Roman" w:eastAsia="Times New Roman" w:hAnsi="Times New Roman"/>
          <w:sz w:val="14"/>
          <w:szCs w:val="14"/>
          <w:color w:val="auto"/>
        </w:rPr>
      </w:pPr>
    </w:p>
    <w:p>
      <w:pPr>
        <w:ind w:left="900" w:hanging="344"/>
        <w:spacing w:after="0"/>
        <w:tabs>
          <w:tab w:leader="none" w:pos="9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 additional securities;</w:t>
      </w:r>
    </w:p>
    <w:p>
      <w:pPr>
        <w:spacing w:after="0" w:line="107" w:lineRule="exact"/>
        <w:rPr>
          <w:rFonts w:ascii="Times New Roman" w:cs="Times New Roman" w:eastAsia="Times New Roman" w:hAnsi="Times New Roman"/>
          <w:sz w:val="14"/>
          <w:szCs w:val="14"/>
          <w:color w:val="auto"/>
        </w:rPr>
      </w:pPr>
    </w:p>
    <w:p>
      <w:pPr>
        <w:ind w:left="900" w:hanging="344"/>
        <w:spacing w:after="0"/>
        <w:tabs>
          <w:tab w:leader="none" w:pos="9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create liens;</w:t>
      </w:r>
    </w:p>
    <w:p>
      <w:pPr>
        <w:spacing w:after="0" w:line="107" w:lineRule="exact"/>
        <w:rPr>
          <w:rFonts w:ascii="Times New Roman" w:cs="Times New Roman" w:eastAsia="Times New Roman" w:hAnsi="Times New Roman"/>
          <w:sz w:val="14"/>
          <w:szCs w:val="14"/>
          <w:color w:val="auto"/>
        </w:rPr>
      </w:pPr>
    </w:p>
    <w:p>
      <w:pPr>
        <w:ind w:left="900" w:hanging="344"/>
        <w:spacing w:after="0"/>
        <w:tabs>
          <w:tab w:leader="none" w:pos="9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 dividends and make distributions in respect of our capital stock and the capital stock of our subsidiaries;</w:t>
      </w:r>
    </w:p>
    <w:p>
      <w:pPr>
        <w:spacing w:after="0" w:line="107" w:lineRule="exact"/>
        <w:rPr>
          <w:rFonts w:ascii="Times New Roman" w:cs="Times New Roman" w:eastAsia="Times New Roman" w:hAnsi="Times New Roman"/>
          <w:sz w:val="14"/>
          <w:szCs w:val="14"/>
          <w:color w:val="auto"/>
        </w:rPr>
      </w:pPr>
    </w:p>
    <w:p>
      <w:pPr>
        <w:ind w:left="900" w:hanging="344"/>
        <w:spacing w:after="0"/>
        <w:tabs>
          <w:tab w:leader="none" w:pos="9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place restrictions on our subsidiaries’ ability to pay dividends, make distributions or transfer assets;</w:t>
      </w:r>
    </w:p>
    <w:p>
      <w:pPr>
        <w:spacing w:after="0" w:line="107" w:lineRule="exact"/>
        <w:rPr>
          <w:rFonts w:ascii="Times New Roman" w:cs="Times New Roman" w:eastAsia="Times New Roman" w:hAnsi="Times New Roman"/>
          <w:sz w:val="14"/>
          <w:szCs w:val="14"/>
          <w:color w:val="auto"/>
        </w:rPr>
      </w:pPr>
    </w:p>
    <w:p>
      <w:pPr>
        <w:ind w:left="900" w:hanging="344"/>
        <w:spacing w:after="0"/>
        <w:tabs>
          <w:tab w:leader="none" w:pos="9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investments or other restricted payments;</w:t>
      </w:r>
    </w:p>
    <w:p>
      <w:pPr>
        <w:spacing w:after="0" w:line="107" w:lineRule="exact"/>
        <w:rPr>
          <w:rFonts w:ascii="Times New Roman" w:cs="Times New Roman" w:eastAsia="Times New Roman" w:hAnsi="Times New Roman"/>
          <w:sz w:val="14"/>
          <w:szCs w:val="14"/>
          <w:color w:val="auto"/>
        </w:rPr>
      </w:pPr>
    </w:p>
    <w:p>
      <w:pPr>
        <w:ind w:left="900" w:hanging="344"/>
        <w:spacing w:after="0"/>
        <w:tabs>
          <w:tab w:leader="none" w:pos="9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 or otherwise dispose of assets;</w:t>
      </w:r>
    </w:p>
    <w:p>
      <w:pPr>
        <w:spacing w:after="0" w:line="107" w:lineRule="exact"/>
        <w:rPr>
          <w:rFonts w:ascii="Times New Roman" w:cs="Times New Roman" w:eastAsia="Times New Roman" w:hAnsi="Times New Roman"/>
          <w:sz w:val="14"/>
          <w:szCs w:val="14"/>
          <w:color w:val="auto"/>
        </w:rPr>
      </w:pPr>
    </w:p>
    <w:p>
      <w:pPr>
        <w:ind w:left="900" w:hanging="344"/>
        <w:spacing w:after="0"/>
        <w:tabs>
          <w:tab w:leader="none" w:pos="9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sale-leaseback transactions;</w:t>
      </w:r>
    </w:p>
    <w:p>
      <w:pPr>
        <w:spacing w:after="0" w:line="107" w:lineRule="exact"/>
        <w:rPr>
          <w:rFonts w:ascii="Times New Roman" w:cs="Times New Roman" w:eastAsia="Times New Roman" w:hAnsi="Times New Roman"/>
          <w:sz w:val="14"/>
          <w:szCs w:val="14"/>
          <w:color w:val="auto"/>
        </w:rPr>
      </w:pPr>
    </w:p>
    <w:p>
      <w:pPr>
        <w:ind w:left="900" w:hanging="344"/>
        <w:spacing w:after="0"/>
        <w:tabs>
          <w:tab w:leader="none" w:pos="9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engage in transactions with affiliates; or</w:t>
      </w:r>
    </w:p>
    <w:p>
      <w:pPr>
        <w:spacing w:after="0" w:line="107" w:lineRule="exact"/>
        <w:rPr>
          <w:rFonts w:ascii="Times New Roman" w:cs="Times New Roman" w:eastAsia="Times New Roman" w:hAnsi="Times New Roman"/>
          <w:sz w:val="14"/>
          <w:szCs w:val="14"/>
          <w:color w:val="auto"/>
        </w:rPr>
      </w:pPr>
    </w:p>
    <w:p>
      <w:pPr>
        <w:ind w:left="900" w:hanging="344"/>
        <w:spacing w:after="0"/>
        <w:tabs>
          <w:tab w:leader="none" w:pos="9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 a consolidation or merger;</w:t>
      </w:r>
    </w:p>
    <w:p>
      <w:pPr>
        <w:spacing w:after="0" w:line="107" w:lineRule="exact"/>
        <w:rPr>
          <w:rFonts w:ascii="Times New Roman" w:cs="Times New Roman" w:eastAsia="Times New Roman" w:hAnsi="Times New Roman"/>
          <w:sz w:val="14"/>
          <w:szCs w:val="14"/>
          <w:color w:val="auto"/>
        </w:rPr>
      </w:pPr>
    </w:p>
    <w:p>
      <w:pPr>
        <w:ind w:left="900" w:hanging="344"/>
        <w:spacing w:after="0"/>
        <w:tabs>
          <w:tab w:leader="none" w:pos="9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indenture will require us to maintain any leverage, fixed charge or other financial ratios;</w:t>
      </w:r>
    </w:p>
    <w:p>
      <w:pPr>
        <w:spacing w:after="0" w:line="107" w:lineRule="exact"/>
        <w:rPr>
          <w:rFonts w:ascii="Times New Roman" w:cs="Times New Roman" w:eastAsia="Times New Roman" w:hAnsi="Times New Roman"/>
          <w:sz w:val="14"/>
          <w:szCs w:val="14"/>
          <w:color w:val="auto"/>
        </w:rPr>
      </w:pPr>
    </w:p>
    <w:p>
      <w:pPr>
        <w:ind w:left="900" w:hanging="344"/>
        <w:spacing w:after="0"/>
        <w:tabs>
          <w:tab w:leader="none" w:pos="9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events of default of such debt securities;</w:t>
      </w:r>
    </w:p>
    <w:p>
      <w:pPr>
        <w:spacing w:after="0" w:line="107" w:lineRule="exact"/>
        <w:rPr>
          <w:rFonts w:ascii="Times New Roman" w:cs="Times New Roman" w:eastAsia="Times New Roman" w:hAnsi="Times New Roman"/>
          <w:sz w:val="14"/>
          <w:szCs w:val="14"/>
          <w:color w:val="auto"/>
        </w:rPr>
      </w:pPr>
    </w:p>
    <w:p>
      <w:pPr>
        <w:ind w:left="900" w:hanging="344"/>
        <w:spacing w:after="0"/>
        <w:tabs>
          <w:tab w:leader="none" w:pos="9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discussion of any material U.S. federal income tax considerations applicable to the debt securities;</w:t>
      </w:r>
    </w:p>
    <w:p>
      <w:pPr>
        <w:spacing w:after="0" w:line="107" w:lineRule="exact"/>
        <w:rPr>
          <w:rFonts w:ascii="Times New Roman" w:cs="Times New Roman" w:eastAsia="Times New Roman" w:hAnsi="Times New Roman"/>
          <w:sz w:val="14"/>
          <w:szCs w:val="14"/>
          <w:color w:val="auto"/>
        </w:rPr>
      </w:pPr>
    </w:p>
    <w:p>
      <w:pPr>
        <w:ind w:left="900" w:hanging="344"/>
        <w:spacing w:after="0"/>
        <w:tabs>
          <w:tab w:leader="none" w:pos="9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describing any book-entry features;</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9019"/>
          </w:cols>
          <w:pgMar w:left="1440" w:top="243" w:right="1440" w:bottom="1440" w:gutter="0" w:footer="0" w:header="0"/>
        </w:sectPr>
      </w:pPr>
    </w:p>
    <w:bookmarkStart w:id="21" w:name="page22"/>
    <w:bookmarkEnd w:id="21"/>
    <w:p>
      <w:pPr>
        <w:ind w:left="900" w:hanging="344"/>
        <w:spacing w:after="0"/>
        <w:tabs>
          <w:tab w:leader="none" w:pos="9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the procedures for any auction and remarketing, if any;</w:t>
      </w:r>
    </w:p>
    <w:p>
      <w:pPr>
        <w:spacing w:after="0" w:line="107" w:lineRule="exact"/>
        <w:rPr>
          <w:rFonts w:ascii="Times New Roman" w:cs="Times New Roman" w:eastAsia="Times New Roman" w:hAnsi="Times New Roman"/>
          <w:sz w:val="14"/>
          <w:szCs w:val="14"/>
          <w:color w:val="auto"/>
        </w:rPr>
      </w:pPr>
    </w:p>
    <w:p>
      <w:pPr>
        <w:ind w:left="900" w:right="479" w:hanging="344"/>
        <w:spacing w:after="0" w:line="292" w:lineRule="auto"/>
        <w:tabs>
          <w:tab w:leader="none" w:pos="9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denominations in which we will issue the series of debt securities, if other than in minimum denominations of $2,000 and integral multiples of $1,000 in excess of $2,000;</w:t>
      </w:r>
    </w:p>
    <w:p>
      <w:pPr>
        <w:spacing w:after="0" w:line="48" w:lineRule="exact"/>
        <w:rPr>
          <w:rFonts w:ascii="Times New Roman" w:cs="Times New Roman" w:eastAsia="Times New Roman" w:hAnsi="Times New Roman"/>
          <w:sz w:val="14"/>
          <w:szCs w:val="14"/>
          <w:color w:val="auto"/>
        </w:rPr>
      </w:pPr>
    </w:p>
    <w:p>
      <w:pPr>
        <w:ind w:left="900" w:hanging="344"/>
        <w:spacing w:after="0"/>
        <w:tabs>
          <w:tab w:leader="none" w:pos="9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other than dollars, the currency in which the series of debt securities will be denominated;</w:t>
      </w:r>
    </w:p>
    <w:p>
      <w:pPr>
        <w:spacing w:after="0" w:line="107" w:lineRule="exact"/>
        <w:rPr>
          <w:rFonts w:ascii="Times New Roman" w:cs="Times New Roman" w:eastAsia="Times New Roman" w:hAnsi="Times New Roman"/>
          <w:sz w:val="14"/>
          <w:szCs w:val="14"/>
          <w:color w:val="auto"/>
        </w:rPr>
      </w:pPr>
    </w:p>
    <w:p>
      <w:pPr>
        <w:ind w:left="900" w:hanging="344"/>
        <w:spacing w:after="0"/>
        <w:tabs>
          <w:tab w:leader="none" w:pos="9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 of annual and/or quarterly financial information to the holders of the debt securities;</w:t>
      </w:r>
    </w:p>
    <w:p>
      <w:pPr>
        <w:spacing w:after="0" w:line="107" w:lineRule="exact"/>
        <w:rPr>
          <w:rFonts w:ascii="Times New Roman" w:cs="Times New Roman" w:eastAsia="Times New Roman" w:hAnsi="Times New Roman"/>
          <w:sz w:val="14"/>
          <w:szCs w:val="14"/>
          <w:color w:val="auto"/>
        </w:rPr>
      </w:pPr>
    </w:p>
    <w:p>
      <w:pPr>
        <w:ind w:left="900" w:hanging="344"/>
        <w:spacing w:after="0"/>
        <w:tabs>
          <w:tab w:leader="none" w:pos="9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remedies for holders of the debt securities;</w:t>
      </w:r>
    </w:p>
    <w:p>
      <w:pPr>
        <w:spacing w:after="0" w:line="107" w:lineRule="exact"/>
        <w:rPr>
          <w:rFonts w:ascii="Times New Roman" w:cs="Times New Roman" w:eastAsia="Times New Roman" w:hAnsi="Times New Roman"/>
          <w:sz w:val="14"/>
          <w:szCs w:val="14"/>
          <w:color w:val="auto"/>
        </w:rPr>
      </w:pPr>
    </w:p>
    <w:p>
      <w:pPr>
        <w:ind w:left="900" w:right="459" w:hanging="344"/>
        <w:spacing w:after="0" w:line="292" w:lineRule="auto"/>
        <w:tabs>
          <w:tab w:leader="none" w:pos="9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 to make any changes to the indenture(s) or the terms of the debt securities by the Company and what approval, if any, will be required from the holders of the debt securities;</w:t>
      </w:r>
    </w:p>
    <w:p>
      <w:pPr>
        <w:spacing w:after="0" w:line="48" w:lineRule="exact"/>
        <w:rPr>
          <w:rFonts w:ascii="Times New Roman" w:cs="Times New Roman" w:eastAsia="Times New Roman" w:hAnsi="Times New Roman"/>
          <w:sz w:val="14"/>
          <w:szCs w:val="14"/>
          <w:color w:val="auto"/>
        </w:rPr>
      </w:pPr>
    </w:p>
    <w:p>
      <w:pPr>
        <w:ind w:left="900" w:hanging="344"/>
        <w:spacing w:after="0"/>
        <w:tabs>
          <w:tab w:leader="none" w:pos="9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provisions for voting on any changes to the indenture(s) or the terms of the debt securities; and</w:t>
      </w:r>
    </w:p>
    <w:p>
      <w:pPr>
        <w:spacing w:after="0" w:line="107" w:lineRule="exact"/>
        <w:rPr>
          <w:rFonts w:ascii="Times New Roman" w:cs="Times New Roman" w:eastAsia="Times New Roman" w:hAnsi="Times New Roman"/>
          <w:sz w:val="14"/>
          <w:szCs w:val="14"/>
          <w:color w:val="auto"/>
        </w:rPr>
      </w:pPr>
    </w:p>
    <w:p>
      <w:pPr>
        <w:ind w:left="900" w:right="219" w:hanging="344"/>
        <w:spacing w:after="0" w:line="268" w:lineRule="auto"/>
        <w:tabs>
          <w:tab w:leader="none" w:pos="9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specific terms, preferences, rights or limitations of, or restrictions on, the debt securities, including any events of default that are in addition to those described in this prospectus or any covenants provided with respect to the debt securities that are in addition to those described above, and any terms which may be required by us or be advisable under applicable laws or regulations or advisable in connection with the marketing of the debt securities.</w:t>
      </w:r>
    </w:p>
    <w:p>
      <w:pPr>
        <w:spacing w:after="0" w:line="139" w:lineRule="exact"/>
        <w:rPr>
          <w:sz w:val="20"/>
          <w:szCs w:val="20"/>
          <w:color w:val="auto"/>
        </w:rPr>
      </w:pPr>
    </w:p>
    <w:p>
      <w:pPr>
        <w:ind w:left="120" w:right="499" w:firstLine="350"/>
        <w:spacing w:after="0" w:line="274" w:lineRule="auto"/>
        <w:rPr>
          <w:sz w:val="20"/>
          <w:szCs w:val="20"/>
          <w:color w:val="auto"/>
        </w:rPr>
      </w:pPr>
      <w:r>
        <w:rPr>
          <w:rFonts w:ascii="Times New Roman" w:cs="Times New Roman" w:eastAsia="Times New Roman" w:hAnsi="Times New Roman"/>
          <w:sz w:val="14"/>
          <w:szCs w:val="14"/>
          <w:color w:val="auto"/>
        </w:rPr>
        <w:t>We may issue debt securities that provide for an amount less than their stated principal amount to be due and payable upon declaration of acceleration of their maturity pursuant to the terms of the indenture. We will provide you with information on any material U.S. federal income tax considerations and other special considerations applicable to any of these debt securities in the applicable prospectus supplement.</w:t>
      </w:r>
    </w:p>
    <w:p>
      <w:pPr>
        <w:spacing w:after="0" w:line="2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Governing Law</w:t>
      </w:r>
    </w:p>
    <w:p>
      <w:pPr>
        <w:spacing w:after="0" w:line="9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The indenture and the debt securities will be governed by, and construed in accordance with, the internal laws of the State of New York.</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9019"/>
          </w:cols>
          <w:pgMar w:left="1440" w:top="243" w:right="1440"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99630" cy="33020"/>
                    </a:xfrm>
                    <a:prstGeom prst="rect">
                      <a:avLst/>
                    </a:prstGeom>
                    <a:noFill/>
                  </pic:spPr>
                </pic:pic>
              </a:graphicData>
            </a:graphic>
          </wp:anchor>
        </w:drawing>
        <w:t>DESCRIPTION OF GUARANTEES</w:t>
      </w:r>
    </w:p>
    <w:p>
      <w:pPr>
        <w:spacing w:after="0" w:line="184" w:lineRule="exact"/>
        <w:rPr>
          <w:sz w:val="20"/>
          <w:szCs w:val="20"/>
          <w:color w:val="auto"/>
        </w:rPr>
      </w:pPr>
    </w:p>
    <w:p>
      <w:pPr>
        <w:ind w:left="120" w:right="459" w:firstLine="350"/>
        <w:spacing w:after="0" w:line="274" w:lineRule="auto"/>
        <w:rPr>
          <w:sz w:val="20"/>
          <w:szCs w:val="20"/>
          <w:color w:val="auto"/>
        </w:rPr>
      </w:pPr>
      <w:r>
        <w:rPr>
          <w:rFonts w:ascii="Times New Roman" w:cs="Times New Roman" w:eastAsia="Times New Roman" w:hAnsi="Times New Roman"/>
          <w:sz w:val="14"/>
          <w:szCs w:val="14"/>
          <w:color w:val="auto"/>
        </w:rPr>
        <w:t>To the extent provided in the applicable supplement to this prospectus, the debt securities offered and sold pursuant to this prospectus may be guaranteed by one or more guarantors. Each guarantee will be issued under a supplement to the applicable indenture. The prospectus supplement relating to a particular issue of guarantees will describe the terms of those guarantees, including the following, to the extent applicable:</w:t>
      </w:r>
    </w:p>
    <w:p>
      <w:pPr>
        <w:spacing w:after="0" w:line="60" w:lineRule="exact"/>
        <w:rPr>
          <w:sz w:val="20"/>
          <w:szCs w:val="20"/>
          <w:color w:val="auto"/>
        </w:rPr>
      </w:pPr>
    </w:p>
    <w:p>
      <w:pPr>
        <w:ind w:left="900" w:hanging="344"/>
        <w:spacing w:after="0"/>
        <w:tabs>
          <w:tab w:leader="none" w:pos="9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series of debt securities to which the guarantees apply;</w:t>
      </w:r>
    </w:p>
    <w:p>
      <w:pPr>
        <w:spacing w:after="0" w:line="107" w:lineRule="exact"/>
        <w:rPr>
          <w:rFonts w:ascii="Times New Roman" w:cs="Times New Roman" w:eastAsia="Times New Roman" w:hAnsi="Times New Roman"/>
          <w:sz w:val="14"/>
          <w:szCs w:val="14"/>
          <w:color w:val="auto"/>
        </w:rPr>
      </w:pPr>
    </w:p>
    <w:p>
      <w:pPr>
        <w:ind w:left="900" w:hanging="344"/>
        <w:spacing w:after="0"/>
        <w:tabs>
          <w:tab w:leader="none" w:pos="9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guarantees are secured or unsecured;</w:t>
      </w:r>
    </w:p>
    <w:p>
      <w:pPr>
        <w:spacing w:after="0" w:line="107" w:lineRule="exact"/>
        <w:rPr>
          <w:rFonts w:ascii="Times New Roman" w:cs="Times New Roman" w:eastAsia="Times New Roman" w:hAnsi="Times New Roman"/>
          <w:sz w:val="14"/>
          <w:szCs w:val="14"/>
          <w:color w:val="auto"/>
        </w:rPr>
      </w:pPr>
    </w:p>
    <w:p>
      <w:pPr>
        <w:ind w:left="900" w:hanging="344"/>
        <w:spacing w:after="0"/>
        <w:tabs>
          <w:tab w:leader="none" w:pos="9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guarantees are senior or subordinated;</w:t>
      </w:r>
    </w:p>
    <w:p>
      <w:pPr>
        <w:spacing w:after="0" w:line="107" w:lineRule="exact"/>
        <w:rPr>
          <w:rFonts w:ascii="Times New Roman" w:cs="Times New Roman" w:eastAsia="Times New Roman" w:hAnsi="Times New Roman"/>
          <w:sz w:val="14"/>
          <w:szCs w:val="14"/>
          <w:color w:val="auto"/>
        </w:rPr>
      </w:pPr>
    </w:p>
    <w:p>
      <w:pPr>
        <w:ind w:left="900" w:right="139" w:hanging="344"/>
        <w:spacing w:after="0" w:line="292" w:lineRule="auto"/>
        <w:tabs>
          <w:tab w:leader="none" w:pos="9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under which the guarantees may be amended, modified, waived, released or otherwise terminated, if different from the provisions applicable to the guaranteed debt securities; and</w:t>
      </w:r>
    </w:p>
    <w:p>
      <w:pPr>
        <w:spacing w:after="0" w:line="48" w:lineRule="exact"/>
        <w:rPr>
          <w:rFonts w:ascii="Times New Roman" w:cs="Times New Roman" w:eastAsia="Times New Roman" w:hAnsi="Times New Roman"/>
          <w:sz w:val="14"/>
          <w:szCs w:val="14"/>
          <w:color w:val="auto"/>
        </w:rPr>
      </w:pPr>
    </w:p>
    <w:p>
      <w:pPr>
        <w:ind w:left="900" w:hanging="344"/>
        <w:spacing w:after="0"/>
        <w:tabs>
          <w:tab w:leader="none" w:pos="9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additional terms of the guarantees.</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9019"/>
          </w:cols>
          <w:pgMar w:left="1440" w:top="241" w:right="1440" w:bottom="1440" w:gutter="0" w:footer="0" w:header="0"/>
        </w:sectPr>
      </w:pPr>
    </w:p>
    <w:bookmarkStart w:id="23" w:name="page24"/>
    <w:bookmarkEnd w:id="2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99630" cy="33020"/>
                    </a:xfrm>
                    <a:prstGeom prst="rect">
                      <a:avLst/>
                    </a:prstGeom>
                    <a:noFill/>
                  </pic:spPr>
                </pic:pic>
              </a:graphicData>
            </a:graphic>
          </wp:anchor>
        </w:drawing>
        <w:t>DESCRIPTION OF WARRANTS</w:t>
      </w:r>
    </w:p>
    <w:p>
      <w:pPr>
        <w:spacing w:after="0" w:line="184" w:lineRule="exact"/>
        <w:rPr>
          <w:sz w:val="20"/>
          <w:szCs w:val="20"/>
          <w:color w:val="auto"/>
        </w:rPr>
      </w:pPr>
    </w:p>
    <w:p>
      <w:pPr>
        <w:ind w:left="120" w:right="299" w:firstLine="350"/>
        <w:spacing w:after="0" w:line="274" w:lineRule="auto"/>
        <w:rPr>
          <w:sz w:val="20"/>
          <w:szCs w:val="20"/>
          <w:color w:val="auto"/>
        </w:rPr>
      </w:pPr>
      <w:r>
        <w:rPr>
          <w:rFonts w:ascii="Times New Roman" w:cs="Times New Roman" w:eastAsia="Times New Roman" w:hAnsi="Times New Roman"/>
          <w:sz w:val="14"/>
          <w:szCs w:val="14"/>
          <w:color w:val="auto"/>
        </w:rPr>
        <w:t>This section describes the general terms of the warrants that we may offer and sell by this prospectus and any applicable prospectus supplement. This prospectus and any accompanying prospectus supplement will contain the material terms and conditions for each warrant. The accompanying prospectus supplement may add, update or change the terms and conditions of the warrants as described in this prospectus.</w:t>
      </w:r>
    </w:p>
    <w:p>
      <w:pPr>
        <w:spacing w:after="0" w:line="2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9" w:lineRule="exact"/>
        <w:rPr>
          <w:sz w:val="20"/>
          <w:szCs w:val="20"/>
          <w:color w:val="auto"/>
        </w:rPr>
      </w:pPr>
    </w:p>
    <w:p>
      <w:pPr>
        <w:jc w:val="both"/>
        <w:ind w:left="120" w:right="139" w:firstLine="350"/>
        <w:spacing w:after="0" w:line="262" w:lineRule="auto"/>
        <w:rPr>
          <w:sz w:val="20"/>
          <w:szCs w:val="20"/>
          <w:color w:val="auto"/>
        </w:rPr>
      </w:pPr>
      <w:r>
        <w:rPr>
          <w:rFonts w:ascii="Times New Roman" w:cs="Times New Roman" w:eastAsia="Times New Roman" w:hAnsi="Times New Roman"/>
          <w:sz w:val="14"/>
          <w:szCs w:val="14"/>
          <w:color w:val="auto"/>
        </w:rPr>
        <w:t>We may issue warrants to purchase common stock, preferred stock, debt securities or units. Warrants may be issued independently or together with any securities and may be attached to or separate from those securities. The warrants will be issued under warrant agreements to be entered into between us and a bank or trust company, as warrant agent, all of which will be described in the prospectus supplement relating to the warrants we are offering.</w:t>
      </w:r>
    </w:p>
    <w:p>
      <w:pPr>
        <w:spacing w:after="0" w:line="2" w:lineRule="exact"/>
        <w:rPr>
          <w:sz w:val="20"/>
          <w:szCs w:val="20"/>
          <w:color w:val="auto"/>
        </w:rPr>
      </w:pPr>
    </w:p>
    <w:p>
      <w:pPr>
        <w:ind w:left="120" w:right="299"/>
        <w:spacing w:after="0" w:line="263" w:lineRule="auto"/>
        <w:rPr>
          <w:sz w:val="20"/>
          <w:szCs w:val="20"/>
          <w:color w:val="auto"/>
        </w:rPr>
      </w:pPr>
      <w:r>
        <w:rPr>
          <w:rFonts w:ascii="Times New Roman" w:cs="Times New Roman" w:eastAsia="Times New Roman" w:hAnsi="Times New Roman"/>
          <w:sz w:val="14"/>
          <w:szCs w:val="14"/>
          <w:color w:val="auto"/>
        </w:rPr>
        <w:t>The warrant agent will act solely as our agent in connection with the warrants and will not have any obligation or relationship of agency or trust for or with any holders or beneficial owners of warrants. A copy of the warrant agreement and warrant will be filed with the SEC in connection with the offering of the warrants.</w:t>
      </w:r>
    </w:p>
    <w:p>
      <w:pPr>
        <w:spacing w:after="0" w:line="144" w:lineRule="exact"/>
        <w:rPr>
          <w:sz w:val="20"/>
          <w:szCs w:val="20"/>
          <w:color w:val="auto"/>
        </w:rPr>
      </w:pPr>
    </w:p>
    <w:p>
      <w:pPr>
        <w:ind w:left="120" w:right="179" w:firstLine="350"/>
        <w:spacing w:after="0" w:line="292" w:lineRule="auto"/>
        <w:rPr>
          <w:sz w:val="20"/>
          <w:szCs w:val="20"/>
          <w:color w:val="auto"/>
        </w:rPr>
      </w:pPr>
      <w:r>
        <w:rPr>
          <w:rFonts w:ascii="Times New Roman" w:cs="Times New Roman" w:eastAsia="Times New Roman" w:hAnsi="Times New Roman"/>
          <w:sz w:val="14"/>
          <w:szCs w:val="14"/>
          <w:color w:val="auto"/>
        </w:rPr>
        <w:t>The prospectus supplement relating to any warrants that we may offer will contain the specific terms of the warrants. These terms may include the following:</w:t>
      </w:r>
    </w:p>
    <w:p>
      <w:pPr>
        <w:spacing w:after="0" w:line="48" w:lineRule="exact"/>
        <w:rPr>
          <w:sz w:val="20"/>
          <w:szCs w:val="20"/>
          <w:color w:val="auto"/>
        </w:rPr>
      </w:pPr>
    </w:p>
    <w:p>
      <w:pPr>
        <w:ind w:left="900" w:hanging="344"/>
        <w:spacing w:after="0"/>
        <w:tabs>
          <w:tab w:leader="none" w:pos="9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the warrants;</w:t>
      </w:r>
    </w:p>
    <w:p>
      <w:pPr>
        <w:spacing w:after="0" w:line="107" w:lineRule="exact"/>
        <w:rPr>
          <w:rFonts w:ascii="Times New Roman" w:cs="Times New Roman" w:eastAsia="Times New Roman" w:hAnsi="Times New Roman"/>
          <w:sz w:val="14"/>
          <w:szCs w:val="14"/>
          <w:color w:val="auto"/>
        </w:rPr>
      </w:pPr>
    </w:p>
    <w:p>
      <w:pPr>
        <w:ind w:left="900" w:hanging="344"/>
        <w:spacing w:after="0"/>
        <w:tabs>
          <w:tab w:leader="none" w:pos="9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number of warrants;</w:t>
      </w:r>
    </w:p>
    <w:p>
      <w:pPr>
        <w:spacing w:after="0" w:line="107" w:lineRule="exact"/>
        <w:rPr>
          <w:rFonts w:ascii="Times New Roman" w:cs="Times New Roman" w:eastAsia="Times New Roman" w:hAnsi="Times New Roman"/>
          <w:sz w:val="14"/>
          <w:szCs w:val="14"/>
          <w:color w:val="auto"/>
        </w:rPr>
      </w:pPr>
    </w:p>
    <w:p>
      <w:pPr>
        <w:ind w:left="900" w:hanging="344"/>
        <w:spacing w:after="0"/>
        <w:tabs>
          <w:tab w:leader="none" w:pos="9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or prices at which warrants will be issued;</w:t>
      </w:r>
    </w:p>
    <w:p>
      <w:pPr>
        <w:spacing w:after="0" w:line="107" w:lineRule="exact"/>
        <w:rPr>
          <w:rFonts w:ascii="Times New Roman" w:cs="Times New Roman" w:eastAsia="Times New Roman" w:hAnsi="Times New Roman"/>
          <w:sz w:val="14"/>
          <w:szCs w:val="14"/>
          <w:color w:val="auto"/>
        </w:rPr>
      </w:pPr>
    </w:p>
    <w:p>
      <w:pPr>
        <w:ind w:left="900" w:hanging="344"/>
        <w:spacing w:after="0"/>
        <w:tabs>
          <w:tab w:leader="none" w:pos="9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or currency units in which the offering price, if any, and the exercise price are payable;</w:t>
      </w:r>
    </w:p>
    <w:p>
      <w:pPr>
        <w:spacing w:after="0" w:line="107" w:lineRule="exact"/>
        <w:rPr>
          <w:rFonts w:ascii="Times New Roman" w:cs="Times New Roman" w:eastAsia="Times New Roman" w:hAnsi="Times New Roman"/>
          <w:sz w:val="14"/>
          <w:szCs w:val="14"/>
          <w:color w:val="auto"/>
        </w:rPr>
      </w:pPr>
    </w:p>
    <w:p>
      <w:pPr>
        <w:ind w:left="900" w:hanging="344"/>
        <w:spacing w:after="0"/>
        <w:tabs>
          <w:tab w:leader="none" w:pos="9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amount and terms of the securities for which the warrants are exercisable;</w:t>
      </w:r>
    </w:p>
    <w:p>
      <w:pPr>
        <w:spacing w:after="0" w:line="107" w:lineRule="exact"/>
        <w:rPr>
          <w:rFonts w:ascii="Times New Roman" w:cs="Times New Roman" w:eastAsia="Times New Roman" w:hAnsi="Times New Roman"/>
          <w:sz w:val="14"/>
          <w:szCs w:val="14"/>
          <w:color w:val="auto"/>
        </w:rPr>
      </w:pPr>
    </w:p>
    <w:p>
      <w:pPr>
        <w:ind w:left="900" w:right="519" w:hanging="344"/>
        <w:spacing w:after="0" w:line="292" w:lineRule="auto"/>
        <w:tabs>
          <w:tab w:leader="none" w:pos="9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designation and terms of the other securities, if any, with which the warrants are issued, and the number of warrants issued with each other security;</w:t>
      </w:r>
    </w:p>
    <w:p>
      <w:pPr>
        <w:spacing w:after="0" w:line="48" w:lineRule="exact"/>
        <w:rPr>
          <w:rFonts w:ascii="Times New Roman" w:cs="Times New Roman" w:eastAsia="Times New Roman" w:hAnsi="Times New Roman"/>
          <w:sz w:val="14"/>
          <w:szCs w:val="14"/>
          <w:color w:val="auto"/>
        </w:rPr>
      </w:pPr>
    </w:p>
    <w:p>
      <w:pPr>
        <w:ind w:left="900" w:hanging="344"/>
        <w:spacing w:after="0"/>
        <w:tabs>
          <w:tab w:leader="none" w:pos="9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if any, on and after which the warrants and the related securities will be separately transferable;</w:t>
      </w:r>
    </w:p>
    <w:p>
      <w:pPr>
        <w:spacing w:after="0" w:line="107" w:lineRule="exact"/>
        <w:rPr>
          <w:rFonts w:ascii="Times New Roman" w:cs="Times New Roman" w:eastAsia="Times New Roman" w:hAnsi="Times New Roman"/>
          <w:sz w:val="14"/>
          <w:szCs w:val="14"/>
          <w:color w:val="auto"/>
        </w:rPr>
      </w:pPr>
    </w:p>
    <w:p>
      <w:pPr>
        <w:ind w:left="900" w:hanging="344"/>
        <w:spacing w:after="0"/>
        <w:tabs>
          <w:tab w:leader="none" w:pos="9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minimum or maximum number of warrants that may be exercised at any one time;</w:t>
      </w:r>
    </w:p>
    <w:p>
      <w:pPr>
        <w:spacing w:after="0" w:line="107" w:lineRule="exact"/>
        <w:rPr>
          <w:rFonts w:ascii="Times New Roman" w:cs="Times New Roman" w:eastAsia="Times New Roman" w:hAnsi="Times New Roman"/>
          <w:sz w:val="14"/>
          <w:szCs w:val="14"/>
          <w:color w:val="auto"/>
        </w:rPr>
      </w:pPr>
    </w:p>
    <w:p>
      <w:pPr>
        <w:ind w:left="900" w:hanging="344"/>
        <w:spacing w:after="0"/>
        <w:tabs>
          <w:tab w:leader="none" w:pos="9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the right to exercise the warrants will commence and the date on which the right will expire;</w:t>
      </w:r>
    </w:p>
    <w:p>
      <w:pPr>
        <w:spacing w:after="0" w:line="107" w:lineRule="exact"/>
        <w:rPr>
          <w:rFonts w:ascii="Times New Roman" w:cs="Times New Roman" w:eastAsia="Times New Roman" w:hAnsi="Times New Roman"/>
          <w:sz w:val="14"/>
          <w:szCs w:val="14"/>
          <w:color w:val="auto"/>
        </w:rPr>
      </w:pPr>
    </w:p>
    <w:p>
      <w:pPr>
        <w:ind w:left="900" w:hanging="344"/>
        <w:spacing w:after="0"/>
        <w:tabs>
          <w:tab w:leader="none" w:pos="9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at which each security purchasable upon exercise of warrants may be purchased;</w:t>
      </w:r>
    </w:p>
    <w:p>
      <w:pPr>
        <w:spacing w:after="0" w:line="107" w:lineRule="exact"/>
        <w:rPr>
          <w:rFonts w:ascii="Times New Roman" w:cs="Times New Roman" w:eastAsia="Times New Roman" w:hAnsi="Times New Roman"/>
          <w:sz w:val="14"/>
          <w:szCs w:val="14"/>
          <w:color w:val="auto"/>
        </w:rPr>
      </w:pPr>
    </w:p>
    <w:p>
      <w:pPr>
        <w:ind w:left="900" w:hanging="344"/>
        <w:spacing w:after="0"/>
        <w:tabs>
          <w:tab w:leader="none" w:pos="9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for changes to or adjustments in the exercise price;</w:t>
      </w:r>
    </w:p>
    <w:p>
      <w:pPr>
        <w:spacing w:after="0" w:line="107" w:lineRule="exact"/>
        <w:rPr>
          <w:rFonts w:ascii="Times New Roman" w:cs="Times New Roman" w:eastAsia="Times New Roman" w:hAnsi="Times New Roman"/>
          <w:sz w:val="14"/>
          <w:szCs w:val="14"/>
          <w:color w:val="auto"/>
        </w:rPr>
      </w:pPr>
    </w:p>
    <w:p>
      <w:pPr>
        <w:ind w:left="900" w:hanging="344"/>
        <w:spacing w:after="0"/>
        <w:tabs>
          <w:tab w:leader="none" w:pos="9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discussion of any material U.S. federal income tax considerations applicable to the warrants;</w:t>
      </w:r>
    </w:p>
    <w:p>
      <w:pPr>
        <w:spacing w:after="0" w:line="107" w:lineRule="exact"/>
        <w:rPr>
          <w:rFonts w:ascii="Times New Roman" w:cs="Times New Roman" w:eastAsia="Times New Roman" w:hAnsi="Times New Roman"/>
          <w:sz w:val="14"/>
          <w:szCs w:val="14"/>
          <w:color w:val="auto"/>
        </w:rPr>
      </w:pPr>
    </w:p>
    <w:p>
      <w:pPr>
        <w:ind w:left="900" w:hanging="344"/>
        <w:spacing w:after="0"/>
        <w:tabs>
          <w:tab w:leader="none" w:pos="9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anti-dilution provisions of the warrants, if any;</w:t>
      </w:r>
    </w:p>
    <w:p>
      <w:pPr>
        <w:spacing w:after="0" w:line="107" w:lineRule="exact"/>
        <w:rPr>
          <w:rFonts w:ascii="Times New Roman" w:cs="Times New Roman" w:eastAsia="Times New Roman" w:hAnsi="Times New Roman"/>
          <w:sz w:val="14"/>
          <w:szCs w:val="14"/>
          <w:color w:val="auto"/>
        </w:rPr>
      </w:pPr>
    </w:p>
    <w:p>
      <w:pPr>
        <w:ind w:left="900" w:hanging="344"/>
        <w:spacing w:after="0"/>
        <w:tabs>
          <w:tab w:leader="none" w:pos="9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redemption or call provisions, if any, applicable to the warrants;</w:t>
      </w:r>
    </w:p>
    <w:p>
      <w:pPr>
        <w:spacing w:after="0" w:line="107" w:lineRule="exact"/>
        <w:rPr>
          <w:rFonts w:ascii="Times New Roman" w:cs="Times New Roman" w:eastAsia="Times New Roman" w:hAnsi="Times New Roman"/>
          <w:sz w:val="14"/>
          <w:szCs w:val="14"/>
          <w:color w:val="auto"/>
        </w:rPr>
      </w:pPr>
    </w:p>
    <w:p>
      <w:pPr>
        <w:ind w:left="900" w:hanging="344"/>
        <w:spacing w:after="0"/>
        <w:tabs>
          <w:tab w:leader="none" w:pos="9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with respect to book-entry procedures, if any; and</w:t>
      </w:r>
    </w:p>
    <w:p>
      <w:pPr>
        <w:spacing w:after="0" w:line="107" w:lineRule="exact"/>
        <w:rPr>
          <w:rFonts w:ascii="Times New Roman" w:cs="Times New Roman" w:eastAsia="Times New Roman" w:hAnsi="Times New Roman"/>
          <w:sz w:val="14"/>
          <w:szCs w:val="14"/>
          <w:color w:val="auto"/>
        </w:rPr>
      </w:pPr>
    </w:p>
    <w:p>
      <w:pPr>
        <w:ind w:left="4440" w:right="419" w:hanging="3884"/>
        <w:spacing w:after="0" w:line="468" w:lineRule="auto"/>
        <w:tabs>
          <w:tab w:leader="none" w:pos="907"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additional terms of the warrants, including terms, procedures and limitations relating to the exchange and exercise of the warrants. 19</w:t>
      </w:r>
    </w:p>
    <w:p>
      <w:pPr>
        <w:sectPr>
          <w:pgSz w:w="11900" w:h="16838" w:orient="portrait"/>
          <w:cols w:equalWidth="0" w:num="1">
            <w:col w:w="9019"/>
          </w:cols>
          <w:pgMar w:left="1440" w:top="241" w:right="1440" w:bottom="1440" w:gutter="0" w:footer="0" w:header="0"/>
        </w:sectPr>
      </w:pPr>
    </w:p>
    <w:bookmarkStart w:id="24" w:name="page25"/>
    <w:bookmarkEnd w:id="2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99630" cy="33020"/>
                    </a:xfrm>
                    <a:prstGeom prst="rect">
                      <a:avLst/>
                    </a:prstGeom>
                    <a:noFill/>
                  </pic:spPr>
                </pic:pic>
              </a:graphicData>
            </a:graphic>
          </wp:anchor>
        </w:drawing>
        <w:t>DESCRIPTION OF UNITS</w:t>
      </w:r>
    </w:p>
    <w:p>
      <w:pPr>
        <w:spacing w:after="0" w:line="184" w:lineRule="exact"/>
        <w:rPr>
          <w:sz w:val="20"/>
          <w:szCs w:val="20"/>
          <w:color w:val="auto"/>
        </w:rPr>
      </w:pPr>
    </w:p>
    <w:p>
      <w:pPr>
        <w:ind w:left="120" w:right="459" w:firstLine="350"/>
        <w:spacing w:after="0" w:line="292" w:lineRule="auto"/>
        <w:rPr>
          <w:sz w:val="20"/>
          <w:szCs w:val="20"/>
          <w:color w:val="auto"/>
        </w:rPr>
      </w:pPr>
      <w:r>
        <w:rPr>
          <w:rFonts w:ascii="Times New Roman" w:cs="Times New Roman" w:eastAsia="Times New Roman" w:hAnsi="Times New Roman"/>
          <w:sz w:val="14"/>
          <w:szCs w:val="14"/>
          <w:color w:val="auto"/>
        </w:rPr>
        <w:t>We may issue units consisting of one or more of shares of our common stock, preferred stock, debt securities, guarantees of debt securities or warrants or any combination of such securities.</w:t>
      </w:r>
    </w:p>
    <w:p>
      <w:pPr>
        <w:spacing w:after="0" w:line="1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The prospectus supplement relating to a particular issue of units will describe the terms of such units, including the following:</w:t>
      </w:r>
    </w:p>
    <w:p>
      <w:pPr>
        <w:spacing w:after="0" w:line="107" w:lineRule="exact"/>
        <w:rPr>
          <w:sz w:val="20"/>
          <w:szCs w:val="20"/>
          <w:color w:val="auto"/>
        </w:rPr>
      </w:pPr>
    </w:p>
    <w:p>
      <w:pPr>
        <w:ind w:left="900" w:right="599" w:hanging="344"/>
        <w:spacing w:after="0" w:line="292" w:lineRule="auto"/>
        <w:tabs>
          <w:tab w:leader="none" w:pos="9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the units and of any of our common stock, preferred stock, debt securities, guarantees of debt securities or warrants comprising the units, including whether and under what circumstances the securities comprising the units may be traded separately;</w:t>
      </w:r>
    </w:p>
    <w:p>
      <w:pPr>
        <w:spacing w:after="0" w:line="48" w:lineRule="exact"/>
        <w:rPr>
          <w:rFonts w:ascii="Times New Roman" w:cs="Times New Roman" w:eastAsia="Times New Roman" w:hAnsi="Times New Roman"/>
          <w:sz w:val="14"/>
          <w:szCs w:val="14"/>
          <w:color w:val="auto"/>
        </w:rPr>
      </w:pPr>
    </w:p>
    <w:p>
      <w:pPr>
        <w:ind w:left="900" w:hanging="344"/>
        <w:spacing w:after="0"/>
        <w:tabs>
          <w:tab w:leader="none" w:pos="9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description of the terms of any unit agreement governing the units;</w:t>
      </w:r>
    </w:p>
    <w:p>
      <w:pPr>
        <w:spacing w:after="0" w:line="107" w:lineRule="exact"/>
        <w:rPr>
          <w:rFonts w:ascii="Times New Roman" w:cs="Times New Roman" w:eastAsia="Times New Roman" w:hAnsi="Times New Roman"/>
          <w:sz w:val="14"/>
          <w:szCs w:val="14"/>
          <w:color w:val="auto"/>
        </w:rPr>
      </w:pPr>
    </w:p>
    <w:p>
      <w:pPr>
        <w:ind w:left="900" w:hanging="344"/>
        <w:spacing w:after="0"/>
        <w:tabs>
          <w:tab w:leader="none" w:pos="9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description of the provisions for the payment, settlement, transfer or exchange of the units; and</w:t>
      </w:r>
    </w:p>
    <w:p>
      <w:pPr>
        <w:spacing w:after="0" w:line="107" w:lineRule="exact"/>
        <w:rPr>
          <w:rFonts w:ascii="Times New Roman" w:cs="Times New Roman" w:eastAsia="Times New Roman" w:hAnsi="Times New Roman"/>
          <w:sz w:val="14"/>
          <w:szCs w:val="14"/>
          <w:color w:val="auto"/>
        </w:rPr>
      </w:pPr>
    </w:p>
    <w:p>
      <w:pPr>
        <w:ind w:left="900" w:hanging="344"/>
        <w:spacing w:after="0"/>
        <w:tabs>
          <w:tab w:leader="none" w:pos="9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a discussion of any material U.S. federal income tax considerations.</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9019"/>
          </w:cols>
          <w:pgMar w:left="1440" w:top="241" w:right="1440"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99630" cy="33020"/>
                    </a:xfrm>
                    <a:prstGeom prst="rect">
                      <a:avLst/>
                    </a:prstGeom>
                    <a:noFill/>
                  </pic:spPr>
                </pic:pic>
              </a:graphicData>
            </a:graphic>
          </wp:anchor>
        </w:drawing>
        <w:t>PLAN OF DISTRIBUTION</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We may sell the securities described in this prospectus and applicable prospectus supplements from time to time in one or more transactions:</w:t>
      </w:r>
    </w:p>
    <w:p>
      <w:pPr>
        <w:spacing w:after="0" w:line="107" w:lineRule="exact"/>
        <w:rPr>
          <w:sz w:val="20"/>
          <w:szCs w:val="20"/>
          <w:color w:val="auto"/>
        </w:rPr>
      </w:pPr>
    </w:p>
    <w:p>
      <w:pPr>
        <w:ind w:left="900" w:hanging="344"/>
        <w:spacing w:after="0"/>
        <w:tabs>
          <w:tab w:leader="none" w:pos="9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directly to one or more purchasers;</w:t>
      </w:r>
    </w:p>
    <w:p>
      <w:pPr>
        <w:spacing w:after="0" w:line="107" w:lineRule="exact"/>
        <w:rPr>
          <w:rFonts w:ascii="Times New Roman" w:cs="Times New Roman" w:eastAsia="Times New Roman" w:hAnsi="Times New Roman"/>
          <w:sz w:val="14"/>
          <w:szCs w:val="14"/>
          <w:color w:val="auto"/>
        </w:rPr>
      </w:pPr>
    </w:p>
    <w:p>
      <w:pPr>
        <w:ind w:left="900" w:hanging="344"/>
        <w:spacing w:after="0"/>
        <w:tabs>
          <w:tab w:leader="none" w:pos="9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or through underwriters;</w:t>
      </w:r>
    </w:p>
    <w:p>
      <w:pPr>
        <w:spacing w:after="0" w:line="107" w:lineRule="exact"/>
        <w:rPr>
          <w:rFonts w:ascii="Times New Roman" w:cs="Times New Roman" w:eastAsia="Times New Roman" w:hAnsi="Times New Roman"/>
          <w:sz w:val="14"/>
          <w:szCs w:val="14"/>
          <w:color w:val="auto"/>
        </w:rPr>
      </w:pPr>
    </w:p>
    <w:p>
      <w:pPr>
        <w:ind w:left="900" w:hanging="344"/>
        <w:spacing w:after="0"/>
        <w:tabs>
          <w:tab w:leader="none" w:pos="9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“at-the-market offerings” within the meaning of Rule 415(a)(4) of the Securities Act;</w:t>
      </w:r>
    </w:p>
    <w:p>
      <w:pPr>
        <w:spacing w:after="0" w:line="107" w:lineRule="exact"/>
        <w:rPr>
          <w:rFonts w:ascii="Times New Roman" w:cs="Times New Roman" w:eastAsia="Times New Roman" w:hAnsi="Times New Roman"/>
          <w:sz w:val="14"/>
          <w:szCs w:val="14"/>
          <w:color w:val="auto"/>
        </w:rPr>
      </w:pPr>
    </w:p>
    <w:p>
      <w:pPr>
        <w:ind w:left="900" w:hanging="344"/>
        <w:spacing w:after="0"/>
        <w:tabs>
          <w:tab w:leader="none" w:pos="9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agents;</w:t>
      </w:r>
    </w:p>
    <w:p>
      <w:pPr>
        <w:spacing w:after="0" w:line="107" w:lineRule="exact"/>
        <w:rPr>
          <w:rFonts w:ascii="Times New Roman" w:cs="Times New Roman" w:eastAsia="Times New Roman" w:hAnsi="Times New Roman"/>
          <w:sz w:val="14"/>
          <w:szCs w:val="14"/>
          <w:color w:val="auto"/>
        </w:rPr>
      </w:pPr>
    </w:p>
    <w:p>
      <w:pPr>
        <w:ind w:left="900" w:hanging="344"/>
        <w:spacing w:after="0"/>
        <w:tabs>
          <w:tab w:leader="none" w:pos="9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dealers; or</w:t>
      </w:r>
    </w:p>
    <w:p>
      <w:pPr>
        <w:spacing w:after="0" w:line="107" w:lineRule="exact"/>
        <w:rPr>
          <w:rFonts w:ascii="Times New Roman" w:cs="Times New Roman" w:eastAsia="Times New Roman" w:hAnsi="Times New Roman"/>
          <w:sz w:val="14"/>
          <w:szCs w:val="14"/>
          <w:color w:val="auto"/>
        </w:rPr>
      </w:pPr>
    </w:p>
    <w:p>
      <w:pPr>
        <w:ind w:left="900" w:hanging="344"/>
        <w:spacing w:after="0"/>
        <w:tabs>
          <w:tab w:leader="none" w:pos="9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 combination of any of the foregoing methods of sale.</w:t>
      </w:r>
    </w:p>
    <w:p>
      <w:pPr>
        <w:spacing w:after="0" w:line="182" w:lineRule="exact"/>
        <w:rPr>
          <w:sz w:val="20"/>
          <w:szCs w:val="20"/>
          <w:color w:val="auto"/>
        </w:rPr>
      </w:pPr>
    </w:p>
    <w:p>
      <w:pPr>
        <w:ind w:left="120" w:right="419" w:firstLine="350"/>
        <w:spacing w:after="0" w:line="292" w:lineRule="auto"/>
        <w:rPr>
          <w:sz w:val="20"/>
          <w:szCs w:val="20"/>
          <w:color w:val="auto"/>
        </w:rPr>
      </w:pPr>
      <w:r>
        <w:rPr>
          <w:rFonts w:ascii="Times New Roman" w:cs="Times New Roman" w:eastAsia="Times New Roman" w:hAnsi="Times New Roman"/>
          <w:sz w:val="14"/>
          <w:szCs w:val="14"/>
          <w:color w:val="auto"/>
        </w:rPr>
        <w:t>Each time we sell securities, we will provide a prospectus supplement that will name the issuer of the securities and any underwriter, dealer or agent involved in the offer and sale of the securities. The prospectus supplement will also set forth the terms of the offering, including:</w:t>
      </w:r>
    </w:p>
    <w:p>
      <w:pPr>
        <w:spacing w:after="0" w:line="48" w:lineRule="exact"/>
        <w:rPr>
          <w:sz w:val="20"/>
          <w:szCs w:val="20"/>
          <w:color w:val="auto"/>
        </w:rPr>
      </w:pPr>
    </w:p>
    <w:p>
      <w:pPr>
        <w:ind w:left="900" w:hanging="344"/>
        <w:spacing w:after="0"/>
        <w:tabs>
          <w:tab w:leader="none" w:pos="9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purchase price of the securities and the proceeds we will receive from the sale of the securities;</w:t>
      </w:r>
    </w:p>
    <w:p>
      <w:pPr>
        <w:spacing w:after="0" w:line="107" w:lineRule="exact"/>
        <w:rPr>
          <w:rFonts w:ascii="Times New Roman" w:cs="Times New Roman" w:eastAsia="Times New Roman" w:hAnsi="Times New Roman"/>
          <w:sz w:val="14"/>
          <w:szCs w:val="14"/>
          <w:color w:val="auto"/>
        </w:rPr>
      </w:pPr>
    </w:p>
    <w:p>
      <w:pPr>
        <w:ind w:left="900" w:hanging="344"/>
        <w:spacing w:after="0"/>
        <w:tabs>
          <w:tab w:leader="none" w:pos="9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underwriting discounts and other items constituting underwriters’ compensation;</w:t>
      </w:r>
    </w:p>
    <w:p>
      <w:pPr>
        <w:spacing w:after="0" w:line="107" w:lineRule="exact"/>
        <w:rPr>
          <w:rFonts w:ascii="Times New Roman" w:cs="Times New Roman" w:eastAsia="Times New Roman" w:hAnsi="Times New Roman"/>
          <w:sz w:val="14"/>
          <w:szCs w:val="14"/>
          <w:color w:val="auto"/>
        </w:rPr>
      </w:pPr>
    </w:p>
    <w:p>
      <w:pPr>
        <w:ind w:left="900" w:hanging="344"/>
        <w:spacing w:after="0"/>
        <w:tabs>
          <w:tab w:leader="none" w:pos="9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public offering or purchase price and any discounts or commissions allowed or re-allowed or paid to dealers;</w:t>
      </w:r>
    </w:p>
    <w:p>
      <w:pPr>
        <w:spacing w:after="0" w:line="107" w:lineRule="exact"/>
        <w:rPr>
          <w:rFonts w:ascii="Times New Roman" w:cs="Times New Roman" w:eastAsia="Times New Roman" w:hAnsi="Times New Roman"/>
          <w:sz w:val="14"/>
          <w:szCs w:val="14"/>
          <w:color w:val="auto"/>
        </w:rPr>
      </w:pPr>
    </w:p>
    <w:p>
      <w:pPr>
        <w:ind w:left="900" w:hanging="344"/>
        <w:spacing w:after="0"/>
        <w:tabs>
          <w:tab w:leader="none" w:pos="9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commissions allowed or paid to agents;</w:t>
      </w:r>
    </w:p>
    <w:p>
      <w:pPr>
        <w:spacing w:after="0" w:line="107" w:lineRule="exact"/>
        <w:rPr>
          <w:rFonts w:ascii="Times New Roman" w:cs="Times New Roman" w:eastAsia="Times New Roman" w:hAnsi="Times New Roman"/>
          <w:sz w:val="14"/>
          <w:szCs w:val="14"/>
          <w:color w:val="auto"/>
        </w:rPr>
      </w:pPr>
    </w:p>
    <w:p>
      <w:pPr>
        <w:ind w:left="900" w:hanging="344"/>
        <w:spacing w:after="0"/>
        <w:tabs>
          <w:tab w:leader="none" w:pos="9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securities exchanges on which the securities may be listed;</w:t>
      </w:r>
    </w:p>
    <w:p>
      <w:pPr>
        <w:spacing w:after="0" w:line="107" w:lineRule="exact"/>
        <w:rPr>
          <w:rFonts w:ascii="Times New Roman" w:cs="Times New Roman" w:eastAsia="Times New Roman" w:hAnsi="Times New Roman"/>
          <w:sz w:val="14"/>
          <w:szCs w:val="14"/>
          <w:color w:val="auto"/>
        </w:rPr>
      </w:pPr>
    </w:p>
    <w:p>
      <w:pPr>
        <w:ind w:left="900" w:hanging="344"/>
        <w:spacing w:after="0"/>
        <w:tabs>
          <w:tab w:leader="none" w:pos="9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method of distribution of the securities;</w:t>
      </w:r>
    </w:p>
    <w:p>
      <w:pPr>
        <w:spacing w:after="0" w:line="107" w:lineRule="exact"/>
        <w:rPr>
          <w:rFonts w:ascii="Times New Roman" w:cs="Times New Roman" w:eastAsia="Times New Roman" w:hAnsi="Times New Roman"/>
          <w:sz w:val="14"/>
          <w:szCs w:val="14"/>
          <w:color w:val="auto"/>
        </w:rPr>
      </w:pPr>
    </w:p>
    <w:p>
      <w:pPr>
        <w:ind w:left="900" w:hanging="344"/>
        <w:spacing w:after="0"/>
        <w:tabs>
          <w:tab w:leader="none" w:pos="9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any agreement, arrangement or understanding entered into with the underwriters, brokers or dealers; and</w:t>
      </w:r>
    </w:p>
    <w:p>
      <w:pPr>
        <w:spacing w:after="0" w:line="107" w:lineRule="exact"/>
        <w:rPr>
          <w:rFonts w:ascii="Times New Roman" w:cs="Times New Roman" w:eastAsia="Times New Roman" w:hAnsi="Times New Roman"/>
          <w:sz w:val="14"/>
          <w:szCs w:val="14"/>
          <w:color w:val="auto"/>
        </w:rPr>
      </w:pPr>
    </w:p>
    <w:p>
      <w:pPr>
        <w:ind w:left="900" w:hanging="344"/>
        <w:spacing w:after="0"/>
        <w:tabs>
          <w:tab w:leader="none" w:pos="9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information we think is important.</w:t>
      </w:r>
    </w:p>
    <w:p>
      <w:pPr>
        <w:spacing w:after="0" w:line="182" w:lineRule="exact"/>
        <w:rPr>
          <w:sz w:val="20"/>
          <w:szCs w:val="20"/>
          <w:color w:val="auto"/>
        </w:rPr>
      </w:pPr>
    </w:p>
    <w:p>
      <w:pPr>
        <w:ind w:left="120" w:right="479" w:firstLine="350"/>
        <w:spacing w:after="0" w:line="292" w:lineRule="auto"/>
        <w:rPr>
          <w:sz w:val="20"/>
          <w:szCs w:val="20"/>
          <w:color w:val="auto"/>
        </w:rPr>
      </w:pPr>
      <w:r>
        <w:rPr>
          <w:rFonts w:ascii="Times New Roman" w:cs="Times New Roman" w:eastAsia="Times New Roman" w:hAnsi="Times New Roman"/>
          <w:sz w:val="14"/>
          <w:szCs w:val="14"/>
          <w:color w:val="auto"/>
        </w:rPr>
        <w:t>The offer and sale of the securities described in this prospectus and any applicable prospectus supplement by us, the underwriters or the third parties described above may be effected from time to time in one or more transactions at:</w:t>
      </w:r>
    </w:p>
    <w:p>
      <w:pPr>
        <w:spacing w:after="0" w:line="48" w:lineRule="exact"/>
        <w:rPr>
          <w:sz w:val="20"/>
          <w:szCs w:val="20"/>
          <w:color w:val="auto"/>
        </w:rPr>
      </w:pPr>
    </w:p>
    <w:p>
      <w:pPr>
        <w:ind w:left="900" w:hanging="344"/>
        <w:spacing w:after="0"/>
        <w:tabs>
          <w:tab w:leader="none" w:pos="9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fixed price or prices, which may be changed;</w:t>
      </w:r>
    </w:p>
    <w:p>
      <w:pPr>
        <w:spacing w:after="0" w:line="107" w:lineRule="exact"/>
        <w:rPr>
          <w:rFonts w:ascii="Times New Roman" w:cs="Times New Roman" w:eastAsia="Times New Roman" w:hAnsi="Times New Roman"/>
          <w:sz w:val="14"/>
          <w:szCs w:val="14"/>
          <w:color w:val="auto"/>
        </w:rPr>
      </w:pPr>
    </w:p>
    <w:p>
      <w:pPr>
        <w:ind w:left="900" w:hanging="344"/>
        <w:spacing w:after="0"/>
        <w:tabs>
          <w:tab w:leader="none" w:pos="9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prices prevailing at the time of sale;</w:t>
      </w:r>
    </w:p>
    <w:p>
      <w:pPr>
        <w:spacing w:after="0" w:line="107" w:lineRule="exact"/>
        <w:rPr>
          <w:rFonts w:ascii="Times New Roman" w:cs="Times New Roman" w:eastAsia="Times New Roman" w:hAnsi="Times New Roman"/>
          <w:sz w:val="14"/>
          <w:szCs w:val="14"/>
          <w:color w:val="auto"/>
        </w:rPr>
      </w:pPr>
    </w:p>
    <w:p>
      <w:pPr>
        <w:ind w:left="900" w:hanging="344"/>
        <w:spacing w:after="0"/>
        <w:tabs>
          <w:tab w:leader="none" w:pos="9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prices related to such prevailing market prices; or</w:t>
      </w:r>
    </w:p>
    <w:p>
      <w:pPr>
        <w:spacing w:after="0" w:line="107" w:lineRule="exact"/>
        <w:rPr>
          <w:rFonts w:ascii="Times New Roman" w:cs="Times New Roman" w:eastAsia="Times New Roman" w:hAnsi="Times New Roman"/>
          <w:sz w:val="14"/>
          <w:szCs w:val="14"/>
          <w:color w:val="auto"/>
        </w:rPr>
      </w:pPr>
    </w:p>
    <w:p>
      <w:pPr>
        <w:ind w:left="900" w:hanging="344"/>
        <w:spacing w:after="0"/>
        <w:tabs>
          <w:tab w:leader="none" w:pos="9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negotiated prices.</w:t>
      </w:r>
    </w:p>
    <w:p>
      <w:pPr>
        <w:spacing w:after="0" w:line="1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Our common stock is listed on the New York Stock Exchange under the symbol “GEO.”</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Direct Sales</w:t>
      </w:r>
    </w:p>
    <w:p>
      <w:pPr>
        <w:spacing w:after="0" w:line="99" w:lineRule="exact"/>
        <w:rPr>
          <w:sz w:val="20"/>
          <w:szCs w:val="20"/>
          <w:color w:val="auto"/>
        </w:rPr>
      </w:pPr>
    </w:p>
    <w:p>
      <w:pPr>
        <w:ind w:left="120" w:right="419" w:firstLine="350"/>
        <w:spacing w:after="0" w:line="292" w:lineRule="auto"/>
        <w:rPr>
          <w:sz w:val="20"/>
          <w:szCs w:val="20"/>
          <w:color w:val="auto"/>
        </w:rPr>
      </w:pPr>
      <w:r>
        <w:rPr>
          <w:rFonts w:ascii="Times New Roman" w:cs="Times New Roman" w:eastAsia="Times New Roman" w:hAnsi="Times New Roman"/>
          <w:sz w:val="14"/>
          <w:szCs w:val="14"/>
          <w:color w:val="auto"/>
        </w:rPr>
        <w:t>We may sell the securities directly to one or more purchasers. In this case, no underwriters, dealers or agents would be involved. A prospectus supplement will describe the terms of any sale of securities we are offering hereunder.</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Through Underwriters</w:t>
      </w:r>
    </w:p>
    <w:p>
      <w:pPr>
        <w:spacing w:after="0" w:line="99" w:lineRule="exact"/>
        <w:rPr>
          <w:sz w:val="20"/>
          <w:szCs w:val="20"/>
          <w:color w:val="auto"/>
        </w:rPr>
      </w:pPr>
    </w:p>
    <w:p>
      <w:pPr>
        <w:ind w:left="120" w:right="159" w:firstLine="350"/>
        <w:spacing w:after="0" w:line="292" w:lineRule="auto"/>
        <w:rPr>
          <w:sz w:val="20"/>
          <w:szCs w:val="20"/>
          <w:color w:val="auto"/>
        </w:rPr>
      </w:pPr>
      <w:r>
        <w:rPr>
          <w:rFonts w:ascii="Times New Roman" w:cs="Times New Roman" w:eastAsia="Times New Roman" w:hAnsi="Times New Roman"/>
          <w:sz w:val="14"/>
          <w:szCs w:val="14"/>
          <w:color w:val="auto"/>
        </w:rPr>
        <w:t>If we use underwriters in the sale of securities, such underwriters will acquire the securities for their own account. The underwriters may resell the securities in one or more transactions, at a fixed price or prices, which</w:t>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9019"/>
          </w:cols>
          <w:pgMar w:left="1440" w:top="241" w:right="1440" w:bottom="1440" w:gutter="0" w:footer="0" w:header="0"/>
        </w:sectPr>
      </w:pPr>
    </w:p>
    <w:bookmarkStart w:id="26" w:name="page27"/>
    <w:bookmarkEnd w:id="26"/>
    <w:p>
      <w:pPr>
        <w:ind w:left="120" w:right="299"/>
        <w:spacing w:after="0" w:line="26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99630" cy="33020"/>
                    </a:xfrm>
                    <a:prstGeom prst="rect">
                      <a:avLst/>
                    </a:prstGeom>
                    <a:noFill/>
                  </pic:spPr>
                </pic:pic>
              </a:graphicData>
            </a:graphic>
          </wp:anchor>
        </w:drawing>
        <w:t>may be changed, or at market prices prevailing at the time of sale, at prices relating to prevailing market prices or at negotiated prices. If we utilize an underwriter or underwriters in the sale of securities, we will execute an underwriting agreement with the underwriter or underwriters at the time we reach an agreement for sale. We will set forth in the prospectus supplement the names of the specific managing underwriter or underwriters, as well as any other underwriters, and the terms of the transactions, including compensation of the underwriters. This compensation may be in the form of discounts, concessions or commissions.</w:t>
      </w:r>
    </w:p>
    <w:p>
      <w:pPr>
        <w:spacing w:after="0" w:line="141" w:lineRule="exact"/>
        <w:rPr>
          <w:sz w:val="20"/>
          <w:szCs w:val="20"/>
          <w:color w:val="auto"/>
        </w:rPr>
      </w:pPr>
    </w:p>
    <w:p>
      <w:pPr>
        <w:ind w:left="120" w:right="179" w:firstLine="350"/>
        <w:spacing w:after="0" w:line="292" w:lineRule="auto"/>
        <w:rPr>
          <w:sz w:val="20"/>
          <w:szCs w:val="20"/>
          <w:color w:val="auto"/>
        </w:rPr>
      </w:pPr>
      <w:r>
        <w:rPr>
          <w:rFonts w:ascii="Times New Roman" w:cs="Times New Roman" w:eastAsia="Times New Roman" w:hAnsi="Times New Roman"/>
          <w:sz w:val="14"/>
          <w:szCs w:val="14"/>
          <w:color w:val="auto"/>
        </w:rPr>
        <w:t>Unless otherwise provided in a prospectus supplement, the obligations of any underwriters to purchase securities or any series of securities will be subject to certain conditions precedent, and the underwriters will be obligated to purchase all such securities if any are purchased.</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Through Agents and Dealers</w:t>
      </w:r>
    </w:p>
    <w:p>
      <w:pPr>
        <w:spacing w:after="0" w:line="9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We will name any agent involved in a sale of securities, as well as any commissions payable by us to such agent, in a prospectus supplement.</w:t>
      </w:r>
    </w:p>
    <w:p>
      <w:pPr>
        <w:spacing w:after="0" w:line="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Unless we indicate differently in the prospectus supplement, any such agent will be acting on a best efforts basis for the period of its appointment.</w:t>
      </w:r>
    </w:p>
    <w:p>
      <w:pPr>
        <w:spacing w:after="0" w:line="169" w:lineRule="exact"/>
        <w:rPr>
          <w:sz w:val="20"/>
          <w:szCs w:val="20"/>
          <w:color w:val="auto"/>
        </w:rPr>
      </w:pPr>
    </w:p>
    <w:p>
      <w:pPr>
        <w:ind w:left="120" w:right="159" w:firstLine="350"/>
        <w:spacing w:after="0" w:line="274" w:lineRule="auto"/>
        <w:rPr>
          <w:sz w:val="20"/>
          <w:szCs w:val="20"/>
          <w:color w:val="auto"/>
        </w:rPr>
      </w:pPr>
      <w:r>
        <w:rPr>
          <w:rFonts w:ascii="Times New Roman" w:cs="Times New Roman" w:eastAsia="Times New Roman" w:hAnsi="Times New Roman"/>
          <w:sz w:val="14"/>
          <w:szCs w:val="14"/>
          <w:color w:val="auto"/>
        </w:rPr>
        <w:t>If we utilize a dealer in the sale of the securities being offered pursuant to this prospectus, we will sell the securities to the dealer, as principal. The dealer may then resell the securities to the public at varying prices to be determined by the dealer at the time of resale. The prospectus supplement will set forth the name of the dealer and the terms of the transactions.</w:t>
      </w:r>
    </w:p>
    <w:p>
      <w:pPr>
        <w:spacing w:after="0" w:line="2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Delayed Delivery Contracts</w:t>
      </w:r>
    </w:p>
    <w:p>
      <w:pPr>
        <w:spacing w:after="0" w:line="99" w:lineRule="exact"/>
        <w:rPr>
          <w:sz w:val="20"/>
          <w:szCs w:val="20"/>
          <w:color w:val="auto"/>
        </w:rPr>
      </w:pPr>
    </w:p>
    <w:p>
      <w:pPr>
        <w:ind w:left="120" w:right="199" w:firstLine="350"/>
        <w:spacing w:after="0" w:line="274" w:lineRule="auto"/>
        <w:rPr>
          <w:sz w:val="20"/>
          <w:szCs w:val="20"/>
          <w:color w:val="auto"/>
        </w:rPr>
      </w:pPr>
      <w:r>
        <w:rPr>
          <w:rFonts w:ascii="Times New Roman" w:cs="Times New Roman" w:eastAsia="Times New Roman" w:hAnsi="Times New Roman"/>
          <w:sz w:val="14"/>
          <w:szCs w:val="14"/>
          <w:color w:val="auto"/>
        </w:rPr>
        <w:t>If we so specify in the applicable prospectus supplement, we will authorize underwriters, dealers and agents to solicit offers by certain institutions to purchase securities pursuant to contracts providing for payment and delivery on future dates. Such contracts will be subject to only those conditions set forth in the applicable prospectus supplement.</w:t>
      </w:r>
    </w:p>
    <w:p>
      <w:pPr>
        <w:spacing w:after="0" w:line="135" w:lineRule="exact"/>
        <w:rPr>
          <w:sz w:val="20"/>
          <w:szCs w:val="20"/>
          <w:color w:val="auto"/>
        </w:rPr>
      </w:pPr>
    </w:p>
    <w:p>
      <w:pPr>
        <w:jc w:val="both"/>
        <w:ind w:left="120" w:right="339" w:firstLine="350"/>
        <w:spacing w:after="0" w:line="274" w:lineRule="auto"/>
        <w:rPr>
          <w:sz w:val="20"/>
          <w:szCs w:val="20"/>
          <w:color w:val="auto"/>
        </w:rPr>
      </w:pPr>
      <w:r>
        <w:rPr>
          <w:rFonts w:ascii="Times New Roman" w:cs="Times New Roman" w:eastAsia="Times New Roman" w:hAnsi="Times New Roman"/>
          <w:sz w:val="14"/>
          <w:szCs w:val="14"/>
          <w:color w:val="auto"/>
        </w:rPr>
        <w:t>The underwriters, dealers and agents will not be responsible for the validity or performance of the contracts. We will set forth in the prospectus supplement relating to the contracts the price to be paid for the securities, the commissions payable for solicitation of the contracts and the date in the future for delivery of the securities.</w:t>
      </w:r>
    </w:p>
    <w:p>
      <w:pPr>
        <w:spacing w:after="0" w:line="2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General Information</w:t>
      </w:r>
    </w:p>
    <w:p>
      <w:pPr>
        <w:spacing w:after="0" w:line="99" w:lineRule="exact"/>
        <w:rPr>
          <w:sz w:val="20"/>
          <w:szCs w:val="20"/>
          <w:color w:val="auto"/>
        </w:rPr>
      </w:pPr>
    </w:p>
    <w:p>
      <w:pPr>
        <w:ind w:left="120" w:right="179" w:firstLine="350"/>
        <w:spacing w:after="0" w:line="259" w:lineRule="auto"/>
        <w:rPr>
          <w:sz w:val="20"/>
          <w:szCs w:val="20"/>
          <w:color w:val="auto"/>
        </w:rPr>
      </w:pPr>
      <w:r>
        <w:rPr>
          <w:rFonts w:ascii="Times New Roman" w:cs="Times New Roman" w:eastAsia="Times New Roman" w:hAnsi="Times New Roman"/>
          <w:sz w:val="14"/>
          <w:szCs w:val="14"/>
          <w:color w:val="auto"/>
        </w:rPr>
        <w:t>If any underwriters are involved in the offer and sale, they will be permitted to engage in transactions that maintain or otherwise affect the price of the securities. These transactions may include over-allotment transactions, purchases to cover short positions created by the underwriter in connection with the offering and the imposition of penalty bids. If an underwriter creates a short position in the securities in connection with the offering, i.e., if it sells more securities than set forth on the cover page of the applicable prospectus supplement, the underwriter may reduce that short position by purchasing the securities in the open market. In general, purchases of a security to reduce a short position could cause the price of the security to be higher than it might be in the absence of such purchases. As noted above, underwriters may also choose to impose penalty bids on other underwriters and/or selling group members. This means that if underwriters purchase securities on the open market to reduce their short position or to stabilize the price of the securities, they may reclaim the amount of the selling concession from those underwriters and/or selling group members who sold such securities as part of the offering. These activities will be described in more detail in the sections titled “Plan of Distribution” or “Underwriting” in the applicable prospectus supplement.</w:t>
      </w:r>
    </w:p>
    <w:p>
      <w:pPr>
        <w:spacing w:after="0" w:line="151" w:lineRule="exact"/>
        <w:rPr>
          <w:sz w:val="20"/>
          <w:szCs w:val="20"/>
          <w:color w:val="auto"/>
        </w:rPr>
      </w:pPr>
    </w:p>
    <w:p>
      <w:pPr>
        <w:ind w:left="120" w:right="159" w:firstLine="350"/>
        <w:spacing w:after="0" w:line="274" w:lineRule="auto"/>
        <w:rPr>
          <w:sz w:val="20"/>
          <w:szCs w:val="20"/>
          <w:color w:val="auto"/>
        </w:rPr>
      </w:pPr>
      <w:r>
        <w:rPr>
          <w:rFonts w:ascii="Times New Roman" w:cs="Times New Roman" w:eastAsia="Times New Roman" w:hAnsi="Times New Roman"/>
          <w:sz w:val="14"/>
          <w:szCs w:val="14"/>
          <w:color w:val="auto"/>
        </w:rPr>
        <w:t>Neither we nor any underwriter make any representation or prediction as to the direction or magnitude of any effect that the transactions described above may have on the price of the securities. In addition, neither we nor any underwriter make any representation that such underwriter will engage in such transactions or that such transactions, once commenced, will not be discontinued without notice.</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9019"/>
          </w:cols>
          <w:pgMar w:left="1440" w:top="243" w:right="1440" w:bottom="1440" w:gutter="0" w:footer="0" w:header="0"/>
        </w:sectPr>
      </w:pPr>
    </w:p>
    <w:bookmarkStart w:id="27" w:name="page28"/>
    <w:bookmarkEnd w:id="27"/>
    <w:p>
      <w:pPr>
        <w:ind w:left="120" w:right="139" w:firstLine="350"/>
        <w:spacing w:after="0" w:line="26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99630" cy="33020"/>
                    </a:xfrm>
                    <a:prstGeom prst="rect">
                      <a:avLst/>
                    </a:prstGeom>
                    <a:noFill/>
                  </pic:spPr>
                </pic:pic>
              </a:graphicData>
            </a:graphic>
          </wp:anchor>
        </w:drawing>
        <w:t>Underwriters, dealers and agents participating in a sale of the securities may be deemed to be underwriters as defined in the Securities Act, and any discounts and commissions received by them and any profit realized by them on resale of the securities may be deemed to be underwriting discounts and commissions, under the Securities Act. We may have agreements with underwriters, dealers and agents to indemnify them against certain civil liabilities, including liabilities under the Securities Act, and to reimburse them for certain expenses.</w:t>
      </w:r>
    </w:p>
    <w:p>
      <w:pPr>
        <w:spacing w:after="0" w:line="139" w:lineRule="exact"/>
        <w:rPr>
          <w:sz w:val="20"/>
          <w:szCs w:val="20"/>
          <w:color w:val="auto"/>
        </w:rPr>
      </w:pPr>
    </w:p>
    <w:p>
      <w:pPr>
        <w:ind w:left="120" w:right="319" w:firstLine="350"/>
        <w:spacing w:after="0" w:line="292" w:lineRule="auto"/>
        <w:rPr>
          <w:sz w:val="20"/>
          <w:szCs w:val="20"/>
          <w:color w:val="auto"/>
        </w:rPr>
      </w:pPr>
      <w:r>
        <w:rPr>
          <w:rFonts w:ascii="Times New Roman" w:cs="Times New Roman" w:eastAsia="Times New Roman" w:hAnsi="Times New Roman"/>
          <w:sz w:val="14"/>
          <w:szCs w:val="14"/>
          <w:color w:val="auto"/>
        </w:rPr>
        <w:t>Underwriters, agents and dealers may engage in transactions with or perform services, including various investment banking and other services, for us or our affiliates in the ordinary course of business.</w:t>
      </w:r>
    </w:p>
    <w:p>
      <w:pPr>
        <w:spacing w:after="0" w:line="123" w:lineRule="exact"/>
        <w:rPr>
          <w:sz w:val="20"/>
          <w:szCs w:val="20"/>
          <w:color w:val="auto"/>
        </w:rPr>
      </w:pPr>
    </w:p>
    <w:p>
      <w:pPr>
        <w:ind w:left="120" w:right="199" w:firstLine="350"/>
        <w:spacing w:after="0" w:line="265" w:lineRule="auto"/>
        <w:rPr>
          <w:sz w:val="20"/>
          <w:szCs w:val="20"/>
          <w:color w:val="auto"/>
        </w:rPr>
      </w:pPr>
      <w:r>
        <w:rPr>
          <w:rFonts w:ascii="Times New Roman" w:cs="Times New Roman" w:eastAsia="Times New Roman" w:hAnsi="Times New Roman"/>
          <w:sz w:val="14"/>
          <w:szCs w:val="14"/>
          <w:color w:val="auto"/>
        </w:rPr>
        <w:t>Unless we indicate differently in a prospectus supplement, we will not list the securities on any securities exchange, other than shares of our common stock. The securities, except for our common stock, will be a new issue of securities with no established trading market. Any underwriters that purchase securities for public offering and sale may make a market in such securities, but such underwriters will not be obligated to do so and may discontinue any market making at any time without notice. Accordingly, there can be no assurance as to the development or liquidity of any market for the securities.</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9019"/>
          </w:cols>
          <w:pgMar w:left="1440" w:top="243" w:right="1440"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99630" cy="33020"/>
                    </a:xfrm>
                    <a:prstGeom prst="rect">
                      <a:avLst/>
                    </a:prstGeom>
                    <a:noFill/>
                  </pic:spPr>
                </pic:pic>
              </a:graphicData>
            </a:graphic>
          </wp:anchor>
        </w:drawing>
        <w:t>LEGAL MATTERS</w:t>
      </w:r>
    </w:p>
    <w:p>
      <w:pPr>
        <w:spacing w:after="0" w:line="184" w:lineRule="exact"/>
        <w:rPr>
          <w:sz w:val="20"/>
          <w:szCs w:val="20"/>
          <w:color w:val="auto"/>
        </w:rPr>
      </w:pPr>
    </w:p>
    <w:p>
      <w:pPr>
        <w:ind w:left="120" w:right="179" w:firstLine="350"/>
        <w:spacing w:after="0" w:line="263" w:lineRule="auto"/>
        <w:rPr>
          <w:sz w:val="20"/>
          <w:szCs w:val="20"/>
          <w:color w:val="auto"/>
        </w:rPr>
      </w:pPr>
      <w:r>
        <w:rPr>
          <w:rFonts w:ascii="Times New Roman" w:cs="Times New Roman" w:eastAsia="Times New Roman" w:hAnsi="Times New Roman"/>
          <w:sz w:val="14"/>
          <w:szCs w:val="14"/>
          <w:color w:val="auto"/>
        </w:rPr>
        <w:t>Certain matters with respect to the validity of the offered securities will be passed upon by Akerman LLP, Miami, Florida. Certain legal matters in connection with Alaska law will be passed upon for us by Dorsey &amp; Whitney LLP, Anchorage, Alaska. Certain legal matters in connection with Massachusetts law will be passed upon for us by Hinckley, Allen &amp; Snyder LLP, Boston, Massachusetts. Certain legal matters in connection with Pennsylvania law will be passed upon for us by Latsha Davis &amp; Marshall, P.C., Mechanicsburg, Pennsylvania. Certain legal matters in connection with Wyoming law will be passed upon for us by Holland &amp; Hart LLP, Cheyenne, Wyoming. If the securities are being distributed in an underwritten offering, certain legal matters will be passed upon for the underwriters by counsel identified in the related prospectus supplement.</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84" w:lineRule="exact"/>
        <w:rPr>
          <w:sz w:val="20"/>
          <w:szCs w:val="20"/>
          <w:color w:val="auto"/>
        </w:rPr>
      </w:pPr>
    </w:p>
    <w:p>
      <w:pPr>
        <w:jc w:val="both"/>
        <w:ind w:left="120" w:right="379" w:firstLine="350"/>
        <w:spacing w:after="0" w:line="274" w:lineRule="auto"/>
        <w:rPr>
          <w:sz w:val="20"/>
          <w:szCs w:val="20"/>
          <w:color w:val="auto"/>
        </w:rPr>
      </w:pPr>
      <w:r>
        <w:rPr>
          <w:rFonts w:ascii="Times New Roman" w:cs="Times New Roman" w:eastAsia="Times New Roman" w:hAnsi="Times New Roman"/>
          <w:sz w:val="14"/>
          <w:szCs w:val="14"/>
          <w:color w:val="auto"/>
        </w:rPr>
        <w:t>The audited financial statements and management’s assessment of the effectiveness of internal control over financial reporting incorporated by reference in this prospectus and elsewhere in the registration statement have been so incorporated by reference in reliance upon the reports of Grant Thornton LLP, independent registered public accountants, upon the authority of said firm as experts in accounting and auditing.</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9019"/>
          </w:cols>
          <w:pgMar w:left="1440" w:top="241" w:right="1440"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99630" cy="33020"/>
                    </a:xfrm>
                    <a:prstGeom prst="rect">
                      <a:avLst/>
                    </a:prstGeom>
                    <a:noFill/>
                  </pic:spPr>
                </pic:pic>
              </a:graphicData>
            </a:graphic>
          </wp:anchor>
        </w:drawing>
        <w:t>WHERE YOU CAN FIND MORE INFORMATION</w:t>
      </w:r>
    </w:p>
    <w:p>
      <w:pPr>
        <w:spacing w:after="0" w:line="184" w:lineRule="exact"/>
        <w:rPr>
          <w:sz w:val="20"/>
          <w:szCs w:val="20"/>
          <w:color w:val="auto"/>
        </w:rPr>
      </w:pPr>
    </w:p>
    <w:p>
      <w:pPr>
        <w:ind w:left="120" w:right="419" w:firstLine="350"/>
        <w:spacing w:after="0" w:line="292" w:lineRule="auto"/>
        <w:rPr>
          <w:sz w:val="20"/>
          <w:szCs w:val="20"/>
          <w:color w:val="auto"/>
        </w:rPr>
      </w:pPr>
      <w:r>
        <w:rPr>
          <w:rFonts w:ascii="Times New Roman" w:cs="Times New Roman" w:eastAsia="Times New Roman" w:hAnsi="Times New Roman"/>
          <w:sz w:val="14"/>
          <w:szCs w:val="14"/>
          <w:color w:val="auto"/>
        </w:rPr>
        <w:t>We file annual, quarterly and current reports, proxy statements and other information with the SEC. You can find our SEC filings at the SEC’s website at www.sec.gov.</w:t>
      </w:r>
    </w:p>
    <w:p>
      <w:pPr>
        <w:spacing w:after="0" w:line="123" w:lineRule="exact"/>
        <w:rPr>
          <w:sz w:val="20"/>
          <w:szCs w:val="20"/>
          <w:color w:val="auto"/>
        </w:rPr>
      </w:pPr>
    </w:p>
    <w:p>
      <w:pPr>
        <w:ind w:left="120" w:right="239" w:firstLine="350"/>
        <w:spacing w:after="0" w:line="268" w:lineRule="auto"/>
        <w:rPr>
          <w:sz w:val="20"/>
          <w:szCs w:val="20"/>
          <w:color w:val="auto"/>
        </w:rPr>
      </w:pPr>
      <w:r>
        <w:rPr>
          <w:rFonts w:ascii="Times New Roman" w:cs="Times New Roman" w:eastAsia="Times New Roman" w:hAnsi="Times New Roman"/>
          <w:sz w:val="14"/>
          <w:szCs w:val="14"/>
          <w:color w:val="auto"/>
        </w:rPr>
        <w:t>Our website is www.geogroup.com. We make available free of charge through our website our annual reports on Form 10-K, quarterly reports on Form 10-Q, current reports on Form 8-K and amendments to those reports filed or furnished pursuant to Section 13(a) or 15(d) of the Securities Exchange Act of 1934 as soon as reasonably practicable after we electronically file such material with, or furnish it to, the SEC. The information contained on, connected to or that can be accessed via our website is not incorporated by reference into or otherwise part of this prospectus.</w:t>
      </w:r>
    </w:p>
    <w:p>
      <w:pPr>
        <w:spacing w:after="0" w:line="139" w:lineRule="exact"/>
        <w:rPr>
          <w:sz w:val="20"/>
          <w:szCs w:val="20"/>
          <w:color w:val="auto"/>
        </w:rPr>
      </w:pPr>
    </w:p>
    <w:p>
      <w:pPr>
        <w:ind w:left="120" w:right="179" w:firstLine="350"/>
        <w:spacing w:after="0" w:line="261" w:lineRule="auto"/>
        <w:rPr>
          <w:sz w:val="20"/>
          <w:szCs w:val="20"/>
          <w:color w:val="auto"/>
        </w:rPr>
      </w:pPr>
      <w:r>
        <w:rPr>
          <w:rFonts w:ascii="Times New Roman" w:cs="Times New Roman" w:eastAsia="Times New Roman" w:hAnsi="Times New Roman"/>
          <w:sz w:val="14"/>
          <w:szCs w:val="14"/>
          <w:color w:val="auto"/>
        </w:rPr>
        <w:t>We have filed with the SEC a registration statement on Form S-3 under the Securities Act that registers with the SEC the securities described herein. The registration statement, including the attached exhibits and schedules, contains additional relevant information about us and the securities being offered. This prospectus, which forms part of the registration statement, omits certain of the information contained in the registration statement in accordance with the rules and regulations of the SEC. Reference is hereby made to the registration statement and related exhibits for further information with respect to us and the securities offered hereby. Statements contained in this prospectus concerning the provisions of any document are not necessarily complete and, in each instance, reference is made to the copy of such document filed as an exhibit to the registration statement or otherwise filed with the SEC. Each such statement is qualified in its entirety by such reference.</w:t>
      </w:r>
    </w:p>
    <w:p>
      <w:pPr>
        <w:spacing w:after="0" w:line="148" w:lineRule="exact"/>
        <w:rPr>
          <w:sz w:val="20"/>
          <w:szCs w:val="20"/>
          <w:color w:val="auto"/>
        </w:rPr>
      </w:pPr>
    </w:p>
    <w:p>
      <w:pPr>
        <w:ind w:left="120" w:right="179" w:firstLine="350"/>
        <w:spacing w:after="0" w:line="268" w:lineRule="auto"/>
        <w:rPr>
          <w:sz w:val="20"/>
          <w:szCs w:val="20"/>
          <w:color w:val="auto"/>
        </w:rPr>
      </w:pPr>
      <w:r>
        <w:rPr>
          <w:rFonts w:ascii="Times New Roman" w:cs="Times New Roman" w:eastAsia="Times New Roman" w:hAnsi="Times New Roman"/>
          <w:sz w:val="14"/>
          <w:szCs w:val="14"/>
          <w:color w:val="auto"/>
        </w:rPr>
        <w:t>The SEC allows us to provide information about our business and other important information to you by “incorporating by reference” the information we file with the SEC, which means that we can disclose the information to you by referring in this prospectus to the documents we file with the SEC. Under the SEC’s regulations, any statement contained in a document incorporated by reference in this prospectus is automatically updated and superseded by any information contained in this prospectus, or in any subsequently filed document of the types described below.</w:t>
      </w:r>
    </w:p>
    <w:p>
      <w:pPr>
        <w:spacing w:after="0" w:line="139" w:lineRule="exact"/>
        <w:rPr>
          <w:sz w:val="20"/>
          <w:szCs w:val="20"/>
          <w:color w:val="auto"/>
        </w:rPr>
      </w:pPr>
    </w:p>
    <w:p>
      <w:pPr>
        <w:ind w:left="120" w:right="599" w:firstLine="350"/>
        <w:spacing w:after="0" w:line="292" w:lineRule="auto"/>
        <w:rPr>
          <w:sz w:val="20"/>
          <w:szCs w:val="20"/>
          <w:color w:val="auto"/>
        </w:rPr>
      </w:pPr>
      <w:r>
        <w:rPr>
          <w:rFonts w:ascii="Times New Roman" w:cs="Times New Roman" w:eastAsia="Times New Roman" w:hAnsi="Times New Roman"/>
          <w:sz w:val="14"/>
          <w:szCs w:val="14"/>
          <w:color w:val="auto"/>
        </w:rPr>
        <w:t>We incorporate into this prospectus by reference the following documents filed by us with the SEC, each of which should be considered an important part of this prospectus:</w:t>
      </w:r>
    </w:p>
    <w:p>
      <w:pPr>
        <w:spacing w:after="0" w:line="48" w:lineRule="exact"/>
        <w:rPr>
          <w:sz w:val="20"/>
          <w:szCs w:val="20"/>
          <w:color w:val="auto"/>
        </w:rPr>
      </w:pPr>
    </w:p>
    <w:p>
      <w:pPr>
        <w:ind w:left="900" w:right="199" w:hanging="344"/>
        <w:spacing w:after="0" w:line="274" w:lineRule="auto"/>
        <w:tabs>
          <w:tab w:leader="none" w:pos="9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annual report on </w:t>
      </w:r>
      <w:hyperlink r:id="rId54">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for the fiscal year ended December 31, 2025, filed with the SEC on February 25, 2026 (including the portions of the Company’s proxy statement on </w:t>
      </w:r>
      <w:hyperlink r:id="rId55">
        <w:r>
          <w:rPr>
            <w:rFonts w:ascii="Times New Roman" w:cs="Times New Roman" w:eastAsia="Times New Roman" w:hAnsi="Times New Roman"/>
            <w:sz w:val="14"/>
            <w:szCs w:val="14"/>
            <w:u w:val="single" w:color="auto"/>
            <w:color w:val="0000EE"/>
          </w:rPr>
          <w:t>Schedule 14A</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Company’s 2026 Annual Meeting of Shareholders filed with the SEC on March 19, 2026 that are incorporated by reference therein);</w:t>
      </w:r>
    </w:p>
    <w:p>
      <w:pPr>
        <w:spacing w:after="0" w:line="60" w:lineRule="exact"/>
        <w:rPr>
          <w:rFonts w:ascii="Times New Roman" w:cs="Times New Roman" w:eastAsia="Times New Roman" w:hAnsi="Times New Roman"/>
          <w:sz w:val="14"/>
          <w:szCs w:val="14"/>
          <w:color w:val="auto"/>
        </w:rPr>
      </w:pPr>
    </w:p>
    <w:p>
      <w:pPr>
        <w:ind w:left="900" w:right="499" w:hanging="344"/>
        <w:spacing w:after="0" w:line="292" w:lineRule="auto"/>
        <w:tabs>
          <w:tab w:leader="none" w:pos="9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quarterly reports on Form 10-Q for the quarter ended March 31, 2026, filed with the SEC on </w:t>
      </w:r>
      <w:hyperlink r:id="rId56">
        <w:r>
          <w:rPr>
            <w:rFonts w:ascii="Times New Roman" w:cs="Times New Roman" w:eastAsia="Times New Roman" w:hAnsi="Times New Roman"/>
            <w:sz w:val="14"/>
            <w:szCs w:val="14"/>
            <w:u w:val="single" w:color="auto"/>
            <w:color w:val="0000EE"/>
          </w:rPr>
          <w:t>May 7, 2026</w:t>
        </w:r>
      </w:hyperlink>
      <w:r>
        <w:rPr>
          <w:rFonts w:ascii="Times New Roman" w:cs="Times New Roman" w:eastAsia="Times New Roman" w:hAnsi="Times New Roman"/>
          <w:sz w:val="14"/>
          <w:szCs w:val="14"/>
          <w:color w:val="auto"/>
        </w:rPr>
        <w:t xml:space="preserve">, and the quarter ended June 30, 2026, filed with the SEC on </w:t>
      </w:r>
      <w:hyperlink r:id="rId57">
        <w:r>
          <w:rPr>
            <w:rFonts w:ascii="Times New Roman" w:cs="Times New Roman" w:eastAsia="Times New Roman" w:hAnsi="Times New Roman"/>
            <w:sz w:val="14"/>
            <w:szCs w:val="14"/>
            <w:u w:val="single" w:color="auto"/>
            <w:color w:val="0000EE"/>
          </w:rPr>
          <w:t>August 6, 2026</w:t>
        </w:r>
      </w:hyperlink>
      <w:r>
        <w:rPr>
          <w:rFonts w:ascii="Times New Roman" w:cs="Times New Roman" w:eastAsia="Times New Roman" w:hAnsi="Times New Roman"/>
          <w:sz w:val="14"/>
          <w:szCs w:val="14"/>
          <w:color w:val="auto"/>
        </w:rPr>
        <w:t>;</w:t>
      </w:r>
    </w:p>
    <w:p>
      <w:pPr>
        <w:spacing w:after="0" w:line="48" w:lineRule="exact"/>
        <w:rPr>
          <w:rFonts w:ascii="Times New Roman" w:cs="Times New Roman" w:eastAsia="Times New Roman" w:hAnsi="Times New Roman"/>
          <w:sz w:val="14"/>
          <w:szCs w:val="14"/>
          <w:color w:val="auto"/>
        </w:rPr>
      </w:pPr>
    </w:p>
    <w:p>
      <w:pPr>
        <w:ind w:left="900" w:right="239" w:hanging="344"/>
        <w:spacing w:after="0" w:line="292" w:lineRule="auto"/>
        <w:tabs>
          <w:tab w:leader="none" w:pos="900" w:val="left"/>
        </w:tabs>
        <w:numPr>
          <w:ilvl w:val="0"/>
          <w:numId w:val="21"/>
        </w:numPr>
        <w:rPr>
          <w:rFonts w:ascii="Times New Roman" w:cs="Times New Roman" w:eastAsia="Times New Roman" w:hAnsi="Times New Roman"/>
          <w:sz w:val="14"/>
          <w:szCs w:val="14"/>
          <w:color w:val="0000EE"/>
        </w:rPr>
      </w:pPr>
      <w:hyperlink r:id="rId58">
        <w:r>
          <w:rPr>
            <w:rFonts w:ascii="Times New Roman" w:cs="Times New Roman" w:eastAsia="Times New Roman" w:hAnsi="Times New Roman"/>
            <w:sz w:val="14"/>
            <w:szCs w:val="14"/>
            <w:color w:val="auto"/>
          </w:rPr>
          <w:t xml:space="preserve">Our current reports on Form 8-K, filed with the SEC on </w:t>
        </w:r>
        <w:r>
          <w:rPr>
            <w:rFonts w:ascii="Times New Roman" w:cs="Times New Roman" w:eastAsia="Times New Roman" w:hAnsi="Times New Roman"/>
            <w:sz w:val="14"/>
            <w:szCs w:val="14"/>
            <w:u w:val="single" w:color="auto"/>
            <w:color w:val="0000EE"/>
          </w:rPr>
          <w:t>January 26, 2026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February 12, 2026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March 5, 2026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May 4, 2026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October 5,</w:t>
        </w:r>
      </w:hyperlink>
      <w:r>
        <w:rPr>
          <w:rFonts w:ascii="Times New Roman" w:cs="Times New Roman" w:eastAsia="Times New Roman" w:hAnsi="Times New Roman"/>
          <w:sz w:val="14"/>
          <w:szCs w:val="14"/>
          <w:color w:val="auto"/>
        </w:rPr>
        <w:t xml:space="preserve"> </w:t>
      </w:r>
      <w:hyperlink r:id="rId58">
        <w:r>
          <w:rPr>
            <w:rFonts w:ascii="Times New Roman" w:cs="Times New Roman" w:eastAsia="Times New Roman" w:hAnsi="Times New Roman"/>
            <w:sz w:val="14"/>
            <w:szCs w:val="14"/>
            <w:u w:val="single" w:color="auto"/>
            <w:color w:val="0000EE"/>
          </w:rPr>
          <w:t>2026</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and</w:t>
        </w:r>
        <w:r>
          <w:rPr>
            <w:rFonts w:ascii="Times New Roman" w:cs="Times New Roman" w:eastAsia="Times New Roman" w:hAnsi="Times New Roman"/>
            <w:sz w:val="14"/>
            <w:szCs w:val="14"/>
            <w:color w:val="0000EE"/>
          </w:rPr>
          <w:t xml:space="preserve"> </w:t>
        </w:r>
      </w:hyperlink>
      <w:hyperlink r:id="rId59">
        <w:r>
          <w:rPr>
            <w:rFonts w:ascii="Times New Roman" w:cs="Times New Roman" w:eastAsia="Times New Roman" w:hAnsi="Times New Roman"/>
            <w:sz w:val="14"/>
            <w:szCs w:val="14"/>
            <w:u w:val="single" w:color="auto"/>
            <w:color w:val="0000EE"/>
          </w:rPr>
          <w:t>October 8, 2026</w:t>
        </w:r>
      </w:hyperlink>
      <w:hyperlink r:id="rId58">
        <w:r>
          <w:rPr>
            <w:rFonts w:ascii="Times New Roman" w:cs="Times New Roman" w:eastAsia="Times New Roman" w:hAnsi="Times New Roman"/>
            <w:sz w:val="14"/>
            <w:szCs w:val="14"/>
            <w:color w:val="000000"/>
          </w:rPr>
          <w:t>;</w:t>
        </w:r>
      </w:hyperlink>
    </w:p>
    <w:p>
      <w:pPr>
        <w:spacing w:after="0" w:line="48" w:lineRule="exact"/>
        <w:rPr>
          <w:rFonts w:ascii="Times New Roman" w:cs="Times New Roman" w:eastAsia="Times New Roman" w:hAnsi="Times New Roman"/>
          <w:sz w:val="14"/>
          <w:szCs w:val="14"/>
          <w:color w:val="0000EE"/>
        </w:rPr>
      </w:pPr>
    </w:p>
    <w:p>
      <w:pPr>
        <w:ind w:left="900" w:right="159" w:hanging="344"/>
        <w:spacing w:after="0" w:line="268" w:lineRule="auto"/>
        <w:tabs>
          <w:tab w:leader="none" w:pos="900" w:val="left"/>
        </w:tabs>
        <w:numPr>
          <w:ilvl w:val="0"/>
          <w:numId w:val="21"/>
        </w:numPr>
        <w:rPr>
          <w:rFonts w:ascii="Times New Roman" w:cs="Times New Roman" w:eastAsia="Times New Roman" w:hAnsi="Times New Roman"/>
          <w:sz w:val="14"/>
          <w:szCs w:val="14"/>
          <w:color w:val="000000"/>
        </w:rPr>
      </w:pPr>
      <w:hyperlink r:id="rId60">
        <w:r>
          <w:rPr>
            <w:rFonts w:ascii="Times New Roman" w:cs="Times New Roman" w:eastAsia="Times New Roman" w:hAnsi="Times New Roman"/>
            <w:sz w:val="14"/>
            <w:szCs w:val="14"/>
            <w:color w:val="auto"/>
          </w:rPr>
          <w:t xml:space="preserve">the description of our common stock contained in the “Description of Capital Stock” attached as </w:t>
        </w:r>
        <w:r>
          <w:rPr>
            <w:rFonts w:ascii="Times New Roman" w:cs="Times New Roman" w:eastAsia="Times New Roman" w:hAnsi="Times New Roman"/>
            <w:sz w:val="14"/>
            <w:szCs w:val="14"/>
            <w:u w:val="single" w:color="auto"/>
            <w:color w:val="0000EE"/>
          </w:rPr>
          <w:t>Exhibit 4.1</w:t>
        </w:r>
        <w:r>
          <w:rPr>
            <w:rFonts w:ascii="Times New Roman" w:cs="Times New Roman" w:eastAsia="Times New Roman" w:hAnsi="Times New Roman"/>
            <w:sz w:val="14"/>
            <w:szCs w:val="14"/>
            <w:color w:val="auto"/>
          </w:rPr>
          <w:t xml:space="preserve"> to the Current Report on </w:t>
        </w:r>
        <w:r>
          <w:rPr>
            <w:rFonts w:ascii="Times New Roman" w:cs="Times New Roman" w:eastAsia="Times New Roman" w:hAnsi="Times New Roman"/>
            <w:sz w:val="14"/>
            <w:szCs w:val="14"/>
            <w:u w:val="single" w:color="auto"/>
            <w:color w:val="0000EE"/>
          </w:rPr>
          <w:t>Form</w:t>
        </w:r>
      </w:hyperlink>
      <w:r>
        <w:rPr>
          <w:rFonts w:ascii="Times New Roman" w:cs="Times New Roman" w:eastAsia="Times New Roman" w:hAnsi="Times New Roman"/>
          <w:sz w:val="14"/>
          <w:szCs w:val="14"/>
          <w:color w:val="auto"/>
        </w:rPr>
        <w:t xml:space="preserve"> </w:t>
      </w:r>
      <w:hyperlink r:id="rId60">
        <w:r>
          <w:rPr>
            <w:rFonts w:ascii="Times New Roman" w:cs="Times New Roman" w:eastAsia="Times New Roman" w:hAnsi="Times New Roman"/>
            <w:sz w:val="14"/>
            <w:szCs w:val="14"/>
            <w:u w:val="single" w:color="auto"/>
            <w:color w:val="0000EE"/>
          </w:rPr>
          <w:t>8-K12B</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filed with the SEC on June 30, 2014, as amended by the “Description of Registrant’s Securities” attached as</w:t>
        </w:r>
        <w:r>
          <w:rPr>
            <w:rFonts w:ascii="Times New Roman" w:cs="Times New Roman" w:eastAsia="Times New Roman" w:hAnsi="Times New Roman"/>
            <w:sz w:val="14"/>
            <w:szCs w:val="14"/>
            <w:color w:val="0000EE"/>
          </w:rPr>
          <w:t xml:space="preserve"> </w:t>
        </w:r>
      </w:hyperlink>
      <w:hyperlink r:id="rId61">
        <w:r>
          <w:rPr>
            <w:rFonts w:ascii="Times New Roman" w:cs="Times New Roman" w:eastAsia="Times New Roman" w:hAnsi="Times New Roman"/>
            <w:sz w:val="14"/>
            <w:szCs w:val="14"/>
            <w:u w:val="single" w:color="auto"/>
            <w:color w:val="0000EE"/>
          </w:rPr>
          <w:t xml:space="preserve">Exhibit 4.14 </w:t>
        </w:r>
      </w:hyperlink>
      <w:hyperlink r:id="rId60">
        <w:r>
          <w:rPr>
            <w:rFonts w:ascii="Times New Roman" w:cs="Times New Roman" w:eastAsia="Times New Roman" w:hAnsi="Times New Roman"/>
            <w:sz w:val="14"/>
            <w:szCs w:val="14"/>
            <w:color w:val="000000"/>
          </w:rPr>
          <w:t>to the</w:t>
        </w:r>
      </w:hyperlink>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 xml:space="preserve">Annual Report on </w:t>
      </w:r>
      <w:hyperlink r:id="rId62">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000000"/>
          </w:rPr>
          <w:t xml:space="preserve"> </w:t>
        </w:r>
      </w:hyperlink>
      <w:r>
        <w:rPr>
          <w:rFonts w:ascii="Times New Roman" w:cs="Times New Roman" w:eastAsia="Times New Roman" w:hAnsi="Times New Roman"/>
          <w:sz w:val="14"/>
          <w:szCs w:val="14"/>
          <w:color w:val="000000"/>
        </w:rPr>
        <w:t>filed with the SEC on February 27, 2023 and any subsequent amendments and reports filed to update that description; and</w:t>
      </w:r>
    </w:p>
    <w:p>
      <w:pPr>
        <w:spacing w:after="0" w:line="64" w:lineRule="exact"/>
        <w:rPr>
          <w:rFonts w:ascii="Times New Roman" w:cs="Times New Roman" w:eastAsia="Times New Roman" w:hAnsi="Times New Roman"/>
          <w:sz w:val="14"/>
          <w:szCs w:val="14"/>
          <w:color w:val="000000"/>
        </w:rPr>
      </w:pPr>
    </w:p>
    <w:p>
      <w:pPr>
        <w:ind w:left="900" w:right="139" w:hanging="344"/>
        <w:spacing w:after="0" w:line="274" w:lineRule="auto"/>
        <w:tabs>
          <w:tab w:leader="none" w:pos="9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subsequent documents filed by us after the date of this prospectus and prior to the termination of this offering under Section 13(a), 13(c), 14 or 15(d) of the Exchange Act of 1934, other than any information furnished pursuant to Item 2.02 or Item 7.01 of Form 8-K, or as otherwise permitted by the SEC’s rules and regulations.</w:t>
      </w:r>
    </w:p>
    <w:p>
      <w:pPr>
        <w:spacing w:after="0" w:line="82" w:lineRule="exact"/>
        <w:rPr>
          <w:rFonts w:ascii="Times New Roman" w:cs="Times New Roman" w:eastAsia="Times New Roman" w:hAnsi="Times New Roman"/>
          <w:sz w:val="14"/>
          <w:szCs w:val="14"/>
          <w:color w:val="0000EE"/>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9019"/>
          </w:cols>
          <w:pgMar w:left="1440" w:top="241" w:right="1440" w:bottom="1440" w:gutter="0" w:footer="0" w:header="0"/>
        </w:sectPr>
      </w:pPr>
    </w:p>
    <w:bookmarkStart w:id="30" w:name="page31"/>
    <w:bookmarkEnd w:id="30"/>
    <w:p>
      <w:pPr>
        <w:ind w:left="120" w:right="179" w:firstLine="350"/>
        <w:spacing w:after="0" w:line="26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7199630" cy="33020"/>
                    </a:xfrm>
                    <a:prstGeom prst="rect">
                      <a:avLst/>
                    </a:prstGeom>
                    <a:noFill/>
                  </pic:spPr>
                </pic:pic>
              </a:graphicData>
            </a:graphic>
          </wp:anchor>
        </w:drawing>
        <w:t>Any statement contained in a document deemed to be incorporated by reference herein shall be deemed to be modified or superseded for purposes of this prospectus and registration statement to the extent that a statement contained herein or in any other subsequently filed document which also is deemed to be incorporated by reference herein modifies or supersedes such statement. Any such statement so modified or superseded shall not be deemed, except as so modified or superseded, to constitute a part of this prospectus and registration statement. While any securities described herein remain outstanding, we will make available at no cost, upon written or oral request, to any beneficial owner and any prospective purchaser of securities described herein, any of the documents incorporated by reference in this prospectus and registration statement by writing to us at the following address or telephoning us at (866) 301-4436 or (561) 893-0101.</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The GEO Group,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4955 Technology Way</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Boca Raton, Florida 33431</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Attention: Investor Relations</w:t>
      </w:r>
    </w:p>
    <w:p>
      <w:pPr>
        <w:spacing w:after="0" w:line="169" w:lineRule="exact"/>
        <w:rPr>
          <w:sz w:val="20"/>
          <w:szCs w:val="20"/>
          <w:color w:val="auto"/>
        </w:rPr>
      </w:pPr>
    </w:p>
    <w:p>
      <w:pPr>
        <w:jc w:val="center"/>
        <w:ind w:left="120" w:right="279"/>
        <w:spacing w:after="0" w:line="468" w:lineRule="auto"/>
        <w:rPr>
          <w:sz w:val="20"/>
          <w:szCs w:val="20"/>
          <w:color w:val="auto"/>
        </w:rPr>
      </w:pPr>
      <w:r>
        <w:rPr>
          <w:rFonts w:ascii="Times New Roman" w:cs="Times New Roman" w:eastAsia="Times New Roman" w:hAnsi="Times New Roman"/>
          <w:sz w:val="14"/>
          <w:szCs w:val="14"/>
          <w:color w:val="auto"/>
        </w:rPr>
        <w:t>Exhibits to an incorporated document will not be provided unless the exhibit is specifically incorporated by reference into this prospectus. 26</w:t>
      </w:r>
    </w:p>
    <w:p>
      <w:pPr>
        <w:sectPr>
          <w:pgSz w:w="11900" w:h="16838" w:orient="portrait"/>
          <w:cols w:equalWidth="0" w:num="1">
            <w:col w:w="9019"/>
          </w:cols>
          <w:pgMar w:left="1440" w:top="243" w:right="1440" w:bottom="1440" w:gutter="0" w:footer="0" w:header="0"/>
        </w:sectPr>
      </w:pPr>
    </w:p>
    <w:bookmarkStart w:id="31" w:name="page32"/>
    <w:bookmarkEnd w:id="31"/>
    <w:p>
      <w:pPr>
        <w:ind w:left="25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7199630" cy="33020"/>
                    </a:xfrm>
                    <a:prstGeom prst="rect">
                      <a:avLst/>
                    </a:prstGeom>
                    <a:noFill/>
                  </pic:spPr>
                </pic:pic>
              </a:graphicData>
            </a:graphic>
          </wp:anchor>
        </w:drawing>
        <w:t>PART II. INFORMATION NOT REQUIRED IN PROSPECTUS</w:t>
      </w:r>
    </w:p>
    <w:p>
      <w:pPr>
        <w:spacing w:after="0" w:line="202" w:lineRule="exact"/>
        <w:rPr>
          <w:sz w:val="20"/>
          <w:szCs w:val="20"/>
          <w:color w:val="auto"/>
        </w:rPr>
      </w:pPr>
    </w:p>
    <w:p>
      <w:pPr>
        <w:ind w:left="120"/>
        <w:spacing w:after="0"/>
        <w:tabs>
          <w:tab w:leader="none" w:pos="980" w:val="left"/>
        </w:tabs>
        <w:rPr>
          <w:sz w:val="20"/>
          <w:szCs w:val="20"/>
          <w:color w:val="auto"/>
        </w:rPr>
      </w:pPr>
      <w:r>
        <w:rPr>
          <w:rFonts w:ascii="Times New Roman" w:cs="Times New Roman" w:eastAsia="Times New Roman" w:hAnsi="Times New Roman"/>
          <w:sz w:val="14"/>
          <w:szCs w:val="14"/>
          <w:b w:val="1"/>
          <w:bCs w:val="1"/>
          <w:color w:val="auto"/>
        </w:rPr>
        <w:t>Item 14.</w:t>
      </w:r>
      <w:r>
        <w:rPr>
          <w:sz w:val="20"/>
          <w:szCs w:val="20"/>
          <w:color w:val="auto"/>
        </w:rPr>
        <w:tab/>
      </w:r>
      <w:r>
        <w:rPr>
          <w:rFonts w:ascii="Times New Roman" w:cs="Times New Roman" w:eastAsia="Times New Roman" w:hAnsi="Times New Roman"/>
          <w:sz w:val="14"/>
          <w:szCs w:val="14"/>
          <w:b w:val="1"/>
          <w:bCs w:val="1"/>
          <w:i w:val="1"/>
          <w:iCs w:val="1"/>
          <w:color w:val="auto"/>
        </w:rPr>
        <w:t>Other Expenses of Issuance and Distribution.</w:t>
      </w:r>
    </w:p>
    <w:p>
      <w:pPr>
        <w:spacing w:after="0" w:line="101" w:lineRule="exact"/>
        <w:rPr>
          <w:sz w:val="20"/>
          <w:szCs w:val="20"/>
          <w:color w:val="auto"/>
        </w:rPr>
      </w:pPr>
    </w:p>
    <w:p>
      <w:pPr>
        <w:ind w:left="120" w:right="259" w:firstLine="350"/>
        <w:spacing w:after="0" w:line="292" w:lineRule="auto"/>
        <w:rPr>
          <w:sz w:val="20"/>
          <w:szCs w:val="20"/>
          <w:color w:val="auto"/>
        </w:rPr>
      </w:pPr>
      <w:r>
        <w:rPr>
          <w:rFonts w:ascii="Times New Roman" w:cs="Times New Roman" w:eastAsia="Times New Roman" w:hAnsi="Times New Roman"/>
          <w:sz w:val="14"/>
          <w:szCs w:val="14"/>
          <w:color w:val="auto"/>
        </w:rPr>
        <w:t>The following table sets forth the costs and expenses, other than underwriting discounts and commissions, if any, all of which will be paid by the registrant, in connection with the offering of the securities being registered.</w:t>
      </w:r>
    </w:p>
    <w:p>
      <w:pPr>
        <w:spacing w:after="0" w:line="159" w:lineRule="exact"/>
        <w:rPr>
          <w:sz w:val="20"/>
          <w:szCs w:val="20"/>
          <w:color w:val="auto"/>
        </w:rPr>
      </w:pPr>
    </w:p>
    <w:tbl>
      <w:tblPr>
        <w:tblLayout w:type="fixed"/>
        <w:tblInd w:w="1540" w:type="dxa"/>
        <w:tblCellMar>
          <w:top w:w="0" w:type="dxa"/>
          <w:left w:w="0" w:type="dxa"/>
          <w:bottom w:w="0" w:type="dxa"/>
          <w:right w:w="0" w:type="dxa"/>
        </w:tblCellMar>
      </w:tblPr>
      <w:tr>
        <w:trPr>
          <w:trHeight w:val="172"/>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 registration fee</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72"/>
        </w:trPr>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FINRA fees</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72"/>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Legal fees and expenses</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72"/>
        </w:trPr>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Accounting fees and expenses</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72"/>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Fees and expenses of qualification under state securities laws</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72"/>
        </w:trPr>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Printing expenses</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72"/>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Rating agency fees</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72"/>
        </w:trPr>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Trustee’s fees and expenses</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72"/>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Miscellaneous</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5"/>
        </w:trPr>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66040</wp:posOffset>
            </wp:positionV>
            <wp:extent cx="606425"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606425" cy="6985"/>
                    </a:xfrm>
                    <a:prstGeom prst="rect">
                      <a:avLst/>
                    </a:prstGeom>
                    <a:noFill/>
                  </pic:spPr>
                </pic:pic>
              </a:graphicData>
            </a:graphic>
          </wp:anchor>
        </w:drawing>
      </w:r>
    </w:p>
    <w:p>
      <w:pPr>
        <w:spacing w:after="0" w:line="102" w:lineRule="exact"/>
        <w:rPr>
          <w:sz w:val="20"/>
          <w:szCs w:val="20"/>
          <w:color w:val="auto"/>
        </w:rPr>
      </w:pPr>
    </w:p>
    <w:p>
      <w:pPr>
        <w:ind w:left="460" w:hanging="333"/>
        <w:spacing w:after="0"/>
        <w:tabs>
          <w:tab w:leader="none" w:pos="4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 is deferring payment of the registration fee in reliance of Rule 456(b) and Rule 457(r) under the Securities Act.</w:t>
      </w:r>
    </w:p>
    <w:p>
      <w:pPr>
        <w:spacing w:after="0" w:line="24" w:lineRule="exact"/>
        <w:rPr>
          <w:sz w:val="20"/>
          <w:szCs w:val="20"/>
          <w:color w:val="auto"/>
        </w:rPr>
      </w:pPr>
    </w:p>
    <w:p>
      <w:pPr>
        <w:ind w:left="460" w:hanging="333"/>
        <w:spacing w:after="0"/>
        <w:tabs>
          <w:tab w:leader="none" w:pos="4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fees are calculated based on the securities offered and the number of issuances and accordingly cannot be estimated at this time.</w:t>
      </w:r>
    </w:p>
    <w:p>
      <w:pPr>
        <w:spacing w:after="0" w:line="283" w:lineRule="exact"/>
        <w:rPr>
          <w:sz w:val="20"/>
          <w:szCs w:val="20"/>
          <w:color w:val="auto"/>
        </w:rPr>
      </w:pPr>
    </w:p>
    <w:p>
      <w:pPr>
        <w:ind w:left="120"/>
        <w:spacing w:after="0"/>
        <w:tabs>
          <w:tab w:leader="none" w:pos="980" w:val="left"/>
        </w:tabs>
        <w:rPr>
          <w:sz w:val="20"/>
          <w:szCs w:val="20"/>
          <w:color w:val="auto"/>
        </w:rPr>
      </w:pPr>
      <w:r>
        <w:rPr>
          <w:rFonts w:ascii="Times New Roman" w:cs="Times New Roman" w:eastAsia="Times New Roman" w:hAnsi="Times New Roman"/>
          <w:sz w:val="14"/>
          <w:szCs w:val="14"/>
          <w:b w:val="1"/>
          <w:bCs w:val="1"/>
          <w:color w:val="auto"/>
        </w:rPr>
        <w:t>Item 15.</w:t>
      </w:r>
      <w:r>
        <w:rPr>
          <w:sz w:val="20"/>
          <w:szCs w:val="20"/>
          <w:color w:val="auto"/>
        </w:rPr>
        <w:tab/>
      </w:r>
      <w:r>
        <w:rPr>
          <w:rFonts w:ascii="Times New Roman" w:cs="Times New Roman" w:eastAsia="Times New Roman" w:hAnsi="Times New Roman"/>
          <w:sz w:val="14"/>
          <w:szCs w:val="14"/>
          <w:b w:val="1"/>
          <w:bCs w:val="1"/>
          <w:i w:val="1"/>
          <w:iCs w:val="1"/>
          <w:color w:val="auto"/>
        </w:rPr>
        <w:t>Indemnification of Directors and Officers.</w:t>
      </w:r>
    </w:p>
    <w:p>
      <w:pPr>
        <w:spacing w:after="0" w:line="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Registrants incorporated as corporations in Florida</w:t>
      </w:r>
    </w:p>
    <w:p>
      <w:pPr>
        <w:spacing w:after="0" w:line="97" w:lineRule="exact"/>
        <w:rPr>
          <w:sz w:val="20"/>
          <w:szCs w:val="20"/>
          <w:color w:val="auto"/>
        </w:rPr>
      </w:pPr>
    </w:p>
    <w:p>
      <w:pPr>
        <w:ind w:left="120" w:right="179" w:firstLine="350"/>
        <w:spacing w:after="0" w:line="261" w:lineRule="auto"/>
        <w:rPr>
          <w:sz w:val="20"/>
          <w:szCs w:val="20"/>
          <w:color w:val="auto"/>
        </w:rPr>
      </w:pPr>
      <w:r>
        <w:rPr>
          <w:rFonts w:ascii="Times New Roman" w:cs="Times New Roman" w:eastAsia="Times New Roman" w:hAnsi="Times New Roman"/>
          <w:sz w:val="14"/>
          <w:szCs w:val="14"/>
          <w:i w:val="1"/>
          <w:iCs w:val="1"/>
          <w:color w:val="auto"/>
        </w:rPr>
        <w:t>Florida Business Corporation Act</w:t>
      </w:r>
      <w:r>
        <w:rPr>
          <w:rFonts w:ascii="Times New Roman" w:cs="Times New Roman" w:eastAsia="Times New Roman" w:hAnsi="Times New Roman"/>
          <w:sz w:val="14"/>
          <w:szCs w:val="14"/>
          <w:color w:val="auto"/>
        </w:rPr>
        <w:t>. Section 607.0851 of the Florida Business Corporation Act (“Florida Corporate Law”, as restructured effective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January 1, 2020) empowers a corporation to indemnify any person who was or is a party to any proceeding (other than an action by, or in the right of, the corporation), by reason of the fact that he or she is or was a director or officer of the corporation, if he or she acted in good faith and in a manner he or she reasonably believed to be in, or not opposed to, the best interests of the corporation and, with respect to any criminal action or proceeding, had no reasonable cause to believe his or her conduct was unlawful. The termination of any proceeding by judgment, order, settlement, or conviction or upon a plea of nolo contendere or its equivalent shall not, of itself, create a presumption that the person did not act in good faith and in a manner which he or she reasonably believed to be in, or not opposed to, the best interests of the corporation or, with respect to any criminal action or proceeding, had reasonable cause to believe that his or her conduct was unlawful.</w:t>
      </w:r>
    </w:p>
    <w:p>
      <w:pPr>
        <w:spacing w:after="0" w:line="146" w:lineRule="exact"/>
        <w:rPr>
          <w:sz w:val="20"/>
          <w:szCs w:val="20"/>
          <w:color w:val="auto"/>
        </w:rPr>
      </w:pPr>
    </w:p>
    <w:p>
      <w:pPr>
        <w:ind w:left="120" w:right="179" w:firstLine="350"/>
        <w:spacing w:after="0" w:line="263" w:lineRule="auto"/>
        <w:rPr>
          <w:sz w:val="20"/>
          <w:szCs w:val="20"/>
          <w:color w:val="auto"/>
        </w:rPr>
      </w:pPr>
      <w:r>
        <w:rPr>
          <w:rFonts w:ascii="Times New Roman" w:cs="Times New Roman" w:eastAsia="Times New Roman" w:hAnsi="Times New Roman"/>
          <w:sz w:val="14"/>
          <w:szCs w:val="14"/>
          <w:color w:val="auto"/>
        </w:rPr>
        <w:t>Section 607.0851 of the Florida Corporate Law also empowers a corporation to indemnify any person, who was or is a party to any proceeding by or in the right of the corporation to procure a judgment in its favor by reason of the fact that the person is or was a director or officer of the corporation, against expenses and amounts paid in settlement not exceeding, in the judgment of the board of directors, the estimated expense of litigating the proceeding to conclusion, actually and reasonably incurred in connection with the defense or settlement of such proceeding, including any appeal thereof. Such indemnification shall be authorized if such person acted in good faith and in a manner he or she reasonably believed to be in, or not opposed to, the best interests of the corporation.</w:t>
      </w:r>
    </w:p>
    <w:p>
      <w:pPr>
        <w:spacing w:after="0" w:line="143" w:lineRule="exact"/>
        <w:rPr>
          <w:sz w:val="20"/>
          <w:szCs w:val="20"/>
          <w:color w:val="auto"/>
        </w:rPr>
      </w:pPr>
    </w:p>
    <w:p>
      <w:pPr>
        <w:ind w:left="120" w:right="159" w:firstLine="350"/>
        <w:spacing w:after="0" w:line="268" w:lineRule="auto"/>
        <w:rPr>
          <w:sz w:val="20"/>
          <w:szCs w:val="20"/>
          <w:color w:val="auto"/>
        </w:rPr>
      </w:pPr>
      <w:r>
        <w:rPr>
          <w:rFonts w:ascii="Times New Roman" w:cs="Times New Roman" w:eastAsia="Times New Roman" w:hAnsi="Times New Roman"/>
          <w:sz w:val="14"/>
          <w:szCs w:val="14"/>
          <w:color w:val="auto"/>
        </w:rPr>
        <w:t>Section 607.0855 of the Florida Corporate Law provides that any indemnification under Section 607.0851, unless pursuant to a determination by a court, shall be made by the corporation only as authorized in the specific case upon a determination that indemnification of the director or officer is proper in the circumstances because he or she has met the applicable standard of conduct set forth in Section 607.0851. Such determination shall be made, (a) by the board of directors by a majority vote of a quorum consisting of directors who were not parties to</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II-1</w:t>
      </w:r>
    </w:p>
    <w:p>
      <w:pPr>
        <w:sectPr>
          <w:pgSz w:w="11900" w:h="16838" w:orient="portrait"/>
          <w:cols w:equalWidth="0" w:num="1">
            <w:col w:w="9019"/>
          </w:cols>
          <w:pgMar w:left="1440" w:top="241" w:right="1440" w:bottom="1440" w:gutter="0" w:footer="0" w:header="0"/>
        </w:sectPr>
      </w:pPr>
    </w:p>
    <w:bookmarkStart w:id="32" w:name="page33"/>
    <w:bookmarkEnd w:id="32"/>
    <w:p>
      <w:pPr>
        <w:ind w:left="120" w:right="479"/>
        <w:spacing w:after="0" w:line="26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7199630" cy="33020"/>
                    </a:xfrm>
                    <a:prstGeom prst="rect">
                      <a:avLst/>
                    </a:prstGeom>
                    <a:noFill/>
                  </pic:spPr>
                </pic:pic>
              </a:graphicData>
            </a:graphic>
          </wp:anchor>
        </w:drawing>
        <w:t>such proceeding; or (b) if such a quorum is not obtainable or, even if obtainable, by majority vote of a committee duly designated by the board of directors (in which directors who are parties may participate) consisting solely of two or more directors not at the time parties to the proceeding; or</w:t>
      </w:r>
    </w:p>
    <w:p>
      <w:pPr>
        <w:ind w:left="120" w:right="159" w:firstLine="7"/>
        <w:spacing w:after="0" w:line="259" w:lineRule="auto"/>
        <w:tabs>
          <w:tab w:leader="none" w:pos="314"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independent legal counsel (i) selected by the board of directors prescribed in paragraph (a) or the committee prescribed in paragraph (b); or (ii) if a quorum of the directors cannot be obtained for paragraph (a) and the committee cannot be designated under paragraph (b), selected by majority vote of the full board of directors (in which directors who are parties may participate); or (d) by the shareholders by a majority vote of a quorum consisting of shareholders who were not parties to such proceeding or, if no such quorum is obtainable, by a majority vote of shareholders who were not parties to such proceeding.</w:t>
      </w:r>
    </w:p>
    <w:p>
      <w:pPr>
        <w:spacing w:after="0" w:line="148" w:lineRule="exact"/>
        <w:rPr>
          <w:sz w:val="20"/>
          <w:szCs w:val="20"/>
          <w:color w:val="auto"/>
        </w:rPr>
      </w:pPr>
    </w:p>
    <w:p>
      <w:pPr>
        <w:ind w:left="120" w:right="179" w:firstLine="350"/>
        <w:spacing w:after="0" w:line="261" w:lineRule="auto"/>
        <w:rPr>
          <w:sz w:val="20"/>
          <w:szCs w:val="20"/>
          <w:color w:val="auto"/>
        </w:rPr>
      </w:pPr>
      <w:r>
        <w:rPr>
          <w:rFonts w:ascii="Times New Roman" w:cs="Times New Roman" w:eastAsia="Times New Roman" w:hAnsi="Times New Roman"/>
          <w:sz w:val="14"/>
          <w:szCs w:val="14"/>
          <w:color w:val="auto"/>
        </w:rPr>
        <w:t>Section 607.0852 of the Florida Corporate Law provides that to the extent that a director or officer of a corporation has been wholly successful on the merits or otherwise in defense of any proceeding referred to in Section 607.0851, or in defense of any claim, issue, or matter therein, he or she shall be indemnified against expenses incurred by him or her in connection therewith and that such expenses incurred by an officer or director in defending a civil or criminal proceeding may be paid by the corporation in advance of the final disposition of such proceeding upon receipt of an undertaking by or on behalf of such director or officer to repay such amount if he or she is ultimately found not to be entitled to indemnification by the corporation pursuant to Section 607.0853. Expenses incurred by other employees and agents may be paid in advance upon such terms or conditions that the board of directors deems appropriate.</w:t>
      </w:r>
    </w:p>
    <w:p>
      <w:pPr>
        <w:spacing w:after="0" w:line="148" w:lineRule="exact"/>
        <w:rPr>
          <w:sz w:val="20"/>
          <w:szCs w:val="20"/>
          <w:color w:val="auto"/>
        </w:rPr>
      </w:pPr>
    </w:p>
    <w:p>
      <w:pPr>
        <w:ind w:left="120" w:right="139" w:firstLine="350"/>
        <w:spacing w:after="0" w:line="258" w:lineRule="auto"/>
        <w:rPr>
          <w:sz w:val="20"/>
          <w:szCs w:val="20"/>
          <w:color w:val="auto"/>
        </w:rPr>
      </w:pPr>
      <w:r>
        <w:rPr>
          <w:rFonts w:ascii="Times New Roman" w:cs="Times New Roman" w:eastAsia="Times New Roman" w:hAnsi="Times New Roman"/>
          <w:sz w:val="14"/>
          <w:szCs w:val="14"/>
          <w:color w:val="auto"/>
        </w:rPr>
        <w:t>Section 607.0858 of the Florida Corporate Law provides that the indemnification and advancement of expenses provided pursuant to Sections 607.0851 and 607.0852 are not exclusive, and a corporation may make any other or further indemnification or advancement of expenses of any of its directors or officers under any bylaw, agreement, vote of shareholders or disinterested directors, or otherwise, both as to action in his or her official capacity and as to action in another capacity while holding such office. However, indemnification or advancement of expenses shall not be made to or on behalf of any director or officer if a judgment or other final adjudication establishes that his or her actions, or omissions to act, were material to the cause of action so adjudicated and constitute (a) a violation of the criminal law, unless the director or officer had reasonable cause to believe his or her conduct was lawful or had no reasonable cause to believe his or her conduct was unlawful; (b) a transaction from which the director or officer derived an improper personal benefit; (c) in the case of a director, a circumstance under which the liability provisions of Section 607.0834 are applicable; or</w:t>
      </w:r>
    </w:p>
    <w:p>
      <w:pPr>
        <w:spacing w:after="0" w:line="3" w:lineRule="exact"/>
        <w:rPr>
          <w:sz w:val="20"/>
          <w:szCs w:val="20"/>
          <w:color w:val="auto"/>
        </w:rPr>
      </w:pPr>
    </w:p>
    <w:p>
      <w:pPr>
        <w:ind w:left="120" w:right="159" w:firstLine="7"/>
        <w:spacing w:after="0" w:line="271" w:lineRule="auto"/>
        <w:tabs>
          <w:tab w:leader="none" w:pos="322"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willful or intentional misconduct or a conscious disregard for the best interests of the corporation in a proceeding by or in the right of the corporation to procure a judgment in its favor or in a proceeding by or in the right of a shareholder.</w:t>
      </w:r>
    </w:p>
    <w:p>
      <w:pPr>
        <w:spacing w:after="0" w:line="138" w:lineRule="exact"/>
        <w:rPr>
          <w:sz w:val="20"/>
          <w:szCs w:val="20"/>
          <w:color w:val="auto"/>
        </w:rPr>
      </w:pPr>
    </w:p>
    <w:p>
      <w:pPr>
        <w:ind w:left="120" w:right="139" w:firstLine="350"/>
        <w:spacing w:after="0" w:line="259" w:lineRule="auto"/>
        <w:rPr>
          <w:sz w:val="20"/>
          <w:szCs w:val="20"/>
          <w:color w:val="auto"/>
        </w:rPr>
      </w:pPr>
      <w:r>
        <w:rPr>
          <w:rFonts w:ascii="Times New Roman" w:cs="Times New Roman" w:eastAsia="Times New Roman" w:hAnsi="Times New Roman"/>
          <w:sz w:val="14"/>
          <w:szCs w:val="14"/>
          <w:color w:val="auto"/>
        </w:rPr>
        <w:t>Section 607.0854 of the Florida Corporate Law provides that unless the corporation’s articles of incorporation provide otherwise, notwithstanding the failure of a corporation to provide indemnification, and despite any contrary determination of the board or of the shareholders in the specific case, a director, officer, employee, or agent of the corporation who is or was a party to a proceeding may apply for indemnification or advancement of expenses, or both, to the court conducting the proceeding, to the circuit court, or to another court of competent jurisdiction. On receipt of an application, the court, after giving any notice that it considers necessary, may order indemnification and advancement of expenses, including expenses incurred in seeking court-ordered indemnification or advancement of expenses, if it determines that (a) the director, officer, employee, or agent is entitled to mandatory indemnification under Section 607.0852, in which case the court shall also order the corporation to pay the director reasonable expenses incurred in obtaining court-ordered indemnification or advancement of expenses; (b) the director, officer, employee, or agent is entitled to indemnification or advancement of expenses, or both, by virtue of the exercise by the corporation of its power pursuant to Section 607.0858; or (c) the director, officer, employee, or agent is fairly and reasonably entitled to indemnification or advancement of expenses, or both, in view of all the relevant circumstances, regardless of whether such person met the standard of conduct set forth in Section 607.0851 or Section 607.0858.</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II-2</w:t>
      </w:r>
    </w:p>
    <w:p>
      <w:pPr>
        <w:sectPr>
          <w:pgSz w:w="11900" w:h="16838" w:orient="portrait"/>
          <w:cols w:equalWidth="0" w:num="1">
            <w:col w:w="9019"/>
          </w:cols>
          <w:pgMar w:left="1440" w:top="243" w:right="1440" w:bottom="1440" w:gutter="0" w:footer="0" w:header="0"/>
        </w:sectPr>
      </w:pPr>
    </w:p>
    <w:bookmarkStart w:id="33" w:name="page34"/>
    <w:bookmarkEnd w:id="33"/>
    <w:p>
      <w:pPr>
        <w:ind w:left="120" w:right="219" w:firstLine="350"/>
        <w:spacing w:after="0" w:line="26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7199630" cy="33020"/>
                    </a:xfrm>
                    <a:prstGeom prst="rect">
                      <a:avLst/>
                    </a:prstGeom>
                    <a:noFill/>
                  </pic:spPr>
                </pic:pic>
              </a:graphicData>
            </a:graphic>
          </wp:anchor>
        </w:drawing>
        <w:t>Section 607.0857 of the Florida Corporate Law stipulates that a corporation shall have the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the person and incurred by him or her in any such capacity or arising out of his or her status as such, whether or not the corporation would have the power to indemnify the person against such liability under the provisions of Sections 607.0850 through 607.0859.</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i w:val="1"/>
          <w:iCs w:val="1"/>
          <w:color w:val="auto"/>
        </w:rPr>
        <w:t>Articles of Incorporation</w:t>
      </w:r>
    </w:p>
    <w:p>
      <w:pPr>
        <w:spacing w:after="0" w:line="99" w:lineRule="exact"/>
        <w:rPr>
          <w:sz w:val="20"/>
          <w:szCs w:val="20"/>
          <w:color w:val="auto"/>
        </w:rPr>
      </w:pPr>
    </w:p>
    <w:p>
      <w:pPr>
        <w:ind w:left="120" w:right="219" w:firstLine="350"/>
        <w:spacing w:after="0" w:line="292" w:lineRule="auto"/>
        <w:rPr>
          <w:sz w:val="20"/>
          <w:szCs w:val="20"/>
          <w:color w:val="auto"/>
        </w:rPr>
      </w:pPr>
      <w:r>
        <w:rPr>
          <w:rFonts w:ascii="Times New Roman" w:cs="Times New Roman" w:eastAsia="Times New Roman" w:hAnsi="Times New Roman"/>
          <w:sz w:val="14"/>
          <w:szCs w:val="14"/>
          <w:color w:val="auto"/>
        </w:rPr>
        <w:t>Article X of the Amended Articles provide that the Company shall indemnify and shall advance expenses on behalf of its officers and directors to the fullest extent permitted by law as it presently exists or may hereafter be amended.</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i w:val="1"/>
          <w:iCs w:val="1"/>
          <w:color w:val="auto"/>
        </w:rPr>
        <w:t>Bylaws</w:t>
      </w:r>
    </w:p>
    <w:p>
      <w:pPr>
        <w:spacing w:after="0" w:line="99" w:lineRule="exact"/>
        <w:rPr>
          <w:sz w:val="20"/>
          <w:szCs w:val="20"/>
          <w:color w:val="auto"/>
        </w:rPr>
      </w:pPr>
    </w:p>
    <w:p>
      <w:pPr>
        <w:ind w:left="120" w:right="179" w:firstLine="350"/>
        <w:spacing w:after="0" w:line="261" w:lineRule="auto"/>
        <w:rPr>
          <w:sz w:val="20"/>
          <w:szCs w:val="20"/>
          <w:color w:val="auto"/>
        </w:rPr>
      </w:pPr>
      <w:r>
        <w:rPr>
          <w:rFonts w:ascii="Times New Roman" w:cs="Times New Roman" w:eastAsia="Times New Roman" w:hAnsi="Times New Roman"/>
          <w:sz w:val="14"/>
          <w:szCs w:val="14"/>
          <w:color w:val="auto"/>
        </w:rPr>
        <w:t>The Company’s Amended Bylaws provide that the Company shall indemnify any person who was or is made a party to any proceeding by reason of the fact that he or she was or is a director or an officer of the corporation, or a director or an officer of the corporation serving as a trustee or fiduciary of an employee benefit plan of the corporation and the board of directors may indemnify any employee of the corporation with respect to such circumstances by resolution, against any liability incurred in connection with such proceeding, including an appeal thereof. The corporation shall pay reasonable expenses, on a conditional basis, in advance of final disposition subject to the provisions of applicable law. The Company’s Amended Bylaws further provide that such right of indemnification shall not be exclusive of any right to which any director, officer, employee, agent or controlling shareholder of the Company may be entitled as a matter of law.</w:t>
      </w:r>
    </w:p>
    <w:p>
      <w:pPr>
        <w:spacing w:after="0" w:line="148" w:lineRule="exact"/>
        <w:rPr>
          <w:sz w:val="20"/>
          <w:szCs w:val="20"/>
          <w:color w:val="auto"/>
        </w:rPr>
      </w:pPr>
    </w:p>
    <w:p>
      <w:pPr>
        <w:ind w:left="120" w:right="199" w:firstLine="350"/>
        <w:spacing w:after="0" w:line="263" w:lineRule="auto"/>
        <w:rPr>
          <w:sz w:val="20"/>
          <w:szCs w:val="20"/>
          <w:color w:val="auto"/>
        </w:rPr>
      </w:pPr>
      <w:r>
        <w:rPr>
          <w:rFonts w:ascii="Times New Roman" w:cs="Times New Roman" w:eastAsia="Times New Roman" w:hAnsi="Times New Roman"/>
          <w:sz w:val="14"/>
          <w:szCs w:val="14"/>
          <w:color w:val="auto"/>
        </w:rPr>
        <w:t>GEO Care, Inc.’s bylaws provide that any person made, or threatened to be made, a party to any threatened, pending, or contemplated action or proceeding, whether civil, criminal, administrative, or investigative, arising out of or related to such person’s service as a director, officer, employee, or agent of GEO Care, Inc. (or arising out of or related to such person’s service with respect to any other corporation or other enterprise in any such capacity at the request of GEO Care, Inc.), shall be indemnified by GEO Care, Inc., and GEO Care, Inc. may advance to such person related expenses incurred in defense of such action, to the fullest extent permitted by applicable law. For purposes of this paragraph, “person” shall include such person’s heirs and personal representatives.</w:t>
      </w:r>
    </w:p>
    <w:p>
      <w:pPr>
        <w:spacing w:after="0" w:line="143" w:lineRule="exact"/>
        <w:rPr>
          <w:sz w:val="20"/>
          <w:szCs w:val="20"/>
          <w:color w:val="auto"/>
        </w:rPr>
      </w:pPr>
    </w:p>
    <w:p>
      <w:pPr>
        <w:ind w:left="120" w:right="179" w:firstLine="350"/>
        <w:spacing w:after="0" w:line="263" w:lineRule="auto"/>
        <w:rPr>
          <w:sz w:val="20"/>
          <w:szCs w:val="20"/>
          <w:color w:val="auto"/>
        </w:rPr>
      </w:pPr>
      <w:r>
        <w:rPr>
          <w:rFonts w:ascii="Times New Roman" w:cs="Times New Roman" w:eastAsia="Times New Roman" w:hAnsi="Times New Roman"/>
          <w:sz w:val="14"/>
          <w:szCs w:val="14"/>
          <w:color w:val="auto"/>
        </w:rPr>
        <w:t>GEO Transport, Inc.’s bylaws provide that any person made, or threatened to be made, a party to any threatened, pending, or contemplated action or proceeding, whether civil, criminal, administrative, or investigative, arising out of or related to such person’s service as a director, officer, employee, or agent of GEO Transport, Inc. (or arising out of or related to such person’s service with respect to any other corporation or other enterprise in any such capacity at the request of GEO Transport, Inc.), shall be indemnified by GEO Transport, Inc., and GEO Transport, Inc. may advance to such person related expenses incurred in defense of such action, to the fullest extent permitted by applicable law. For purposes of this paragraph, “person” shall include such person’s heirs and personal representatives.</w:t>
      </w:r>
    </w:p>
    <w:p>
      <w:pPr>
        <w:spacing w:after="0" w:line="143" w:lineRule="exact"/>
        <w:rPr>
          <w:sz w:val="20"/>
          <w:szCs w:val="20"/>
          <w:color w:val="auto"/>
        </w:rPr>
      </w:pPr>
    </w:p>
    <w:p>
      <w:pPr>
        <w:ind w:left="120" w:right="159" w:firstLine="350"/>
        <w:spacing w:after="0" w:line="263" w:lineRule="auto"/>
        <w:rPr>
          <w:sz w:val="20"/>
          <w:szCs w:val="20"/>
          <w:color w:val="auto"/>
        </w:rPr>
      </w:pPr>
      <w:r>
        <w:rPr>
          <w:rFonts w:ascii="Times New Roman" w:cs="Times New Roman" w:eastAsia="Times New Roman" w:hAnsi="Times New Roman"/>
          <w:sz w:val="14"/>
          <w:szCs w:val="14"/>
          <w:color w:val="auto"/>
        </w:rPr>
        <w:t>GEO Corrections Holdings, Inc.’s bylaws provide that any person made, or threatened to be made, a party to any threatened, pending, or contemplated action or proceeding, whether civil, criminal, administrative, or investigative, arising out of or related to such person’s service as a director, officer, employee, or agent of GEO Corrections Holdings, Inc. (or arising out of or related to such person’s service with respect to any other corporation or other enterprise in any such capacity at the request of GEO Corrections Holdings, Inc.), shall be indemnified by GEO Corrections Holdings, Inc., and GEO Corrections Holdings, Inc. may advance to such person related expenses incurred in defense of such action, to the fullest extent permitted by applicable law. For purposes of this paragraph, “person” shall include such person’s heirs and personal representatives.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II-3</w:t>
      </w:r>
    </w:p>
    <w:p>
      <w:pPr>
        <w:sectPr>
          <w:pgSz w:w="11900" w:h="16838" w:orient="portrait"/>
          <w:cols w:equalWidth="0" w:num="1">
            <w:col w:w="9019"/>
          </w:cols>
          <w:pgMar w:left="1440" w:top="243" w:right="1440" w:bottom="1440" w:gutter="0" w:footer="0" w:header="0"/>
        </w:sectPr>
      </w:pPr>
    </w:p>
    <w:bookmarkStart w:id="34" w:name="page35"/>
    <w:bookmarkEnd w:id="34"/>
    <w:p>
      <w:pPr>
        <w:ind w:left="120" w:right="199" w:firstLine="350"/>
        <w:spacing w:after="0" w:line="26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7199630" cy="33020"/>
                    </a:xfrm>
                    <a:prstGeom prst="rect">
                      <a:avLst/>
                    </a:prstGeom>
                    <a:noFill/>
                  </pic:spPr>
                </pic:pic>
              </a:graphicData>
            </a:graphic>
          </wp:anchor>
        </w:drawing>
        <w:t>Protocol Criminal Justice, Inc.’s bylaws provide that each person who is or was a director or officer of Protocol Criminal Justice, Inc. shall be indemnified to the fullest extent permitted or authorized by current or future legislation or judicial or administrative decision against all fines, liabilities, costs and expenses, including attorneys’ fees, arising out of his or her status as a director, officer, agent, employee or representative. The foregoing right of indemnification shall not be exclusive of other rights to which those seeking an indemnification may be entitled. Protocol Criminal Justice, Inc. may maintain insurance, at its expense, to protect itself and all officers and directors against fines, liabilities, costs and expenses, whether or not Protocol Criminal Justice, Inc. would have the legal power to indemnify them directly against such liability. Protocol Criminal Justice, Inc. shall pay in advance of the final disposition of a civil or criminal proceeding the costs, charges and expenses (including attorneys’ fees) incurred by such person for such proceedings upon receipt of an undertaking to repay all amounts advanced if it is ultimately determined that the person is not entitled to be indemnified by Protocol Criminal Justice, Inc.</w:t>
      </w:r>
    </w:p>
    <w:p>
      <w:pPr>
        <w:spacing w:after="0" w:line="2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Registrants formed as limited liability companies in Florida</w:t>
      </w:r>
    </w:p>
    <w:p>
      <w:pPr>
        <w:spacing w:after="0" w:line="97" w:lineRule="exact"/>
        <w:rPr>
          <w:sz w:val="20"/>
          <w:szCs w:val="20"/>
          <w:color w:val="auto"/>
        </w:rPr>
      </w:pPr>
    </w:p>
    <w:p>
      <w:pPr>
        <w:ind w:left="120" w:right="159" w:firstLine="350"/>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Florida Revised Limited Liability Company Act. </w:t>
      </w:r>
      <w:r>
        <w:rPr>
          <w:rFonts w:ascii="Times New Roman" w:cs="Times New Roman" w:eastAsia="Times New Roman" w:hAnsi="Times New Roman"/>
          <w:sz w:val="14"/>
          <w:szCs w:val="14"/>
          <w:color w:val="auto"/>
        </w:rPr>
        <w:t>Section 605.0408 of the Florida Revised Limited Liability Company Act (“FRLLCA”, formerly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Section 608.4229 of the repealed Florida Limited Liability Company Act, Chapter 608) provides that a limited liability company may indemnify and hold harmless a person with respect to a claim or demand against the person and a debt, obligation, or other liability incurred by the person by reason of the person’s former or present capacity as a member or manager, if the claim, demand, debt, obligation, or other liability does not arise from the person’s breach of the applicable provisions of the FRLLCA relating to standards of conduct for members and managers.</w:t>
      </w:r>
    </w:p>
    <w:p>
      <w:pPr>
        <w:spacing w:after="0" w:line="2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i w:val="1"/>
          <w:iCs w:val="1"/>
          <w:color w:val="auto"/>
        </w:rPr>
        <w:t>Operating Agreements</w:t>
      </w:r>
    </w:p>
    <w:p>
      <w:pPr>
        <w:spacing w:after="0" w:line="99" w:lineRule="exact"/>
        <w:rPr>
          <w:sz w:val="20"/>
          <w:szCs w:val="20"/>
          <w:color w:val="auto"/>
        </w:rPr>
      </w:pPr>
    </w:p>
    <w:p>
      <w:pPr>
        <w:ind w:left="120" w:right="279" w:firstLine="350"/>
        <w:spacing w:after="0" w:line="260" w:lineRule="auto"/>
        <w:rPr>
          <w:sz w:val="20"/>
          <w:szCs w:val="20"/>
          <w:color w:val="auto"/>
        </w:rPr>
      </w:pPr>
      <w:r>
        <w:rPr>
          <w:rFonts w:ascii="Times New Roman" w:cs="Times New Roman" w:eastAsia="Times New Roman" w:hAnsi="Times New Roman"/>
          <w:sz w:val="14"/>
          <w:szCs w:val="14"/>
          <w:color w:val="auto"/>
        </w:rPr>
        <w:t>GEO Leasing, LLC’s Operating Agreement, as amended, provides that each manager, an officer, and the member, each of the foregoing persons referred to as a “Covered Person,” shall be indemnified by GEO Leasing, LLC to the fullest extent permitted by law against losses, judgments, liabilities, expenses and amounts incurred or paid, including attorneys’ fees, costs, judgments, amounts paid in settlement, fines, penalties and other liabilities, by the Covered Person in connection with any claim, action, suit or proceeding in which such Covered Person shall be threatened, in connection with the acquisition of property or assets by GEO Leasing, LLC, the disposition of liability of GEO Leasing, LLC or the conduct of its business. Expenses incurred by any Covered Person in connection with the preparation and presentation of a defense or response to any claim, action, suit or proceeding shall be paid by GEO Leasing, LLC; provided, however, that any indemnity under this paragraph shall be provided out of and to the extent of GEO Leasing, LLC assets only, and neither the member nor any manager nor any other person shall have any personal liability on account thereof.</w:t>
      </w:r>
    </w:p>
    <w:p>
      <w:pPr>
        <w:spacing w:after="0" w:line="321" w:lineRule="exact"/>
        <w:rPr>
          <w:sz w:val="20"/>
          <w:szCs w:val="20"/>
          <w:color w:val="auto"/>
        </w:rPr>
      </w:pPr>
    </w:p>
    <w:p>
      <w:pPr>
        <w:ind w:left="120" w:right="279" w:firstLine="350"/>
        <w:spacing w:after="0" w:line="260" w:lineRule="auto"/>
        <w:rPr>
          <w:sz w:val="20"/>
          <w:szCs w:val="20"/>
          <w:color w:val="auto"/>
        </w:rPr>
      </w:pPr>
      <w:r>
        <w:rPr>
          <w:rFonts w:ascii="Times New Roman" w:cs="Times New Roman" w:eastAsia="Times New Roman" w:hAnsi="Times New Roman"/>
          <w:sz w:val="14"/>
          <w:szCs w:val="14"/>
          <w:color w:val="auto"/>
        </w:rPr>
        <w:t>GEO Secure Services, LLC’s Operating Agreement provides that each manager, an officer, and the member, each of the foregoing persons referred to as a “Covered Person,” shall be indemnified by GEO Secure Services, LLC to the fullest extent permitted by law against losses, judgments, liabilities, expenses and amounts incurred or paid, including attorneys’ fees, costs, judgments, amounts paid in settlement, fines, penalties and other liabilities, by the Covered Person in connection with any claim, action, suit or proceeding in which such Covered Person shall be threatened, in connection with the acquisition of property or assets by GEO Secure Services, LLC, the disposition of liability of GEO Secure Services, LLC or the conduct of its business. Expenses incurred by any Covered Person in connection with the preparation and presentation of a defense or response to any claim, action, suit or proceeding shall be paid by GEO Secure Services, LLC; provided, however, that any indemnity under this paragraph shall be provided out of and to the extent of GEO Secure Services, LLC assets only, and neither the member nor any manager nor any other person shall have any personal liability on account thereof.</w:t>
      </w:r>
    </w:p>
    <w:p>
      <w:pPr>
        <w:spacing w:after="0" w:line="147" w:lineRule="exact"/>
        <w:rPr>
          <w:sz w:val="20"/>
          <w:szCs w:val="20"/>
          <w:color w:val="auto"/>
        </w:rPr>
      </w:pPr>
    </w:p>
    <w:p>
      <w:pPr>
        <w:ind w:left="120" w:right="199" w:firstLine="350"/>
        <w:spacing w:after="0" w:line="274" w:lineRule="auto"/>
        <w:rPr>
          <w:sz w:val="20"/>
          <w:szCs w:val="20"/>
          <w:color w:val="auto"/>
        </w:rPr>
      </w:pPr>
      <w:r>
        <w:rPr>
          <w:rFonts w:ascii="Times New Roman" w:cs="Times New Roman" w:eastAsia="Times New Roman" w:hAnsi="Times New Roman"/>
          <w:sz w:val="14"/>
          <w:szCs w:val="14"/>
          <w:color w:val="auto"/>
        </w:rPr>
        <w:t>GEO Reentry Services, LLC’s Operating Agreement provides that each manager, an officer, and the member, each of the foregoing persons referred to as a “Covered Person,” shall be indemnified by GEO Reentry Services, LLC to the fullest extent permitted by law against losses, judgments, liabilities, expenses and amounts</w:t>
      </w:r>
    </w:p>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II-4</w:t>
      </w:r>
    </w:p>
    <w:p>
      <w:pPr>
        <w:sectPr>
          <w:pgSz w:w="11900" w:h="16838" w:orient="portrait"/>
          <w:cols w:equalWidth="0" w:num="1">
            <w:col w:w="9019"/>
          </w:cols>
          <w:pgMar w:left="1440" w:top="243" w:right="1440" w:bottom="1440" w:gutter="0" w:footer="0" w:header="0"/>
        </w:sectPr>
      </w:pPr>
    </w:p>
    <w:bookmarkStart w:id="35" w:name="page36"/>
    <w:bookmarkEnd w:id="35"/>
    <w:p>
      <w:pPr>
        <w:ind w:left="120" w:right="139"/>
        <w:spacing w:after="0" w:line="26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7199630" cy="33020"/>
                    </a:xfrm>
                    <a:prstGeom prst="rect">
                      <a:avLst/>
                    </a:prstGeom>
                    <a:noFill/>
                  </pic:spPr>
                </pic:pic>
              </a:graphicData>
            </a:graphic>
          </wp:anchor>
        </w:drawing>
        <w:t>incurred or paid, including attorneys’ fees, costs, judgments, amounts paid in settlement, fines, penalties and other liabilities, by the Covered Person in connection with any claim, action, suit or proceeding in which such Covered Person shall be threatened, in connection with the acquisition of property or assets by GEO Reentry Services, LLC, the disposition of liability of GEO Reentry Services, LLC or the conduct of its business. Expenses incurred by any Covered Person in connection with the preparation and presentation of a defense or response to any claim, action, suit or proceeding shall be paid by GEO Reentry Services, LLC; provided, however, that any indemnity under this paragraph shall be provided out of and to the extent of GEO Reentry Services, LLC assets only, and neither the member nor any manager nor any other person shall have any personal liability on account thereof.</w:t>
      </w:r>
    </w:p>
    <w:p>
      <w:pPr>
        <w:spacing w:after="0" w:line="2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Registrants incorporated as corporations in Delaware</w:t>
      </w:r>
    </w:p>
    <w:p>
      <w:pPr>
        <w:spacing w:after="0" w:line="97" w:lineRule="exact"/>
        <w:rPr>
          <w:sz w:val="20"/>
          <w:szCs w:val="20"/>
          <w:color w:val="auto"/>
        </w:rPr>
      </w:pPr>
    </w:p>
    <w:p>
      <w:pPr>
        <w:ind w:left="120" w:right="139" w:firstLine="350"/>
        <w:spacing w:after="0" w:line="259" w:lineRule="auto"/>
        <w:rPr>
          <w:sz w:val="20"/>
          <w:szCs w:val="20"/>
          <w:color w:val="auto"/>
        </w:rPr>
      </w:pPr>
      <w:r>
        <w:rPr>
          <w:rFonts w:ascii="Times New Roman" w:cs="Times New Roman" w:eastAsia="Times New Roman" w:hAnsi="Times New Roman"/>
          <w:sz w:val="14"/>
          <w:szCs w:val="14"/>
          <w:i w:val="1"/>
          <w:iCs w:val="1"/>
          <w:color w:val="auto"/>
        </w:rPr>
        <w:t>Delaware General Corporation Law</w:t>
      </w:r>
      <w:r>
        <w:rPr>
          <w:rFonts w:ascii="Times New Roman" w:cs="Times New Roman" w:eastAsia="Times New Roman" w:hAnsi="Times New Roman"/>
          <w:sz w:val="14"/>
          <w:szCs w:val="14"/>
          <w:color w:val="auto"/>
        </w:rPr>
        <w:t>. Section 145(a) of the Delaware General Corporation Law (the “DGCL”) provides that a Delaware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corporation, such as GEO Acquisition II, Inc., GEO Holdings I, Inc., Cornell Companies, Inc., Cornell Corrections of Texas, Inc., Cornell Corrections of Rhode Island, Inc., BII Holding Corporation, BII Holding I Corporation, Behavioral Holding Corp., Behavioral Acquisition Corp., GEO/DEL/R/02, Inc., GEO International Services, Inc., GEO/DEL/T/02, Inc., GEO Reentry, Inc., GEO CPM, Inc., GEO Management Services, Inc., GEO CC3 Inc., and Community Education Centers, Inc.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such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w:t>
      </w:r>
    </w:p>
    <w:p>
      <w:pPr>
        <w:spacing w:after="0" w:line="151" w:lineRule="exact"/>
        <w:rPr>
          <w:sz w:val="20"/>
          <w:szCs w:val="20"/>
          <w:color w:val="auto"/>
        </w:rPr>
      </w:pPr>
    </w:p>
    <w:p>
      <w:pPr>
        <w:ind w:left="120" w:right="259" w:firstLine="350"/>
        <w:spacing w:after="0" w:line="261" w:lineRule="auto"/>
        <w:rPr>
          <w:sz w:val="20"/>
          <w:szCs w:val="20"/>
          <w:color w:val="auto"/>
        </w:rPr>
      </w:pPr>
      <w:r>
        <w:rPr>
          <w:rFonts w:ascii="Times New Roman" w:cs="Times New Roman" w:eastAsia="Times New Roman" w:hAnsi="Times New Roman"/>
          <w:sz w:val="14"/>
          <w:szCs w:val="14"/>
          <w:color w:val="auto"/>
        </w:rPr>
        <w:t>Section 145(b) of the DGCL provides that a Delaware corporation may indemnify any person who was or is a party or is threatened to be made a party to any threatened, pending or completed action or suit by or in the right of the corporation to procure a judgment in its favor by reason of the fact that such person acted in any of the capacities set forth above, against expenses (including attorneys’ fees) actually and reasonably incurred by such person in connection with the defense or settlement of such action or suit if the person acted in good faith and in a manner the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shall deem proper.</w:t>
      </w:r>
    </w:p>
    <w:p>
      <w:pPr>
        <w:spacing w:after="0" w:line="14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Further subsections of DGCL Section 145 provide that:</w:t>
      </w:r>
    </w:p>
    <w:p>
      <w:pPr>
        <w:spacing w:after="0" w:line="107" w:lineRule="exact"/>
        <w:rPr>
          <w:sz w:val="20"/>
          <w:szCs w:val="20"/>
          <w:color w:val="auto"/>
        </w:rPr>
      </w:pPr>
    </w:p>
    <w:p>
      <w:pPr>
        <w:ind w:left="900" w:right="259" w:hanging="344"/>
        <w:spacing w:after="0" w:line="268" w:lineRule="auto"/>
        <w:tabs>
          <w:tab w:leader="none" w:pos="9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a present or former director or officer of a corporation has been successful on the merits or otherwise in the defense of any action, suit or proceeding referred to in subsections (a) and (b) of Section 145 or in the defense of any claim, issue or matter therein, such person shall be indemnified against expenses, including attorneys’ fees, actually and reasonably incurred by such person in connection therewith;</w:t>
      </w:r>
    </w:p>
    <w:p>
      <w:pPr>
        <w:spacing w:after="0" w:line="64" w:lineRule="exact"/>
        <w:rPr>
          <w:rFonts w:ascii="Times New Roman" w:cs="Times New Roman" w:eastAsia="Times New Roman" w:hAnsi="Times New Roman"/>
          <w:sz w:val="14"/>
          <w:szCs w:val="14"/>
          <w:color w:val="auto"/>
        </w:rPr>
      </w:pPr>
    </w:p>
    <w:p>
      <w:pPr>
        <w:ind w:left="900" w:right="139" w:hanging="344"/>
        <w:spacing w:after="0" w:line="274" w:lineRule="auto"/>
        <w:tabs>
          <w:tab w:leader="none" w:pos="9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indemnification and advancement of expenses provided for pursuant to Section 145 shall not be deemed exclusive of any other rights to which those seeking indemnification or advancement of expenses may be entitled under any bylaw, agreement, vote of stockholders or disinterested directors or otherwise; and</w:t>
      </w:r>
    </w:p>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II-5</w:t>
      </w:r>
    </w:p>
    <w:p>
      <w:pPr>
        <w:sectPr>
          <w:pgSz w:w="11900" w:h="16838" w:orient="portrait"/>
          <w:cols w:equalWidth="0" w:num="1">
            <w:col w:w="9019"/>
          </w:cols>
          <w:pgMar w:left="1440" w:top="243" w:right="1440" w:bottom="1440" w:gutter="0" w:footer="0" w:header="0"/>
        </w:sectPr>
      </w:pPr>
    </w:p>
    <w:bookmarkStart w:id="36" w:name="page37"/>
    <w:bookmarkEnd w:id="36"/>
    <w:p>
      <w:pPr>
        <w:ind w:left="900" w:right="299" w:hanging="344"/>
        <w:spacing w:after="0" w:line="265" w:lineRule="auto"/>
        <w:tabs>
          <w:tab w:leader="none" w:pos="9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0">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the corporation shall have the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Section 145.</w:t>
      </w:r>
    </w:p>
    <w:p>
      <w:pPr>
        <w:spacing w:after="0" w:line="141" w:lineRule="exact"/>
        <w:rPr>
          <w:sz w:val="20"/>
          <w:szCs w:val="20"/>
          <w:color w:val="auto"/>
        </w:rPr>
      </w:pPr>
    </w:p>
    <w:p>
      <w:pPr>
        <w:ind w:left="120" w:right="339" w:firstLine="350"/>
        <w:spacing w:after="0" w:line="292" w:lineRule="auto"/>
        <w:rPr>
          <w:sz w:val="20"/>
          <w:szCs w:val="20"/>
          <w:color w:val="auto"/>
        </w:rPr>
      </w:pPr>
      <w:r>
        <w:rPr>
          <w:rFonts w:ascii="Times New Roman" w:cs="Times New Roman" w:eastAsia="Times New Roman" w:hAnsi="Times New Roman"/>
          <w:sz w:val="14"/>
          <w:szCs w:val="14"/>
          <w:color w:val="auto"/>
        </w:rPr>
        <w:t>As used in this Item 15, the term “proceeding” means any threatened, pending, or completed action, suit, or proceeding, whether or not by or in the right of Registrant, and whether civil, criminal, administrative, investigative or otherwise.</w:t>
      </w:r>
    </w:p>
    <w:p>
      <w:pPr>
        <w:spacing w:after="0" w:line="123" w:lineRule="exact"/>
        <w:rPr>
          <w:sz w:val="20"/>
          <w:szCs w:val="20"/>
          <w:color w:val="auto"/>
        </w:rPr>
      </w:pPr>
    </w:p>
    <w:p>
      <w:pPr>
        <w:ind w:left="120" w:right="219" w:firstLine="350"/>
        <w:spacing w:after="0" w:line="258" w:lineRule="auto"/>
        <w:rPr>
          <w:sz w:val="20"/>
          <w:szCs w:val="20"/>
          <w:color w:val="auto"/>
        </w:rPr>
      </w:pPr>
      <w:r>
        <w:rPr>
          <w:rFonts w:ascii="Times New Roman" w:cs="Times New Roman" w:eastAsia="Times New Roman" w:hAnsi="Times New Roman"/>
          <w:sz w:val="14"/>
          <w:szCs w:val="14"/>
          <w:color w:val="auto"/>
        </w:rPr>
        <w:t>Section 145 of the DGCL makes provision for the indemnification of officers and directors in terms sufficiently broad to indemnify officers and directors of each of the registrants incorporated in Delaware under certain circumstances from liabilities (including reimbursement for expenses incurred) arising under the Securities Act of 1933, as amended (the “Act”). Each of the registrants incorporated in Delaware may, in their discretion, similarly indemnify their employees and agents. The Bylaws of each of the registrants incorporated in Delaware provide, in effect, that, to the fullest extent and under the circumstances permitted by Section 145 of the DGCL, each of the registrants incorporated in Delaware will indemnify any and all of its officers, directors, employees and agents. In addition, the Certificate of Incorporation of each of the registrants incorporated in Delaware relieves its directors from monetary damages to it or its stockholders for breach of such director’s fiduciary duty as a director to the fullest extent permitted by the DGCL. Under Section 102(b)(7) of the DGCL, a corporation may relieve its directors from personal liability to such corporation or its stockholders for monetary damages for any breach of their fiduciary duty as directors except (i) for a breach of the duty of loyalty, (ii) for failure to act in good faith,</w:t>
      </w:r>
    </w:p>
    <w:p>
      <w:pPr>
        <w:spacing w:after="0" w:line="1" w:lineRule="exact"/>
        <w:rPr>
          <w:sz w:val="20"/>
          <w:szCs w:val="20"/>
          <w:color w:val="auto"/>
        </w:rPr>
      </w:pPr>
    </w:p>
    <w:p>
      <w:pPr>
        <w:ind w:left="120" w:right="299" w:firstLine="7"/>
        <w:spacing w:after="0" w:line="259" w:lineRule="auto"/>
        <w:tabs>
          <w:tab w:leader="none" w:pos="37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intentional misconduct or knowing violation of law, (iv) for willful or negligent violations of certain provisions in the DGCL imposing certain requirements with respect to stock repurchases, redemptions and dividends, or (v) for any transactions from which the director derived an improper personal benefit. Effective August 1, 2022, Section 102(b)(7) was amended to also permit a corporation to eliminate or limit the personal liability of certain senior officers for monetary damages for breaches of the fiduciary duty of care in direct (but not derivative) proceedings, subject to similar exceptions.</w:t>
      </w:r>
    </w:p>
    <w:p>
      <w:pPr>
        <w:spacing w:after="0" w:line="2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Registrants formed as limited liability companies in Delaware</w:t>
      </w:r>
    </w:p>
    <w:p>
      <w:pPr>
        <w:spacing w:after="0" w:line="97" w:lineRule="exact"/>
        <w:rPr>
          <w:sz w:val="20"/>
          <w:szCs w:val="20"/>
          <w:color w:val="auto"/>
        </w:rPr>
      </w:pPr>
    </w:p>
    <w:p>
      <w:pPr>
        <w:ind w:left="120" w:right="159" w:firstLine="350"/>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Delaware Limited Liability Company Act. </w:t>
      </w:r>
      <w:r>
        <w:rPr>
          <w:rFonts w:ascii="Times New Roman" w:cs="Times New Roman" w:eastAsia="Times New Roman" w:hAnsi="Times New Roman"/>
          <w:sz w:val="14"/>
          <w:szCs w:val="14"/>
          <w:color w:val="auto"/>
        </w:rPr>
        <w:t>Section 18-108 of the Delaware Limited Liability Company Act provides that, subject to such standards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restrictions, if any, as are set forth in its limited liability company agreement, a Delaware limited liability company, such as BI Mobile Breath, LLC, Correctional Services Corporation, LLC, Correctional Properties Prison Finance, LLC, CPT Limited Partner, LLC, Public Properties Development and Leasing LLC, GEO RE Holdings LLC, Cornell Corrections Management, LLC, Correctional Systems, LLC, MCF GP, LLC, GEO MCF LP, LLC, WBP Leasing, LLC, Correctional Properties, LLC, Highpoint Investments LLC, GEO Care Services, LLC, Clearstream Development LLC, CEC Parent Holdings LLC, CEC Intermediate Holdings LLC, CCMAS LLC and Broad Real Estate Holdings LLC has the power to, indemnify and hold harmless any member or manager or other person from and against any and all claims and demands whatsoever.</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i w:val="1"/>
          <w:iCs w:val="1"/>
          <w:color w:val="auto"/>
        </w:rPr>
        <w:t>Operating Agreements</w:t>
      </w:r>
    </w:p>
    <w:p>
      <w:pPr>
        <w:spacing w:after="0" w:line="99" w:lineRule="exact"/>
        <w:rPr>
          <w:sz w:val="20"/>
          <w:szCs w:val="20"/>
          <w:color w:val="auto"/>
        </w:rPr>
      </w:pPr>
    </w:p>
    <w:p>
      <w:pPr>
        <w:ind w:left="120" w:right="239" w:firstLine="350"/>
        <w:spacing w:after="0" w:line="263" w:lineRule="auto"/>
        <w:rPr>
          <w:sz w:val="20"/>
          <w:szCs w:val="20"/>
          <w:color w:val="auto"/>
        </w:rPr>
      </w:pPr>
      <w:r>
        <w:rPr>
          <w:rFonts w:ascii="Times New Roman" w:cs="Times New Roman" w:eastAsia="Times New Roman" w:hAnsi="Times New Roman"/>
          <w:sz w:val="14"/>
          <w:szCs w:val="14"/>
          <w:color w:val="auto"/>
        </w:rPr>
        <w:t>BI Mobile Breath, LLC’s Operating Agreement provides that each manager, officer, and the member, each of the foregoing persons referred to as a “Covered Person,” shall be indemnified by BI Mobile Breath, LLC to the fullest extent permitted by law against losses, judgments, liabilities, expenses and amounts incurred or paid, including attorneys’ fees, costs, judgments, amounts paid in settlement, fines, penalties and other liabilities, by the Covered Person in connection with any claim, action, suit or proceeding in which such Covered Person shall be threatened, in connection with the acquisition of property or assets by BI Mobile Breath, LLC, the disposition of liability of BI Mobile Breath, LLC or the conduct of its business. Expenses incurred by any Covered Person in</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II-6</w:t>
      </w:r>
    </w:p>
    <w:p>
      <w:pPr>
        <w:sectPr>
          <w:pgSz w:w="11900" w:h="16838" w:orient="portrait"/>
          <w:cols w:equalWidth="0" w:num="1">
            <w:col w:w="9019"/>
          </w:cols>
          <w:pgMar w:left="1440" w:top="243" w:right="1440" w:bottom="1440" w:gutter="0" w:footer="0" w:header="0"/>
        </w:sectPr>
      </w:pPr>
    </w:p>
    <w:bookmarkStart w:id="37" w:name="page38"/>
    <w:bookmarkEnd w:id="37"/>
    <w:p>
      <w:pPr>
        <w:ind w:left="120" w:right="399"/>
        <w:spacing w:after="0" w:line="29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1">
                      <a:extLst>
                        <a:ext uri="{28A0092B-C50C-407E-A947-70E740481C1C}"/>
                      </a:extLst>
                    </a:blip>
                    <a:srcRect/>
                    <a:stretch>
                      <a:fillRect/>
                    </a:stretch>
                  </pic:blipFill>
                  <pic:spPr bwMode="auto">
                    <a:xfrm>
                      <a:off x="0" y="0"/>
                      <a:ext cx="7199630" cy="33020"/>
                    </a:xfrm>
                    <a:prstGeom prst="rect">
                      <a:avLst/>
                    </a:prstGeom>
                    <a:noFill/>
                  </pic:spPr>
                </pic:pic>
              </a:graphicData>
            </a:graphic>
          </wp:anchor>
        </w:drawing>
        <w:t>connection with the preparation and presentation of a defense or response to any claim, action, suit or proceeding shall be paid by BI Mobile Breath, LLC.</w:t>
      </w:r>
    </w:p>
    <w:p>
      <w:pPr>
        <w:spacing w:after="0" w:line="123" w:lineRule="exact"/>
        <w:rPr>
          <w:sz w:val="20"/>
          <w:szCs w:val="20"/>
          <w:color w:val="auto"/>
        </w:rPr>
      </w:pPr>
    </w:p>
    <w:p>
      <w:pPr>
        <w:ind w:left="120" w:right="199" w:firstLine="350"/>
        <w:spacing w:after="0" w:line="259" w:lineRule="auto"/>
        <w:rPr>
          <w:sz w:val="20"/>
          <w:szCs w:val="20"/>
          <w:color w:val="auto"/>
        </w:rPr>
      </w:pPr>
      <w:r>
        <w:rPr>
          <w:rFonts w:ascii="Times New Roman" w:cs="Times New Roman" w:eastAsia="Times New Roman" w:hAnsi="Times New Roman"/>
          <w:sz w:val="14"/>
          <w:szCs w:val="14"/>
          <w:color w:val="auto"/>
        </w:rPr>
        <w:t>Correctional Properties Prison Finance, LLC’s operating agreement provides that, to the fullest extent provided by applicable law, a member, special member, officer, director, employee or agent of Correctional Properties Prison Finance, LLC and any employee, representative, agent or affiliate of the member or special member shall be entitled to indemnification for any loss, damage or claim incurred by such person by reason of any act or omission performed or omitted by such person in good faith on behalf of Correctional Properties Prison Finance, LLC and in a manner reasonably believed to be within the scope of the authority conferred on such person, except for any loss, damage or claim incurred by such person by reason of such person’s gross negligence or willful misconduct with respect to such acts or omissions. To the fullest extent permitted by applicable law, expenses (including reasonable legal fees) incurred by such person defending any claim, demand, action, suit or proceeding shall, from time to time, be advanced by Correctional Properties Prison Finance, LLC prior to the final disposition of such claim, demand, action, suit or proceeding upon receipt by Correctional Properties Prison Finance, LLC of an undertaking by or on behalf of such person to repay such amount if it shall be determined that such person is not entitled to be indemnified.</w:t>
      </w:r>
    </w:p>
    <w:p>
      <w:pPr>
        <w:spacing w:after="0" w:line="151" w:lineRule="exact"/>
        <w:rPr>
          <w:sz w:val="20"/>
          <w:szCs w:val="20"/>
          <w:color w:val="auto"/>
        </w:rPr>
      </w:pPr>
    </w:p>
    <w:p>
      <w:pPr>
        <w:ind w:left="120" w:right="139" w:firstLine="350"/>
        <w:spacing w:after="0" w:line="261" w:lineRule="auto"/>
        <w:rPr>
          <w:sz w:val="20"/>
          <w:szCs w:val="20"/>
          <w:color w:val="auto"/>
        </w:rPr>
      </w:pPr>
      <w:r>
        <w:rPr>
          <w:rFonts w:ascii="Times New Roman" w:cs="Times New Roman" w:eastAsia="Times New Roman" w:hAnsi="Times New Roman"/>
          <w:sz w:val="14"/>
          <w:szCs w:val="14"/>
          <w:color w:val="auto"/>
        </w:rPr>
        <w:t>CPT Limited Partner, LLC’s operating agreement provides that CPT Limited Partner, LLC shall indemnify and hold harmless its member, officers and employees, and the affiliates of each of the foregoing, to the fullest extent permitted by law against losses, judgments, liabilities, expenses and amounts incurred or paid, including attorneys’ fees, costs, judgments, amounts paid in settlement, fines, penalties and other liabilities, by such person in connection with any claim, action, suit or proceeding in which such person becomes involved as a party or otherwise, or with which such person shall be threatened, in connection with the conduct of CPT Limited Partner, LLC’s affairs. Expenses incurred by any such person in connection with the preparation and presentation of a defense or response to any claims covered hereby shall be paid by CPT Limited Partner, LLC. Such right of indemnity shall apply with respect to all actions taken by such person which they believe to be in the best interest of CPT Limited Partner, LLC in accordance with the business judgment rule, other than actions which constitute willful misconduct or gross negligence.</w:t>
      </w:r>
    </w:p>
    <w:p>
      <w:pPr>
        <w:spacing w:after="0" w:line="144" w:lineRule="exact"/>
        <w:rPr>
          <w:sz w:val="20"/>
          <w:szCs w:val="20"/>
          <w:color w:val="auto"/>
        </w:rPr>
      </w:pPr>
    </w:p>
    <w:p>
      <w:pPr>
        <w:ind w:left="120" w:right="159" w:firstLine="350"/>
        <w:spacing w:after="0" w:line="260" w:lineRule="auto"/>
        <w:rPr>
          <w:sz w:val="20"/>
          <w:szCs w:val="20"/>
          <w:color w:val="auto"/>
        </w:rPr>
      </w:pPr>
      <w:r>
        <w:rPr>
          <w:rFonts w:ascii="Times New Roman" w:cs="Times New Roman" w:eastAsia="Times New Roman" w:hAnsi="Times New Roman"/>
          <w:sz w:val="14"/>
          <w:szCs w:val="14"/>
          <w:color w:val="auto"/>
        </w:rPr>
        <w:t>Public Properties Development and Leasing LLC’s operating agreement provides that Public Properties Development and Leasing LLC shall indemnify and hold harmless its member, officers and employees, and the affiliates of each of the foregoing, to the fullest extent permitted by law against losses, judgments, liabilities, expenses and amounts incurred or paid, including attorneys’ fees, costs, judgments, amounts paid in settlement, fines, penalties and other liabilities, by such person in connection with any claim, action, suit or proceeding in which such person becomes involved as a party or otherwise, or with which such person shall be threatened, in connection with the conduct of Public Properties Development and Leasing LLC’s affairs. Expenses incurred by any such person in connection with the preparation and presentation of a defense or response to any claims covered hereby shall be paid by Public Properties Development and Leasing LLC. Such right of indemnity shall apply with respect to all actions taken by such person which they believe to be in the best interest of Public Properties Development and Leasing LLC in accordance with the business judgment rule, other than actions which constitute willful misconduct or gross negligence.</w:t>
      </w:r>
    </w:p>
    <w:p>
      <w:pPr>
        <w:spacing w:after="0" w:line="147" w:lineRule="exact"/>
        <w:rPr>
          <w:sz w:val="20"/>
          <w:szCs w:val="20"/>
          <w:color w:val="auto"/>
        </w:rPr>
      </w:pPr>
    </w:p>
    <w:p>
      <w:pPr>
        <w:ind w:left="120" w:right="359" w:firstLine="350"/>
        <w:spacing w:after="0" w:line="292" w:lineRule="auto"/>
        <w:rPr>
          <w:sz w:val="20"/>
          <w:szCs w:val="20"/>
          <w:color w:val="auto"/>
        </w:rPr>
      </w:pPr>
      <w:r>
        <w:rPr>
          <w:rFonts w:ascii="Times New Roman" w:cs="Times New Roman" w:eastAsia="Times New Roman" w:hAnsi="Times New Roman"/>
          <w:sz w:val="14"/>
          <w:szCs w:val="14"/>
          <w:color w:val="auto"/>
        </w:rPr>
        <w:t>GEO RE Holdings LLC’s operating agreement is silent with respect to indemnification. However, see the discussion regarding indemnification provisions in the Delaware Limited Liability Company Act.</w:t>
      </w:r>
    </w:p>
    <w:p>
      <w:pPr>
        <w:spacing w:after="0" w:line="123" w:lineRule="exact"/>
        <w:rPr>
          <w:sz w:val="20"/>
          <w:szCs w:val="20"/>
          <w:color w:val="auto"/>
        </w:rPr>
      </w:pPr>
    </w:p>
    <w:p>
      <w:pPr>
        <w:ind w:left="120" w:right="159" w:firstLine="350"/>
        <w:spacing w:after="0" w:line="263" w:lineRule="auto"/>
        <w:rPr>
          <w:sz w:val="20"/>
          <w:szCs w:val="20"/>
          <w:color w:val="auto"/>
        </w:rPr>
      </w:pPr>
      <w:r>
        <w:rPr>
          <w:rFonts w:ascii="Times New Roman" w:cs="Times New Roman" w:eastAsia="Times New Roman" w:hAnsi="Times New Roman"/>
          <w:sz w:val="14"/>
          <w:szCs w:val="14"/>
          <w:color w:val="auto"/>
        </w:rPr>
        <w:t>Correctional Services Corporation, LLC’s Operating Agreement provides that each manager, an officer, and the member, each of the foregoing persons referred to as a “Covered Person,” shall be indemnified by Correctional Services Corporation, LLC to the fullest extent permitted by law against losses, judgments, liabilities, expenses and amounts incurred or paid, including attorneys’ fees, costs, judgments, amounts paid in settlement, fines, penalties and other liabilities, by the Covered Person in connection with any claim, action, suit or proceeding in which such Covered Person shall be threatened, in connection with the acquisition of property or assets by Correctional Services Corporation, LLC, the disposition of liability of Correctional Services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II-7</w:t>
      </w:r>
    </w:p>
    <w:p>
      <w:pPr>
        <w:sectPr>
          <w:pgSz w:w="11900" w:h="16838" w:orient="portrait"/>
          <w:cols w:equalWidth="0" w:num="1">
            <w:col w:w="9019"/>
          </w:cols>
          <w:pgMar w:left="1440" w:top="243" w:right="1440" w:bottom="1440" w:gutter="0" w:footer="0" w:header="0"/>
        </w:sectPr>
      </w:pPr>
    </w:p>
    <w:bookmarkStart w:id="38" w:name="page39"/>
    <w:bookmarkEnd w:id="38"/>
    <w:p>
      <w:pPr>
        <w:ind w:left="120" w:right="439"/>
        <w:spacing w:after="0" w:line="29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2">
                      <a:extLst>
                        <a:ext uri="{28A0092B-C50C-407E-A947-70E740481C1C}"/>
                      </a:extLst>
                    </a:blip>
                    <a:srcRect/>
                    <a:stretch>
                      <a:fillRect/>
                    </a:stretch>
                  </pic:blipFill>
                  <pic:spPr bwMode="auto">
                    <a:xfrm>
                      <a:off x="0" y="0"/>
                      <a:ext cx="7199630" cy="33020"/>
                    </a:xfrm>
                    <a:prstGeom prst="rect">
                      <a:avLst/>
                    </a:prstGeom>
                    <a:noFill/>
                  </pic:spPr>
                </pic:pic>
              </a:graphicData>
            </a:graphic>
          </wp:anchor>
        </w:drawing>
        <w:t>Corporation, LLC or the conduct of its business. Expenses incurred by any Covered Person in connection with the preparation and presentation of a defense or response to any claim, action, suit or proceeding shall be paid by Correctional Services Corporation, LLC.</w:t>
      </w:r>
    </w:p>
    <w:p>
      <w:pPr>
        <w:spacing w:after="0" w:line="123" w:lineRule="exact"/>
        <w:rPr>
          <w:sz w:val="20"/>
          <w:szCs w:val="20"/>
          <w:color w:val="auto"/>
        </w:rPr>
      </w:pPr>
    </w:p>
    <w:p>
      <w:pPr>
        <w:ind w:left="120" w:right="199" w:firstLine="350"/>
        <w:spacing w:after="0" w:line="261" w:lineRule="auto"/>
        <w:rPr>
          <w:sz w:val="20"/>
          <w:szCs w:val="20"/>
          <w:color w:val="auto"/>
        </w:rPr>
      </w:pPr>
      <w:r>
        <w:rPr>
          <w:rFonts w:ascii="Times New Roman" w:cs="Times New Roman" w:eastAsia="Times New Roman" w:hAnsi="Times New Roman"/>
          <w:sz w:val="14"/>
          <w:szCs w:val="14"/>
          <w:color w:val="auto"/>
        </w:rPr>
        <w:t>Cornell Corrections Management, LLC’s Operating Agreement provides that each manager, an officer, and the member, each of the foregoing persons referred to as a “Covered Person,” shall be indemnified by Cornell Corrections Management, LLC to the fullest extent permitted by law against losses, judgments, liabilities, expenses and amounts incurred or paid, including attorneys’ fees, costs, judgments, amounts paid in settlement, fines, penalties and other liabilities, by the Covered Person in connection with any claim, action, suit or proceeding in which such Covered Person shall be threatened, in connection with the acquisition of property or assets by Cornell Corrections Management, LLC, the disposition of liability of Cornell Corrections Management, LLC or the conduct of its business. Expenses incurred by any Covered Person in connection with the preparation and presentation of a defense or response to any claim, action, suit or proceeding shall be paid by Cornell Corrections Management, LLC.</w:t>
      </w:r>
    </w:p>
    <w:p>
      <w:pPr>
        <w:spacing w:after="0" w:line="148" w:lineRule="exact"/>
        <w:rPr>
          <w:sz w:val="20"/>
          <w:szCs w:val="20"/>
          <w:color w:val="auto"/>
        </w:rPr>
      </w:pPr>
    </w:p>
    <w:p>
      <w:pPr>
        <w:ind w:left="120" w:right="139" w:firstLine="350"/>
        <w:spacing w:after="0" w:line="261" w:lineRule="auto"/>
        <w:rPr>
          <w:sz w:val="20"/>
          <w:szCs w:val="20"/>
          <w:color w:val="auto"/>
        </w:rPr>
      </w:pPr>
      <w:r>
        <w:rPr>
          <w:rFonts w:ascii="Times New Roman" w:cs="Times New Roman" w:eastAsia="Times New Roman" w:hAnsi="Times New Roman"/>
          <w:sz w:val="14"/>
          <w:szCs w:val="14"/>
          <w:color w:val="auto"/>
        </w:rPr>
        <w:t>Correctional Systems, LLC’s Operating Agreement provides that each manager, an officer, and the member, each of the foregoing persons referred to as a “Covered Person,” shall be indemnified by Correctional Systems, LLC to the fullest extent permitted by law against losses, judgments, liabilities, expenses and amounts incurred or paid, including attorneys’ fees, costs, judgments, amounts paid in settlement, fines, penalties and other liabilities, by the Covered Person in connection with any claim, action, suit or proceeding in which such Covered Person shall be threatened, in connection with the acquisition of property or assets by Correctional Systems, LLC, the disposition of liability of Correctional Systems, LLC or the conduct of its business. Expenses incurred by any Covered Person in connection with the preparation and presentation of a defense or response to any claim, action, suit or proceeding shall be paid by Correctional Systems, LLC.</w:t>
      </w:r>
    </w:p>
    <w:p>
      <w:pPr>
        <w:spacing w:after="0" w:line="148" w:lineRule="exact"/>
        <w:rPr>
          <w:sz w:val="20"/>
          <w:szCs w:val="20"/>
          <w:color w:val="auto"/>
        </w:rPr>
      </w:pPr>
    </w:p>
    <w:p>
      <w:pPr>
        <w:ind w:left="120" w:right="179" w:firstLine="350"/>
        <w:spacing w:after="0" w:line="261" w:lineRule="auto"/>
        <w:rPr>
          <w:sz w:val="20"/>
          <w:szCs w:val="20"/>
          <w:color w:val="auto"/>
        </w:rPr>
      </w:pPr>
      <w:r>
        <w:rPr>
          <w:rFonts w:ascii="Times New Roman" w:cs="Times New Roman" w:eastAsia="Times New Roman" w:hAnsi="Times New Roman"/>
          <w:sz w:val="14"/>
          <w:szCs w:val="14"/>
          <w:color w:val="auto"/>
        </w:rPr>
        <w:t>WBP Leasing, LLC’s Operating Agreement provides that each manager, an officer, and the member, each of the foregoing persons referred to as a “Covered Person,” shall be indemnified by WBP Leasing, LLC to the fullest extent permitted by law against losses, judgments, liabilities, expenses and amounts incurred or paid, including attorneys’ fees, costs, judgments, amounts paid in settlement, fines, penalties and other liabilities, by the Covered Person in connection with any claim, action, suit or proceeding in which such Covered Person shall be threatened, in connection with the acquisition of property or assets by WBP Leasing, LLC, the disposition of liability of WBP Leasing, LLC or the conduct of its business. Expenses incurred by any Covered Person in connection with the preparation and presentation of a defense or response to any claim, action, suit or proceeding shall be paid by WBP Leasing, LLC.</w:t>
      </w:r>
    </w:p>
    <w:p>
      <w:pPr>
        <w:spacing w:after="0" w:line="148" w:lineRule="exact"/>
        <w:rPr>
          <w:sz w:val="20"/>
          <w:szCs w:val="20"/>
          <w:color w:val="auto"/>
        </w:rPr>
      </w:pPr>
    </w:p>
    <w:p>
      <w:pPr>
        <w:ind w:left="120" w:right="239" w:firstLine="350"/>
        <w:spacing w:after="0" w:line="261" w:lineRule="auto"/>
        <w:rPr>
          <w:sz w:val="20"/>
          <w:szCs w:val="20"/>
          <w:color w:val="auto"/>
        </w:rPr>
      </w:pPr>
      <w:r>
        <w:rPr>
          <w:rFonts w:ascii="Times New Roman" w:cs="Times New Roman" w:eastAsia="Times New Roman" w:hAnsi="Times New Roman"/>
          <w:sz w:val="14"/>
          <w:szCs w:val="14"/>
          <w:color w:val="auto"/>
        </w:rPr>
        <w:t>MCF GP, LLC’s Operating Agreement provides that each manager, an officer, and the member, each of the foregoing persons referred to as a “Covered Person,” shall be indemnified by MCF GP, LLC to the fullest extent permitted by law against losses, judgments, liabilities, expenses and amounts incurred or paid, including attorneys’ fees, costs, judgments, amounts paid in settlement, fines, penalties and other liabilities, by the Covered Person in connection with any claim, action, suit or proceeding in which such Covered Person shall be threatened, in connection with the acquisition of property or assets by MCF GP, LLC, the disposition of liability of MCF GP, LLC or the conduct of its business. Expenses incurred by any Covered Person in connection with the preparation and presentation of a defense or response to any claim, action, suit or proceeding shall be paid by MCF GP, LLC.</w:t>
      </w:r>
    </w:p>
    <w:p>
      <w:pPr>
        <w:spacing w:after="0" w:line="148" w:lineRule="exact"/>
        <w:rPr>
          <w:sz w:val="20"/>
          <w:szCs w:val="20"/>
          <w:color w:val="auto"/>
        </w:rPr>
      </w:pPr>
    </w:p>
    <w:p>
      <w:pPr>
        <w:ind w:left="120" w:right="159" w:firstLine="350"/>
        <w:spacing w:after="0" w:line="263" w:lineRule="auto"/>
        <w:rPr>
          <w:sz w:val="20"/>
          <w:szCs w:val="20"/>
          <w:color w:val="auto"/>
        </w:rPr>
      </w:pPr>
      <w:r>
        <w:rPr>
          <w:rFonts w:ascii="Times New Roman" w:cs="Times New Roman" w:eastAsia="Times New Roman" w:hAnsi="Times New Roman"/>
          <w:sz w:val="14"/>
          <w:szCs w:val="14"/>
          <w:color w:val="auto"/>
        </w:rPr>
        <w:t>GEO MCF LP, LLC’s Operating Agreement provides that each manager, an officer, and the member, each of the foregoing persons referred to as a “Covered Person,” shall be indemnified by GEO MCF LP, LLC to the fullest extent permitted by law against losses, judgments, liabilities, expenses and amounts incurred or paid, including attorneys’ fees, costs, judgments, amounts paid in settlement, fines, penalties and other liabilities, by the Covered Person in connection with any claim, action, suit or proceeding in which such Covered Person shall be threatened, in connection with the acquisition of property or assets by GEO MCF LP, LLC, the disposition of liability of GEO MCF LP, LLC or the conduct of its business. Expenses incurred by any Covered Person in</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II-8</w:t>
      </w:r>
    </w:p>
    <w:p>
      <w:pPr>
        <w:sectPr>
          <w:pgSz w:w="11900" w:h="16838" w:orient="portrait"/>
          <w:cols w:equalWidth="0" w:num="1">
            <w:col w:w="9019"/>
          </w:cols>
          <w:pgMar w:left="1440" w:top="243" w:right="1440" w:bottom="1440" w:gutter="0" w:footer="0" w:header="0"/>
        </w:sectPr>
      </w:pPr>
    </w:p>
    <w:bookmarkStart w:id="39" w:name="page40"/>
    <w:bookmarkEnd w:id="39"/>
    <w:p>
      <w:pPr>
        <w:ind w:left="1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3">
                      <a:extLst>
                        <a:ext uri="{28A0092B-C50C-407E-A947-70E740481C1C}"/>
                      </a:extLst>
                    </a:blip>
                    <a:srcRect/>
                    <a:stretch>
                      <a:fillRect/>
                    </a:stretch>
                  </pic:blipFill>
                  <pic:spPr bwMode="auto">
                    <a:xfrm>
                      <a:off x="0" y="0"/>
                      <a:ext cx="7199630" cy="33020"/>
                    </a:xfrm>
                    <a:prstGeom prst="rect">
                      <a:avLst/>
                    </a:prstGeom>
                    <a:noFill/>
                  </pic:spPr>
                </pic:pic>
              </a:graphicData>
            </a:graphic>
          </wp:anchor>
        </w:drawing>
        <w:t>connection with the preparation and presentation of a defense or response to any claim, action, suit or proceeding shall be paid by GEO MCF LP, LLC.</w:t>
      </w:r>
    </w:p>
    <w:p>
      <w:pPr>
        <w:spacing w:after="0" w:line="182" w:lineRule="exact"/>
        <w:rPr>
          <w:sz w:val="20"/>
          <w:szCs w:val="20"/>
          <w:color w:val="auto"/>
        </w:rPr>
      </w:pPr>
    </w:p>
    <w:p>
      <w:pPr>
        <w:ind w:left="120" w:right="219" w:firstLine="350"/>
        <w:spacing w:after="0" w:line="261" w:lineRule="auto"/>
        <w:rPr>
          <w:sz w:val="20"/>
          <w:szCs w:val="20"/>
          <w:color w:val="auto"/>
        </w:rPr>
      </w:pPr>
      <w:r>
        <w:rPr>
          <w:rFonts w:ascii="Times New Roman" w:cs="Times New Roman" w:eastAsia="Times New Roman" w:hAnsi="Times New Roman"/>
          <w:sz w:val="14"/>
          <w:szCs w:val="14"/>
          <w:color w:val="auto"/>
        </w:rPr>
        <w:t>Correctional Properties, LLC’s Operating Agreement provides that each manager, officer, and the member, each of the foregoing persons referred to as a “Covered Person,” shall be indemnified by Correctional Properties, LLC to the fullest extent permitted by law against losses, judgments, liabilities, expenses and amounts incurred or paid, including attorneys’ fees, costs, judgments, amounts paid in settlement, fines, penalties and other liabilities, by the Covered Person in connection with any claim, action, suit or proceeding in which such Covered Person shall be threatened, in connection with the acquisition of property or assets by Correctional Properties, LLC, the disposition of liability of Correctional Properties, LLC or the conduct of its business. Expenses incurred by any Covered Person in connection with the preparation and presentation of a defense or response to any claim, action, suit or proceeding shall be paid by Correctional Properties, LLC.</w:t>
      </w:r>
    </w:p>
    <w:p>
      <w:pPr>
        <w:spacing w:after="0" w:line="148" w:lineRule="exact"/>
        <w:rPr>
          <w:sz w:val="20"/>
          <w:szCs w:val="20"/>
          <w:color w:val="auto"/>
        </w:rPr>
      </w:pPr>
    </w:p>
    <w:p>
      <w:pPr>
        <w:ind w:left="120" w:right="279" w:firstLine="350"/>
        <w:spacing w:after="0" w:line="261" w:lineRule="auto"/>
        <w:rPr>
          <w:sz w:val="20"/>
          <w:szCs w:val="20"/>
          <w:color w:val="auto"/>
        </w:rPr>
      </w:pPr>
      <w:r>
        <w:rPr>
          <w:rFonts w:ascii="Times New Roman" w:cs="Times New Roman" w:eastAsia="Times New Roman" w:hAnsi="Times New Roman"/>
          <w:sz w:val="14"/>
          <w:szCs w:val="14"/>
          <w:color w:val="auto"/>
        </w:rPr>
        <w:t>Highpoint Investments LLC’s Operating Agreement provides that each manager, officer, and the member, each of the foregoing persons referred to as a “Covered Person,” shall be indemnified by Highpoint Investments LLC to the fullest extent permitted by law against losses, judgments, liabilities, expenses and amounts incurred or paid, including attorneys’ fees, costs, judgments, amounts paid in settlement, fines, penalties and other liabilities, by the Covered Person in connection with any claim, action, suit or proceeding in which such Covered Person shall be threatened, in connection with the acquisition of property or assets by Highpoint Investments LLC, the disposition of liability of Highpoint Investments LLC or the conduct of its business. Expenses incurred by any Covered Person in connection with the preparation and presentation of a defense or response to any claim, action, suit or proceeding shall be paid by Highpoint Investments LLC.</w:t>
      </w:r>
    </w:p>
    <w:p>
      <w:pPr>
        <w:spacing w:after="0" w:line="148" w:lineRule="exact"/>
        <w:rPr>
          <w:sz w:val="20"/>
          <w:szCs w:val="20"/>
          <w:color w:val="auto"/>
        </w:rPr>
      </w:pPr>
    </w:p>
    <w:p>
      <w:pPr>
        <w:ind w:left="120" w:right="259" w:firstLine="350"/>
        <w:spacing w:after="0" w:line="261" w:lineRule="auto"/>
        <w:rPr>
          <w:sz w:val="20"/>
          <w:szCs w:val="20"/>
          <w:color w:val="auto"/>
        </w:rPr>
      </w:pPr>
      <w:r>
        <w:rPr>
          <w:rFonts w:ascii="Times New Roman" w:cs="Times New Roman" w:eastAsia="Times New Roman" w:hAnsi="Times New Roman"/>
          <w:sz w:val="14"/>
          <w:szCs w:val="14"/>
          <w:color w:val="auto"/>
        </w:rPr>
        <w:t>GEO Care Services, LLC’s Operating Agreement provides that each manager, officer, and the member, each of the foregoing persons referred to as a “Covered Person,” shall be indemnified by GEO Care Services, LLC to the fullest extent permitted by law against losses, judgments, liabilities, expenses and amounts incurred or paid, including attorneys’ fees, costs, judgments, amounts paid in settlement, fines, penalties and other liabilities, by the Covered Person in connection with any claim, action, suit or proceeding in which such Covered Person shall be threatened, in connection with the acquisition of property or assets by GEO Care Services, LLC, the disposition of liability of GEO Care Services, LLC or the conduct of its business. Expenses incurred by any Covered Person in connection with the preparation and presentation of a defense or response to any claim, action, suit or proceeding shall be paid by GEO Care Services, LLC.</w:t>
      </w:r>
    </w:p>
    <w:p>
      <w:pPr>
        <w:spacing w:after="0" w:line="148" w:lineRule="exact"/>
        <w:rPr>
          <w:sz w:val="20"/>
          <w:szCs w:val="20"/>
          <w:color w:val="auto"/>
        </w:rPr>
      </w:pPr>
    </w:p>
    <w:p>
      <w:pPr>
        <w:ind w:left="120" w:right="199" w:firstLine="350"/>
        <w:spacing w:after="0" w:line="261" w:lineRule="auto"/>
        <w:rPr>
          <w:sz w:val="20"/>
          <w:szCs w:val="20"/>
          <w:color w:val="auto"/>
        </w:rPr>
      </w:pPr>
      <w:r>
        <w:rPr>
          <w:rFonts w:ascii="Times New Roman" w:cs="Times New Roman" w:eastAsia="Times New Roman" w:hAnsi="Times New Roman"/>
          <w:sz w:val="14"/>
          <w:szCs w:val="14"/>
          <w:color w:val="auto"/>
        </w:rPr>
        <w:t>Clearstream Development LLC’s Operating Agreement provides that each manager, officer, and the member, each of the foregoing persons referred to as a “Covered Person,” shall be indemnified by Clearstream Development LLC to the fullest extent permitted by law against losses, judgments, liabilities, expenses and amounts incurred or paid, including attorneys’ fees, costs, judgments, amounts paid in settlement, fines, penalties and other liabilities, by the Covered Person in connection with any claim, action, suit or proceeding in which such Covered Person shall be threatened, in connection with the acquisition of property or assets by Clearstream Development LLC, the disposition of liability of Clearstream Development LLC or the conduct of its business. Expenses incurred by any Covered Person in connection with the preparation and presentation of a defense or response to any claim, action, suit or proceeding shall be paid by Clearstream Development LLC.</w:t>
      </w:r>
    </w:p>
    <w:p>
      <w:pPr>
        <w:spacing w:after="0" w:line="148" w:lineRule="exact"/>
        <w:rPr>
          <w:sz w:val="20"/>
          <w:szCs w:val="20"/>
          <w:color w:val="auto"/>
        </w:rPr>
      </w:pPr>
    </w:p>
    <w:p>
      <w:pPr>
        <w:ind w:left="120" w:right="159" w:firstLine="350"/>
        <w:spacing w:after="0" w:line="261" w:lineRule="auto"/>
        <w:rPr>
          <w:sz w:val="20"/>
          <w:szCs w:val="20"/>
          <w:color w:val="auto"/>
        </w:rPr>
      </w:pPr>
      <w:r>
        <w:rPr>
          <w:rFonts w:ascii="Times New Roman" w:cs="Times New Roman" w:eastAsia="Times New Roman" w:hAnsi="Times New Roman"/>
          <w:sz w:val="14"/>
          <w:szCs w:val="14"/>
          <w:color w:val="auto"/>
        </w:rPr>
        <w:t>CEC Parent Holdings LLC’s Third Amended and Restated Operating Agreement provides that no officer, manager, member, any of the respective affiliates of the foregoing or any of the respective shareholders, officers, directors, partners, members, managers, employees and agents of the foregoing, in each case, in their capacities as such (collectively, the “Covered Persons”), shall be liable to CEC Parent Holdings LLC, the member or to any other person for any act or omission taken or suffered by such Covered Person in good faith and in the belief that such act or omission was in or was not opposed to the best interests of CEC Parent Holdings LLC; provided, however, that such act or omission did not constitute fraud or willful misconduct. No Covered Person shall be liable to CEC Parent Holdings LLC, the member or any other person for any action taken by the member, nor shall any Covered Person be liable to CEC Parent Holdings LLC, the member or any other person for any action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II-9</w:t>
      </w:r>
    </w:p>
    <w:p>
      <w:pPr>
        <w:sectPr>
          <w:pgSz w:w="11900" w:h="16838" w:orient="portrait"/>
          <w:cols w:equalWidth="0" w:num="1">
            <w:col w:w="9019"/>
          </w:cols>
          <w:pgMar w:left="1440" w:top="243" w:right="1440" w:bottom="1440" w:gutter="0" w:footer="0" w:header="0"/>
        </w:sectPr>
      </w:pPr>
    </w:p>
    <w:bookmarkStart w:id="40" w:name="page41"/>
    <w:bookmarkEnd w:id="40"/>
    <w:p>
      <w:pPr>
        <w:ind w:left="120" w:right="299"/>
        <w:spacing w:after="0" w:line="29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4">
                      <a:extLst>
                        <a:ext uri="{28A0092B-C50C-407E-A947-70E740481C1C}"/>
                      </a:extLst>
                    </a:blip>
                    <a:srcRect/>
                    <a:stretch>
                      <a:fillRect/>
                    </a:stretch>
                  </pic:blipFill>
                  <pic:spPr bwMode="auto">
                    <a:xfrm>
                      <a:off x="0" y="0"/>
                      <a:ext cx="7199630" cy="33020"/>
                    </a:xfrm>
                    <a:prstGeom prst="rect">
                      <a:avLst/>
                    </a:prstGeom>
                    <a:noFill/>
                  </pic:spPr>
                </pic:pic>
              </a:graphicData>
            </a:graphic>
          </wp:anchor>
        </w:drawing>
        <w:t>of any employee or agent of the Covered Person that does not meet the requirements for exculpation set forth in the preceding sentence, so long as the Covered Person seeking exculpation meets such requirements.</w:t>
      </w:r>
    </w:p>
    <w:p>
      <w:pPr>
        <w:spacing w:after="0" w:line="123" w:lineRule="exact"/>
        <w:rPr>
          <w:sz w:val="20"/>
          <w:szCs w:val="20"/>
          <w:color w:val="auto"/>
        </w:rPr>
      </w:pPr>
    </w:p>
    <w:p>
      <w:pPr>
        <w:ind w:left="120" w:right="139" w:firstLine="350"/>
        <w:spacing w:after="0" w:line="259" w:lineRule="auto"/>
        <w:rPr>
          <w:sz w:val="20"/>
          <w:szCs w:val="20"/>
          <w:color w:val="auto"/>
        </w:rPr>
      </w:pPr>
      <w:r>
        <w:rPr>
          <w:rFonts w:ascii="Times New Roman" w:cs="Times New Roman" w:eastAsia="Times New Roman" w:hAnsi="Times New Roman"/>
          <w:sz w:val="14"/>
          <w:szCs w:val="14"/>
          <w:color w:val="auto"/>
        </w:rPr>
        <w:t>CEC Intermediate Holdings LLC’s Operating Agreement provides that each person who was or is made a party or is threatened to be made a party to or is otherwise involved in any action, suit or proceeding, whether civil, criminal, administrative, or investigative by reason of the fact that he or she is or was a managing member or an officer of CEC Intermediate Holdings LLC, or is or was serving at the request of CEC Intermediate Holdings LLC as a manager, director, officer, employee, or agent of another limited liability company or of a corporation, partnership, joint venture, trust, or other enterprise, including a service with respect to an employee benefit plan, whether the basis of such a proceeding is alleged action in an official capacity as a managing member, officer, employee, or agent of CEC Intermediate Holdings LLC or in any other capacity while serving as a managing member, officer, employee or agent of CEC Intermediate Holdings LLC, shall be indemnified and held harmless by CEC Intermediate Holdings LLC to the fullest extent permitted by law (including indemnification for negligence or gross negligence but excluding indemnification (i) for acts or omissions involving actual fraud or willful misconduct or (ii) with respect to any transaction from which the indemnitee derived an improper personal benefit), against all expense, liability, and loss (including reasonable attorneys’ fees, judgments, fines, excise taxes or penalties and amounts paid in settlement) reasonably incurred or suffered by such indemnitee in connection therewith.</w:t>
      </w:r>
    </w:p>
    <w:p>
      <w:pPr>
        <w:spacing w:after="0" w:line="149" w:lineRule="exact"/>
        <w:rPr>
          <w:sz w:val="20"/>
          <w:szCs w:val="20"/>
          <w:color w:val="auto"/>
        </w:rPr>
      </w:pPr>
    </w:p>
    <w:p>
      <w:pPr>
        <w:ind w:left="120" w:right="239" w:firstLine="350"/>
        <w:spacing w:after="0" w:line="261" w:lineRule="auto"/>
        <w:rPr>
          <w:sz w:val="20"/>
          <w:szCs w:val="20"/>
          <w:color w:val="auto"/>
        </w:rPr>
      </w:pPr>
      <w:r>
        <w:rPr>
          <w:rFonts w:ascii="Times New Roman" w:cs="Times New Roman" w:eastAsia="Times New Roman" w:hAnsi="Times New Roman"/>
          <w:sz w:val="14"/>
          <w:szCs w:val="14"/>
          <w:color w:val="auto"/>
        </w:rPr>
        <w:t>CCMAS LLC’s Amended and Restated Operating Agreement provides that each manager, officer and the member, each of the foregoing persons referred to as a “Covered Person,” shall be indemnified by CCMAS LLC to the fullest extent permitted by law against losses, judgments, liabilities, expenses and amounts incurred or paid, including attorneys’ fees, costs, judgments, amounts paid in settlement, fines, penalties and other liabilities, by the Covered Person in connection with any claim, action, suit or proceeding in which such Covered Person shall be threatened, in connection with the acquisition of property or assets by CCMAS LLC, the disposition of liability of CCMAS LLC or the conduct of its business. Expenses incurred by any Covered Person in connection with the preparation and presentation of a defense or response to any claim, action, suit or proceeding shall be paid by CCMAS LLC.</w:t>
      </w:r>
    </w:p>
    <w:p>
      <w:pPr>
        <w:spacing w:after="0" w:line="148" w:lineRule="exact"/>
        <w:rPr>
          <w:sz w:val="20"/>
          <w:szCs w:val="20"/>
          <w:color w:val="auto"/>
        </w:rPr>
      </w:pPr>
    </w:p>
    <w:p>
      <w:pPr>
        <w:ind w:left="120" w:right="779" w:firstLine="350"/>
        <w:spacing w:after="0" w:line="292" w:lineRule="auto"/>
        <w:rPr>
          <w:sz w:val="20"/>
          <w:szCs w:val="20"/>
          <w:color w:val="auto"/>
        </w:rPr>
      </w:pPr>
      <w:r>
        <w:rPr>
          <w:rFonts w:ascii="Times New Roman" w:cs="Times New Roman" w:eastAsia="Times New Roman" w:hAnsi="Times New Roman"/>
          <w:sz w:val="14"/>
          <w:szCs w:val="14"/>
          <w:color w:val="auto"/>
        </w:rPr>
        <w:t>Broad Real Estate Holdings LLC’s operating agreement is silent with respect to indemnification. However, see the discussion regarding indemnification provisions in the Delaware Limited Liability Company Act.</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Registrant organized as a limited partnership in Delaware</w:t>
      </w:r>
    </w:p>
    <w:p>
      <w:pPr>
        <w:spacing w:after="0" w:line="97" w:lineRule="exact"/>
        <w:rPr>
          <w:sz w:val="20"/>
          <w:szCs w:val="20"/>
          <w:color w:val="auto"/>
        </w:rPr>
      </w:pPr>
    </w:p>
    <w:p>
      <w:pPr>
        <w:ind w:left="120" w:right="279" w:firstLine="350"/>
        <w:spacing w:after="0" w:line="269" w:lineRule="auto"/>
        <w:rPr>
          <w:sz w:val="20"/>
          <w:szCs w:val="20"/>
          <w:color w:val="auto"/>
        </w:rPr>
      </w:pPr>
      <w:r>
        <w:rPr>
          <w:rFonts w:ascii="Times New Roman" w:cs="Times New Roman" w:eastAsia="Times New Roman" w:hAnsi="Times New Roman"/>
          <w:sz w:val="14"/>
          <w:szCs w:val="14"/>
          <w:i w:val="1"/>
          <w:iCs w:val="1"/>
          <w:color w:val="auto"/>
        </w:rPr>
        <w:t xml:space="preserve">Delaware Revised Uniform Limited Partnership Act. </w:t>
      </w:r>
      <w:r>
        <w:rPr>
          <w:rFonts w:ascii="Times New Roman" w:cs="Times New Roman" w:eastAsia="Times New Roman" w:hAnsi="Times New Roman"/>
          <w:sz w:val="14"/>
          <w:szCs w:val="14"/>
          <w:color w:val="auto"/>
        </w:rPr>
        <w:t>Section 17-108 of the Delaware Revised Uniform Limited Partnership Act provides that,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subject to such standards and restrictions, if any, as are set forth in its partnership agreement, a limited partnership, such as CPT Operating Partnership L.P. and Municipal Corrections Finance, L.P., has the power to, indemnify and hold harmless any partner or other person from and against any and all claims and demands whatsoever.</w:t>
      </w:r>
    </w:p>
    <w:p>
      <w:pPr>
        <w:spacing w:after="0" w:line="2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i w:val="1"/>
          <w:iCs w:val="1"/>
          <w:color w:val="auto"/>
        </w:rPr>
        <w:t>Limited Partnership Agreements</w:t>
      </w:r>
    </w:p>
    <w:p>
      <w:pPr>
        <w:spacing w:after="0" w:line="99" w:lineRule="exact"/>
        <w:rPr>
          <w:sz w:val="20"/>
          <w:szCs w:val="20"/>
          <w:color w:val="auto"/>
        </w:rPr>
      </w:pPr>
    </w:p>
    <w:p>
      <w:pPr>
        <w:ind w:left="120" w:right="159" w:firstLine="350"/>
        <w:spacing w:after="0" w:line="261" w:lineRule="auto"/>
        <w:rPr>
          <w:sz w:val="20"/>
          <w:szCs w:val="20"/>
          <w:color w:val="auto"/>
        </w:rPr>
      </w:pPr>
      <w:r>
        <w:rPr>
          <w:rFonts w:ascii="Times New Roman" w:cs="Times New Roman" w:eastAsia="Times New Roman" w:hAnsi="Times New Roman"/>
          <w:sz w:val="14"/>
          <w:szCs w:val="14"/>
          <w:color w:val="auto"/>
        </w:rPr>
        <w:t>The Amended and Restated Agreement of Limited Partnership of Municipal Corrections Finance, L.P. provides that no general partner or manager or officer of the general partner or of the partnership (collectively “Indemnified Persons” or singularly “Indemnified Person”) shall have any liability to the partnership or the partners for any loss sustained or liabilities incurred as a result of any act or omission of such Indemnified Person if (1) the Indemnified Person acted in good faith in a manner he, she or it reasonably believed to be in, or not opposed to, the interests of the partnership, and</w:t>
      </w:r>
    </w:p>
    <w:p>
      <w:pPr>
        <w:ind w:left="120" w:right="219" w:firstLine="7"/>
        <w:spacing w:after="0" w:line="261" w:lineRule="auto"/>
        <w:tabs>
          <w:tab w:leader="none" w:pos="322"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conduct of the Indemnified Person did not constitute actual fraud, gross negligence, bad faith or willful misconduct. The partnership shall indemnify an Indemnified Person from and against any and all losses, claims, damages, liabilities, joint or several, expenses (including reasonable legal fees and expenses), judgments, fines, settlements, and other amounts arising from any and all claims, demands, actions, suits or proceedings, civil, criminal, administrative or investigative, that relate to the</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II-10</w:t>
      </w:r>
    </w:p>
    <w:p>
      <w:pPr>
        <w:sectPr>
          <w:pgSz w:w="11900" w:h="16838" w:orient="portrait"/>
          <w:cols w:equalWidth="0" w:num="1">
            <w:col w:w="9019"/>
          </w:cols>
          <w:pgMar w:left="1440" w:top="243" w:right="1440" w:bottom="1440" w:gutter="0" w:footer="0" w:header="0"/>
        </w:sectPr>
      </w:pPr>
    </w:p>
    <w:bookmarkStart w:id="41" w:name="page42"/>
    <w:bookmarkEnd w:id="41"/>
    <w:p>
      <w:pPr>
        <w:ind w:left="120" w:right="139"/>
        <w:spacing w:after="0" w:line="25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5">
                      <a:extLst>
                        <a:ext uri="{28A0092B-C50C-407E-A947-70E740481C1C}"/>
                      </a:extLst>
                    </a:blip>
                    <a:srcRect/>
                    <a:stretch>
                      <a:fillRect/>
                    </a:stretch>
                  </pic:blipFill>
                  <pic:spPr bwMode="auto">
                    <a:xfrm>
                      <a:off x="0" y="0"/>
                      <a:ext cx="7199630" cy="33020"/>
                    </a:xfrm>
                    <a:prstGeom prst="rect">
                      <a:avLst/>
                    </a:prstGeom>
                    <a:noFill/>
                  </pic:spPr>
                </pic:pic>
              </a:graphicData>
            </a:graphic>
          </wp:anchor>
        </w:drawing>
        <w:t>operations of the partnership as set forth in the agreement in which an Indemnified Person may be involved, or is threatened to be involved, as a party or otherwise, regardless of whether arising from any act or omission which constituted the sole, partial or concurrent negligence (whether active or passive) of the Indemnified Person, if (1) the Indemnified Person acted in good faith in a manner he, she or it reasonably believed to be in, or not opposed to, the interests of the partnership and (2) the conduct of the Indemnified Person did not constitute actual fraud, gross negligence, bad faith or willful misconduct. The termination of any proceeding by judgment, order or settlement does not create a presumption that the Indemnified Person did not meet the requisite standard of conduct set forth in this paragraph. The termination of any proceeding by conviction or upon a plea of nolo contendere or its equivalent, or an entry of an order of probation prior to judgment, creates a rebuttable presumption that the Indemnified Person acted in a manner contrary to that specified in this paragraph. Any indemnification pursuant to this paragraph shall be made only out of the assets of the partnership, including insurance proceeds, if any, and not from the assets of any partner, provided, however, that to the fullest extent permitted by law, indemnity under this paragraph shall not constitute a claim against the partnership in the event that the partnership’s cash flow is insufficient to pay its obligations. The indemnification provided by this paragraph shall be in addition to any other rights to which the Indemnified Person may be entitled under any agreement, as a matter of law or otherwise.</w:t>
      </w:r>
    </w:p>
    <w:p>
      <w:pPr>
        <w:spacing w:after="0" w:line="321" w:lineRule="exact"/>
        <w:rPr>
          <w:sz w:val="20"/>
          <w:szCs w:val="20"/>
          <w:color w:val="auto"/>
        </w:rPr>
      </w:pPr>
    </w:p>
    <w:p>
      <w:pPr>
        <w:ind w:left="120" w:right="179" w:firstLine="350"/>
        <w:spacing w:after="0" w:line="260" w:lineRule="auto"/>
        <w:rPr>
          <w:sz w:val="20"/>
          <w:szCs w:val="20"/>
          <w:color w:val="auto"/>
        </w:rPr>
      </w:pPr>
      <w:r>
        <w:rPr>
          <w:rFonts w:ascii="Times New Roman" w:cs="Times New Roman" w:eastAsia="Times New Roman" w:hAnsi="Times New Roman"/>
          <w:sz w:val="14"/>
          <w:szCs w:val="14"/>
          <w:color w:val="auto"/>
        </w:rPr>
        <w:t>CPT Operating Partnership L.P.’s limited partnership agreement provides that, to the fullest extent permitted by Delaware law, CPT Operating Partnership L.P. shall indemnify the general partner and its affiliates and any person acting on their behalf from and against any and all losses, claims, damages, liabilities, joint or several, expenses (including, without limitation, reasonable attorneys’ fees and other legal fees and expenses), judgments, fines, settlements and other amounts arising from any and all claims, demands, actions, suits or proceedings, civil, criminal, administrative or investigative, that relate to the operations of CPT Operating Partnership L.P. in which such person may be involved, or is threatened to be involved, as a party or otherwise, except to the extent it is finally determined by a court of competent jurisdiction, from which no further appeal may be taken, that such person’s action constituted intentional acts or omissions constituting willful misconduct or fraud. Reasonable expenses incurred by such person who is a party to a proceeding shall be paid or reimbursed by CPT Operating Partnership L.P. in advance of the final disposition of the proceeding. Such right of indemnification shall not be exclusive of any right to which any such person may be entitled as a matter of law.</w:t>
      </w:r>
    </w:p>
    <w:p>
      <w:pPr>
        <w:spacing w:after="0" w:line="2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Registrant organized as a corporation in Alaska</w:t>
      </w:r>
    </w:p>
    <w:p>
      <w:pPr>
        <w:spacing w:after="0" w:line="97" w:lineRule="exact"/>
        <w:rPr>
          <w:sz w:val="20"/>
          <w:szCs w:val="20"/>
          <w:color w:val="auto"/>
        </w:rPr>
      </w:pPr>
    </w:p>
    <w:p>
      <w:pPr>
        <w:ind w:left="120" w:right="199" w:firstLine="350"/>
        <w:spacing w:after="0" w:line="258" w:lineRule="auto"/>
        <w:rPr>
          <w:sz w:val="20"/>
          <w:szCs w:val="20"/>
          <w:color w:val="auto"/>
        </w:rPr>
      </w:pPr>
      <w:r>
        <w:rPr>
          <w:rFonts w:ascii="Times New Roman" w:cs="Times New Roman" w:eastAsia="Times New Roman" w:hAnsi="Times New Roman"/>
          <w:sz w:val="14"/>
          <w:szCs w:val="14"/>
          <w:i w:val="1"/>
          <w:iCs w:val="1"/>
          <w:color w:val="auto"/>
        </w:rPr>
        <w:t xml:space="preserve">Alaska Statute. </w:t>
      </w:r>
      <w:r>
        <w:rPr>
          <w:rFonts w:ascii="Times New Roman" w:cs="Times New Roman" w:eastAsia="Times New Roman" w:hAnsi="Times New Roman"/>
          <w:sz w:val="14"/>
          <w:szCs w:val="14"/>
          <w:color w:val="auto"/>
        </w:rPr>
        <w:t>Alaska statute Sec. 10.06.490 provides that a corporation, such as GEO Reentry of Alaska, Inc., may (a) indemnify a person who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was, is, or is threatened to be made a party to a completed, pending, or threatened action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Indemnification may include reimbursement of expenses, attorney fees, judgments, fines, and amounts paid in settlement actually and reasonably incurred by the person in connection with the action or proceeding if the person acted in good faith and in a manner the person reasonably believed to be in or not opposed to the best interests of the corporation, and, with respect to a criminal action or proceeding, the person had no reasonable cause to believe the conduct was unlawful. The termination of an action or proceeding by judgment, order, settlement, conviction, or upon a plea of nolo contendere or its equivalent, does not create a presumption that the person did not act in good faith and in a manner which the person reasonably believed to be in or not opposed to the best interests of the corporation, and, with respect to a criminal action or proceeding, the person had reasonable cause to believe that the conduct was unlawful. (b) A corporation may indemnify a person who was, is, or is threatened to be made a party to a completed, pending, or threatened action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Indemnification may include reimbursement for expenses and attorney fees actually and reasonably incurred by the person in connection with the defense or</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II-11</w:t>
      </w:r>
    </w:p>
    <w:p>
      <w:pPr>
        <w:sectPr>
          <w:pgSz w:w="11900" w:h="16838" w:orient="portrait"/>
          <w:cols w:equalWidth="0" w:num="1">
            <w:col w:w="9019"/>
          </w:cols>
          <w:pgMar w:left="1440" w:top="243" w:right="1440" w:bottom="1440" w:gutter="0" w:footer="0" w:header="0"/>
        </w:sectPr>
      </w:pPr>
    </w:p>
    <w:bookmarkStart w:id="42" w:name="page43"/>
    <w:bookmarkEnd w:id="42"/>
    <w:p>
      <w:pPr>
        <w:ind w:left="120" w:right="179"/>
        <w:spacing w:after="0" w:line="25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6">
                      <a:extLst>
                        <a:ext uri="{28A0092B-C50C-407E-A947-70E740481C1C}"/>
                      </a:extLst>
                    </a:blip>
                    <a:srcRect/>
                    <a:stretch>
                      <a:fillRect/>
                    </a:stretch>
                  </pic:blipFill>
                  <pic:spPr bwMode="auto">
                    <a:xfrm>
                      <a:off x="0" y="0"/>
                      <a:ext cx="7199630" cy="33020"/>
                    </a:xfrm>
                    <a:prstGeom prst="rect">
                      <a:avLst/>
                    </a:prstGeom>
                    <a:noFill/>
                  </pic:spPr>
                </pic:pic>
              </a:graphicData>
            </a:graphic>
          </wp:anchor>
        </w:drawing>
        <w:t>settlement of the action if the person acted in good faith and in a manner the person reasonably believed to be in or not opposed to the best interests of the corporation. Indemnification may not be made in respect of any claim, issue, or matter as to which the person has been adjudged to be liable for negligence or misconduct in the performance of the person’s duty to the corporation except to the extent that the court in which the action was brought determines upon application that, despite the adjudication of liability, in view of all the circumstances of the case, the person is fairly and reasonably entitled to indemnity for expenses that the court considers proper. (c) To the extent that a director, officer, employee, or agent of a corporation has been successful on the merits or otherwise in defense of an action or proceeding referred to in (a) or (b) of this section, or in defense of a claim, issue, or matter in the action or proceeding, the director, officer, employee, or agent shall be indemnified against expenses and attorney fees actually and reasonably incurred in connection with the defense. (d) Unless otherwise ordered by a court, indemnification under (a) or (b) of this section may only be made by a corporation upon a determination that indemnification of the director, officer, employee, or agent is proper in the circumstances because the director, officer, employee, or agent has met the applicable standard of conduct set out in (a) and (b) of this section. The determination shall be made by</w:t>
      </w:r>
    </w:p>
    <w:p>
      <w:pPr>
        <w:spacing w:after="0" w:line="7" w:lineRule="exact"/>
        <w:rPr>
          <w:sz w:val="20"/>
          <w:szCs w:val="20"/>
          <w:color w:val="auto"/>
        </w:rPr>
      </w:pPr>
    </w:p>
    <w:p>
      <w:pPr>
        <w:ind w:left="120" w:right="159" w:firstLine="7"/>
        <w:spacing w:after="0" w:line="255" w:lineRule="auto"/>
        <w:tabs>
          <w:tab w:leader="none" w:pos="322"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board by a majority vote of a quorum consisting of directors who were not parties to the action or proceeding; or (2) independent legal counsel in a written opinion if a quorum under (1) of this subsection is (A) not obtainable; or (B) obtainable but a majority of disinterested directors so directs; or</w:t>
      </w:r>
    </w:p>
    <w:p>
      <w:pPr>
        <w:spacing w:after="0" w:line="1" w:lineRule="exact"/>
        <w:rPr>
          <w:rFonts w:ascii="Times New Roman" w:cs="Times New Roman" w:eastAsia="Times New Roman" w:hAnsi="Times New Roman"/>
          <w:sz w:val="14"/>
          <w:szCs w:val="14"/>
          <w:color w:val="auto"/>
        </w:rPr>
      </w:pPr>
    </w:p>
    <w:p>
      <w:pPr>
        <w:ind w:left="120" w:right="139" w:firstLine="7"/>
        <w:spacing w:after="0" w:line="255" w:lineRule="auto"/>
        <w:tabs>
          <w:tab w:leader="none" w:pos="322"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approval of the outstanding shares. (e) The corporation may pay or reimburse the reasonable expenses incurred in defending a civil or criminal action or proceeding in advance of the final disposition in the manner provided in (d) of this section if (1) in the case of a director or officer, the director or officer furnishes the corporation with a written affirmation of a good faith belief that the standard of conduct described in AS 10.06.450 (b) or</w:t>
      </w:r>
    </w:p>
    <w:p>
      <w:pPr>
        <w:spacing w:after="0" w:line="1" w:lineRule="exact"/>
        <w:rPr>
          <w:rFonts w:ascii="Times New Roman" w:cs="Times New Roman" w:eastAsia="Times New Roman" w:hAnsi="Times New Roman"/>
          <w:sz w:val="14"/>
          <w:szCs w:val="14"/>
          <w:color w:val="auto"/>
        </w:rPr>
      </w:pPr>
    </w:p>
    <w:p>
      <w:pPr>
        <w:ind w:left="120" w:right="159"/>
        <w:spacing w:after="0" w:line="25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10.06.483(e) has been met; (2) the director, officer, employee, or agent furnishes the corporation a written unlimited general undertaking, executed personally or on behalf of the individual, to repay the advance if it is ultimately determined that an applicable standard of conduct was not met; and (3) a determination is made that the facts then known to those making the determination would not preclude indemnification under this chapter. (f) The indemnification provided by this section is not exclusive of any other rights to which a person seeking indemnification may be entitled under a bylaw, agreement, vote of shareholders or disinterested directors, or otherwise, both as to action in the official capacity of the person and as to action in another capacity while holding the office. The right to indemnification continues as to a person who has ceased to be a director, officer, employee, or agent, and inures to the benefit of the heirs, executors, and administrators of the person. (g) A corporation may purchase and maintain insurance on behalf of a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the person and incurred by the person in that capacity, or arising out of that status, whether or not the corporation has the power to indemnify the person against the liability under the provisions of this section.</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i w:val="1"/>
          <w:iCs w:val="1"/>
          <w:color w:val="auto"/>
        </w:rPr>
        <w:t>Articles of Incorporation</w:t>
      </w:r>
    </w:p>
    <w:p>
      <w:pPr>
        <w:spacing w:after="0" w:line="99" w:lineRule="exact"/>
        <w:rPr>
          <w:sz w:val="20"/>
          <w:szCs w:val="20"/>
          <w:color w:val="auto"/>
        </w:rPr>
      </w:pPr>
    </w:p>
    <w:p>
      <w:pPr>
        <w:ind w:left="120" w:right="199" w:firstLine="350"/>
        <w:spacing w:after="0" w:line="263" w:lineRule="auto"/>
        <w:rPr>
          <w:sz w:val="20"/>
          <w:szCs w:val="20"/>
          <w:color w:val="auto"/>
        </w:rPr>
      </w:pPr>
      <w:r>
        <w:rPr>
          <w:rFonts w:ascii="Times New Roman" w:cs="Times New Roman" w:eastAsia="Times New Roman" w:hAnsi="Times New Roman"/>
          <w:sz w:val="14"/>
          <w:szCs w:val="14"/>
          <w:color w:val="auto"/>
        </w:rPr>
        <w:t>GEO Reentry of Alaska, Inc.’s Articles of Incorporation provide that Directors of GEO Reentry of Alaska, Inc. shall not be personally liable to GEO Reentry of Alaska, Inc. or its shareholders for monetary damages for acts or omissions that occur after the effective date of the Articles of Incorporation for the breach of their fiduciary duty as a Director, provided, however, that such exemption from liability shall not apply to (i) a breach of a Director’s duty of loyalty to the Corporation or its shareholders; (ii) acts or omissions not in good faith or that involve intentional misconduct or a knowing violation of law; (iii) willful or negligent conduct involved in the payment of dividends or the repurchase of stock from other than lawfully available funds; or (iv) a transaction from which the Director derived improper personal benefit.</w:t>
      </w:r>
    </w:p>
    <w:p>
      <w:pPr>
        <w:spacing w:after="0" w:line="2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i w:val="1"/>
          <w:iCs w:val="1"/>
          <w:color w:val="auto"/>
        </w:rPr>
        <w:t>Bylaws</w:t>
      </w:r>
    </w:p>
    <w:p>
      <w:pPr>
        <w:spacing w:after="0" w:line="99" w:lineRule="exact"/>
        <w:rPr>
          <w:sz w:val="20"/>
          <w:szCs w:val="20"/>
          <w:color w:val="auto"/>
        </w:rPr>
      </w:pPr>
    </w:p>
    <w:p>
      <w:pPr>
        <w:ind w:left="120" w:right="759" w:firstLine="350"/>
        <w:spacing w:after="0" w:line="292" w:lineRule="auto"/>
        <w:rPr>
          <w:sz w:val="20"/>
          <w:szCs w:val="20"/>
          <w:color w:val="auto"/>
        </w:rPr>
      </w:pPr>
      <w:r>
        <w:rPr>
          <w:rFonts w:ascii="Times New Roman" w:cs="Times New Roman" w:eastAsia="Times New Roman" w:hAnsi="Times New Roman"/>
          <w:sz w:val="14"/>
          <w:szCs w:val="14"/>
          <w:color w:val="auto"/>
        </w:rPr>
        <w:t>GEO Reentry of Alaska, Inc.’s bylaws are silent with respect to indemnification. However, see the discussion regarding indemnification provisions in the Alaska statutes.</w:t>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II-12</w:t>
      </w:r>
    </w:p>
    <w:p>
      <w:pPr>
        <w:sectPr>
          <w:pgSz w:w="11900" w:h="16838" w:orient="portrait"/>
          <w:cols w:equalWidth="0" w:num="1">
            <w:col w:w="9019"/>
          </w:cols>
          <w:pgMar w:left="1440" w:top="243" w:right="1440" w:bottom="1440" w:gutter="0" w:footer="0" w:header="0"/>
        </w:sectPr>
      </w:pPr>
    </w:p>
    <w:bookmarkStart w:id="43" w:name="page44"/>
    <w:bookmarkEnd w:id="43"/>
    <w:p>
      <w:pPr>
        <w:ind w:left="1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7">
                      <a:extLst>
                        <a:ext uri="{28A0092B-C50C-407E-A947-70E740481C1C}"/>
                      </a:extLst>
                    </a:blip>
                    <a:srcRect/>
                    <a:stretch>
                      <a:fillRect/>
                    </a:stretch>
                  </pic:blipFill>
                  <pic:spPr bwMode="auto">
                    <a:xfrm>
                      <a:off x="0" y="0"/>
                      <a:ext cx="7199630" cy="33020"/>
                    </a:xfrm>
                    <a:prstGeom prst="rect">
                      <a:avLst/>
                    </a:prstGeom>
                    <a:noFill/>
                  </pic:spPr>
                </pic:pic>
              </a:graphicData>
            </a:graphic>
          </wp:anchor>
        </w:drawing>
        <w:t>Registrant organized as a corporation in Colorado</w:t>
      </w:r>
    </w:p>
    <w:p>
      <w:pPr>
        <w:spacing w:after="0" w:line="97" w:lineRule="exact"/>
        <w:rPr>
          <w:sz w:val="20"/>
          <w:szCs w:val="20"/>
          <w:color w:val="auto"/>
        </w:rPr>
      </w:pPr>
    </w:p>
    <w:p>
      <w:pPr>
        <w:ind w:left="120" w:right="159" w:firstLine="350"/>
        <w:spacing w:after="0" w:line="259" w:lineRule="auto"/>
        <w:rPr>
          <w:sz w:val="20"/>
          <w:szCs w:val="20"/>
          <w:color w:val="auto"/>
        </w:rPr>
      </w:pPr>
      <w:r>
        <w:rPr>
          <w:rFonts w:ascii="Times New Roman" w:cs="Times New Roman" w:eastAsia="Times New Roman" w:hAnsi="Times New Roman"/>
          <w:sz w:val="14"/>
          <w:szCs w:val="14"/>
          <w:i w:val="1"/>
          <w:iCs w:val="1"/>
          <w:color w:val="auto"/>
        </w:rPr>
        <w:t>The Colorado Business Corporation Act</w:t>
      </w:r>
      <w:r>
        <w:rPr>
          <w:rFonts w:ascii="Times New Roman" w:cs="Times New Roman" w:eastAsia="Times New Roman" w:hAnsi="Times New Roman"/>
          <w:sz w:val="14"/>
          <w:szCs w:val="14"/>
          <w:color w:val="auto"/>
        </w:rPr>
        <w:t>. Section 7-109-101 et seq. of the Colorado Business Corporation Act empowers a Colorado corporation,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such as B.I. Incorporated, to indemnify its directors, officers, employees and agents under certain circumstances. A corporation must indemnify a person who was wholly successful, on the merits or otherwise, in the defense of any proceeding to which the person was a party because the person is or was a director, officer, employee, fiduciary or agent, against reasonable expenses incurred by him or her in connection with the proceeding. A corporation may indemnify a person made a party to a proceeding because the person is or was a director, officer, employee, fiduciary or agent if the person conducted himself or herself in good faith and the person reasonably believed that his or her conduct was in or not opposed to the best interests of the corporation (or in the case of a criminal proceeding, had a reasonable belief that his or her conduct was not unlawful), except that no indemnification is allowed in connection with a proceeding by or in the right of the corporation in which the person seeking indemnification was adjudged to be liable to the corporation or in connection with any other proceeding in which the person was adjudged liable on the basis that he or she derived an improper personal benefit. A corporation may purchase and maintain insurance on behalf of a person who is or was a director, officer, employee, fiduciary or agent of the corporation, or who, while a director, officer, employee, fiduciary or agent of another domestic or foreign corporation or other person or an employee benefit plan, against liability asserted against or incurred by the person in that capacity or arising from his or her status as a director, officer, employee, fiduciary, or agent, whether or not the corporation would have power to indemnify the person against the same liability under Section 7-109-101 et seq.</w:t>
      </w:r>
    </w:p>
    <w:p>
      <w:pPr>
        <w:spacing w:after="0" w:line="2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i w:val="1"/>
          <w:iCs w:val="1"/>
          <w:color w:val="auto"/>
        </w:rPr>
        <w:t>Bylaws</w:t>
      </w:r>
    </w:p>
    <w:p>
      <w:pPr>
        <w:spacing w:after="0" w:line="99" w:lineRule="exact"/>
        <w:rPr>
          <w:sz w:val="20"/>
          <w:szCs w:val="20"/>
          <w:color w:val="auto"/>
        </w:rPr>
      </w:pPr>
    </w:p>
    <w:p>
      <w:pPr>
        <w:ind w:left="120" w:right="459" w:firstLine="350"/>
        <w:spacing w:after="0" w:line="292" w:lineRule="auto"/>
        <w:rPr>
          <w:sz w:val="20"/>
          <w:szCs w:val="20"/>
          <w:color w:val="auto"/>
        </w:rPr>
      </w:pPr>
      <w:r>
        <w:rPr>
          <w:rFonts w:ascii="Times New Roman" w:cs="Times New Roman" w:eastAsia="Times New Roman" w:hAnsi="Times New Roman"/>
          <w:sz w:val="14"/>
          <w:szCs w:val="14"/>
          <w:color w:val="auto"/>
        </w:rPr>
        <w:t>B.I. Incorporated’s bylaws are silent with respect to indemnification. However, see the discussion regarding indemnification provisions in the Colorado statutes.</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Registrants formed as limited liability companies in Colorado</w:t>
      </w:r>
    </w:p>
    <w:p>
      <w:pPr>
        <w:spacing w:after="0" w:line="9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i w:val="1"/>
          <w:iCs w:val="1"/>
          <w:color w:val="auto"/>
        </w:rPr>
        <w:t xml:space="preserve">Colorado Limited Liability Company Act. </w:t>
      </w:r>
      <w:r>
        <w:rPr>
          <w:rFonts w:ascii="Times New Roman" w:cs="Times New Roman" w:eastAsia="Times New Roman" w:hAnsi="Times New Roman"/>
          <w:sz w:val="14"/>
          <w:szCs w:val="14"/>
          <w:color w:val="auto"/>
        </w:rPr>
        <w:t>Section 7-80-104(1)(k) of the Colorado Limited Liability Company Act permits a company to</w:t>
      </w:r>
    </w:p>
    <w:p>
      <w:pPr>
        <w:spacing w:after="0" w:line="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indemnify a member or manager or former member or manager of the limited liability company as provided in Section 7-80-407. Under</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Section 7-80-407, a limited liability company shall reimburse a member or manager for payments made, and indemnify a member or manager for</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liabilities incurred by the member or manager, in the ordinary conduct of the business of the limited liability company or for the preservation of its</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business or property if such payments were made or liabilities incurred without violation of the member’s or manager’s duties to the limited liability</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company.</w:t>
      </w: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i w:val="1"/>
          <w:iCs w:val="1"/>
          <w:color w:val="auto"/>
        </w:rPr>
        <w:t>Operating Agreements</w:t>
      </w:r>
    </w:p>
    <w:p>
      <w:pPr>
        <w:spacing w:after="0" w:line="99" w:lineRule="exact"/>
        <w:rPr>
          <w:sz w:val="20"/>
          <w:szCs w:val="20"/>
          <w:color w:val="auto"/>
        </w:rPr>
      </w:pPr>
    </w:p>
    <w:p>
      <w:pPr>
        <w:ind w:left="120" w:right="199" w:firstLine="350"/>
        <w:spacing w:after="0" w:line="261" w:lineRule="auto"/>
        <w:rPr>
          <w:sz w:val="20"/>
          <w:szCs w:val="20"/>
          <w:color w:val="auto"/>
        </w:rPr>
      </w:pPr>
      <w:r>
        <w:rPr>
          <w:rFonts w:ascii="Times New Roman" w:cs="Times New Roman" w:eastAsia="Times New Roman" w:hAnsi="Times New Roman"/>
          <w:sz w:val="14"/>
          <w:szCs w:val="14"/>
          <w:color w:val="auto"/>
        </w:rPr>
        <w:t>Community Corrections, LLC’s Operating Agreement provides that each manager, officer and the member, each of the foregoing persons referred to as a “Covered Person,” shall be indemnified by Community Corrections, LLC to the fullest extent permitted by law against losses, judgments, liabilities, expenses and amounts incurred or paid, including attorneys’ fees, costs, judgments, amounts paid in settlement, fines, penalties and other liabilities, by the Covered Person in connection with any claim, action, suit or proceeding in which such Covered Person shall be threatened, in connection with the acquisition of property or assets by Community Corrections, LLC, the disposition of liability of Community Corrections, LLC or the conduct of its business. Expenses incurred by any Covered Person in connection with the preparation and presentation of a defense or response to any claim, action, suit or proceeding shall be paid by Community Corrections, LLC.</w:t>
      </w:r>
    </w:p>
    <w:p>
      <w:pPr>
        <w:spacing w:after="0" w:line="148" w:lineRule="exact"/>
        <w:rPr>
          <w:sz w:val="20"/>
          <w:szCs w:val="20"/>
          <w:color w:val="auto"/>
        </w:rPr>
      </w:pPr>
    </w:p>
    <w:p>
      <w:pPr>
        <w:jc w:val="both"/>
        <w:ind w:left="120" w:right="379" w:firstLine="350"/>
        <w:spacing w:after="0" w:line="274" w:lineRule="auto"/>
        <w:rPr>
          <w:sz w:val="20"/>
          <w:szCs w:val="20"/>
          <w:color w:val="auto"/>
        </w:rPr>
      </w:pPr>
      <w:r>
        <w:rPr>
          <w:rFonts w:ascii="Times New Roman" w:cs="Times New Roman" w:eastAsia="Times New Roman" w:hAnsi="Times New Roman"/>
          <w:sz w:val="14"/>
          <w:szCs w:val="14"/>
          <w:color w:val="auto"/>
        </w:rPr>
        <w:t>Arapahoe County Residential Center, LLC’s Operating Agreement provides that each manager, officer and the member, each of the foregoing persons referred to as a “Covered Person,” shall be indemnified by Arapahoe County Residential Center, LLC to the fullest extent permitted by law against losses, judgments, liabilities, expenses and amounts incurred or paid, including attorneys’ fees, costs, judgments, amounts paid in settlement,</w:t>
      </w:r>
    </w:p>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II-13</w:t>
      </w:r>
    </w:p>
    <w:p>
      <w:pPr>
        <w:sectPr>
          <w:pgSz w:w="11900" w:h="16838" w:orient="portrait"/>
          <w:cols w:equalWidth="0" w:num="1">
            <w:col w:w="9019"/>
          </w:cols>
          <w:pgMar w:left="1440" w:top="241" w:right="1440" w:bottom="1440" w:gutter="0" w:footer="0" w:header="0"/>
        </w:sectPr>
      </w:pPr>
    </w:p>
    <w:bookmarkStart w:id="44" w:name="page45"/>
    <w:bookmarkEnd w:id="44"/>
    <w:p>
      <w:pPr>
        <w:ind w:left="120" w:right="219"/>
        <w:spacing w:after="0" w:line="26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8">
                      <a:extLst>
                        <a:ext uri="{28A0092B-C50C-407E-A947-70E740481C1C}"/>
                      </a:extLst>
                    </a:blip>
                    <a:srcRect/>
                    <a:stretch>
                      <a:fillRect/>
                    </a:stretch>
                  </pic:blipFill>
                  <pic:spPr bwMode="auto">
                    <a:xfrm>
                      <a:off x="0" y="0"/>
                      <a:ext cx="7199630" cy="33020"/>
                    </a:xfrm>
                    <a:prstGeom prst="rect">
                      <a:avLst/>
                    </a:prstGeom>
                    <a:noFill/>
                  </pic:spPr>
                </pic:pic>
              </a:graphicData>
            </a:graphic>
          </wp:anchor>
        </w:drawing>
        <w:t>fines, penalties and other liabilities, by the Covered Person in connection with any claim, action, suit or proceeding in which such Covered Person shall be threatened, in connection with the acquisition of property or assets by Arapahoe County Residential Center, LLC, the disposition of liability of Arapahoe County Residential Center, LLC or the conduct of its business. Expenses incurred by any Covered Person in connection with the preparation and presentation of a defense or response to any claim, action, suit or proceeding shall be paid by Arapahoe County Residential Center, LLC.</w:t>
      </w:r>
    </w:p>
    <w:p>
      <w:pPr>
        <w:spacing w:after="0" w:line="2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Registrants incorporated as corporations in Massachusetts</w:t>
      </w:r>
    </w:p>
    <w:p>
      <w:pPr>
        <w:spacing w:after="0" w:line="97" w:lineRule="exact"/>
        <w:rPr>
          <w:sz w:val="20"/>
          <w:szCs w:val="20"/>
          <w:color w:val="auto"/>
        </w:rPr>
      </w:pPr>
    </w:p>
    <w:p>
      <w:pPr>
        <w:ind w:left="120" w:right="159" w:firstLine="350"/>
        <w:spacing w:after="0" w:line="257" w:lineRule="auto"/>
        <w:rPr>
          <w:sz w:val="20"/>
          <w:szCs w:val="20"/>
          <w:color w:val="auto"/>
        </w:rPr>
      </w:pPr>
      <w:r>
        <w:rPr>
          <w:rFonts w:ascii="Times New Roman" w:cs="Times New Roman" w:eastAsia="Times New Roman" w:hAnsi="Times New Roman"/>
          <w:sz w:val="14"/>
          <w:szCs w:val="14"/>
          <w:i w:val="1"/>
          <w:iCs w:val="1"/>
          <w:color w:val="auto"/>
        </w:rPr>
        <w:t xml:space="preserve">Massachusetts Business Corporation Act. </w:t>
      </w:r>
      <w:r>
        <w:rPr>
          <w:rFonts w:ascii="Times New Roman" w:cs="Times New Roman" w:eastAsia="Times New Roman" w:hAnsi="Times New Roman"/>
          <w:sz w:val="14"/>
          <w:szCs w:val="14"/>
          <w:color w:val="auto"/>
        </w:rPr>
        <w:t>Section 8.51 of the Massachusetts General Laws (“MBCA”) provides that a corporation may indemnify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its directors against expenses (including attorneys’ fees), judgments, fines and amounts paid in settlement reasonably incurred in connection with any litigation or other legal proceeding brought against any director by virtue of his position as a director of the corporation unless he is deemed to have not acted in good faith in the reasonable belief that his action was in the best interest of the corporation or that his conduct was at least not opposed to the best interests of the corporation, and in the case of any criminal proceeding, unless he had reasonable cause to believe his conduct was unlawful. Under Section 8.51 of the MBCA, a corporation may also indemnify a director if he engaged in conduct for which he is not liable under a provision of the articles of organizations authorized by Section 2.02(b)(4) of the MBCA, which authorized provisions elimination or limiting the personal liability of a director to the corporation for monetary damages for certain breaches of fiduciary duty. Section 8.52 of the MBCA provides that a corporation must indemnify a director who is wholly successful, on the merits or otherwise, in the defense of any proceeding to which the director was a party because he was a director of the corporation against reasonable expenses incurred by him in connection with the proceeding. Section 8.56 of the MBCA provides that a corporation may indemnify its officers to the same extent as its directors and, for officers that are not directors or officers who are made a party to a proceeding on the basis of an act or omission solely as an officer, except for liability arising out of acts or omissions not in good faith or which involve intentional misconduct or a knowing violation of law, to the extent provided by (i) the articles of organization, (ii) the bylaws, (iii) a vote of the board of directors or (iv) a contract. Section 8.57 of the MBCA authorizes a corporation to purchase and maintain insurance on behalf of an individual who is a director or officer of the corporation, or who, while a director or officer of the corporation, serves at the corporation’s request as a director, officer, partner, trustee, employee, or agent of another domestic or foreign corporation, partnership, joint venture, trust, employee benefit plan, or other entity, against liability asserted against or incurred by him in that capacity or arising from his status as a director or officer, whether or not the corporation would have power to indemnify or advance expenses to him against such liability. The articles of organization of CiviGenics, Inc. eliminate the liability of directors to such corporation for monetary damages for breaches of fiduciary duty as a director, notwithstanding any provision of law imposing such liability, except for liability (i) for any breach of the director’s duty of loyalty to the corporation or its stockholders, (ii) for acts or omissions not in good faith or which involve intentional misconduct or a knowing violation of law, (iii) under Section 61 or 62 of Chapter 156B of the Massachusetts General Laws, as now in effect or hereafter amended, or (iv) for any transaction from which the director derived an improper personal benefit.</w:t>
      </w:r>
    </w:p>
    <w:p>
      <w:pPr>
        <w:spacing w:after="0" w:line="24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i w:val="1"/>
          <w:iCs w:val="1"/>
          <w:color w:val="auto"/>
        </w:rPr>
        <w:t>Bylaws</w:t>
      </w:r>
    </w:p>
    <w:p>
      <w:pPr>
        <w:spacing w:after="0" w:line="99" w:lineRule="exact"/>
        <w:rPr>
          <w:sz w:val="20"/>
          <w:szCs w:val="20"/>
          <w:color w:val="auto"/>
        </w:rPr>
      </w:pPr>
    </w:p>
    <w:p>
      <w:pPr>
        <w:ind w:left="120" w:right="239" w:firstLine="350"/>
        <w:spacing w:after="0" w:line="266" w:lineRule="auto"/>
        <w:rPr>
          <w:sz w:val="20"/>
          <w:szCs w:val="20"/>
          <w:color w:val="auto"/>
        </w:rPr>
      </w:pPr>
      <w:r>
        <w:rPr>
          <w:rFonts w:ascii="Times New Roman" w:cs="Times New Roman" w:eastAsia="Times New Roman" w:hAnsi="Times New Roman"/>
          <w:sz w:val="14"/>
          <w:szCs w:val="14"/>
          <w:color w:val="auto"/>
        </w:rPr>
        <w:t>CiviGenics, Inc.’s By-laws provide that except as otherwise provided in the By-laws, CiviGenics, Inc. shall indemnify to the fullest extent permitted by law an individual who is a party to a proceeding because he or she is a director or officer against liability incurred in the proceeding if: (1)</w:t>
      </w:r>
    </w:p>
    <w:p>
      <w:pPr>
        <w:ind w:left="120" w:right="159" w:firstLine="7"/>
        <w:spacing w:after="0" w:line="259" w:lineRule="auto"/>
        <w:tabs>
          <w:tab w:leader="none" w:pos="291"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 or she conducted himself or herself in good faith; and (ii) he or she reasonably believed that his or her conduct was in the best interests of CiviGenics, Inc. or that his or her conduct was at least not opposed to the best interests of CiviGenics, Inc.; and (iii) in the case of any criminal proceeding, he or she had no reasonable cause to believe his or her conduct was unlawful; or (2) he or she engaged in conduct for which he or she shall not be liable under a provision of the Articles of Organization authorized by Section 2.02(b)(4) of the MBCA or any successor provision to such section. The By-laws further provide that a director’s or officer’s conduct with respect to an employee benefit plan for a</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II-14</w:t>
      </w:r>
    </w:p>
    <w:p>
      <w:pPr>
        <w:sectPr>
          <w:pgSz w:w="11900" w:h="16838" w:orient="portrait"/>
          <w:cols w:equalWidth="0" w:num="1">
            <w:col w:w="9019"/>
          </w:cols>
          <w:pgMar w:left="1440" w:top="243" w:right="1440" w:bottom="1440" w:gutter="0" w:footer="0" w:header="0"/>
        </w:sectPr>
      </w:pPr>
    </w:p>
    <w:bookmarkStart w:id="45" w:name="page46"/>
    <w:bookmarkEnd w:id="45"/>
    <w:p>
      <w:pPr>
        <w:ind w:left="120" w:right="279"/>
        <w:spacing w:after="0" w:line="26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9">
                      <a:extLst>
                        <a:ext uri="{28A0092B-C50C-407E-A947-70E740481C1C}"/>
                      </a:extLst>
                    </a:blip>
                    <a:srcRect/>
                    <a:stretch>
                      <a:fillRect/>
                    </a:stretch>
                  </pic:blipFill>
                  <pic:spPr bwMode="auto">
                    <a:xfrm>
                      <a:off x="0" y="0"/>
                      <a:ext cx="7199630" cy="33020"/>
                    </a:xfrm>
                    <a:prstGeom prst="rect">
                      <a:avLst/>
                    </a:prstGeom>
                    <a:noFill/>
                  </pic:spPr>
                </pic:pic>
              </a:graphicData>
            </a:graphic>
          </wp:anchor>
        </w:drawing>
        <w:t>purpose he or she reasonably believed to be in the interests of the participants in, and the beneficiaries of, the plan is conduct that satisfies the requirement that his or her conduct was at least not opposed to the best interests of CiviGenics, Inc. The By-laws also provide that the termination of a proceeding by judgment, order, settlement, or conviction, or upon a plea of nolo contendere or its equivalent, is not, of itself, determinative that the director or officer did not meet the relevant standard of conduct described in the By-laws. The By-laws also provide that unless ordered by a court, CiviGenics, Inc. may not indemnify a director or officer under the By-laws if his or her conduct did not satisfy the standards set forth above.</w:t>
      </w:r>
    </w:p>
    <w:p>
      <w:pPr>
        <w:spacing w:after="0" w:line="141" w:lineRule="exact"/>
        <w:rPr>
          <w:sz w:val="20"/>
          <w:szCs w:val="20"/>
          <w:color w:val="auto"/>
        </w:rPr>
      </w:pPr>
    </w:p>
    <w:p>
      <w:pPr>
        <w:ind w:left="120" w:right="139" w:firstLine="350"/>
        <w:spacing w:after="0" w:line="259" w:lineRule="auto"/>
        <w:rPr>
          <w:sz w:val="20"/>
          <w:szCs w:val="20"/>
          <w:color w:val="auto"/>
        </w:rPr>
      </w:pPr>
      <w:r>
        <w:rPr>
          <w:rFonts w:ascii="Times New Roman" w:cs="Times New Roman" w:eastAsia="Times New Roman" w:hAnsi="Times New Roman"/>
          <w:sz w:val="14"/>
          <w:szCs w:val="14"/>
          <w:color w:val="auto"/>
        </w:rPr>
        <w:t>SECON, Inc.’s By-laws provide that except as otherwise provided in the By-laws, SECON, Inc. shall indemnify to the fullest extent permitted by law an individual who is a party to a proceeding because he or she is a director or officer against liability incurred in the proceeding if: (1)(i) he or she conducted himself or herself in good faith; and (ii) he or she reasonably believed that his or her conduct was in the best interests of SECON, Inc. or that his or her conduct was at least not opposed to the best interest of SECON, Inc.; and (iii) in the case of any criminal proceeding, he or she had no reasonable cause to believe his or her conduct was unlawful; or (2) he or she engaged in conduct for which he or she shall not be liable under a provision of the Articles of Organization authorized by Section 2.02(b)(4) of the MBCA or any successor provision to such section. The By-laws further provide that a director’s or officer’s conduct with respect to an employee benefit plan for a purpose he or she reasonably believed to be in the interest of the participants in, and the beneficiaries of, the plan is conduct that satisfies the requirement that his or her conduct was at least not opposed to the best interests of SECON, Inc. The By-laws also provide that the termination of a proceeding by judgment, order, settlement, or conviction, or upon a plea of nolo contendere or its equivalent, is not, of itself, determinative that the director or officer did not meet the relevant standard of conduct described in the By-laws. The By-laws also provide that unless ordered by a court, SECON, Inc. may not indemnify a director or officer under the By-laws if his or her conduct did not satisfy the standards set forth above.</w:t>
      </w:r>
    </w:p>
    <w:p>
      <w:pPr>
        <w:spacing w:after="0" w:line="2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Registrants formed as limited liability companies in Massachusetts</w:t>
      </w:r>
    </w:p>
    <w:p>
      <w:pPr>
        <w:spacing w:after="0" w:line="97" w:lineRule="exact"/>
        <w:rPr>
          <w:sz w:val="20"/>
          <w:szCs w:val="20"/>
          <w:color w:val="auto"/>
        </w:rPr>
      </w:pPr>
    </w:p>
    <w:p>
      <w:pPr>
        <w:ind w:left="120" w:right="139" w:firstLine="350"/>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Massachusetts Limited Liability Company Act. </w:t>
      </w:r>
      <w:r>
        <w:rPr>
          <w:rFonts w:ascii="Times New Roman" w:cs="Times New Roman" w:eastAsia="Times New Roman" w:hAnsi="Times New Roman"/>
          <w:sz w:val="14"/>
          <w:szCs w:val="14"/>
          <w:color w:val="auto"/>
        </w:rPr>
        <w:t>Section 8 of the MGL Massachusetts Limited Liability Company Act provides that subject to such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standards and restrictions, if any, as are set forth in its certificate of organization or a written operating agreement, a limited liability company may, and shall have the power to, indemnify and hold harmless any member or manager or other person from and against any and all claims and demands whatsoever. Such indemnification may include payment by the limited liability company of expenses incurred in defending a civil or criminal action or proceeding in advance of the final disposition of such action or proceeding, upon receipt of an undertaking by the person indemnified to repay such payment if he shall be adjudicated to be not entitled to indemnification under Section 8 of the Massachusetts Limited Liability Company Act, which undertaking may be accepted without reference to the financial ability of such person to make repayment. Any such indemnification may be provided although the person to be indemnified is no longer a member or manager. No indemnification shall be provided for any person with respect to any matter as to which he shall have been adjudicated in any proceeding not to have acted in good faith in the reasonable belief that his action was in the best interest of the limited liability company. The certificate of organization or a written operating agreement may eliminate or limit the personal liability of a member or manager for breach of any duty to the limited liability company or to another member or manager.</w:t>
      </w:r>
    </w:p>
    <w:p>
      <w:pPr>
        <w:spacing w:after="0" w:line="2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i w:val="1"/>
          <w:iCs w:val="1"/>
          <w:color w:val="auto"/>
        </w:rPr>
        <w:t>Operating Agreement</w:t>
      </w:r>
    </w:p>
    <w:p>
      <w:pPr>
        <w:spacing w:after="0" w:line="99" w:lineRule="exact"/>
        <w:rPr>
          <w:sz w:val="20"/>
          <w:szCs w:val="20"/>
          <w:color w:val="auto"/>
        </w:rPr>
      </w:pPr>
    </w:p>
    <w:p>
      <w:pPr>
        <w:ind w:left="120" w:right="179" w:firstLine="350"/>
        <w:spacing w:after="0" w:line="263" w:lineRule="auto"/>
        <w:rPr>
          <w:sz w:val="20"/>
          <w:szCs w:val="20"/>
          <w:color w:val="auto"/>
        </w:rPr>
      </w:pPr>
      <w:r>
        <w:rPr>
          <w:rFonts w:ascii="Times New Roman" w:cs="Times New Roman" w:eastAsia="Times New Roman" w:hAnsi="Times New Roman"/>
          <w:sz w:val="14"/>
          <w:szCs w:val="14"/>
          <w:color w:val="auto"/>
        </w:rPr>
        <w:t>CiviGenics Management Services, LLC’s Operating Agreement provides that each manager, officer and the member, each of the foregoing persons referred to as a “Covered Person,” shall be indemnified by CiviGenics Management Services, LLC to the fullest extent permitted by law against losses, judgments, liabilities, expenses and amounts incurred or paid, including attorneys’ fees, costs, judgments, amounts paid in settlement, fines, penalties and other liabilities, by the Covered Person in connection with any claim, action, suit or proceeding in which such Covered Person shall be threatened, in connection with the acquisition of property or assets by CiviGenics Management Services, LLC, the disposition of liability of CiviGenics Management Services, LLC or</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II-15</w:t>
      </w:r>
    </w:p>
    <w:p>
      <w:pPr>
        <w:sectPr>
          <w:pgSz w:w="11900" w:h="16838" w:orient="portrait"/>
          <w:cols w:equalWidth="0" w:num="1">
            <w:col w:w="9019"/>
          </w:cols>
          <w:pgMar w:left="1440" w:top="243" w:right="1440" w:bottom="1440" w:gutter="0" w:footer="0" w:header="0"/>
        </w:sectPr>
      </w:pPr>
    </w:p>
    <w:bookmarkStart w:id="46" w:name="page47"/>
    <w:bookmarkEnd w:id="46"/>
    <w:p>
      <w:pPr>
        <w:ind w:left="120" w:right="359"/>
        <w:spacing w:after="0" w:line="29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0">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the conduct of its business. Expenses incurred by any Covered Person in connection with the preparation and presentation of a defense or response to any claim, action, suit or proceeding shall be paid by CiviGenics Management Services, LLC.</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Registrants formed as limited liability companies in New Jersey</w:t>
      </w:r>
    </w:p>
    <w:p>
      <w:pPr>
        <w:spacing w:after="0" w:line="97" w:lineRule="exact"/>
        <w:rPr>
          <w:sz w:val="20"/>
          <w:szCs w:val="20"/>
          <w:color w:val="auto"/>
        </w:rPr>
      </w:pPr>
    </w:p>
    <w:p>
      <w:pPr>
        <w:ind w:left="120" w:right="159" w:firstLine="350"/>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Revised Uniform Limited Liability Company Act of New Jersey. </w:t>
      </w:r>
      <w:r>
        <w:rPr>
          <w:rFonts w:ascii="Times New Roman" w:cs="Times New Roman" w:eastAsia="Times New Roman" w:hAnsi="Times New Roman"/>
          <w:sz w:val="14"/>
          <w:szCs w:val="14"/>
          <w:color w:val="auto"/>
        </w:rPr>
        <w:t>Section 42:2C-38 of the Revised Uniform Limited Liability Company Act of New</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Jersey provides that a limited liability company shall indemnify a person who is a member of a member-managed company, a manager of a manager-managed company, officer, employee or agent of the indemnifying company or of any constituent company, a company agent, against expenses to the extent that the company agent is successful on the merits or otherwise in any proceeding brought against the company agent by reason of the company agent serving as a company agent or serving another enterprise at the request of the limited liability company. A limited liability company shall indemnify a company agent against any debt, obligation, expense or other liability incurred by that company agent in the course of the company agent’s activities on behalf of the limited liability company or another enterprise at the request of the limited liability company, if, in making the payment or incurring the debt, obligation, expense or other liability, the company agent complied with the duties stated in sections of the act regarding limitations on distribution and standards of conduct for members and managers.</w:t>
      </w:r>
    </w:p>
    <w:p>
      <w:pPr>
        <w:spacing w:after="0" w:line="2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i w:val="1"/>
          <w:iCs w:val="1"/>
          <w:color w:val="auto"/>
        </w:rPr>
        <w:t>Operating Agreement</w:t>
      </w:r>
    </w:p>
    <w:p>
      <w:pPr>
        <w:spacing w:after="0" w:line="99" w:lineRule="exact"/>
        <w:rPr>
          <w:sz w:val="20"/>
          <w:szCs w:val="20"/>
          <w:color w:val="auto"/>
        </w:rPr>
      </w:pPr>
    </w:p>
    <w:p>
      <w:pPr>
        <w:ind w:left="120" w:right="159" w:firstLine="350"/>
        <w:spacing w:after="0" w:line="261" w:lineRule="auto"/>
        <w:rPr>
          <w:sz w:val="20"/>
          <w:szCs w:val="20"/>
          <w:color w:val="auto"/>
        </w:rPr>
      </w:pPr>
      <w:r>
        <w:rPr>
          <w:rFonts w:ascii="Times New Roman" w:cs="Times New Roman" w:eastAsia="Times New Roman" w:hAnsi="Times New Roman"/>
          <w:sz w:val="14"/>
          <w:szCs w:val="14"/>
          <w:color w:val="auto"/>
        </w:rPr>
        <w:t>CEC Staffing Solutions LLC’s Amended and Restated Operating Agreement provides that each manager, officer and the member, each of the foregoing persons referred to as a “Covered Person,” shall be indemnified by CEC Staffing Solutions LLC to the fullest extent permitted by law against losses, judgments, liabilities, expenses and amounts incurred or paid, including attorneys’ fees, costs, judgments, amounts paid in settlement, fines, penalties and other liabilities, by the Covered Person in connection with any claim, action, suit or proceeding in which such Covered Person shall be threatened, in connection with the acquisition of property or assets by CEC Staffing Solutions LLC, the disposition of liability of CEC Staffing Solutions LLC or the conduct of its business. Expenses incurred by any Covered Person in connection with the preparation and presentation of a defense or response to any claim, action, suit or proceeding shall be paid by CEC Staffing Solutions LLC.</w:t>
      </w:r>
    </w:p>
    <w:p>
      <w:pPr>
        <w:spacing w:after="0" w:line="2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Registrants formed as limited liability companies in Pennsylvania</w:t>
      </w:r>
    </w:p>
    <w:p>
      <w:pPr>
        <w:spacing w:after="0" w:line="97" w:lineRule="exact"/>
        <w:rPr>
          <w:sz w:val="20"/>
          <w:szCs w:val="20"/>
          <w:color w:val="auto"/>
        </w:rPr>
      </w:pPr>
    </w:p>
    <w:p>
      <w:pPr>
        <w:ind w:left="120" w:right="159" w:firstLine="350"/>
        <w:spacing w:after="0" w:line="261" w:lineRule="auto"/>
        <w:rPr>
          <w:sz w:val="20"/>
          <w:szCs w:val="20"/>
          <w:color w:val="auto"/>
        </w:rPr>
      </w:pPr>
      <w:r>
        <w:rPr>
          <w:rFonts w:ascii="Times New Roman" w:cs="Times New Roman" w:eastAsia="Times New Roman" w:hAnsi="Times New Roman"/>
          <w:sz w:val="14"/>
          <w:szCs w:val="14"/>
          <w:i w:val="1"/>
          <w:iCs w:val="1"/>
          <w:color w:val="auto"/>
        </w:rPr>
        <w:t xml:space="preserve">Pennsylvania Uniform Limited Liability Company Act of 2016. </w:t>
      </w:r>
      <w:r>
        <w:rPr>
          <w:rFonts w:ascii="Times New Roman" w:cs="Times New Roman" w:eastAsia="Times New Roman" w:hAnsi="Times New Roman"/>
          <w:sz w:val="14"/>
          <w:szCs w:val="14"/>
          <w:color w:val="auto"/>
        </w:rPr>
        <w:t>Chapter 88, Subchapter D, Section 8848(b) of the Pennsylvania Uniform Limited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Liability Company Act of 2016 provides that a Pennsylvania limited liability company, such as Minsec Companies, LLC, Minsec Treatment, LLC, Fenton Security, LLC, and ADAPPT, LLC, shall indemnify and hold harmless a person with respect to any claim or demand against the person and any debt, obligation or other liability incurred by the person by reason of the person’s former or present capacity as a member or manager, if the claim, demand, debt, obligation or other liability does not arise from the person’s breach of the statutory provisions relating to limitations on distributions, management of the limited liability company, standards of conduct for members or standards of conduct for managers. Such indemnification shall not be made in any case where the act giving rise to the claim for indemnification is determined by a court to constitute recklessness, willful misconduct or a knowing violation of law.</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i w:val="1"/>
          <w:iCs w:val="1"/>
          <w:color w:val="auto"/>
        </w:rPr>
        <w:t>Operating Agreements</w:t>
      </w:r>
    </w:p>
    <w:p>
      <w:pPr>
        <w:spacing w:after="0" w:line="99" w:lineRule="exact"/>
        <w:rPr>
          <w:sz w:val="20"/>
          <w:szCs w:val="20"/>
          <w:color w:val="auto"/>
        </w:rPr>
      </w:pPr>
    </w:p>
    <w:p>
      <w:pPr>
        <w:ind w:left="120" w:right="219" w:firstLine="350"/>
        <w:spacing w:after="0" w:line="265" w:lineRule="auto"/>
        <w:rPr>
          <w:sz w:val="20"/>
          <w:szCs w:val="20"/>
          <w:color w:val="auto"/>
        </w:rPr>
      </w:pPr>
      <w:r>
        <w:rPr>
          <w:rFonts w:ascii="Times New Roman" w:cs="Times New Roman" w:eastAsia="Times New Roman" w:hAnsi="Times New Roman"/>
          <w:sz w:val="14"/>
          <w:szCs w:val="14"/>
          <w:color w:val="auto"/>
        </w:rPr>
        <w:t>Minsec Companies, LLC’s Second Amended and Restated Operating Agreement provides that each manager, officer and the member, each of the foregoing persons referred to as a “Covered Person,” shall be indemnified by Minsec Companies, LLC to the fullest extent permitted by law against losses, judgments, liabilities, expenses and amounts incurred or paid, including attorneys’ fees, costs, judgments, amounts paid in settlement, fines, penalties and other liabilities, by the Covered Person in connection with any claim, action, suit or proceeding in which such Covered Person shall be threatened, in connection with the acquisition of property</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II-16</w:t>
      </w:r>
    </w:p>
    <w:p>
      <w:pPr>
        <w:sectPr>
          <w:pgSz w:w="11900" w:h="16838" w:orient="portrait"/>
          <w:cols w:equalWidth="0" w:num="1">
            <w:col w:w="9019"/>
          </w:cols>
          <w:pgMar w:left="1440" w:top="243" w:right="1440" w:bottom="1440" w:gutter="0" w:footer="0" w:header="0"/>
        </w:sectPr>
      </w:pPr>
    </w:p>
    <w:bookmarkStart w:id="47" w:name="page48"/>
    <w:bookmarkEnd w:id="47"/>
    <w:p>
      <w:pPr>
        <w:jc w:val="both"/>
        <w:ind w:left="120" w:right="319"/>
        <w:spacing w:after="0" w:line="27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1">
                      <a:extLst>
                        <a:ext uri="{28A0092B-C50C-407E-A947-70E740481C1C}"/>
                      </a:extLst>
                    </a:blip>
                    <a:srcRect/>
                    <a:stretch>
                      <a:fillRect/>
                    </a:stretch>
                  </pic:blipFill>
                  <pic:spPr bwMode="auto">
                    <a:xfrm>
                      <a:off x="0" y="0"/>
                      <a:ext cx="7199630" cy="33020"/>
                    </a:xfrm>
                    <a:prstGeom prst="rect">
                      <a:avLst/>
                    </a:prstGeom>
                    <a:noFill/>
                  </pic:spPr>
                </pic:pic>
              </a:graphicData>
            </a:graphic>
          </wp:anchor>
        </w:drawing>
        <w:t>or assets by Minsec Companies, LLC, the disposition of liability of Minsec Companies, LLC or the conduct of its business. Expenses incurred by any Covered Person in connection with the preparation and presentation of a defense or response to any claim, action, suit or proceeding shall be paid by Minsec Companies, LLC.</w:t>
      </w:r>
    </w:p>
    <w:p>
      <w:pPr>
        <w:spacing w:after="0" w:line="135" w:lineRule="exact"/>
        <w:rPr>
          <w:sz w:val="20"/>
          <w:szCs w:val="20"/>
          <w:color w:val="auto"/>
        </w:rPr>
      </w:pPr>
    </w:p>
    <w:p>
      <w:pPr>
        <w:ind w:left="120" w:right="219" w:firstLine="350"/>
        <w:spacing w:after="0" w:line="261" w:lineRule="auto"/>
        <w:rPr>
          <w:sz w:val="20"/>
          <w:szCs w:val="20"/>
          <w:color w:val="auto"/>
        </w:rPr>
      </w:pPr>
      <w:r>
        <w:rPr>
          <w:rFonts w:ascii="Times New Roman" w:cs="Times New Roman" w:eastAsia="Times New Roman" w:hAnsi="Times New Roman"/>
          <w:sz w:val="14"/>
          <w:szCs w:val="14"/>
          <w:color w:val="auto"/>
        </w:rPr>
        <w:t>Minsec Treatment, LLC’s Second Amended and Restated Operating Agreement provides that each manager, officer and the member, each of the foregoing persons referred to as a “Covered Person,” shall be indemnified by Minsec Treatment, LLC to the fullest extent permitted by law against losses, judgments, liabilities, expenses and amounts incurred or paid, including attorneys’ fees, costs, judgments, amounts paid in settlement, fines, penalties and other liabilities, by the Covered Person in connection with any claim, action, suit or proceeding in which such Covered Person shall be threatened, in connection with the acquisition of property or assets by Minsec Treatment, LLC, the disposition of liability of Minsec Treatment, LLC or the conduct of its business. Expenses incurred by any Covered Person in connection with the preparation and presentation of a defense or response to any claim, action, suit or proceeding shall be paid by Minsec Treatment, LLC.</w:t>
      </w:r>
    </w:p>
    <w:p>
      <w:pPr>
        <w:spacing w:after="0" w:line="148" w:lineRule="exact"/>
        <w:rPr>
          <w:sz w:val="20"/>
          <w:szCs w:val="20"/>
          <w:color w:val="auto"/>
        </w:rPr>
      </w:pPr>
    </w:p>
    <w:p>
      <w:pPr>
        <w:ind w:left="120" w:right="279" w:firstLine="350"/>
        <w:spacing w:after="0" w:line="261" w:lineRule="auto"/>
        <w:rPr>
          <w:sz w:val="20"/>
          <w:szCs w:val="20"/>
          <w:color w:val="auto"/>
        </w:rPr>
      </w:pPr>
      <w:r>
        <w:rPr>
          <w:rFonts w:ascii="Times New Roman" w:cs="Times New Roman" w:eastAsia="Times New Roman" w:hAnsi="Times New Roman"/>
          <w:sz w:val="14"/>
          <w:szCs w:val="14"/>
          <w:color w:val="auto"/>
        </w:rPr>
        <w:t>Fenton Security, LLC’s Operating Agreement provides that each manager, officer and the member, each of the foregoing persons referred to as a “Covered Person,” shall be indemnified by Fenton Security, LLC to the fullest extent permitted by law against losses, judgments, liabilities, expenses and amounts incurred or paid, including attorneys’ fees, costs, judgments, amounts paid in settlement, fines, penalties and other liabilities, by the Covered Person in connection with any claim, action, suit or proceeding in which such Covered Person shall be threatened, in connection with the acquisition of property or assets by Fenton Security, LLC, the disposition of liability of Fenton Security, LLC or the conduct of its business. Expenses incurred by any Covered Person in connection with the preparation and presentation of a defense or response to any claim, action, suit or proceeding shall be paid by Fenton Security, LLC.</w:t>
      </w:r>
    </w:p>
    <w:p>
      <w:pPr>
        <w:spacing w:after="0" w:line="148" w:lineRule="exact"/>
        <w:rPr>
          <w:sz w:val="20"/>
          <w:szCs w:val="20"/>
          <w:color w:val="auto"/>
        </w:rPr>
      </w:pPr>
    </w:p>
    <w:p>
      <w:pPr>
        <w:ind w:left="120" w:right="239" w:firstLine="350"/>
        <w:spacing w:after="0" w:line="261" w:lineRule="auto"/>
        <w:rPr>
          <w:sz w:val="20"/>
          <w:szCs w:val="20"/>
          <w:color w:val="auto"/>
        </w:rPr>
      </w:pPr>
      <w:r>
        <w:rPr>
          <w:rFonts w:ascii="Times New Roman" w:cs="Times New Roman" w:eastAsia="Times New Roman" w:hAnsi="Times New Roman"/>
          <w:sz w:val="14"/>
          <w:szCs w:val="14"/>
          <w:color w:val="auto"/>
        </w:rPr>
        <w:t>ADAPPT, LLC’s Operating Agreement provides that each manager, officer and the member, each of the foregoing persons referred to as a “Covered Person,” shall be indemnified by ADAPPT, LLC to the fullest extent permitted by law against losses, judgments, liabilities, expenses and amounts incurred or paid, including attorneys’ fees, costs, judgments, amounts paid in settlement, fines, penalties and other liabilities, by the Covered Person in connection with any claim, action, suit or proceeding in which such Covered Person shall be threatened, in connection with the acquisition of property or assets by ADAPPT, LLC, the disposition of liability of ADAPPT, LLC or the conduct of its business. Expenses incurred by any Covered Person in connection with the preparation and presentation of a defense or response to any claim, action, suit or proceeding shall be paid by ADAPPT, LLC.</w:t>
      </w:r>
    </w:p>
    <w:p>
      <w:pPr>
        <w:spacing w:after="0" w:line="2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Registrants incorporated as corporations in Texas</w:t>
      </w:r>
    </w:p>
    <w:p>
      <w:pPr>
        <w:spacing w:after="0" w:line="97" w:lineRule="exact"/>
        <w:rPr>
          <w:sz w:val="20"/>
          <w:szCs w:val="20"/>
          <w:color w:val="auto"/>
        </w:rPr>
      </w:pPr>
    </w:p>
    <w:p>
      <w:pPr>
        <w:ind w:left="120" w:right="199" w:firstLine="350"/>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Texas Business Organizations Code. </w:t>
      </w:r>
      <w:r>
        <w:rPr>
          <w:rFonts w:ascii="Times New Roman" w:cs="Times New Roman" w:eastAsia="Times New Roman" w:hAnsi="Times New Roman"/>
          <w:sz w:val="14"/>
          <w:szCs w:val="14"/>
          <w:color w:val="auto"/>
        </w:rPr>
        <w:t>Title 1, Chapter 8 of the Texas Business Organizations Code (“TBOC”) provides CiviGenics-Texas, Inc.</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broad powers and authority to indemnify its directors and officers and to purchase and maintain insurance for such purposes. The TBOC provides that, subject to certain limitations, a corporation may indemnify a governing person, former governing person, or delegate who was, is, or is threatened to be made a respondent in a proceeding, to the extent that it is determined that the person acted in good faith; that the person reasonably believed, in the case of conduct in the person’s official capacity, that the person’s conduct was in the corporation’s best interests; and, in any other case, that the person’s conduct was not opposed to the corporation’s best interests; and in the case of a criminal proceeding, did not have a reasonable cause to believe the person’s conduct was unlawful. With respect to expenses, the amount of expenses other than a judgment must be reasonable.</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i w:val="1"/>
          <w:iCs w:val="1"/>
          <w:color w:val="auto"/>
        </w:rPr>
        <w:t>Articles of Incorporation</w:t>
      </w:r>
    </w:p>
    <w:p>
      <w:pPr>
        <w:spacing w:after="0" w:line="99" w:lineRule="exact"/>
        <w:rPr>
          <w:sz w:val="20"/>
          <w:szCs w:val="20"/>
          <w:color w:val="auto"/>
        </w:rPr>
      </w:pPr>
    </w:p>
    <w:p>
      <w:pPr>
        <w:jc w:val="both"/>
        <w:ind w:left="120" w:right="159" w:firstLine="350"/>
        <w:spacing w:after="0" w:line="274" w:lineRule="auto"/>
        <w:rPr>
          <w:sz w:val="20"/>
          <w:szCs w:val="20"/>
          <w:color w:val="auto"/>
        </w:rPr>
      </w:pPr>
      <w:r>
        <w:rPr>
          <w:rFonts w:ascii="Times New Roman" w:cs="Times New Roman" w:eastAsia="Times New Roman" w:hAnsi="Times New Roman"/>
          <w:sz w:val="14"/>
          <w:szCs w:val="14"/>
          <w:color w:val="auto"/>
        </w:rPr>
        <w:t>CiviGenics-Texas, Inc.’s Articles of Incorporation provide that the liability of directors of CiviGenics-Texas, Inc. is eliminated to the fullest extent permitted by the provisions of the Texas Business Corporation Act (“TBCA”) and by the provisions of the Texas Miscellaneous Corporation Laws Act, as the same may be</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II-17</w:t>
      </w:r>
    </w:p>
    <w:p>
      <w:pPr>
        <w:sectPr>
          <w:pgSz w:w="11900" w:h="16838" w:orient="portrait"/>
          <w:cols w:equalWidth="0" w:num="1">
            <w:col w:w="9019"/>
          </w:cols>
          <w:pgMar w:left="1440" w:top="243" w:right="1440" w:bottom="1440" w:gutter="0" w:footer="0" w:header="0"/>
        </w:sectPr>
      </w:pPr>
    </w:p>
    <w:bookmarkStart w:id="48" w:name="page49"/>
    <w:bookmarkEnd w:id="48"/>
    <w:p>
      <w:pPr>
        <w:ind w:left="120" w:right="299"/>
        <w:spacing w:after="0" w:line="26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2">
                      <a:extLst>
                        <a:ext uri="{28A0092B-C50C-407E-A947-70E740481C1C}"/>
                      </a:extLst>
                    </a:blip>
                    <a:srcRect/>
                    <a:stretch>
                      <a:fillRect/>
                    </a:stretch>
                  </pic:blipFill>
                  <pic:spPr bwMode="auto">
                    <a:xfrm>
                      <a:off x="0" y="0"/>
                      <a:ext cx="7199630" cy="33020"/>
                    </a:xfrm>
                    <a:prstGeom prst="rect">
                      <a:avLst/>
                    </a:prstGeom>
                    <a:noFill/>
                  </pic:spPr>
                </pic:pic>
              </a:graphicData>
            </a:graphic>
          </wp:anchor>
        </w:drawing>
        <w:t>amended and supplemented. The Articles of Incorporation further provide that CiviGenics-Texas, Inc. shall, to the fullest extent permitted by the provisions of Article 2.02-1 of TBCA, as the same may be amended and supplemented, indemnify any and all persons whom CiviGenics-Texas, Inc. shall have the power to indemnify under said article from and against any and all of the expenses, liabilities, or other matters referred to or covered by said article.</w:t>
      </w:r>
    </w:p>
    <w:p>
      <w:pPr>
        <w:spacing w:after="0" w:line="2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i w:val="1"/>
          <w:iCs w:val="1"/>
          <w:color w:val="auto"/>
        </w:rPr>
        <w:t>By-laws</w:t>
      </w:r>
    </w:p>
    <w:p>
      <w:pPr>
        <w:spacing w:after="0" w:line="99" w:lineRule="exact"/>
        <w:rPr>
          <w:sz w:val="20"/>
          <w:szCs w:val="20"/>
          <w:color w:val="auto"/>
        </w:rPr>
      </w:pPr>
    </w:p>
    <w:p>
      <w:pPr>
        <w:ind w:left="120" w:right="179" w:firstLine="350"/>
        <w:spacing w:after="0" w:line="259" w:lineRule="auto"/>
        <w:rPr>
          <w:sz w:val="20"/>
          <w:szCs w:val="20"/>
          <w:color w:val="auto"/>
        </w:rPr>
      </w:pPr>
      <w:r>
        <w:rPr>
          <w:rFonts w:ascii="Times New Roman" w:cs="Times New Roman" w:eastAsia="Times New Roman" w:hAnsi="Times New Roman"/>
          <w:sz w:val="14"/>
          <w:szCs w:val="14"/>
          <w:color w:val="auto"/>
        </w:rPr>
        <w:t>CiviGenics-Texas, Inc.’s By-laws provide that except as otherwise provided in the By-laws, CiviGenics-Texas, Inc. shall indemnify to the fullest extent permitted by law an individual who is a party to a proceeding because he or she is a director or officer against liability incurred in the proceeding if: (1)(i) he or she conducted himself or herself in good faith; and (ii) he or she reasonably believed that his or her conduct was in the best interests of CiviGenics-Texas, Inc. or that his or her conduct was at least not opposed to the best interests of CiviGenics-Texas, Inc.; and (iii) in the case of any criminal proceeding, he or she had no reasonable cause to believe his or her conduct was unlawful; or (2) he or she engaged in conduct for which he or she shall not be liable under a provision of the Articles of Incorporation authorized by the TBCA or any successor provision. The By-laws further provides that a director’s or officer’s conduct with respect to an employee benefit plan for a purpose he or she reasonably believed to be in the interests of the participants in, and the beneficiaries of, the plan is conduct that satisfies the requirement that his or her conduct was at least not opposed to the best interests of CiviGenics-Texas, Inc. The By-laws also provide that the termination of a proceeding by judgment, order, settlement, or conviction, or upon a plea of nolo contendere or its equivalent, is not, of itself, determinative that the director or officer did not meet the relevant standard of conduct described in the By-laws. The By-laws also provide that unless ordered by a court, CiviGenics-Texas, Inc. may not indemnify a director or officer under the By-laws if his or her conduct did not satisfy the standards set forth above.</w:t>
      </w:r>
    </w:p>
    <w:p>
      <w:pPr>
        <w:spacing w:after="0" w:line="2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Registrants formed as limited liability companies in Wyoming</w:t>
      </w:r>
    </w:p>
    <w:p>
      <w:pPr>
        <w:spacing w:after="0" w:line="97" w:lineRule="exact"/>
        <w:rPr>
          <w:sz w:val="20"/>
          <w:szCs w:val="20"/>
          <w:color w:val="auto"/>
        </w:rPr>
      </w:pPr>
    </w:p>
    <w:p>
      <w:pPr>
        <w:ind w:left="120" w:right="359" w:firstLine="350"/>
        <w:spacing w:after="0" w:line="263" w:lineRule="auto"/>
        <w:rPr>
          <w:sz w:val="20"/>
          <w:szCs w:val="20"/>
          <w:color w:val="auto"/>
        </w:rPr>
      </w:pPr>
      <w:r>
        <w:rPr>
          <w:rFonts w:ascii="Times New Roman" w:cs="Times New Roman" w:eastAsia="Times New Roman" w:hAnsi="Times New Roman"/>
          <w:sz w:val="14"/>
          <w:szCs w:val="14"/>
          <w:i w:val="1"/>
          <w:iCs w:val="1"/>
          <w:color w:val="auto"/>
        </w:rPr>
        <w:t xml:space="preserve">Wyoming Limited Liability Company Act. </w:t>
      </w:r>
      <w:r>
        <w:rPr>
          <w:rFonts w:ascii="Times New Roman" w:cs="Times New Roman" w:eastAsia="Times New Roman" w:hAnsi="Times New Roman"/>
          <w:sz w:val="14"/>
          <w:szCs w:val="14"/>
          <w:color w:val="auto"/>
        </w:rPr>
        <w:t>Section 17-29-408 of the Wyoming Limited Liability Company Act (“Wyoming LLC Act”) provides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that a limited liability company shall indemnify for any debt, obligation or other liability incurred by a member of a member-managed company or a manager of a manager-managed company in the course of the member’s or manager’s activities on behalf of the company, if, in incurring such debt, obligation or other liability, the member or manager complied with the duties stated in the Wyoming LLC Act. The Wyoming LLC Act also provides that a limited liability company may purchase and maintain insurance on behalf of a member or manager of the company against liability asserted against or incurred by the member or manager in that capacity or arising from that status.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i w:val="1"/>
          <w:iCs w:val="1"/>
          <w:color w:val="auto"/>
        </w:rPr>
        <w:t>Operating Agreement</w:t>
      </w:r>
    </w:p>
    <w:p>
      <w:pPr>
        <w:spacing w:after="0" w:line="99" w:lineRule="exact"/>
        <w:rPr>
          <w:sz w:val="20"/>
          <w:szCs w:val="20"/>
          <w:color w:val="auto"/>
        </w:rPr>
      </w:pPr>
    </w:p>
    <w:p>
      <w:pPr>
        <w:ind w:left="120" w:right="199" w:firstLine="357"/>
        <w:spacing w:after="0" w:line="261" w:lineRule="auto"/>
        <w:tabs>
          <w:tab w:leader="none" w:pos="792"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Wyoming Properties, LLC’s Operating Agreement provides that CCC Wyoming Properties, LLC shall indemnify its members for all costs, losses, liabilities, and damages paid or accrued by its members (either as members or as agents) in connection with the business of CCC Wyoming Properties, LLC or because such person is a member, to the fullest extent provided or allowed by the law of the State of Wyoming. In addition, CCC Wyoming Properties, LLC shall advance costs of participation in any proceeding to the members. The members may indemnify all other employees and agents of CCC Wyoming Properties, LLC for all costs, losses, liabilities, and damages paid or accrued by the agent or employee in connection with the business of CCC Wyoming Properties, LLC or because such person is an agent or employee, to the fullest extent provided or allowed by the laws of Wyoming.</w:t>
      </w:r>
    </w:p>
    <w:p>
      <w:pPr>
        <w:spacing w:after="0" w:line="2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Registrants formed as general partnerships in Wyoming</w:t>
      </w:r>
    </w:p>
    <w:p>
      <w:pPr>
        <w:spacing w:after="0" w:line="97" w:lineRule="exact"/>
        <w:rPr>
          <w:sz w:val="20"/>
          <w:szCs w:val="20"/>
          <w:color w:val="auto"/>
        </w:rPr>
      </w:pPr>
    </w:p>
    <w:p>
      <w:pPr>
        <w:ind w:left="120" w:right="199" w:firstLine="350"/>
        <w:spacing w:after="0" w:line="275" w:lineRule="auto"/>
        <w:rPr>
          <w:sz w:val="20"/>
          <w:szCs w:val="20"/>
          <w:color w:val="auto"/>
        </w:rPr>
      </w:pPr>
      <w:r>
        <w:rPr>
          <w:rFonts w:ascii="Times New Roman" w:cs="Times New Roman" w:eastAsia="Times New Roman" w:hAnsi="Times New Roman"/>
          <w:sz w:val="14"/>
          <w:szCs w:val="14"/>
          <w:i w:val="1"/>
          <w:iCs w:val="1"/>
          <w:color w:val="auto"/>
        </w:rPr>
        <w:t xml:space="preserve">Wyoming Uniform Partnership Act. </w:t>
      </w:r>
      <w:r>
        <w:rPr>
          <w:rFonts w:ascii="Times New Roman" w:cs="Times New Roman" w:eastAsia="Times New Roman" w:hAnsi="Times New Roman"/>
          <w:sz w:val="14"/>
          <w:szCs w:val="14"/>
          <w:color w:val="auto"/>
        </w:rPr>
        <w:t>Section 17-21-306 of the Wyoming Uniform Partnership Act (“Wyoming UPA”) provides that all partners are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liable jointly and severally for all obligations of the partnership unless otherwise agreed by the claimant or provided by law. Section 17-21-309 of the Wyoming UPA holds a</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II-18</w:t>
      </w:r>
    </w:p>
    <w:p>
      <w:pPr>
        <w:sectPr>
          <w:pgSz w:w="11900" w:h="16838" w:orient="portrait"/>
          <w:cols w:equalWidth="0" w:num="1">
            <w:col w:w="9019"/>
          </w:cols>
          <w:pgMar w:left="1440" w:top="243" w:right="1440" w:bottom="1440" w:gutter="0" w:footer="0" w:header="0"/>
        </w:sectPr>
      </w:pPr>
    </w:p>
    <w:bookmarkStart w:id="49" w:name="page50"/>
    <w:bookmarkEnd w:id="49"/>
    <w:p>
      <w:pPr>
        <w:ind w:left="120" w:right="339"/>
        <w:spacing w:after="0" w:line="26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3">
                      <a:extLst>
                        <a:ext uri="{28A0092B-C50C-407E-A947-70E740481C1C}"/>
                      </a:extLst>
                    </a:blip>
                    <a:srcRect/>
                    <a:stretch>
                      <a:fillRect/>
                    </a:stretch>
                  </pic:blipFill>
                  <pic:spPr bwMode="auto">
                    <a:xfrm>
                      <a:off x="0" y="0"/>
                      <a:ext cx="7199630" cy="33020"/>
                    </a:xfrm>
                    <a:prstGeom prst="rect">
                      <a:avLst/>
                    </a:prstGeom>
                    <a:noFill/>
                  </pic:spPr>
                </pic:pic>
              </a:graphicData>
            </a:graphic>
          </wp:anchor>
        </w:drawing>
        <w:t>person admitted as a partner into a partnership is liable for all obligations of the partnership arising before the person’s admission as if the person had been a partner when the obligations were incurred, but that liability may only be satisfied out of partnership property. Section 17-21-103(a) states that except as provided in subsection (b) of that section, a partnership agreement governs relations among the partners and between the partners and the partnership.</w:t>
      </w:r>
    </w:p>
    <w:p>
      <w:pPr>
        <w:spacing w:after="0" w:line="2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i w:val="1"/>
          <w:iCs w:val="1"/>
          <w:color w:val="auto"/>
        </w:rPr>
        <w:t>Partnership Agreement</w:t>
      </w:r>
    </w:p>
    <w:p>
      <w:pPr>
        <w:spacing w:after="0" w:line="99" w:lineRule="exact"/>
        <w:rPr>
          <w:sz w:val="20"/>
          <w:szCs w:val="20"/>
          <w:color w:val="auto"/>
        </w:rPr>
      </w:pPr>
    </w:p>
    <w:p>
      <w:pPr>
        <w:ind w:left="120" w:right="159" w:firstLine="350"/>
        <w:spacing w:after="0" w:line="263" w:lineRule="auto"/>
        <w:rPr>
          <w:sz w:val="20"/>
          <w:szCs w:val="20"/>
          <w:color w:val="auto"/>
        </w:rPr>
      </w:pPr>
      <w:r>
        <w:rPr>
          <w:rFonts w:ascii="Times New Roman" w:cs="Times New Roman" w:eastAsia="Times New Roman" w:hAnsi="Times New Roman"/>
          <w:sz w:val="14"/>
          <w:szCs w:val="14"/>
          <w:color w:val="auto"/>
        </w:rPr>
        <w:t>The Amended and Restated Partnership Agreement of Community Alternatives provides that except as otherwise expressly provided by Wyoming law, the debts, obligations and liabilities of the partnership, whether arising in contract, tort or otherwise, shall be the debts, obligations and liabilities solely of the partnership, and the manager shall not be obligated personally for any such debt, obligation or liability of the partnership solely by reason of being the manager of the partnership. The Amended and Restated Partnership Agreement of Community Alternatives also provides that the partnership may purchase and maintain insurance, on behalf of the partners and such other persons as the partners shall determine, against any liability that may be asserted against or expense that may be incurred by, such persons in connection with the business or activities of the partnership.</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II-19</w:t>
      </w:r>
    </w:p>
    <w:p>
      <w:pPr>
        <w:sectPr>
          <w:pgSz w:w="11900" w:h="16838" w:orient="portrait"/>
          <w:cols w:equalWidth="0" w:num="1">
            <w:col w:w="9019"/>
          </w:cols>
          <w:pgMar w:left="1440" w:top="243" w:right="1440" w:bottom="1440" w:gutter="0" w:footer="0" w:header="0"/>
        </w:sectPr>
      </w:pPr>
    </w:p>
    <w:bookmarkStart w:id="50" w:name="page51"/>
    <w:bookmarkEnd w:id="50"/>
    <w:tbl>
      <w:tblPr>
        <w:tblLayout w:type="fixed"/>
        <w:tblInd w:w="120" w:type="dxa"/>
        <w:tblCellMar>
          <w:top w:w="0" w:type="dxa"/>
          <w:left w:w="0" w:type="dxa"/>
          <w:bottom w:w="0" w:type="dxa"/>
          <w:right w:w="0" w:type="dxa"/>
        </w:tblCellMar>
      </w:tblPr>
      <w:tr>
        <w:trPr>
          <w:trHeight w:val="189"/>
        </w:trPr>
        <w:tc>
          <w:tcPr>
            <w:tcW w:w="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Item 16.</w:t>
            </w:r>
          </w:p>
        </w:tc>
        <w:tc>
          <w:tcPr>
            <w:tcW w:w="7960" w:type="dxa"/>
            <w:vAlign w:val="bottom"/>
          </w:tcPr>
          <w:p>
            <w:pPr>
              <w:ind w:left="80"/>
              <w:spacing w:after="0"/>
              <w:rPr>
                <w:sz w:val="20"/>
                <w:szCs w:val="20"/>
                <w:color w:val="auto"/>
              </w:rPr>
            </w:pPr>
            <w:r>
              <w:rPr>
                <w:rFonts w:ascii="Times New Roman" w:cs="Times New Roman" w:eastAsia="Times New Roman" w:hAnsi="Times New Roman"/>
                <w:sz w:val="14"/>
                <w:szCs w:val="14"/>
                <w:b w:val="1"/>
                <w:bCs w:val="1"/>
                <w:i w:val="1"/>
                <w:iCs w:val="1"/>
                <w:color w:val="auto"/>
              </w:rPr>
              <w:t>Exhibits.</w:t>
            </w:r>
          </w:p>
        </w:tc>
        <w:tc>
          <w:tcPr>
            <w:tcW w:w="0" w:type="dxa"/>
            <w:vAlign w:val="bottom"/>
          </w:tcPr>
          <w:p>
            <w:pPr>
              <w:spacing w:after="0"/>
              <w:rPr>
                <w:sz w:val="1"/>
                <w:szCs w:val="1"/>
                <w:color w:val="auto"/>
              </w:rPr>
            </w:pPr>
          </w:p>
        </w:tc>
      </w:tr>
      <w:tr>
        <w:trPr>
          <w:trHeight w:val="293"/>
        </w:trPr>
        <w:tc>
          <w:tcPr>
            <w:tcW w:w="800" w:type="dxa"/>
            <w:vAlign w:val="bottom"/>
          </w:tcPr>
          <w:p>
            <w:pPr>
              <w:ind w:left="10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796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153"/>
        </w:trPr>
        <w:tc>
          <w:tcPr>
            <w:tcW w:w="800" w:type="dxa"/>
            <w:vAlign w:val="bottom"/>
          </w:tcPr>
          <w:p>
            <w:pPr>
              <w:ind w:left="200"/>
              <w:spacing w:after="0"/>
              <w:rPr>
                <w:sz w:val="20"/>
                <w:szCs w:val="20"/>
                <w:color w:val="auto"/>
              </w:rPr>
            </w:pPr>
            <w:r>
              <w:rPr>
                <w:rFonts w:ascii="Times New Roman" w:cs="Times New Roman" w:eastAsia="Times New Roman" w:hAnsi="Times New Roman"/>
                <w:sz w:val="11"/>
                <w:szCs w:val="11"/>
                <w:b w:val="1"/>
                <w:bCs w:val="1"/>
                <w:color w:val="auto"/>
              </w:rPr>
              <w:t>No.</w:t>
            </w:r>
          </w:p>
        </w:tc>
        <w:tc>
          <w:tcPr>
            <w:tcW w:w="79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    1.1</w:t>
            </w:r>
          </w:p>
        </w:tc>
        <w:tc>
          <w:tcPr>
            <w:tcW w:w="7960" w:type="dxa"/>
            <w:vAlign w:val="bottom"/>
          </w:tcPr>
          <w:p>
            <w:pPr>
              <w:spacing w:after="0"/>
              <w:rPr>
                <w:sz w:val="20"/>
                <w:szCs w:val="20"/>
                <w:color w:val="auto"/>
              </w:rPr>
            </w:pPr>
            <w:r>
              <w:rPr>
                <w:rFonts w:ascii="Times New Roman" w:cs="Times New Roman" w:eastAsia="Times New Roman" w:hAnsi="Times New Roman"/>
                <w:sz w:val="14"/>
                <w:szCs w:val="14"/>
                <w:color w:val="auto"/>
              </w:rPr>
              <w:t>Form of Underwriting Agreement for Common Stock.*</w:t>
            </w:r>
          </w:p>
        </w:tc>
        <w:tc>
          <w:tcPr>
            <w:tcW w:w="0" w:type="dxa"/>
            <w:vAlign w:val="bottom"/>
          </w:tcPr>
          <w:p>
            <w:pPr>
              <w:spacing w:after="0"/>
              <w:rPr>
                <w:sz w:val="1"/>
                <w:szCs w:val="1"/>
                <w:color w:val="auto"/>
              </w:rPr>
            </w:pPr>
          </w:p>
        </w:tc>
      </w:tr>
      <w:tr>
        <w:trPr>
          <w:trHeight w:val="258"/>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    1.2</w:t>
            </w:r>
          </w:p>
        </w:tc>
        <w:tc>
          <w:tcPr>
            <w:tcW w:w="7960" w:type="dxa"/>
            <w:vAlign w:val="bottom"/>
          </w:tcPr>
          <w:p>
            <w:pPr>
              <w:spacing w:after="0"/>
              <w:rPr>
                <w:sz w:val="20"/>
                <w:szCs w:val="20"/>
                <w:color w:val="auto"/>
              </w:rPr>
            </w:pPr>
            <w:r>
              <w:rPr>
                <w:rFonts w:ascii="Times New Roman" w:cs="Times New Roman" w:eastAsia="Times New Roman" w:hAnsi="Times New Roman"/>
                <w:sz w:val="14"/>
                <w:szCs w:val="14"/>
                <w:color w:val="auto"/>
              </w:rPr>
              <w:t>Form of Underwriting Agreement for Preferred Stock.*</w:t>
            </w:r>
          </w:p>
        </w:tc>
        <w:tc>
          <w:tcPr>
            <w:tcW w:w="0" w:type="dxa"/>
            <w:vAlign w:val="bottom"/>
          </w:tcPr>
          <w:p>
            <w:pPr>
              <w:spacing w:after="0"/>
              <w:rPr>
                <w:sz w:val="1"/>
                <w:szCs w:val="1"/>
                <w:color w:val="auto"/>
              </w:rPr>
            </w:pPr>
          </w:p>
        </w:tc>
      </w:tr>
      <w:tr>
        <w:trPr>
          <w:trHeight w:val="258"/>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    1.3</w:t>
            </w:r>
          </w:p>
        </w:tc>
        <w:tc>
          <w:tcPr>
            <w:tcW w:w="7960" w:type="dxa"/>
            <w:vAlign w:val="bottom"/>
          </w:tcPr>
          <w:p>
            <w:pPr>
              <w:spacing w:after="0"/>
              <w:rPr>
                <w:sz w:val="20"/>
                <w:szCs w:val="20"/>
                <w:color w:val="auto"/>
              </w:rPr>
            </w:pPr>
            <w:r>
              <w:rPr>
                <w:rFonts w:ascii="Times New Roman" w:cs="Times New Roman" w:eastAsia="Times New Roman" w:hAnsi="Times New Roman"/>
                <w:sz w:val="14"/>
                <w:szCs w:val="14"/>
                <w:color w:val="auto"/>
              </w:rPr>
              <w:t>Form of Underwriting Agreement for Debt Securities.*</w:t>
            </w:r>
          </w:p>
        </w:tc>
        <w:tc>
          <w:tcPr>
            <w:tcW w:w="0" w:type="dxa"/>
            <w:vAlign w:val="bottom"/>
          </w:tcPr>
          <w:p>
            <w:pPr>
              <w:spacing w:after="0"/>
              <w:rPr>
                <w:sz w:val="1"/>
                <w:szCs w:val="1"/>
                <w:color w:val="auto"/>
              </w:rPr>
            </w:pPr>
          </w:p>
        </w:tc>
      </w:tr>
      <w:tr>
        <w:trPr>
          <w:trHeight w:val="25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    1.4</w:t>
            </w:r>
          </w:p>
        </w:tc>
        <w:tc>
          <w:tcPr>
            <w:tcW w:w="7960" w:type="dxa"/>
            <w:vAlign w:val="bottom"/>
          </w:tcPr>
          <w:p>
            <w:pPr>
              <w:spacing w:after="0"/>
              <w:rPr>
                <w:sz w:val="20"/>
                <w:szCs w:val="20"/>
                <w:color w:val="auto"/>
              </w:rPr>
            </w:pPr>
            <w:r>
              <w:rPr>
                <w:rFonts w:ascii="Times New Roman" w:cs="Times New Roman" w:eastAsia="Times New Roman" w:hAnsi="Times New Roman"/>
                <w:sz w:val="14"/>
                <w:szCs w:val="14"/>
                <w:color w:val="auto"/>
              </w:rPr>
              <w:t>Form of Underwriting Agreement for Warrants.*</w:t>
            </w:r>
          </w:p>
        </w:tc>
        <w:tc>
          <w:tcPr>
            <w:tcW w:w="0" w:type="dxa"/>
            <w:vAlign w:val="bottom"/>
          </w:tcPr>
          <w:p>
            <w:pPr>
              <w:spacing w:after="0"/>
              <w:rPr>
                <w:sz w:val="1"/>
                <w:szCs w:val="1"/>
                <w:color w:val="auto"/>
              </w:rPr>
            </w:pPr>
          </w:p>
        </w:tc>
      </w:tr>
    </w:tbl>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4">
                      <a:extLst>
                        <a:ext uri="{28A0092B-C50C-407E-A947-70E740481C1C}"/>
                      </a:extLst>
                    </a:blip>
                    <a:srcRect/>
                    <a:stretch>
                      <a:fillRect/>
                    </a:stretch>
                  </pic:blipFill>
                  <pic:spPr bwMode="auto">
                    <a:xfrm>
                      <a:off x="0" y="0"/>
                      <a:ext cx="7199630" cy="33020"/>
                    </a:xfrm>
                    <a:prstGeom prst="rect">
                      <a:avLst/>
                    </a:prstGeom>
                    <a:noFill/>
                  </pic:spPr>
                </pic:pic>
              </a:graphicData>
            </a:graphic>
          </wp:anchor>
        </w:drawing>
      </w:r>
    </w:p>
    <w:p>
      <w:pPr>
        <w:ind w:left="920" w:right="159" w:hanging="793"/>
        <w:spacing w:after="0" w:line="292" w:lineRule="auto"/>
        <w:tabs>
          <w:tab w:leader="none" w:pos="198" w:val="left"/>
        </w:tabs>
        <w:numPr>
          <w:ilvl w:val="0"/>
          <w:numId w:val="34"/>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  3.1</w:t>
      </w:r>
      <w:hyperlink r:id="rId85">
        <w:r>
          <w:rPr>
            <w:rFonts w:ascii="Times New Roman" w:cs="Times New Roman" w:eastAsia="Times New Roman" w:hAnsi="Times New Roman"/>
            <w:sz w:val="14"/>
            <w:szCs w:val="14"/>
            <w:u w:val="single" w:color="auto"/>
            <w:color w:val="0000EE"/>
          </w:rPr>
          <w:t>Articles of Merger, effective as of June 27, 2014 (incorporated by reference to Exhibit 3.2 to the Company’s Current Report on Form 8-K,</w:t>
        </w:r>
      </w:hyperlink>
      <w:r>
        <w:rPr>
          <w:rFonts w:ascii="Times New Roman" w:cs="Times New Roman" w:eastAsia="Times New Roman" w:hAnsi="Times New Roman"/>
          <w:sz w:val="14"/>
          <w:szCs w:val="14"/>
          <w:u w:val="single" w:color="auto"/>
          <w:color w:val="0000EE"/>
        </w:rPr>
        <w:t xml:space="preserve"> </w:t>
      </w:r>
      <w:hyperlink r:id="rId85">
        <w:r>
          <w:rPr>
            <w:rFonts w:ascii="Times New Roman" w:cs="Times New Roman" w:eastAsia="Times New Roman" w:hAnsi="Times New Roman"/>
            <w:sz w:val="14"/>
            <w:szCs w:val="14"/>
            <w:u w:val="single" w:color="auto"/>
            <w:color w:val="0000EE"/>
          </w:rPr>
          <w:t>filed on June 30, 2014).</w:t>
        </w:r>
      </w:hyperlink>
    </w:p>
    <w:p>
      <w:pPr>
        <w:spacing w:after="0" w:line="31" w:lineRule="exact"/>
        <w:rPr>
          <w:rFonts w:ascii="Times New Roman" w:cs="Times New Roman" w:eastAsia="Times New Roman" w:hAnsi="Times New Roman"/>
          <w:sz w:val="14"/>
          <w:szCs w:val="14"/>
          <w:color w:val="auto"/>
        </w:rPr>
      </w:pPr>
    </w:p>
    <w:tbl>
      <w:tblPr>
        <w:tblLayout w:type="fixed"/>
        <w:tblInd w:w="120" w:type="dxa"/>
        <w:tblCellMar>
          <w:top w:w="0" w:type="dxa"/>
          <w:left w:w="0" w:type="dxa"/>
          <w:bottom w:w="0" w:type="dxa"/>
          <w:right w:w="0" w:type="dxa"/>
        </w:tblCellMar>
      </w:tblPr>
      <w:tr>
        <w:trPr>
          <w:trHeight w:val="161"/>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    3.2</w:t>
            </w:r>
          </w:p>
        </w:tc>
        <w:tc>
          <w:tcPr>
            <w:tcW w:w="7920" w:type="dxa"/>
            <w:vAlign w:val="bottom"/>
            <w:tcBorders>
              <w:bottom w:val="single" w:sz="8" w:color="0000EE"/>
            </w:tcBorders>
            <w:gridSpan w:val="4"/>
          </w:tcPr>
          <w:p>
            <w:pPr>
              <w:spacing w:after="0"/>
              <w:rPr>
                <w:rFonts w:ascii="Times New Roman" w:cs="Times New Roman" w:eastAsia="Times New Roman" w:hAnsi="Times New Roman"/>
                <w:sz w:val="14"/>
                <w:szCs w:val="14"/>
                <w:color w:val="0000EE"/>
              </w:rPr>
            </w:pPr>
            <w:hyperlink r:id="rId86">
              <w:r>
                <w:rPr>
                  <w:rFonts w:ascii="Times New Roman" w:cs="Times New Roman" w:eastAsia="Times New Roman" w:hAnsi="Times New Roman"/>
                  <w:sz w:val="14"/>
                  <w:szCs w:val="14"/>
                  <w:color w:val="0000EE"/>
                </w:rPr>
                <w:t>Amended and Restated Articles of Incorporation (incorporated by reference to Exhibit 3.1 to the Company’s Current Report on Form 8-K,</w:t>
              </w:r>
            </w:hyperlink>
          </w:p>
        </w:tc>
      </w:tr>
      <w:tr>
        <w:trPr>
          <w:trHeight w:val="152"/>
        </w:trPr>
        <w:tc>
          <w:tcPr>
            <w:tcW w:w="800" w:type="dxa"/>
            <w:vAlign w:val="bottom"/>
          </w:tcPr>
          <w:p>
            <w:pPr>
              <w:spacing w:after="0"/>
              <w:rPr>
                <w:sz w:val="13"/>
                <w:szCs w:val="13"/>
                <w:color w:val="auto"/>
              </w:rPr>
            </w:pPr>
          </w:p>
        </w:tc>
        <w:tc>
          <w:tcPr>
            <w:tcW w:w="7920" w:type="dxa"/>
            <w:vAlign w:val="bottom"/>
            <w:gridSpan w:val="4"/>
          </w:tcPr>
          <w:p>
            <w:pPr>
              <w:spacing w:after="0" w:line="152" w:lineRule="exact"/>
              <w:rPr>
                <w:rFonts w:ascii="Times New Roman" w:cs="Times New Roman" w:eastAsia="Times New Roman" w:hAnsi="Times New Roman"/>
                <w:sz w:val="14"/>
                <w:szCs w:val="14"/>
                <w:color w:val="0000EE"/>
              </w:rPr>
            </w:pPr>
            <w:hyperlink r:id="rId86">
              <w:r>
                <w:rPr>
                  <w:rFonts w:ascii="Times New Roman" w:cs="Times New Roman" w:eastAsia="Times New Roman" w:hAnsi="Times New Roman"/>
                  <w:sz w:val="14"/>
                  <w:szCs w:val="14"/>
                  <w:color w:val="0000EE"/>
                </w:rPr>
                <w:t>filed on May 9, 2024).</w:t>
              </w:r>
            </w:hyperlink>
          </w:p>
        </w:tc>
      </w:tr>
      <w:tr>
        <w:trPr>
          <w:trHeight w:val="20"/>
        </w:trPr>
        <w:tc>
          <w:tcPr>
            <w:tcW w:w="80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    3.3</w:t>
            </w:r>
          </w:p>
        </w:tc>
        <w:tc>
          <w:tcPr>
            <w:tcW w:w="7900" w:type="dxa"/>
            <w:vAlign w:val="bottom"/>
            <w:tcBorders>
              <w:bottom w:val="single" w:sz="8" w:color="0000EE"/>
            </w:tcBorders>
            <w:gridSpan w:val="3"/>
          </w:tcPr>
          <w:p>
            <w:pPr>
              <w:spacing w:after="0"/>
              <w:rPr>
                <w:rFonts w:ascii="Times New Roman" w:cs="Times New Roman" w:eastAsia="Times New Roman" w:hAnsi="Times New Roman"/>
                <w:sz w:val="14"/>
                <w:szCs w:val="14"/>
                <w:color w:val="0000EE"/>
              </w:rPr>
            </w:pPr>
            <w:hyperlink r:id="rId87">
              <w:r>
                <w:rPr>
                  <w:rFonts w:ascii="Times New Roman" w:cs="Times New Roman" w:eastAsia="Times New Roman" w:hAnsi="Times New Roman"/>
                  <w:sz w:val="14"/>
                  <w:szCs w:val="14"/>
                  <w:color w:val="0000EE"/>
                </w:rPr>
                <w:t>Third Amended and Restated Bylaws of The GEO Group, Inc. (incorporated by reference to Exhibit 3.1 to the Company’s Current Report</w:t>
              </w:r>
            </w:hyperlink>
          </w:p>
        </w:tc>
        <w:tc>
          <w:tcPr>
            <w:tcW w:w="20" w:type="dxa"/>
            <w:vAlign w:val="bottom"/>
          </w:tcPr>
          <w:p>
            <w:pPr>
              <w:spacing w:after="0"/>
              <w:rPr>
                <w:sz w:val="20"/>
                <w:szCs w:val="20"/>
                <w:color w:val="auto"/>
              </w:rPr>
            </w:pPr>
          </w:p>
        </w:tc>
      </w:tr>
      <w:tr>
        <w:trPr>
          <w:trHeight w:val="152"/>
        </w:trPr>
        <w:tc>
          <w:tcPr>
            <w:tcW w:w="800" w:type="dxa"/>
            <w:vAlign w:val="bottom"/>
          </w:tcPr>
          <w:p>
            <w:pPr>
              <w:spacing w:after="0"/>
              <w:rPr>
                <w:sz w:val="13"/>
                <w:szCs w:val="13"/>
                <w:color w:val="auto"/>
              </w:rPr>
            </w:pPr>
          </w:p>
        </w:tc>
        <w:tc>
          <w:tcPr>
            <w:tcW w:w="2180" w:type="dxa"/>
            <w:vAlign w:val="bottom"/>
            <w:tcBorders>
              <w:bottom w:val="single" w:sz="8" w:color="0000EE"/>
            </w:tcBorders>
            <w:gridSpan w:val="2"/>
          </w:tcPr>
          <w:p>
            <w:pPr>
              <w:spacing w:after="0" w:line="152" w:lineRule="exact"/>
              <w:rPr>
                <w:rFonts w:ascii="Times New Roman" w:cs="Times New Roman" w:eastAsia="Times New Roman" w:hAnsi="Times New Roman"/>
                <w:sz w:val="14"/>
                <w:szCs w:val="14"/>
                <w:color w:val="0000EE"/>
              </w:rPr>
            </w:pPr>
            <w:hyperlink r:id="rId87">
              <w:r>
                <w:rPr>
                  <w:rFonts w:ascii="Times New Roman" w:cs="Times New Roman" w:eastAsia="Times New Roman" w:hAnsi="Times New Roman"/>
                  <w:sz w:val="14"/>
                  <w:szCs w:val="14"/>
                  <w:color w:val="0000EE"/>
                </w:rPr>
                <w:t>on Form 8-K, filed on June 21, 2021).</w:t>
              </w:r>
            </w:hyperlink>
          </w:p>
        </w:tc>
        <w:tc>
          <w:tcPr>
            <w:tcW w:w="5740" w:type="dxa"/>
            <w:vAlign w:val="bottom"/>
            <w:gridSpan w:val="2"/>
          </w:tcPr>
          <w:p>
            <w:pPr>
              <w:spacing w:after="0"/>
              <w:rPr>
                <w:sz w:val="13"/>
                <w:szCs w:val="13"/>
                <w:color w:val="auto"/>
              </w:rPr>
            </w:pPr>
          </w:p>
        </w:tc>
      </w:tr>
    </w:tbl>
    <w:p>
      <w:pPr>
        <w:spacing w:after="0" w:line="93" w:lineRule="exact"/>
        <w:rPr>
          <w:sz w:val="20"/>
          <w:szCs w:val="20"/>
          <w:color w:val="auto"/>
        </w:rPr>
      </w:pPr>
    </w:p>
    <w:p>
      <w:pPr>
        <w:ind w:left="920" w:right="719" w:hanging="793"/>
        <w:spacing w:after="0" w:line="292" w:lineRule="auto"/>
        <w:tabs>
          <w:tab w:leader="none" w:pos="198" w:val="left"/>
        </w:tabs>
        <w:numPr>
          <w:ilvl w:val="0"/>
          <w:numId w:val="35"/>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  3.4</w:t>
      </w:r>
      <w:hyperlink r:id="rId88">
        <w:r>
          <w:rPr>
            <w:rFonts w:ascii="Times New Roman" w:cs="Times New Roman" w:eastAsia="Times New Roman" w:hAnsi="Times New Roman"/>
            <w:sz w:val="14"/>
            <w:szCs w:val="14"/>
            <w:u w:val="single" w:color="auto"/>
            <w:color w:val="0000EE"/>
          </w:rPr>
          <w:t>Amendment to Third Amended and Restated Bylaws, effective January 21, 2022 (incorporated by reference to Exhibit 3.1 to the</w:t>
        </w:r>
      </w:hyperlink>
      <w:r>
        <w:rPr>
          <w:rFonts w:ascii="Times New Roman" w:cs="Times New Roman" w:eastAsia="Times New Roman" w:hAnsi="Times New Roman"/>
          <w:sz w:val="14"/>
          <w:szCs w:val="14"/>
          <w:u w:val="single" w:color="auto"/>
          <w:color w:val="0000EE"/>
        </w:rPr>
        <w:t xml:space="preserve"> </w:t>
      </w:r>
      <w:hyperlink r:id="rId88">
        <w:r>
          <w:rPr>
            <w:rFonts w:ascii="Times New Roman" w:cs="Times New Roman" w:eastAsia="Times New Roman" w:hAnsi="Times New Roman"/>
            <w:sz w:val="14"/>
            <w:szCs w:val="14"/>
            <w:u w:val="single" w:color="auto"/>
            <w:color w:val="0000EE"/>
          </w:rPr>
          <w:t>Company’s Current Report on Form 8-K filed on January 27, 2022).</w:t>
        </w:r>
      </w:hyperlink>
    </w:p>
    <w:p>
      <w:pPr>
        <w:spacing w:after="0" w:line="37" w:lineRule="exact"/>
        <w:rPr>
          <w:rFonts w:ascii="Times New Roman" w:cs="Times New Roman" w:eastAsia="Times New Roman" w:hAnsi="Times New Roman"/>
          <w:sz w:val="14"/>
          <w:szCs w:val="14"/>
          <w:u w:val="single" w:color="auto"/>
          <w:color w:val="0000EE"/>
        </w:rPr>
      </w:pPr>
    </w:p>
    <w:p>
      <w:pPr>
        <w:ind w:left="920" w:right="639" w:hanging="793"/>
        <w:spacing w:after="0" w:line="292" w:lineRule="auto"/>
        <w:tabs>
          <w:tab w:leader="none" w:pos="198" w:val="left"/>
        </w:tabs>
        <w:numPr>
          <w:ilvl w:val="0"/>
          <w:numId w:val="35"/>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  3.5</w:t>
      </w:r>
      <w:hyperlink r:id="rId89">
        <w:r>
          <w:rPr>
            <w:rFonts w:ascii="Times New Roman" w:cs="Times New Roman" w:eastAsia="Times New Roman" w:hAnsi="Times New Roman"/>
            <w:sz w:val="14"/>
            <w:szCs w:val="14"/>
            <w:u w:val="single" w:color="auto"/>
            <w:color w:val="0000EE"/>
          </w:rPr>
          <w:t>Amendment to Third Amended and Restated Bylaws, effective February 14, 2022 (incorporated by reference to Exhibit 3.1 to the</w:t>
        </w:r>
      </w:hyperlink>
      <w:r>
        <w:rPr>
          <w:rFonts w:ascii="Times New Roman" w:cs="Times New Roman" w:eastAsia="Times New Roman" w:hAnsi="Times New Roman"/>
          <w:sz w:val="14"/>
          <w:szCs w:val="14"/>
          <w:u w:val="single" w:color="auto"/>
          <w:color w:val="0000EE"/>
        </w:rPr>
        <w:t xml:space="preserve"> </w:t>
      </w:r>
      <w:hyperlink r:id="rId89">
        <w:r>
          <w:rPr>
            <w:rFonts w:ascii="Times New Roman" w:cs="Times New Roman" w:eastAsia="Times New Roman" w:hAnsi="Times New Roman"/>
            <w:sz w:val="14"/>
            <w:szCs w:val="14"/>
            <w:u w:val="single" w:color="auto"/>
            <w:color w:val="0000EE"/>
          </w:rPr>
          <w:t>Company’s Current Report on Form 8-K filed on February 18, 2022).</w:t>
        </w:r>
      </w:hyperlink>
    </w:p>
    <w:p>
      <w:pPr>
        <w:spacing w:after="0" w:line="37" w:lineRule="exact"/>
        <w:rPr>
          <w:rFonts w:ascii="Times New Roman" w:cs="Times New Roman" w:eastAsia="Times New Roman" w:hAnsi="Times New Roman"/>
          <w:sz w:val="14"/>
          <w:szCs w:val="14"/>
          <w:u w:val="single" w:color="auto"/>
          <w:color w:val="0000EE"/>
        </w:rPr>
      </w:pPr>
    </w:p>
    <w:p>
      <w:pPr>
        <w:ind w:left="920" w:right="579" w:hanging="793"/>
        <w:spacing w:after="0" w:line="292" w:lineRule="auto"/>
        <w:tabs>
          <w:tab w:leader="none" w:pos="198" w:val="left"/>
        </w:tabs>
        <w:numPr>
          <w:ilvl w:val="0"/>
          <w:numId w:val="35"/>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  3.6</w:t>
      </w:r>
      <w:hyperlink r:id="rId90">
        <w:r>
          <w:rPr>
            <w:rFonts w:ascii="Times New Roman" w:cs="Times New Roman" w:eastAsia="Times New Roman" w:hAnsi="Times New Roman"/>
            <w:sz w:val="14"/>
            <w:szCs w:val="14"/>
            <w:u w:val="single" w:color="auto"/>
            <w:color w:val="0000EE"/>
          </w:rPr>
          <w:t>Amendment to Third Amended and Restated Bylaws, effective December 27, 2022 (incorporated by reference to Exhibit 3.1 to the</w:t>
        </w:r>
      </w:hyperlink>
      <w:r>
        <w:rPr>
          <w:rFonts w:ascii="Times New Roman" w:cs="Times New Roman" w:eastAsia="Times New Roman" w:hAnsi="Times New Roman"/>
          <w:sz w:val="14"/>
          <w:szCs w:val="14"/>
          <w:u w:val="single" w:color="auto"/>
          <w:color w:val="0000EE"/>
        </w:rPr>
        <w:t xml:space="preserve"> </w:t>
      </w:r>
      <w:hyperlink r:id="rId90">
        <w:r>
          <w:rPr>
            <w:rFonts w:ascii="Times New Roman" w:cs="Times New Roman" w:eastAsia="Times New Roman" w:hAnsi="Times New Roman"/>
            <w:sz w:val="14"/>
            <w:szCs w:val="14"/>
            <w:u w:val="single" w:color="auto"/>
            <w:color w:val="0000EE"/>
          </w:rPr>
          <w:t>Company’s Current Report on Form 8-K, filed on December 28, 2022).</w:t>
        </w:r>
      </w:hyperlink>
    </w:p>
    <w:p>
      <w:pPr>
        <w:spacing w:after="0" w:line="37" w:lineRule="exact"/>
        <w:rPr>
          <w:rFonts w:ascii="Times New Roman" w:cs="Times New Roman" w:eastAsia="Times New Roman" w:hAnsi="Times New Roman"/>
          <w:sz w:val="14"/>
          <w:szCs w:val="14"/>
          <w:u w:val="single" w:color="auto"/>
          <w:color w:val="0000EE"/>
        </w:rPr>
      </w:pPr>
    </w:p>
    <w:p>
      <w:pPr>
        <w:ind w:left="920" w:right="719" w:hanging="793"/>
        <w:spacing w:after="0" w:line="292" w:lineRule="auto"/>
        <w:tabs>
          <w:tab w:leader="none" w:pos="198" w:val="left"/>
        </w:tabs>
        <w:numPr>
          <w:ilvl w:val="0"/>
          <w:numId w:val="35"/>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  3.7</w:t>
      </w:r>
      <w:hyperlink r:id="rId91">
        <w:r>
          <w:rPr>
            <w:rFonts w:ascii="Times New Roman" w:cs="Times New Roman" w:eastAsia="Times New Roman" w:hAnsi="Times New Roman"/>
            <w:sz w:val="14"/>
            <w:szCs w:val="14"/>
            <w:u w:val="single" w:color="auto"/>
            <w:color w:val="0000EE"/>
          </w:rPr>
          <w:t>Amendment to Third Amended and Restated Bylaws, effective February 9, 2024 (incorporated by reference to Exhibit 3.1 to the</w:t>
        </w:r>
      </w:hyperlink>
      <w:r>
        <w:rPr>
          <w:rFonts w:ascii="Times New Roman" w:cs="Times New Roman" w:eastAsia="Times New Roman" w:hAnsi="Times New Roman"/>
          <w:sz w:val="14"/>
          <w:szCs w:val="14"/>
          <w:u w:val="single" w:color="auto"/>
          <w:color w:val="0000EE"/>
        </w:rPr>
        <w:t xml:space="preserve"> </w:t>
      </w:r>
      <w:hyperlink r:id="rId91">
        <w:r>
          <w:rPr>
            <w:rFonts w:ascii="Times New Roman" w:cs="Times New Roman" w:eastAsia="Times New Roman" w:hAnsi="Times New Roman"/>
            <w:sz w:val="14"/>
            <w:szCs w:val="14"/>
            <w:u w:val="single" w:color="auto"/>
            <w:color w:val="0000EE"/>
          </w:rPr>
          <w:t>Company’s Current Report on Form 8-K, filed on February 15, 2024).</w:t>
        </w:r>
      </w:hyperlink>
    </w:p>
    <w:p>
      <w:pPr>
        <w:spacing w:after="0" w:line="37" w:lineRule="exact"/>
        <w:rPr>
          <w:rFonts w:ascii="Times New Roman" w:cs="Times New Roman" w:eastAsia="Times New Roman" w:hAnsi="Times New Roman"/>
          <w:sz w:val="14"/>
          <w:szCs w:val="14"/>
          <w:u w:val="single" w:color="auto"/>
          <w:color w:val="0000EE"/>
        </w:rPr>
      </w:pPr>
    </w:p>
    <w:p>
      <w:pPr>
        <w:ind w:left="920" w:right="219" w:hanging="793"/>
        <w:spacing w:after="0" w:line="292" w:lineRule="auto"/>
        <w:tabs>
          <w:tab w:leader="none" w:pos="198" w:val="left"/>
        </w:tabs>
        <w:numPr>
          <w:ilvl w:val="0"/>
          <w:numId w:val="35"/>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  3.8</w:t>
      </w:r>
      <w:hyperlink r:id="rId92">
        <w:r>
          <w:rPr>
            <w:rFonts w:ascii="Times New Roman" w:cs="Times New Roman" w:eastAsia="Times New Roman" w:hAnsi="Times New Roman"/>
            <w:sz w:val="14"/>
            <w:szCs w:val="14"/>
            <w:u w:val="single" w:color="auto"/>
            <w:color w:val="0000EE"/>
          </w:rPr>
          <w:t>Amendment to Third Amended and Restated Bylaws, effective June 12, 2024 (incorporated by reference to Exhibit 3.1 to the Company’s</w:t>
        </w:r>
      </w:hyperlink>
      <w:r>
        <w:rPr>
          <w:rFonts w:ascii="Times New Roman" w:cs="Times New Roman" w:eastAsia="Times New Roman" w:hAnsi="Times New Roman"/>
          <w:sz w:val="14"/>
          <w:szCs w:val="14"/>
          <w:u w:val="single" w:color="auto"/>
          <w:color w:val="0000EE"/>
        </w:rPr>
        <w:t xml:space="preserve"> </w:t>
      </w:r>
      <w:hyperlink r:id="rId92">
        <w:r>
          <w:rPr>
            <w:rFonts w:ascii="Times New Roman" w:cs="Times New Roman" w:eastAsia="Times New Roman" w:hAnsi="Times New Roman"/>
            <w:sz w:val="14"/>
            <w:szCs w:val="14"/>
            <w:u w:val="single" w:color="auto"/>
            <w:color w:val="0000EE"/>
          </w:rPr>
          <w:t>Current Report on Form 8-K, filed on June 18, 2024).</w:t>
        </w:r>
      </w:hyperlink>
    </w:p>
    <w:p>
      <w:pPr>
        <w:spacing w:after="0" w:line="31" w:lineRule="exact"/>
        <w:rPr>
          <w:rFonts w:ascii="Times New Roman" w:cs="Times New Roman" w:eastAsia="Times New Roman" w:hAnsi="Times New Roman"/>
          <w:sz w:val="14"/>
          <w:szCs w:val="14"/>
          <w:color w:val="auto"/>
        </w:rPr>
      </w:pPr>
    </w:p>
    <w:tbl>
      <w:tblPr>
        <w:tblLayout w:type="fixed"/>
        <w:tblInd w:w="120" w:type="dxa"/>
        <w:tblCellMar>
          <w:top w:w="0" w:type="dxa"/>
          <w:left w:w="0" w:type="dxa"/>
          <w:bottom w:w="0" w:type="dxa"/>
          <w:right w:w="0" w:type="dxa"/>
        </w:tblCellMar>
      </w:tblPr>
      <w:tr>
        <w:trPr>
          <w:trHeight w:val="161"/>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    4.1</w:t>
            </w:r>
          </w:p>
        </w:tc>
        <w:tc>
          <w:tcPr>
            <w:tcW w:w="27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color w:val="0000EE"/>
              </w:rPr>
              <w:t>Form of Indenture for Senior Debt Securities.**</w:t>
            </w:r>
          </w:p>
        </w:tc>
        <w:tc>
          <w:tcPr>
            <w:tcW w:w="1860" w:type="dxa"/>
            <w:vAlign w:val="bottom"/>
            <w:gridSpan w:val="2"/>
          </w:tcPr>
          <w:p>
            <w:pPr>
              <w:spacing w:after="0"/>
              <w:rPr>
                <w:sz w:val="13"/>
                <w:szCs w:val="13"/>
                <w:color w:val="auto"/>
              </w:rPr>
            </w:pPr>
          </w:p>
        </w:tc>
      </w:tr>
      <w:tr>
        <w:trPr>
          <w:trHeight w:val="238"/>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    4.2</w:t>
            </w:r>
          </w:p>
        </w:tc>
        <w:tc>
          <w:tcPr>
            <w:tcW w:w="4620" w:type="dxa"/>
            <w:vAlign w:val="bottom"/>
            <w:gridSpan w:val="3"/>
          </w:tcPr>
          <w:p>
            <w:pPr>
              <w:spacing w:after="0"/>
              <w:rPr>
                <w:sz w:val="20"/>
                <w:szCs w:val="20"/>
                <w:color w:val="auto"/>
              </w:rPr>
            </w:pPr>
            <w:r>
              <w:rPr>
                <w:rFonts w:ascii="Times New Roman" w:cs="Times New Roman" w:eastAsia="Times New Roman" w:hAnsi="Times New Roman"/>
                <w:sz w:val="14"/>
                <w:szCs w:val="14"/>
                <w:color w:val="0000EE"/>
              </w:rPr>
              <w:t>Form of Indenture for Subordinated Debt Securities.**</w:t>
            </w:r>
          </w:p>
        </w:tc>
      </w:tr>
      <w:tr>
        <w:trPr>
          <w:trHeight w:val="20"/>
        </w:trPr>
        <w:tc>
          <w:tcPr>
            <w:tcW w:w="800" w:type="dxa"/>
            <w:vAlign w:val="bottom"/>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69"/>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    4.3</w:t>
            </w:r>
          </w:p>
        </w:tc>
        <w:tc>
          <w:tcPr>
            <w:tcW w:w="46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Supplemental Indenture to Form of Indenture for Senior Debt Securities.*</w:t>
            </w:r>
          </w:p>
        </w:tc>
      </w:tr>
      <w:tr>
        <w:trPr>
          <w:trHeight w:val="258"/>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    4.4</w:t>
            </w:r>
          </w:p>
        </w:tc>
        <w:tc>
          <w:tcPr>
            <w:tcW w:w="46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Supplemental Indenture to Form of Indenture for Subordinated Debt Securities.*</w:t>
            </w:r>
          </w:p>
        </w:tc>
      </w:tr>
      <w:tr>
        <w:trPr>
          <w:trHeight w:val="25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    4.5</w:t>
            </w:r>
          </w:p>
        </w:tc>
        <w:tc>
          <w:tcPr>
            <w:tcW w:w="46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Form of Senior Debt Securities.*</w:t>
            </w:r>
          </w:p>
        </w:tc>
      </w:tr>
      <w:tr>
        <w:trPr>
          <w:trHeight w:val="258"/>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    4.6</w:t>
            </w:r>
          </w:p>
        </w:tc>
        <w:tc>
          <w:tcPr>
            <w:tcW w:w="46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Form of Subordinated Debt Securities.*</w:t>
            </w:r>
          </w:p>
        </w:tc>
      </w:tr>
      <w:tr>
        <w:trPr>
          <w:trHeight w:val="25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    4.7</w:t>
            </w:r>
          </w:p>
        </w:tc>
        <w:tc>
          <w:tcPr>
            <w:tcW w:w="46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Form of Certificate of Designation of Preferred Stock.*</w:t>
            </w:r>
          </w:p>
        </w:tc>
      </w:tr>
      <w:tr>
        <w:trPr>
          <w:trHeight w:val="25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    4.8</w:t>
            </w:r>
          </w:p>
        </w:tc>
        <w:tc>
          <w:tcPr>
            <w:tcW w:w="46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Form of Certificate for Preferred Stock.*</w:t>
            </w:r>
          </w:p>
        </w:tc>
      </w:tr>
    </w:tbl>
    <w:p>
      <w:pPr>
        <w:spacing w:after="0" w:line="72" w:lineRule="exact"/>
        <w:rPr>
          <w:rFonts w:ascii="Times New Roman" w:cs="Times New Roman" w:eastAsia="Times New Roman" w:hAnsi="Times New Roman"/>
          <w:sz w:val="14"/>
          <w:szCs w:val="14"/>
          <w:color w:val="auto"/>
        </w:rPr>
      </w:pPr>
    </w:p>
    <w:p>
      <w:pPr>
        <w:ind w:left="200" w:hanging="73"/>
        <w:spacing w:after="0"/>
        <w:tabs>
          <w:tab w:leader="none" w:pos="2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4.9Form of Warrant Agreement.*</w:t>
      </w:r>
    </w:p>
    <w:p>
      <w:pPr>
        <w:spacing w:after="0" w:line="96" w:lineRule="exact"/>
        <w:rPr>
          <w:rFonts w:ascii="Times New Roman" w:cs="Times New Roman" w:eastAsia="Times New Roman" w:hAnsi="Times New Roman"/>
          <w:sz w:val="14"/>
          <w:szCs w:val="14"/>
          <w:color w:val="auto"/>
        </w:rPr>
      </w:pPr>
    </w:p>
    <w:p>
      <w:pPr>
        <w:ind w:left="200" w:hanging="73"/>
        <w:spacing w:after="0"/>
        <w:tabs>
          <w:tab w:leader="none" w:pos="2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4.10Form of Warrant.*</w:t>
      </w:r>
    </w:p>
    <w:p>
      <w:pPr>
        <w:spacing w:after="0" w:line="96" w:lineRule="exact"/>
        <w:rPr>
          <w:rFonts w:ascii="Times New Roman" w:cs="Times New Roman" w:eastAsia="Times New Roman" w:hAnsi="Times New Roman"/>
          <w:sz w:val="14"/>
          <w:szCs w:val="14"/>
          <w:color w:val="auto"/>
        </w:rPr>
      </w:pPr>
    </w:p>
    <w:p>
      <w:pPr>
        <w:ind w:left="200" w:hanging="73"/>
        <w:spacing w:after="0"/>
        <w:tabs>
          <w:tab w:leader="none" w:pos="2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4.11Form of Guarantee of Debt Securities.*</w:t>
      </w:r>
    </w:p>
    <w:p>
      <w:pPr>
        <w:spacing w:after="0" w:line="96" w:lineRule="exact"/>
        <w:rPr>
          <w:rFonts w:ascii="Times New Roman" w:cs="Times New Roman" w:eastAsia="Times New Roman" w:hAnsi="Times New Roman"/>
          <w:sz w:val="14"/>
          <w:szCs w:val="14"/>
          <w:color w:val="auto"/>
        </w:rPr>
      </w:pPr>
    </w:p>
    <w:p>
      <w:pPr>
        <w:ind w:left="200" w:hanging="73"/>
        <w:spacing w:after="0"/>
        <w:tabs>
          <w:tab w:leader="none" w:pos="2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4.12Form of Unit.*</w:t>
      </w:r>
    </w:p>
    <w:p>
      <w:pPr>
        <w:spacing w:after="0" w:line="96" w:lineRule="exact"/>
        <w:rPr>
          <w:rFonts w:ascii="Times New Roman" w:cs="Times New Roman" w:eastAsia="Times New Roman" w:hAnsi="Times New Roman"/>
          <w:sz w:val="14"/>
          <w:szCs w:val="14"/>
          <w:color w:val="auto"/>
        </w:rPr>
      </w:pPr>
    </w:p>
    <w:p>
      <w:pPr>
        <w:ind w:left="200" w:hanging="73"/>
        <w:spacing w:after="0"/>
        <w:tabs>
          <w:tab w:leader="none" w:pos="2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4.13Form of Unit Agreement.*</w:t>
      </w:r>
    </w:p>
    <w:p>
      <w:pPr>
        <w:spacing w:after="0" w:line="96" w:lineRule="exact"/>
        <w:rPr>
          <w:rFonts w:ascii="Times New Roman" w:cs="Times New Roman" w:eastAsia="Times New Roman" w:hAnsi="Times New Roman"/>
          <w:sz w:val="14"/>
          <w:szCs w:val="14"/>
          <w:color w:val="auto"/>
        </w:rPr>
      </w:pPr>
    </w:p>
    <w:p>
      <w:pPr>
        <w:ind w:left="200" w:hanging="73"/>
        <w:spacing w:after="0"/>
        <w:tabs>
          <w:tab w:leader="none" w:pos="2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5.1</w:t>
      </w:r>
      <w:r>
        <w:rPr>
          <w:rFonts w:ascii="Times New Roman" w:cs="Times New Roman" w:eastAsia="Times New Roman" w:hAnsi="Times New Roman"/>
          <w:sz w:val="14"/>
          <w:szCs w:val="14"/>
          <w:u w:val="single" w:color="auto"/>
          <w:color w:val="0000EE"/>
        </w:rPr>
        <w:t>Opinion of Akerman LLP.**</w:t>
      </w:r>
    </w:p>
    <w:p>
      <w:pPr>
        <w:spacing w:after="0" w:line="129"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II-20</w:t>
      </w:r>
    </w:p>
    <w:p>
      <w:pPr>
        <w:sectPr>
          <w:pgSz w:w="11900" w:h="16838" w:orient="portrait"/>
          <w:cols w:equalWidth="0" w:num="1">
            <w:col w:w="9019"/>
          </w:cols>
          <w:pgMar w:left="1440" w:top="239" w:right="1440" w:bottom="1440" w:gutter="0" w:footer="0" w:header="0"/>
        </w:sectPr>
      </w:pPr>
    </w:p>
    <w:bookmarkStart w:id="51" w:name="page52"/>
    <w:bookmarkEnd w:id="51"/>
    <w:p>
      <w:pPr>
        <w:ind w:left="180"/>
        <w:spacing w:after="0"/>
        <w:rPr>
          <w:sz w:val="20"/>
          <w:szCs w:val="20"/>
          <w:color w:val="auto"/>
        </w:rPr>
      </w:pPr>
      <w:r>
        <w:rPr>
          <w:rFonts w:ascii="Times New Roman" w:cs="Times New Roman" w:eastAsia="Times New Roman" w:hAnsi="Times New Roman"/>
          <w:sz w:val="11"/>
          <w:szCs w:val="11"/>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3">
                      <a:extLst>
                        <a:ext uri="{28A0092B-C50C-407E-A947-70E740481C1C}"/>
                      </a:extLst>
                    </a:blip>
                    <a:srcRect/>
                    <a:stretch>
                      <a:fillRect/>
                    </a:stretch>
                  </pic:blipFill>
                  <pic:spPr bwMode="auto">
                    <a:xfrm>
                      <a:off x="0" y="0"/>
                      <a:ext cx="7199630" cy="33020"/>
                    </a:xfrm>
                    <a:prstGeom prst="rect">
                      <a:avLst/>
                    </a:prstGeom>
                    <a:noFill/>
                  </pic:spPr>
                </pic:pic>
              </a:graphicData>
            </a:graphic>
          </wp:anchor>
        </w:drawing>
        <w:t>Exhibit</w:t>
      </w:r>
    </w:p>
    <w:p>
      <w:pPr>
        <w:spacing w:after="0" w:line="6" w:lineRule="exact"/>
        <w:rPr>
          <w:sz w:val="20"/>
          <w:szCs w:val="20"/>
          <w:color w:val="auto"/>
        </w:rPr>
      </w:pPr>
    </w:p>
    <w:p>
      <w:pPr>
        <w:ind w:left="260"/>
        <w:spacing w:after="0"/>
        <w:tabs>
          <w:tab w:leader="none" w:pos="900" w:val="left"/>
        </w:tabs>
        <w:rPr>
          <w:sz w:val="20"/>
          <w:szCs w:val="20"/>
          <w:color w:val="auto"/>
        </w:rPr>
      </w:pPr>
      <w:r>
        <w:rPr>
          <w:rFonts w:ascii="Times New Roman" w:cs="Times New Roman" w:eastAsia="Times New Roman" w:hAnsi="Times New Roman"/>
          <w:sz w:val="11"/>
          <w:szCs w:val="11"/>
          <w:b w:val="1"/>
          <w:bCs w:val="1"/>
          <w:color w:val="auto"/>
        </w:rPr>
        <w:t>No.</w:t>
      </w:r>
      <w:r>
        <w:rPr>
          <w:sz w:val="20"/>
          <w:szCs w:val="20"/>
          <w:color w:val="auto"/>
        </w:rPr>
        <w:tab/>
      </w:r>
      <w:r>
        <w:rPr>
          <w:rFonts w:ascii="Times New Roman" w:cs="Times New Roman" w:eastAsia="Times New Roman" w:hAnsi="Times New Roman"/>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5080</wp:posOffset>
            </wp:positionV>
            <wp:extent cx="5055235"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4">
                      <a:extLst>
                        <a:ext uri="{28A0092B-C50C-407E-A947-70E740481C1C}"/>
                      </a:extLst>
                    </a:blip>
                    <a:srcRect/>
                    <a:stretch>
                      <a:fillRect/>
                    </a:stretch>
                  </pic:blipFill>
                  <pic:spPr bwMode="auto">
                    <a:xfrm>
                      <a:off x="0" y="0"/>
                      <a:ext cx="5055235" cy="6985"/>
                    </a:xfrm>
                    <a:prstGeom prst="rect">
                      <a:avLst/>
                    </a:prstGeom>
                    <a:noFill/>
                  </pic:spPr>
                </pic:pic>
              </a:graphicData>
            </a:graphic>
          </wp:anchor>
        </w:drawing>
      </w:r>
    </w:p>
    <w:p>
      <w:pPr>
        <w:spacing w:after="0" w:line="59" w:lineRule="exact"/>
        <w:rPr>
          <w:sz w:val="20"/>
          <w:szCs w:val="20"/>
          <w:color w:val="auto"/>
        </w:rPr>
      </w:pPr>
    </w:p>
    <w:p>
      <w:pPr>
        <w:ind w:left="200" w:hanging="73"/>
        <w:spacing w:after="0"/>
        <w:tabs>
          <w:tab w:leader="none" w:pos="2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5.2</w:t>
      </w:r>
      <w:r>
        <w:rPr>
          <w:rFonts w:ascii="Times New Roman" w:cs="Times New Roman" w:eastAsia="Times New Roman" w:hAnsi="Times New Roman"/>
          <w:sz w:val="14"/>
          <w:szCs w:val="14"/>
          <w:u w:val="single" w:color="auto"/>
          <w:color w:val="0000EE"/>
        </w:rPr>
        <w:t>Opinion of Dorsey &amp; Whitney LLP, as to matters of Alaska law.**</w:t>
      </w:r>
    </w:p>
    <w:p>
      <w:pPr>
        <w:spacing w:after="0" w:line="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    5.3</w:t>
            </w:r>
          </w:p>
        </w:tc>
        <w:tc>
          <w:tcPr>
            <w:tcW w:w="46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color w:val="0000EE"/>
              </w:rPr>
              <w:t>Opinion of Hinckley, Allen &amp; Snyder LLP, as to matters of Massachusetts law.**</w:t>
            </w:r>
          </w:p>
        </w:tc>
      </w:tr>
      <w:tr>
        <w:trPr>
          <w:trHeight w:val="23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    5.4</w:t>
            </w:r>
          </w:p>
        </w:tc>
        <w:tc>
          <w:tcPr>
            <w:tcW w:w="4640" w:type="dxa"/>
            <w:vAlign w:val="bottom"/>
            <w:gridSpan w:val="2"/>
          </w:tcPr>
          <w:p>
            <w:pPr>
              <w:spacing w:after="0"/>
              <w:rPr>
                <w:sz w:val="20"/>
                <w:szCs w:val="20"/>
                <w:color w:val="auto"/>
              </w:rPr>
            </w:pPr>
            <w:r>
              <w:rPr>
                <w:rFonts w:ascii="Times New Roman" w:cs="Times New Roman" w:eastAsia="Times New Roman" w:hAnsi="Times New Roman"/>
                <w:sz w:val="14"/>
                <w:szCs w:val="14"/>
                <w:color w:val="0000EE"/>
              </w:rPr>
              <w:t>Opinion of Latsha Davis &amp; Marshall, P.C., as to matters of Pennsylvania law.**</w:t>
            </w:r>
          </w:p>
        </w:tc>
      </w:tr>
      <w:tr>
        <w:trPr>
          <w:trHeight w:val="20"/>
        </w:trPr>
        <w:tc>
          <w:tcPr>
            <w:tcW w:w="800" w:type="dxa"/>
            <w:vAlign w:val="bottom"/>
          </w:tcPr>
          <w:p>
            <w:pPr>
              <w:spacing w:after="0" w:line="20" w:lineRule="exact"/>
              <w:rPr>
                <w:sz w:val="1"/>
                <w:szCs w:val="1"/>
                <w:color w:val="auto"/>
              </w:rPr>
            </w:pPr>
          </w:p>
        </w:tc>
        <w:tc>
          <w:tcPr>
            <w:tcW w:w="4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3" w:lineRule="exact"/>
        <w:rPr>
          <w:sz w:val="20"/>
          <w:szCs w:val="20"/>
          <w:color w:val="auto"/>
        </w:rPr>
      </w:pPr>
    </w:p>
    <w:p>
      <w:pPr>
        <w:ind w:left="200" w:hanging="73"/>
        <w:spacing w:after="0"/>
        <w:tabs>
          <w:tab w:leader="none" w:pos="2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5.5</w:t>
      </w:r>
      <w:r>
        <w:rPr>
          <w:rFonts w:ascii="Times New Roman" w:cs="Times New Roman" w:eastAsia="Times New Roman" w:hAnsi="Times New Roman"/>
          <w:sz w:val="14"/>
          <w:szCs w:val="14"/>
          <w:u w:val="single" w:color="auto"/>
          <w:color w:val="0000EE"/>
        </w:rPr>
        <w:t>Opinion of Holland &amp; Hart LLP, as to matters of Wyoming law.**</w:t>
      </w:r>
    </w:p>
    <w:p>
      <w:pPr>
        <w:spacing w:after="0" w:line="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  23.1</w:t>
            </w:r>
          </w:p>
        </w:tc>
        <w:tc>
          <w:tcPr>
            <w:tcW w:w="47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4"/>
                <w:szCs w:val="14"/>
                <w:color w:val="0000EE"/>
              </w:rPr>
              <w:t>Consent of Grant Thornton LLP, independent registered public accounting firm.**</w:t>
            </w:r>
          </w:p>
        </w:tc>
        <w:tc>
          <w:tcPr>
            <w:tcW w:w="2500" w:type="dxa"/>
            <w:vAlign w:val="bottom"/>
          </w:tcPr>
          <w:p>
            <w:pPr>
              <w:spacing w:after="0"/>
              <w:rPr>
                <w:sz w:val="13"/>
                <w:szCs w:val="13"/>
                <w:color w:val="auto"/>
              </w:rPr>
            </w:pPr>
          </w:p>
        </w:tc>
      </w:tr>
      <w:tr>
        <w:trPr>
          <w:trHeight w:val="238"/>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  23.2</w:t>
            </w:r>
          </w:p>
        </w:tc>
        <w:tc>
          <w:tcPr>
            <w:tcW w:w="35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4"/>
                <w:szCs w:val="14"/>
                <w:color w:val="0000EE"/>
              </w:rPr>
              <w:t>Consent of Akerman LLP (included in Exhibit 5.1 hereto).**</w:t>
            </w:r>
          </w:p>
        </w:tc>
        <w:tc>
          <w:tcPr>
            <w:tcW w:w="3720" w:type="dxa"/>
            <w:vAlign w:val="bottom"/>
            <w:gridSpan w:val="6"/>
          </w:tcPr>
          <w:p>
            <w:pPr>
              <w:spacing w:after="0"/>
              <w:rPr>
                <w:sz w:val="20"/>
                <w:szCs w:val="20"/>
                <w:color w:val="auto"/>
              </w:rPr>
            </w:pPr>
          </w:p>
        </w:tc>
      </w:tr>
      <w:tr>
        <w:trPr>
          <w:trHeight w:val="238"/>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  23.3</w:t>
            </w:r>
          </w:p>
        </w:tc>
        <w:tc>
          <w:tcPr>
            <w:tcW w:w="406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4"/>
                <w:szCs w:val="14"/>
                <w:color w:val="0000EE"/>
              </w:rPr>
              <w:t>Consent of Dorsey &amp; Whitney LLP (included in Exhibit 5.2 hereto).**</w:t>
            </w:r>
          </w:p>
        </w:tc>
        <w:tc>
          <w:tcPr>
            <w:tcW w:w="3160" w:type="dxa"/>
            <w:vAlign w:val="bottom"/>
            <w:gridSpan w:val="4"/>
          </w:tcPr>
          <w:p>
            <w:pPr>
              <w:spacing w:after="0"/>
              <w:rPr>
                <w:sz w:val="20"/>
                <w:szCs w:val="20"/>
                <w:color w:val="auto"/>
              </w:rPr>
            </w:pPr>
          </w:p>
        </w:tc>
      </w:tr>
      <w:tr>
        <w:trPr>
          <w:trHeight w:val="23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  23.4</w:t>
            </w:r>
          </w:p>
        </w:tc>
        <w:tc>
          <w:tcPr>
            <w:tcW w:w="446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4"/>
                <w:szCs w:val="14"/>
                <w:color w:val="0000EE"/>
              </w:rPr>
              <w:t>Consent of Hinckley, Allen &amp; Snyder LLP (included in Exhibit 5.3 hereto).**</w:t>
            </w:r>
          </w:p>
        </w:tc>
        <w:tc>
          <w:tcPr>
            <w:tcW w:w="2760" w:type="dxa"/>
            <w:vAlign w:val="bottom"/>
            <w:gridSpan w:val="2"/>
          </w:tcPr>
          <w:p>
            <w:pPr>
              <w:spacing w:after="0"/>
              <w:rPr>
                <w:sz w:val="20"/>
                <w:szCs w:val="20"/>
                <w:color w:val="auto"/>
              </w:rPr>
            </w:pPr>
          </w:p>
        </w:tc>
      </w:tr>
      <w:tr>
        <w:trPr>
          <w:trHeight w:val="238"/>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  23.5</w:t>
            </w:r>
          </w:p>
        </w:tc>
        <w:tc>
          <w:tcPr>
            <w:tcW w:w="44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4"/>
                <w:szCs w:val="14"/>
                <w:color w:val="0000EE"/>
              </w:rPr>
              <w:t>Consent of Latsha Davis &amp; Marshall, P.C. (included in Exhibit 5.4 hereto).**</w:t>
            </w:r>
          </w:p>
        </w:tc>
        <w:tc>
          <w:tcPr>
            <w:tcW w:w="2800" w:type="dxa"/>
            <w:vAlign w:val="bottom"/>
            <w:gridSpan w:val="3"/>
          </w:tcPr>
          <w:p>
            <w:pPr>
              <w:spacing w:after="0"/>
              <w:rPr>
                <w:sz w:val="20"/>
                <w:szCs w:val="20"/>
                <w:color w:val="auto"/>
              </w:rPr>
            </w:pPr>
          </w:p>
        </w:tc>
      </w:tr>
      <w:tr>
        <w:trPr>
          <w:trHeight w:val="23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  23.6</w:t>
            </w:r>
          </w:p>
        </w:tc>
        <w:tc>
          <w:tcPr>
            <w:tcW w:w="7220" w:type="dxa"/>
            <w:vAlign w:val="bottom"/>
            <w:gridSpan w:val="9"/>
          </w:tcPr>
          <w:p>
            <w:pPr>
              <w:spacing w:after="0"/>
              <w:rPr>
                <w:sz w:val="20"/>
                <w:szCs w:val="20"/>
                <w:color w:val="auto"/>
              </w:rPr>
            </w:pPr>
            <w:r>
              <w:rPr>
                <w:rFonts w:ascii="Times New Roman" w:cs="Times New Roman" w:eastAsia="Times New Roman" w:hAnsi="Times New Roman"/>
                <w:sz w:val="14"/>
                <w:szCs w:val="14"/>
                <w:color w:val="0000EE"/>
              </w:rPr>
              <w:t>Consent of Holland &amp; Hart LLP (included in Exhibit 5.5 hereto).**</w:t>
            </w:r>
          </w:p>
        </w:tc>
      </w:tr>
      <w:tr>
        <w:trPr>
          <w:trHeight w:val="238"/>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  24.1</w:t>
            </w:r>
          </w:p>
        </w:tc>
        <w:tc>
          <w:tcPr>
            <w:tcW w:w="336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color w:val="0000EE"/>
              </w:rPr>
              <w:t>Power of Attorney (included on signature pages hereto).**</w:t>
            </w:r>
          </w:p>
        </w:tc>
        <w:tc>
          <w:tcPr>
            <w:tcW w:w="500" w:type="dxa"/>
            <w:vAlign w:val="bottom"/>
            <w:tcBorders>
              <w:top w:val="single" w:sz="8" w:color="0000EE"/>
            </w:tcBorders>
            <w:gridSpan w:val="2"/>
          </w:tcPr>
          <w:p>
            <w:pPr>
              <w:spacing w:after="0"/>
              <w:rPr>
                <w:sz w:val="20"/>
                <w:szCs w:val="20"/>
                <w:color w:val="auto"/>
              </w:rPr>
            </w:pPr>
          </w:p>
        </w:tc>
        <w:tc>
          <w:tcPr>
            <w:tcW w:w="3360" w:type="dxa"/>
            <w:vAlign w:val="bottom"/>
            <w:gridSpan w:val="5"/>
          </w:tcPr>
          <w:p>
            <w:pPr>
              <w:spacing w:after="0"/>
              <w:rPr>
                <w:sz w:val="20"/>
                <w:szCs w:val="20"/>
                <w:color w:val="auto"/>
              </w:rPr>
            </w:pPr>
          </w:p>
        </w:tc>
      </w:tr>
      <w:tr>
        <w:trPr>
          <w:trHeight w:val="238"/>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  25.1</w:t>
            </w:r>
          </w:p>
        </w:tc>
        <w:tc>
          <w:tcPr>
            <w:tcW w:w="722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4"/>
                <w:szCs w:val="14"/>
                <w:color w:val="0000EE"/>
              </w:rPr>
              <w:t>Form T-1 Statement of Eligibility and Qualification under the Trust Indenture Act of 1939 for both Senior Debt Securities and</w:t>
            </w:r>
          </w:p>
        </w:tc>
      </w:tr>
      <w:tr>
        <w:trPr>
          <w:trHeight w:val="152"/>
        </w:trPr>
        <w:tc>
          <w:tcPr>
            <w:tcW w:w="800" w:type="dxa"/>
            <w:vAlign w:val="bottom"/>
          </w:tcPr>
          <w:p>
            <w:pPr>
              <w:spacing w:after="0"/>
              <w:rPr>
                <w:sz w:val="13"/>
                <w:szCs w:val="13"/>
                <w:color w:val="auto"/>
              </w:rPr>
            </w:pPr>
          </w:p>
        </w:tc>
        <w:tc>
          <w:tcPr>
            <w:tcW w:w="1860" w:type="dxa"/>
            <w:vAlign w:val="bottom"/>
            <w:tcBorders>
              <w:bottom w:val="single" w:sz="8" w:color="0000EE"/>
            </w:tcBorders>
          </w:tcPr>
          <w:p>
            <w:pPr>
              <w:spacing w:after="0" w:line="152" w:lineRule="exact"/>
              <w:rPr>
                <w:sz w:val="20"/>
                <w:szCs w:val="20"/>
                <w:color w:val="auto"/>
              </w:rPr>
            </w:pPr>
            <w:r>
              <w:rPr>
                <w:rFonts w:ascii="Times New Roman" w:cs="Times New Roman" w:eastAsia="Times New Roman" w:hAnsi="Times New Roman"/>
                <w:sz w:val="14"/>
                <w:szCs w:val="14"/>
                <w:color w:val="0000EE"/>
              </w:rPr>
              <w:t>Subordinated Debt Securities.**</w:t>
            </w:r>
          </w:p>
        </w:tc>
        <w:tc>
          <w:tcPr>
            <w:tcW w:w="5360" w:type="dxa"/>
            <w:vAlign w:val="bottom"/>
            <w:gridSpan w:val="8"/>
          </w:tcPr>
          <w:p>
            <w:pPr>
              <w:spacing w:after="0"/>
              <w:rPr>
                <w:sz w:val="13"/>
                <w:szCs w:val="13"/>
                <w:color w:val="auto"/>
              </w:rPr>
            </w:pPr>
          </w:p>
        </w:tc>
      </w:tr>
    </w:tbl>
    <w:p>
      <w:pPr>
        <w:spacing w:after="0" w:line="93" w:lineRule="exact"/>
        <w:rPr>
          <w:sz w:val="20"/>
          <w:szCs w:val="20"/>
          <w:color w:val="auto"/>
        </w:rPr>
      </w:pPr>
    </w:p>
    <w:p>
      <w:pPr>
        <w:ind w:left="920" w:hanging="793"/>
        <w:spacing w:after="0"/>
        <w:tabs>
          <w:tab w:leader="none" w:pos="9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EE"/>
        </w:rPr>
        <w:t>Calculation of Filing Fee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90805</wp:posOffset>
            </wp:positionV>
            <wp:extent cx="606425"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5">
                      <a:extLst>
                        <a:ext uri="{28A0092B-C50C-407E-A947-70E740481C1C}"/>
                      </a:extLst>
                    </a:blip>
                    <a:srcRect/>
                    <a:stretch>
                      <a:fillRect/>
                    </a:stretch>
                  </pic:blipFill>
                  <pic:spPr bwMode="auto">
                    <a:xfrm>
                      <a:off x="0" y="0"/>
                      <a:ext cx="606425" cy="6985"/>
                    </a:xfrm>
                    <a:prstGeom prst="rect">
                      <a:avLst/>
                    </a:prstGeom>
                    <a:noFill/>
                  </pic:spPr>
                </pic:pic>
              </a:graphicData>
            </a:graphic>
          </wp:anchor>
        </w:drawing>
      </w:r>
    </w:p>
    <w:p>
      <w:pPr>
        <w:spacing w:after="0" w:line="141" w:lineRule="exact"/>
        <w:rPr>
          <w:sz w:val="20"/>
          <w:szCs w:val="20"/>
          <w:color w:val="auto"/>
        </w:rPr>
      </w:pPr>
    </w:p>
    <w:p>
      <w:pPr>
        <w:ind w:left="460" w:right="279" w:hanging="333"/>
        <w:spacing w:after="0" w:line="266" w:lineRule="auto"/>
        <w:tabs>
          <w:tab w:leader="none" w:pos="4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filed by post-effective amendment, as applicable, or as an exhibit to a report filed under the Securities Exchange Act of 1934, as amended, and incorporated herein by reference.</w:t>
      </w:r>
    </w:p>
    <w:p>
      <w:pPr>
        <w:ind w:left="460" w:hanging="333"/>
        <w:spacing w:after="0"/>
        <w:tabs>
          <w:tab w:leader="none" w:pos="4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283" w:lineRule="exact"/>
        <w:rPr>
          <w:sz w:val="20"/>
          <w:szCs w:val="20"/>
          <w:color w:val="auto"/>
        </w:rPr>
      </w:pPr>
    </w:p>
    <w:p>
      <w:pPr>
        <w:ind w:left="120"/>
        <w:spacing w:after="0"/>
        <w:tabs>
          <w:tab w:leader="none" w:pos="880" w:val="left"/>
        </w:tabs>
        <w:rPr>
          <w:sz w:val="20"/>
          <w:szCs w:val="20"/>
          <w:color w:val="auto"/>
        </w:rPr>
      </w:pPr>
      <w:r>
        <w:rPr>
          <w:rFonts w:ascii="Times New Roman" w:cs="Times New Roman" w:eastAsia="Times New Roman" w:hAnsi="Times New Roman"/>
          <w:sz w:val="14"/>
          <w:szCs w:val="14"/>
          <w:b w:val="1"/>
          <w:bCs w:val="1"/>
          <w:color w:val="auto"/>
        </w:rPr>
        <w:t>Item 17.</w:t>
      </w:r>
      <w:r>
        <w:rPr>
          <w:sz w:val="20"/>
          <w:szCs w:val="20"/>
          <w:color w:val="auto"/>
        </w:rPr>
        <w:tab/>
      </w:r>
      <w:r>
        <w:rPr>
          <w:rFonts w:ascii="Times New Roman" w:cs="Times New Roman" w:eastAsia="Times New Roman" w:hAnsi="Times New Roman"/>
          <w:sz w:val="14"/>
          <w:szCs w:val="14"/>
          <w:b w:val="1"/>
          <w:bCs w:val="1"/>
          <w:i w:val="1"/>
          <w:iCs w:val="1"/>
          <w:color w:val="auto"/>
        </w:rPr>
        <w:t>Undertakings</w:t>
      </w:r>
      <w:r>
        <w:rPr>
          <w:rFonts w:ascii="Times New Roman" w:cs="Times New Roman" w:eastAsia="Times New Roman" w:hAnsi="Times New Roman"/>
          <w:sz w:val="14"/>
          <w:szCs w:val="14"/>
          <w:b w:val="1"/>
          <w:bCs w:val="1"/>
          <w:color w:val="auto"/>
        </w:rPr>
        <w:t>.</w:t>
      </w:r>
    </w:p>
    <w:p>
      <w:pPr>
        <w:spacing w:after="0" w:line="101" w:lineRule="exact"/>
        <w:rPr>
          <w:sz w:val="20"/>
          <w:szCs w:val="20"/>
          <w:color w:val="auto"/>
        </w:rPr>
      </w:pPr>
    </w:p>
    <w:p>
      <w:pPr>
        <w:ind w:left="1100" w:hanging="186"/>
        <w:spacing w:after="0"/>
        <w:tabs>
          <w:tab w:leader="none" w:pos="11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w:t>
      </w:r>
    </w:p>
    <w:p>
      <w:pPr>
        <w:spacing w:after="0" w:line="107" w:lineRule="exact"/>
        <w:rPr>
          <w:rFonts w:ascii="Times New Roman" w:cs="Times New Roman" w:eastAsia="Times New Roman" w:hAnsi="Times New Roman"/>
          <w:sz w:val="14"/>
          <w:szCs w:val="14"/>
          <w:color w:val="auto"/>
        </w:rPr>
      </w:pPr>
    </w:p>
    <w:p>
      <w:pPr>
        <w:ind w:left="1700" w:hanging="436"/>
        <w:spacing w:after="0"/>
        <w:tabs>
          <w:tab w:leader="none" w:pos="1700" w:val="left"/>
        </w:tabs>
        <w:numPr>
          <w:ilvl w:val="1"/>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during any period in which offers or sales are being made, a post-effective amendment to this registration statement:</w:t>
      </w:r>
    </w:p>
    <w:p>
      <w:pPr>
        <w:spacing w:after="0" w:line="107" w:lineRule="exact"/>
        <w:rPr>
          <w:rFonts w:ascii="Times New Roman" w:cs="Times New Roman" w:eastAsia="Times New Roman" w:hAnsi="Times New Roman"/>
          <w:sz w:val="14"/>
          <w:szCs w:val="14"/>
          <w:color w:val="auto"/>
        </w:rPr>
      </w:pPr>
    </w:p>
    <w:p>
      <w:pPr>
        <w:ind w:left="2040" w:hanging="347"/>
        <w:spacing w:after="0"/>
        <w:tabs>
          <w:tab w:leader="none" w:pos="2040" w:val="left"/>
        </w:tabs>
        <w:numPr>
          <w:ilvl w:val="2"/>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prospectus required by Section 10(a)(3) of the Securities Act;</w:t>
      </w:r>
    </w:p>
    <w:p>
      <w:pPr>
        <w:spacing w:after="0" w:line="107" w:lineRule="exact"/>
        <w:rPr>
          <w:rFonts w:ascii="Times New Roman" w:cs="Times New Roman" w:eastAsia="Times New Roman" w:hAnsi="Times New Roman"/>
          <w:sz w:val="14"/>
          <w:szCs w:val="14"/>
          <w:color w:val="auto"/>
        </w:rPr>
      </w:pPr>
    </w:p>
    <w:p>
      <w:pPr>
        <w:ind w:left="2040" w:right="239" w:hanging="347"/>
        <w:spacing w:after="0" w:line="260" w:lineRule="auto"/>
        <w:tabs>
          <w:tab w:leader="none" w:pos="2040" w:val="left"/>
        </w:tabs>
        <w:numPr>
          <w:ilvl w:val="2"/>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change in the maximum aggregate offering price set forth in the “Calculation of Filing Fee Tables” or “Calculation of Registration Fee” table, as applicable, in the effective registration statement; and</w:t>
      </w:r>
    </w:p>
    <w:p>
      <w:pPr>
        <w:spacing w:after="0" w:line="246" w:lineRule="exact"/>
        <w:rPr>
          <w:rFonts w:ascii="Times New Roman" w:cs="Times New Roman" w:eastAsia="Times New Roman" w:hAnsi="Times New Roman"/>
          <w:sz w:val="14"/>
          <w:szCs w:val="14"/>
          <w:color w:val="auto"/>
        </w:rPr>
      </w:pPr>
    </w:p>
    <w:p>
      <w:pPr>
        <w:ind w:left="2040" w:right="259" w:hanging="347"/>
        <w:spacing w:after="0" w:line="292" w:lineRule="auto"/>
        <w:tabs>
          <w:tab w:leader="none" w:pos="2040" w:val="left"/>
        </w:tabs>
        <w:numPr>
          <w:ilvl w:val="2"/>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II-21</w:t>
      </w:r>
    </w:p>
    <w:p>
      <w:pPr>
        <w:sectPr>
          <w:pgSz w:w="11900" w:h="16838" w:orient="portrait"/>
          <w:cols w:equalWidth="0" w:num="1">
            <w:col w:w="9019"/>
          </w:cols>
          <w:pgMar w:left="1440" w:top="238" w:right="1440" w:bottom="1440" w:gutter="0" w:footer="0" w:header="0"/>
        </w:sectPr>
      </w:pPr>
    </w:p>
    <w:bookmarkStart w:id="52" w:name="page53"/>
    <w:bookmarkEnd w:id="52"/>
    <w:p>
      <w:pPr>
        <w:ind w:left="1700" w:right="239"/>
        <w:spacing w:after="0" w:line="26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6">
                      <a:extLst>
                        <a:ext uri="{28A0092B-C50C-407E-A947-70E740481C1C}"/>
                      </a:extLst>
                    </a:blip>
                    <a:srcRect/>
                    <a:stretch>
                      <a:fillRect/>
                    </a:stretch>
                  </pic:blipFill>
                  <pic:spPr bwMode="auto">
                    <a:xfrm>
                      <a:off x="0" y="0"/>
                      <a:ext cx="7199630" cy="33020"/>
                    </a:xfrm>
                    <a:prstGeom prst="rect">
                      <a:avLst/>
                    </a:prstGeom>
                    <a:noFill/>
                  </pic:spPr>
                </pic:pic>
              </a:graphicData>
            </a:graphic>
          </wp:anchor>
        </w:drawing>
        <w:t>provided, however, that paragraphs (i), (ii) and (iii) of this Section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the registration statement, or is contained in a form of prospectus filed pursuant to Rule 424(b) that is part of the registration statement.</w:t>
      </w:r>
    </w:p>
    <w:p>
      <w:pPr>
        <w:spacing w:after="0" w:line="64" w:lineRule="exact"/>
        <w:rPr>
          <w:sz w:val="20"/>
          <w:szCs w:val="20"/>
          <w:color w:val="auto"/>
        </w:rPr>
      </w:pPr>
    </w:p>
    <w:p>
      <w:pPr>
        <w:ind w:left="1700" w:right="239" w:hanging="436"/>
        <w:spacing w:after="0" w:line="274" w:lineRule="auto"/>
        <w:tabs>
          <w:tab w:leader="none" w:pos="17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60" w:lineRule="exact"/>
        <w:rPr>
          <w:rFonts w:ascii="Times New Roman" w:cs="Times New Roman" w:eastAsia="Times New Roman" w:hAnsi="Times New Roman"/>
          <w:sz w:val="14"/>
          <w:szCs w:val="14"/>
          <w:color w:val="auto"/>
        </w:rPr>
      </w:pPr>
    </w:p>
    <w:p>
      <w:pPr>
        <w:ind w:left="1700" w:right="399" w:hanging="436"/>
        <w:spacing w:after="0" w:line="292" w:lineRule="auto"/>
        <w:tabs>
          <w:tab w:leader="none" w:pos="17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remove from registration by means of a post-effective amendment any of the securities being registered which remain unsold at the termination of the offering.</w:t>
      </w:r>
    </w:p>
    <w:p>
      <w:pPr>
        <w:spacing w:after="0" w:line="48" w:lineRule="exact"/>
        <w:rPr>
          <w:rFonts w:ascii="Times New Roman" w:cs="Times New Roman" w:eastAsia="Times New Roman" w:hAnsi="Times New Roman"/>
          <w:sz w:val="14"/>
          <w:szCs w:val="14"/>
          <w:color w:val="auto"/>
        </w:rPr>
      </w:pPr>
    </w:p>
    <w:p>
      <w:pPr>
        <w:ind w:left="1700" w:hanging="436"/>
        <w:spacing w:after="0"/>
        <w:tabs>
          <w:tab w:leader="none" w:pos="17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under the Securities Act to any purchaser:</w:t>
      </w:r>
    </w:p>
    <w:p>
      <w:pPr>
        <w:spacing w:after="0" w:line="107" w:lineRule="exact"/>
        <w:rPr>
          <w:rFonts w:ascii="Times New Roman" w:cs="Times New Roman" w:eastAsia="Times New Roman" w:hAnsi="Times New Roman"/>
          <w:sz w:val="14"/>
          <w:szCs w:val="14"/>
          <w:color w:val="auto"/>
        </w:rPr>
      </w:pPr>
    </w:p>
    <w:p>
      <w:pPr>
        <w:jc w:val="both"/>
        <w:ind w:left="2040" w:right="599" w:hanging="347"/>
        <w:spacing w:after="0" w:line="292" w:lineRule="auto"/>
        <w:tabs>
          <w:tab w:leader="none" w:pos="2040" w:val="left"/>
        </w:tabs>
        <w:numPr>
          <w:ilvl w:val="1"/>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filed by the registrant pursuant to Rule 424(b)(3) shall be deemed to be part of this registration statement as of the date the filed prospectus was deemed part of and included in this registration statement; and</w:t>
      </w:r>
    </w:p>
    <w:p>
      <w:pPr>
        <w:spacing w:after="0" w:line="48" w:lineRule="exact"/>
        <w:rPr>
          <w:rFonts w:ascii="Times New Roman" w:cs="Times New Roman" w:eastAsia="Times New Roman" w:hAnsi="Times New Roman"/>
          <w:sz w:val="14"/>
          <w:szCs w:val="14"/>
          <w:color w:val="auto"/>
        </w:rPr>
      </w:pPr>
    </w:p>
    <w:p>
      <w:pPr>
        <w:ind w:left="2040" w:right="159" w:hanging="347"/>
        <w:spacing w:after="0" w:line="258" w:lineRule="auto"/>
        <w:tabs>
          <w:tab w:leader="none" w:pos="2040" w:val="left"/>
        </w:tabs>
        <w:numPr>
          <w:ilvl w:val="1"/>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this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the prospectus relates, and the offering of such securities at that time shall be deemed to be the initial </w:t>
      </w:r>
      <w:r>
        <w:rPr>
          <w:rFonts w:ascii="Times New Roman" w:cs="Times New Roman" w:eastAsia="Times New Roman" w:hAnsi="Times New Roman"/>
          <w:sz w:val="14"/>
          <w:szCs w:val="14"/>
          <w:i w:val="1"/>
          <w:iCs w:val="1"/>
          <w:color w:val="auto"/>
        </w:rPr>
        <w:t>bona fide</w:t>
      </w:r>
      <w:r>
        <w:rPr>
          <w:rFonts w:ascii="Times New Roman" w:cs="Times New Roman" w:eastAsia="Times New Roman" w:hAnsi="Times New Roman"/>
          <w:sz w:val="14"/>
          <w:szCs w:val="14"/>
          <w:color w:val="auto"/>
        </w:rPr>
        <w:t xml:space="preserv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78" w:lineRule="exact"/>
        <w:rPr>
          <w:rFonts w:ascii="Times New Roman" w:cs="Times New Roman" w:eastAsia="Times New Roman" w:hAnsi="Times New Roman"/>
          <w:sz w:val="14"/>
          <w:szCs w:val="14"/>
          <w:color w:val="auto"/>
        </w:rPr>
      </w:pPr>
    </w:p>
    <w:p>
      <w:pPr>
        <w:ind w:left="1700" w:right="199" w:hanging="436"/>
        <w:spacing w:after="0" w:line="264" w:lineRule="auto"/>
        <w:tabs>
          <w:tab w:leader="none" w:pos="17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241" w:lineRule="exact"/>
        <w:rPr>
          <w:rFonts w:ascii="Times New Roman" w:cs="Times New Roman" w:eastAsia="Times New Roman" w:hAnsi="Times New Roman"/>
          <w:sz w:val="14"/>
          <w:szCs w:val="14"/>
          <w:color w:val="auto"/>
        </w:rPr>
      </w:pPr>
    </w:p>
    <w:p>
      <w:pPr>
        <w:ind w:left="2040" w:right="459" w:hanging="347"/>
        <w:spacing w:after="0" w:line="292" w:lineRule="auto"/>
        <w:tabs>
          <w:tab w:leader="none" w:pos="2040" w:val="left"/>
        </w:tabs>
        <w:numPr>
          <w:ilvl w:val="1"/>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preliminary prospectus or prospectus of the undersigned registrant relating to the offering required to be filed pursuant to Rule 424;</w:t>
      </w:r>
    </w:p>
    <w:p>
      <w:pPr>
        <w:spacing w:after="0" w:line="48" w:lineRule="exact"/>
        <w:rPr>
          <w:rFonts w:ascii="Times New Roman" w:cs="Times New Roman" w:eastAsia="Times New Roman" w:hAnsi="Times New Roman"/>
          <w:sz w:val="14"/>
          <w:szCs w:val="14"/>
          <w:color w:val="auto"/>
        </w:rPr>
      </w:pPr>
    </w:p>
    <w:p>
      <w:pPr>
        <w:ind w:left="2040" w:right="339" w:hanging="347"/>
        <w:spacing w:after="0" w:line="292" w:lineRule="auto"/>
        <w:tabs>
          <w:tab w:leader="none" w:pos="2040" w:val="left"/>
        </w:tabs>
        <w:numPr>
          <w:ilvl w:val="1"/>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free writing prospectus relating to the offering prepared by or on behalf of the undersigned registrant or used or referred to by the undersigned registrant;</w:t>
      </w:r>
    </w:p>
    <w:p>
      <w:pPr>
        <w:spacing w:after="0" w:line="48" w:lineRule="exact"/>
        <w:rPr>
          <w:rFonts w:ascii="Times New Roman" w:cs="Times New Roman" w:eastAsia="Times New Roman" w:hAnsi="Times New Roman"/>
          <w:sz w:val="14"/>
          <w:szCs w:val="14"/>
          <w:color w:val="auto"/>
        </w:rPr>
      </w:pPr>
    </w:p>
    <w:p>
      <w:pPr>
        <w:ind w:left="2040" w:right="479" w:hanging="347"/>
        <w:spacing w:after="0" w:line="292" w:lineRule="auto"/>
        <w:tabs>
          <w:tab w:leader="none" w:pos="2040" w:val="left"/>
        </w:tabs>
        <w:numPr>
          <w:ilvl w:val="1"/>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any other free writing prospectus relating to the offering containing material information about the undersigned registrant or its securities provided by or on behalf of the undersigned registrant; and</w:t>
      </w:r>
    </w:p>
    <w:p>
      <w:pPr>
        <w:spacing w:after="0" w:line="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II-22</w:t>
      </w:r>
    </w:p>
    <w:p>
      <w:pPr>
        <w:sectPr>
          <w:pgSz w:w="11900" w:h="16838" w:orient="portrait"/>
          <w:cols w:equalWidth="0" w:num="1">
            <w:col w:w="9019"/>
          </w:cols>
          <w:pgMar w:left="1440" w:top="243" w:right="1440" w:bottom="1440" w:gutter="0" w:footer="0" w:header="0"/>
        </w:sectPr>
      </w:pPr>
    </w:p>
    <w:bookmarkStart w:id="53" w:name="page54"/>
    <w:bookmarkEnd w:id="53"/>
    <w:p>
      <w:pPr>
        <w:ind w:left="2040" w:hanging="347"/>
        <w:spacing w:after="0"/>
        <w:tabs>
          <w:tab w:leader="none" w:pos="2040" w:val="left"/>
        </w:tabs>
        <w:numPr>
          <w:ilvl w:val="1"/>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7">
                      <a:extLst>
                        <a:ext uri="{28A0092B-C50C-407E-A947-70E740481C1C}"/>
                      </a:extLst>
                    </a:blip>
                    <a:srcRect/>
                    <a:stretch>
                      <a:fillRect/>
                    </a:stretch>
                  </pic:blipFill>
                  <pic:spPr bwMode="auto">
                    <a:xfrm>
                      <a:off x="0" y="0"/>
                      <a:ext cx="7199630" cy="33020"/>
                    </a:xfrm>
                    <a:prstGeom prst="rect">
                      <a:avLst/>
                    </a:prstGeom>
                    <a:noFill/>
                  </pic:spPr>
                </pic:pic>
              </a:graphicData>
            </a:graphic>
          </wp:anchor>
        </w:drawing>
        <w:t>Any other communication that is an offer in the offering made by the undersigned registrant to the purchaser.</w:t>
      </w:r>
    </w:p>
    <w:p>
      <w:pPr>
        <w:spacing w:after="0" w:line="107" w:lineRule="exact"/>
        <w:rPr>
          <w:rFonts w:ascii="Times New Roman" w:cs="Times New Roman" w:eastAsia="Times New Roman" w:hAnsi="Times New Roman"/>
          <w:sz w:val="14"/>
          <w:szCs w:val="14"/>
          <w:color w:val="auto"/>
        </w:rPr>
      </w:pPr>
    </w:p>
    <w:p>
      <w:pPr>
        <w:ind w:left="1260" w:right="239" w:hanging="350"/>
        <w:spacing w:after="0" w:line="265" w:lineRule="auto"/>
        <w:tabs>
          <w:tab w:leader="none" w:pos="12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66" w:lineRule="exact"/>
        <w:rPr>
          <w:rFonts w:ascii="Times New Roman" w:cs="Times New Roman" w:eastAsia="Times New Roman" w:hAnsi="Times New Roman"/>
          <w:sz w:val="14"/>
          <w:szCs w:val="14"/>
          <w:color w:val="auto"/>
        </w:rPr>
      </w:pPr>
    </w:p>
    <w:p>
      <w:pPr>
        <w:ind w:left="1260" w:right="159" w:hanging="350"/>
        <w:spacing w:after="0" w:line="260" w:lineRule="auto"/>
        <w:tabs>
          <w:tab w:leader="none" w:pos="12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71" w:lineRule="exact"/>
        <w:rPr>
          <w:rFonts w:ascii="Times New Roman" w:cs="Times New Roman" w:eastAsia="Times New Roman" w:hAnsi="Times New Roman"/>
          <w:sz w:val="14"/>
          <w:szCs w:val="14"/>
          <w:color w:val="auto"/>
        </w:rPr>
      </w:pPr>
    </w:p>
    <w:p>
      <w:pPr>
        <w:ind w:left="1260" w:right="219" w:hanging="350"/>
        <w:spacing w:after="0" w:line="274" w:lineRule="auto"/>
        <w:tabs>
          <w:tab w:leader="none" w:pos="12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 to file an application for the purpose of determining the eligibility of the trustee to act under subsection (a) of Section 310 of the Trust Indenture Act in accordance with the rules and regulations prescribed by the Commission under Section 305(b)(2) of the Trust Indenture Act.</w:t>
      </w:r>
    </w:p>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II-23</w:t>
      </w:r>
    </w:p>
    <w:p>
      <w:pPr>
        <w:sectPr>
          <w:pgSz w:w="11900" w:h="16838" w:orient="portrait"/>
          <w:cols w:equalWidth="0" w:num="1">
            <w:col w:w="9019"/>
          </w:cols>
          <w:pgMar w:left="1440" w:top="243" w:right="1440" w:bottom="1440" w:gutter="0" w:footer="0" w:header="0"/>
        </w:sectPr>
      </w:pPr>
    </w:p>
    <w:bookmarkStart w:id="54" w:name="page55"/>
    <w:bookmarkEnd w:id="5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8">
                      <a:extLst>
                        <a:ext uri="{28A0092B-C50C-407E-A947-70E740481C1C}"/>
                      </a:extLst>
                    </a:blip>
                    <a:srcRect/>
                    <a:stretch>
                      <a:fillRect/>
                    </a:stretch>
                  </pic:blipFill>
                  <pic:spPr bwMode="auto">
                    <a:xfrm>
                      <a:off x="0" y="0"/>
                      <a:ext cx="7199630" cy="33020"/>
                    </a:xfrm>
                    <a:prstGeom prst="rect">
                      <a:avLst/>
                    </a:prstGeom>
                    <a:noFill/>
                  </pic:spPr>
                </pic:pic>
              </a:graphicData>
            </a:graphic>
          </wp:anchor>
        </w:drawing>
        <w:t>SIGNATURES</w:t>
      </w:r>
    </w:p>
    <w:p>
      <w:pPr>
        <w:spacing w:after="0" w:line="184" w:lineRule="exact"/>
        <w:rPr>
          <w:sz w:val="20"/>
          <w:szCs w:val="20"/>
          <w:color w:val="auto"/>
        </w:rPr>
      </w:pPr>
    </w:p>
    <w:p>
      <w:pPr>
        <w:ind w:left="120" w:right="299" w:firstLine="350"/>
        <w:spacing w:after="0" w:line="274"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Boca Raton, State of Florida, on the 30th day of October, 2026.</w:t>
      </w:r>
    </w:p>
    <w:p>
      <w:pPr>
        <w:spacing w:after="0" w:line="155"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b w:val="1"/>
          <w:bCs w:val="1"/>
          <w:color w:val="auto"/>
        </w:rPr>
        <w:t>THE GEO GROUP, INC.</w:t>
      </w:r>
    </w:p>
    <w:p>
      <w:pPr>
        <w:spacing w:after="0" w:line="18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/s/ Shayn P. March</w:t>
      </w:r>
    </w:p>
    <w:p>
      <w:pPr>
        <w:spacing w:after="0" w:line="2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3422015</wp:posOffset>
            </wp:positionH>
            <wp:positionV relativeFrom="paragraph">
              <wp:posOffset>-100965</wp:posOffset>
            </wp:positionV>
            <wp:extent cx="2221230"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9">
                      <a:extLst>
                        <a:ext uri="{28A0092B-C50C-407E-A947-70E740481C1C}"/>
                      </a:extLst>
                    </a:blip>
                    <a:srcRect/>
                    <a:stretch>
                      <a:fillRect/>
                    </a:stretch>
                  </pic:blipFill>
                  <pic:spPr bwMode="auto">
                    <a:xfrm>
                      <a:off x="0" y="0"/>
                      <a:ext cx="2221230" cy="6985"/>
                    </a:xfrm>
                    <a:prstGeom prst="rect">
                      <a:avLst/>
                    </a:prstGeom>
                    <a:noFill/>
                  </pic:spPr>
                </pic:pic>
              </a:graphicData>
            </a:graphic>
          </wp:anchor>
        </w:drawing>
      </w:r>
    </w:p>
    <w:p>
      <w:pPr>
        <w:spacing w:after="0" w:line="1"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Senior Vice President, Chief Financial Officer and Treasurer</w:t>
      </w:r>
    </w:p>
    <w:p>
      <w:pPr>
        <w:spacing w:after="0" w:line="167" w:lineRule="exact"/>
        <w:rPr>
          <w:sz w:val="20"/>
          <w:szCs w:val="20"/>
          <w:color w:val="auto"/>
        </w:rPr>
      </w:pPr>
    </w:p>
    <w:p>
      <w:pPr>
        <w:ind w:left="120" w:right="199" w:firstLine="350"/>
        <w:spacing w:after="0" w:line="261" w:lineRule="auto"/>
        <w:rPr>
          <w:sz w:val="20"/>
          <w:szCs w:val="20"/>
          <w:color w:val="auto"/>
        </w:rPr>
      </w:pPr>
      <w:r>
        <w:rPr>
          <w:rFonts w:ascii="Times New Roman" w:cs="Times New Roman" w:eastAsia="Times New Roman" w:hAnsi="Times New Roman"/>
          <w:sz w:val="14"/>
          <w:szCs w:val="14"/>
          <w:b w:val="1"/>
          <w:bCs w:val="1"/>
          <w:color w:val="auto"/>
        </w:rPr>
        <w:t>KNOWN ALL MEN BY THESE PRESENTS</w:t>
      </w:r>
      <w:r>
        <w:rPr>
          <w:rFonts w:ascii="Times New Roman" w:cs="Times New Roman" w:eastAsia="Times New Roman" w:hAnsi="Times New Roman"/>
          <w:sz w:val="14"/>
          <w:szCs w:val="14"/>
          <w:color w:val="auto"/>
        </w:rPr>
        <w:t>, that each person whose signature appears below hereby constitutes and appoints Shayn P.</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March, Senior Vice President, Chief Financial Officer and Treasurer and Scott A. Schipma, Senior Vice President, General Counsel and Corporate Secretary, and each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146" w:lineRule="exact"/>
        <w:rPr>
          <w:sz w:val="20"/>
          <w:szCs w:val="20"/>
          <w:color w:val="auto"/>
        </w:rPr>
      </w:pPr>
    </w:p>
    <w:p>
      <w:pPr>
        <w:ind w:left="120" w:right="319" w:firstLine="350"/>
        <w:spacing w:after="0" w:line="292"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and on the dates indicated:</w:t>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254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00" w:type="dxa"/>
            <w:vAlign w:val="bottom"/>
          </w:tcPr>
          <w:p>
            <w:pPr>
              <w:spacing w:after="0"/>
              <w:rPr>
                <w:sz w:val="12"/>
                <w:szCs w:val="12"/>
                <w:color w:val="auto"/>
              </w:rPr>
            </w:pPr>
          </w:p>
        </w:tc>
        <w:tc>
          <w:tcPr>
            <w:tcW w:w="446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60" w:type="dxa"/>
            <w:vAlign w:val="bottom"/>
          </w:tcPr>
          <w:p>
            <w:pPr>
              <w:spacing w:after="0"/>
              <w:rPr>
                <w:sz w:val="12"/>
                <w:szCs w:val="12"/>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Date</w:t>
            </w:r>
          </w:p>
        </w:tc>
      </w:tr>
      <w:tr>
        <w:trPr>
          <w:trHeight w:val="323"/>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George C. Zoley</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Chairman and Chief Executive Officer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George C. Zoley</w:t>
            </w:r>
          </w:p>
        </w:tc>
        <w:tc>
          <w:tcPr>
            <w:tcW w:w="10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39"/>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Senior Vice President, Chief Financial Officer and Treasurer (Principal</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Financial Officer)</w:t>
            </w:r>
          </w:p>
        </w:tc>
        <w:tc>
          <w:tcPr>
            <w:tcW w:w="1480" w:type="dxa"/>
            <w:vAlign w:val="bottom"/>
          </w:tcPr>
          <w:p>
            <w:pPr>
              <w:spacing w:after="0"/>
              <w:rPr>
                <w:sz w:val="15"/>
                <w:szCs w:val="15"/>
                <w:color w:val="auto"/>
              </w:rPr>
            </w:pPr>
          </w:p>
        </w:tc>
      </w:tr>
      <w:tr>
        <w:trPr>
          <w:trHeight w:val="339"/>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Ronald A. Brack</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Executive Vice President, Chief Accounting Officer and Controller (Principal</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Ronald A. Brack</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Accounting Officer)</w:t>
            </w:r>
          </w:p>
        </w:tc>
        <w:tc>
          <w:tcPr>
            <w:tcW w:w="1480" w:type="dxa"/>
            <w:vAlign w:val="bottom"/>
          </w:tcPr>
          <w:p>
            <w:pPr>
              <w:spacing w:after="0"/>
              <w:rPr>
                <w:sz w:val="15"/>
                <w:szCs w:val="15"/>
                <w:color w:val="auto"/>
              </w:rPr>
            </w:pPr>
          </w:p>
        </w:tc>
      </w:tr>
      <w:tr>
        <w:trPr>
          <w:trHeight w:val="340"/>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Thomas C. Bartzokis</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Thomas C. Bartzokis</w:t>
            </w:r>
          </w:p>
        </w:tc>
        <w:tc>
          <w:tcPr>
            <w:tcW w:w="10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40"/>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Jack Brewer</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Jack Brewer</w:t>
            </w:r>
          </w:p>
        </w:tc>
        <w:tc>
          <w:tcPr>
            <w:tcW w:w="10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40"/>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Donna Arduin Kauranen</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Donna Arduin Kauranen</w:t>
            </w:r>
          </w:p>
        </w:tc>
        <w:tc>
          <w:tcPr>
            <w:tcW w:w="10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40"/>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Scott M. Kernan</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Scott M. Kernan</w:t>
            </w:r>
          </w:p>
        </w:tc>
        <w:tc>
          <w:tcPr>
            <w:tcW w:w="10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86"/>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20" w:type="dxa"/>
            <w:vAlign w:val="bottom"/>
            <w:gridSpan w:val="2"/>
          </w:tcPr>
          <w:p>
            <w:pPr>
              <w:ind w:left="1580"/>
              <w:spacing w:after="0"/>
              <w:rPr>
                <w:sz w:val="20"/>
                <w:szCs w:val="20"/>
                <w:color w:val="auto"/>
              </w:rPr>
            </w:pPr>
            <w:r>
              <w:rPr>
                <w:rFonts w:ascii="Times New Roman" w:cs="Times New Roman" w:eastAsia="Times New Roman" w:hAnsi="Times New Roman"/>
                <w:sz w:val="14"/>
                <w:szCs w:val="14"/>
                <w:color w:val="auto"/>
              </w:rPr>
              <w:t>II-24</w:t>
            </w:r>
          </w:p>
        </w:tc>
        <w:tc>
          <w:tcPr>
            <w:tcW w:w="1480" w:type="dxa"/>
            <w:vAlign w:val="bottom"/>
          </w:tcPr>
          <w:p>
            <w:pPr>
              <w:spacing w:after="0"/>
              <w:rPr>
                <w:sz w:val="24"/>
                <w:szCs w:val="24"/>
                <w:color w:val="auto"/>
              </w:rPr>
            </w:pPr>
          </w:p>
        </w:tc>
      </w:tr>
    </w:tbl>
    <w:p>
      <w:pPr>
        <w:sectPr>
          <w:pgSz w:w="11900" w:h="16838" w:orient="portrait"/>
          <w:cols w:equalWidth="0" w:num="1">
            <w:col w:w="9019"/>
          </w:cols>
          <w:pgMar w:left="1440" w:top="241" w:right="1440" w:bottom="1440" w:gutter="0" w:footer="0" w:header="0"/>
        </w:sectPr>
      </w:pPr>
    </w:p>
    <w:bookmarkStart w:id="55" w:name="page56"/>
    <w:bookmarkEnd w:id="5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0">
                      <a:extLst>
                        <a:ext uri="{28A0092B-C50C-407E-A947-70E740481C1C}"/>
                      </a:extLst>
                    </a:blip>
                    <a:srcRect/>
                    <a:stretch>
                      <a:fillRect/>
                    </a:stretch>
                  </pic:blipFill>
                  <pic:spPr bwMode="auto">
                    <a:xfrm>
                      <a:off x="0" y="0"/>
                      <a:ext cx="7199630" cy="33020"/>
                    </a:xfrm>
                    <a:prstGeom prst="rect">
                      <a:avLst/>
                    </a:prstGeom>
                    <a:noFill/>
                  </pic:spPr>
                </pic:pic>
              </a:graphicData>
            </a:graphic>
          </wp:anchor>
        </w:drawing>
      </w:r>
    </w:p>
    <w:tbl>
      <w:tblPr>
        <w:tblLayout w:type="fixed"/>
        <w:tblInd w:w="12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254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00" w:type="dxa"/>
            <w:vAlign w:val="bottom"/>
          </w:tcPr>
          <w:p>
            <w:pPr>
              <w:spacing w:after="0"/>
              <w:rPr>
                <w:sz w:val="12"/>
                <w:szCs w:val="12"/>
                <w:color w:val="auto"/>
              </w:rPr>
            </w:pPr>
          </w:p>
        </w:tc>
        <w:tc>
          <w:tcPr>
            <w:tcW w:w="446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60" w:type="dxa"/>
            <w:vAlign w:val="bottom"/>
          </w:tcPr>
          <w:p>
            <w:pPr>
              <w:spacing w:after="0"/>
              <w:rPr>
                <w:sz w:val="12"/>
                <w:szCs w:val="12"/>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Date</w:t>
            </w:r>
          </w:p>
        </w:tc>
      </w:tr>
      <w:tr>
        <w:trPr>
          <w:trHeight w:val="323"/>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Lindsay L. Koren</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Lindsay L. Koren</w:t>
            </w:r>
          </w:p>
        </w:tc>
        <w:tc>
          <w:tcPr>
            <w:tcW w:w="10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40"/>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Julie Myers Wood</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Julie Myers Wood</w:t>
            </w:r>
          </w:p>
        </w:tc>
        <w:tc>
          <w:tcPr>
            <w:tcW w:w="10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86"/>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20" w:type="dxa"/>
            <w:vAlign w:val="bottom"/>
            <w:gridSpan w:val="2"/>
          </w:tcPr>
          <w:p>
            <w:pPr>
              <w:ind w:left="1580"/>
              <w:spacing w:after="0"/>
              <w:rPr>
                <w:sz w:val="20"/>
                <w:szCs w:val="20"/>
                <w:color w:val="auto"/>
              </w:rPr>
            </w:pPr>
            <w:r>
              <w:rPr>
                <w:rFonts w:ascii="Times New Roman" w:cs="Times New Roman" w:eastAsia="Times New Roman" w:hAnsi="Times New Roman"/>
                <w:sz w:val="14"/>
                <w:szCs w:val="14"/>
                <w:color w:val="auto"/>
              </w:rPr>
              <w:t>II-25</w:t>
            </w:r>
          </w:p>
        </w:tc>
        <w:tc>
          <w:tcPr>
            <w:tcW w:w="1480" w:type="dxa"/>
            <w:vAlign w:val="bottom"/>
          </w:tcPr>
          <w:p>
            <w:pPr>
              <w:spacing w:after="0"/>
              <w:rPr>
                <w:sz w:val="24"/>
                <w:szCs w:val="24"/>
                <w:color w:val="auto"/>
              </w:rPr>
            </w:pPr>
          </w:p>
        </w:tc>
      </w:tr>
    </w:tbl>
    <w:p>
      <w:pPr>
        <w:sectPr>
          <w:pgSz w:w="11900" w:h="16838" w:orient="portrait"/>
          <w:cols w:equalWidth="0" w:num="1">
            <w:col w:w="9019"/>
          </w:cols>
          <w:pgMar w:left="1440" w:top="238" w:right="1440" w:bottom="1440" w:gutter="0" w:footer="0" w:header="0"/>
        </w:sectPr>
      </w:pPr>
    </w:p>
    <w:bookmarkStart w:id="56" w:name="page57"/>
    <w:bookmarkEnd w:id="56"/>
    <w:p>
      <w:pPr>
        <w:ind w:left="120" w:right="179" w:firstLine="350"/>
        <w:spacing w:after="0" w:line="29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1">
                      <a:extLst>
                        <a:ext uri="{28A0092B-C50C-407E-A947-70E740481C1C}"/>
                      </a:extLst>
                    </a:blip>
                    <a:srcRect/>
                    <a:stretch>
                      <a:fillRect/>
                    </a:stretch>
                  </pic:blipFill>
                  <pic:spPr bwMode="auto">
                    <a:xfrm>
                      <a:off x="0" y="0"/>
                      <a:ext cx="7199630" cy="33020"/>
                    </a:xfrm>
                    <a:prstGeom prst="rect">
                      <a:avLst/>
                    </a:prstGeom>
                    <a:noFill/>
                  </pic:spPr>
                </pic:pic>
              </a:graphicData>
            </a:graphic>
          </wp:anchor>
        </w:drawing>
        <w:t>Pursuant to the requirements of the Securities Act of 1933, the undersigned Registrant has duly caused this Registration Statement to be signed on its behalf by the undersigned, thereunto duly authorized, in the City of Boca Raton, State of Florida, on the 30th day of October, 2026.</w:t>
      </w:r>
    </w:p>
    <w:p>
      <w:pPr>
        <w:spacing w:after="0" w:line="14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b w:val="1"/>
          <w:bCs w:val="1"/>
          <w:color w:val="auto"/>
        </w:rPr>
        <w:t>ADAPPT, LLC</w:t>
      </w:r>
    </w:p>
    <w:p>
      <w:pPr>
        <w:spacing w:after="0" w:line="18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By: /s/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3606165</wp:posOffset>
            </wp:positionH>
            <wp:positionV relativeFrom="paragraph">
              <wp:posOffset>15875</wp:posOffset>
            </wp:positionV>
            <wp:extent cx="2037080" cy="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2">
                      <a:extLst>
                        <a:ext uri="{28A0092B-C50C-407E-A947-70E740481C1C}"/>
                      </a:extLst>
                    </a:blip>
                    <a:srcRect/>
                    <a:stretch>
                      <a:fillRect/>
                    </a:stretch>
                  </pic:blipFill>
                  <pic:spPr bwMode="auto">
                    <a:xfrm>
                      <a:off x="0" y="0"/>
                      <a:ext cx="2037080" cy="6985"/>
                    </a:xfrm>
                    <a:prstGeom prst="rect">
                      <a:avLst/>
                    </a:prstGeom>
                    <a:noFill/>
                  </pic:spPr>
                </pic:pic>
              </a:graphicData>
            </a:graphic>
          </wp:anchor>
        </w:drawing>
      </w:r>
    </w:p>
    <w:p>
      <w:pPr>
        <w:spacing w:after="0" w:line="1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Name: Shayn P. March</w:t>
      </w:r>
    </w:p>
    <w:p>
      <w:pPr>
        <w:spacing w:after="0" w:line="2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Title:  Vice President, Chief Financial Officer, Treasurer</w:t>
      </w:r>
    </w:p>
    <w:p>
      <w:pPr>
        <w:spacing w:after="0" w:line="11"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4"/>
          <w:szCs w:val="14"/>
          <w:color w:val="auto"/>
        </w:rPr>
        <w:t>and Manager</w:t>
      </w:r>
    </w:p>
    <w:p>
      <w:pPr>
        <w:spacing w:after="0" w:line="167" w:lineRule="exact"/>
        <w:rPr>
          <w:sz w:val="20"/>
          <w:szCs w:val="20"/>
          <w:color w:val="auto"/>
        </w:rPr>
      </w:pPr>
    </w:p>
    <w:p>
      <w:pPr>
        <w:ind w:left="120" w:right="239" w:firstLine="350"/>
        <w:spacing w:after="0" w:line="261" w:lineRule="auto"/>
        <w:rPr>
          <w:sz w:val="20"/>
          <w:szCs w:val="20"/>
          <w:color w:val="auto"/>
        </w:rPr>
      </w:pPr>
      <w:r>
        <w:rPr>
          <w:rFonts w:ascii="Times New Roman" w:cs="Times New Roman" w:eastAsia="Times New Roman" w:hAnsi="Times New Roman"/>
          <w:sz w:val="14"/>
          <w:szCs w:val="14"/>
          <w:b w:val="1"/>
          <w:bCs w:val="1"/>
          <w:color w:val="auto"/>
        </w:rPr>
        <w:t>KNOWN ALL MEN BY THESE PRESENTS</w:t>
      </w:r>
      <w:r>
        <w:rPr>
          <w:rFonts w:ascii="Times New Roman" w:cs="Times New Roman" w:eastAsia="Times New Roman" w:hAnsi="Times New Roman"/>
          <w:sz w:val="14"/>
          <w:szCs w:val="14"/>
          <w:color w:val="auto"/>
        </w:rPr>
        <w:t>, that each person whose signature appears below hereby constitutes and appoints Shayn P.</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March, Vice President, Chief Financial Officer and Treasurer, and Scott A. Schipma, Vice President and Secretary, and each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146" w:lineRule="exact"/>
        <w:rPr>
          <w:sz w:val="20"/>
          <w:szCs w:val="20"/>
          <w:color w:val="auto"/>
        </w:rPr>
      </w:pPr>
    </w:p>
    <w:p>
      <w:pPr>
        <w:ind w:left="120" w:right="239" w:firstLine="350"/>
        <w:spacing w:after="0" w:line="292"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and on the date indicated.</w:t>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254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00" w:type="dxa"/>
            <w:vAlign w:val="bottom"/>
          </w:tcPr>
          <w:p>
            <w:pPr>
              <w:spacing w:after="0"/>
              <w:rPr>
                <w:sz w:val="12"/>
                <w:szCs w:val="12"/>
                <w:color w:val="auto"/>
              </w:rPr>
            </w:pPr>
          </w:p>
        </w:tc>
        <w:tc>
          <w:tcPr>
            <w:tcW w:w="446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60" w:type="dxa"/>
            <w:vAlign w:val="bottom"/>
          </w:tcPr>
          <w:p>
            <w:pPr>
              <w:spacing w:after="0"/>
              <w:rPr>
                <w:sz w:val="12"/>
                <w:szCs w:val="12"/>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Date</w:t>
            </w:r>
          </w:p>
        </w:tc>
      </w:tr>
      <w:tr>
        <w:trPr>
          <w:trHeight w:val="322"/>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George C. Zoley</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Chairman, Chief Executive Officer and Manager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George C. Zoley</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480" w:type="dxa"/>
            <w:vAlign w:val="bottom"/>
          </w:tcPr>
          <w:p>
            <w:pPr>
              <w:spacing w:after="0"/>
              <w:rPr>
                <w:sz w:val="15"/>
                <w:szCs w:val="15"/>
                <w:color w:val="auto"/>
              </w:rPr>
            </w:pPr>
          </w:p>
        </w:tc>
      </w:tr>
      <w:tr>
        <w:trPr>
          <w:trHeight w:val="339"/>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Chief Financial Officer, Treasurer and Manager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Financial and Accounting Officer)</w:t>
            </w:r>
          </w:p>
        </w:tc>
        <w:tc>
          <w:tcPr>
            <w:tcW w:w="1480" w:type="dxa"/>
            <w:vAlign w:val="bottom"/>
          </w:tcPr>
          <w:p>
            <w:pPr>
              <w:spacing w:after="0"/>
              <w:rPr>
                <w:sz w:val="15"/>
                <w:szCs w:val="15"/>
                <w:color w:val="auto"/>
              </w:rPr>
            </w:pPr>
          </w:p>
        </w:tc>
      </w:tr>
      <w:tr>
        <w:trPr>
          <w:trHeight w:val="340"/>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Scott A. Schipma</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Secretary and Manager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Scott A. Schipma</w:t>
            </w:r>
          </w:p>
        </w:tc>
        <w:tc>
          <w:tcPr>
            <w:tcW w:w="10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39"/>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Chief Financial Officer, Treasurer and Director of</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CiviGenics, Inc., the Sole Member of ADAPPT, LLC</w:t>
            </w:r>
          </w:p>
        </w:tc>
        <w:tc>
          <w:tcPr>
            <w:tcW w:w="1480" w:type="dxa"/>
            <w:vAlign w:val="bottom"/>
          </w:tcPr>
          <w:p>
            <w:pPr>
              <w:spacing w:after="0"/>
              <w:rPr>
                <w:sz w:val="15"/>
                <w:szCs w:val="15"/>
                <w:color w:val="auto"/>
              </w:rPr>
            </w:pPr>
          </w:p>
        </w:tc>
      </w:tr>
      <w:tr>
        <w:trPr>
          <w:trHeight w:val="286"/>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20" w:type="dxa"/>
            <w:vAlign w:val="bottom"/>
            <w:gridSpan w:val="2"/>
          </w:tcPr>
          <w:p>
            <w:pPr>
              <w:ind w:left="1580"/>
              <w:spacing w:after="0"/>
              <w:rPr>
                <w:sz w:val="20"/>
                <w:szCs w:val="20"/>
                <w:color w:val="auto"/>
              </w:rPr>
            </w:pPr>
            <w:r>
              <w:rPr>
                <w:rFonts w:ascii="Times New Roman" w:cs="Times New Roman" w:eastAsia="Times New Roman" w:hAnsi="Times New Roman"/>
                <w:sz w:val="14"/>
                <w:szCs w:val="14"/>
                <w:color w:val="auto"/>
              </w:rPr>
              <w:t>II-26</w:t>
            </w:r>
          </w:p>
        </w:tc>
        <w:tc>
          <w:tcPr>
            <w:tcW w:w="1480" w:type="dxa"/>
            <w:vAlign w:val="bottom"/>
          </w:tcPr>
          <w:p>
            <w:pPr>
              <w:spacing w:after="0"/>
              <w:rPr>
                <w:sz w:val="24"/>
                <w:szCs w:val="24"/>
                <w:color w:val="auto"/>
              </w:rPr>
            </w:pPr>
          </w:p>
        </w:tc>
      </w:tr>
    </w:tbl>
    <w:p>
      <w:pPr>
        <w:sectPr>
          <w:pgSz w:w="11900" w:h="16838" w:orient="portrait"/>
          <w:cols w:equalWidth="0" w:num="1">
            <w:col w:w="9019"/>
          </w:cols>
          <w:pgMar w:left="1440" w:top="243" w:right="1440" w:bottom="1440" w:gutter="0" w:footer="0" w:header="0"/>
        </w:sectPr>
      </w:pPr>
    </w:p>
    <w:bookmarkStart w:id="57" w:name="page58"/>
    <w:bookmarkEnd w:id="57"/>
    <w:p>
      <w:pPr>
        <w:ind w:left="120" w:right="179" w:firstLine="350"/>
        <w:spacing w:after="0" w:line="29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3">
                      <a:extLst>
                        <a:ext uri="{28A0092B-C50C-407E-A947-70E740481C1C}"/>
                      </a:extLst>
                    </a:blip>
                    <a:srcRect/>
                    <a:stretch>
                      <a:fillRect/>
                    </a:stretch>
                  </pic:blipFill>
                  <pic:spPr bwMode="auto">
                    <a:xfrm>
                      <a:off x="0" y="0"/>
                      <a:ext cx="7199630" cy="33020"/>
                    </a:xfrm>
                    <a:prstGeom prst="rect">
                      <a:avLst/>
                    </a:prstGeom>
                    <a:noFill/>
                  </pic:spPr>
                </pic:pic>
              </a:graphicData>
            </a:graphic>
          </wp:anchor>
        </w:drawing>
        <w:t>Pursuant to the requirements of the Securities Act of 1933, the undersigned Registrant has duly caused this Registration Statement to be signed on its behalf by the undersigned, thereunto duly authorized, in the City of Boca Raton, State of Florida, on the 30th day of October, 2026.</w:t>
      </w:r>
    </w:p>
    <w:p>
      <w:pPr>
        <w:spacing w:after="0" w:line="14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b w:val="1"/>
          <w:bCs w:val="1"/>
          <w:color w:val="auto"/>
        </w:rPr>
        <w:t>Arapahoe County Residential Center, LLC</w:t>
      </w:r>
    </w:p>
    <w:p>
      <w:pPr>
        <w:spacing w:after="0" w:line="18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By: /s/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3606165</wp:posOffset>
            </wp:positionH>
            <wp:positionV relativeFrom="paragraph">
              <wp:posOffset>15875</wp:posOffset>
            </wp:positionV>
            <wp:extent cx="2037080" cy="6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4">
                      <a:extLst>
                        <a:ext uri="{28A0092B-C50C-407E-A947-70E740481C1C}"/>
                      </a:extLst>
                    </a:blip>
                    <a:srcRect/>
                    <a:stretch>
                      <a:fillRect/>
                    </a:stretch>
                  </pic:blipFill>
                  <pic:spPr bwMode="auto">
                    <a:xfrm>
                      <a:off x="0" y="0"/>
                      <a:ext cx="2037080" cy="6985"/>
                    </a:xfrm>
                    <a:prstGeom prst="rect">
                      <a:avLst/>
                    </a:prstGeom>
                    <a:noFill/>
                  </pic:spPr>
                </pic:pic>
              </a:graphicData>
            </a:graphic>
          </wp:anchor>
        </w:drawing>
      </w:r>
    </w:p>
    <w:p>
      <w:pPr>
        <w:spacing w:after="0" w:line="1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Name: Shayn P. March</w:t>
      </w:r>
    </w:p>
    <w:p>
      <w:pPr>
        <w:spacing w:after="0" w:line="2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Title:  Vice President, Chief Financial Officer, Treasurer</w:t>
      </w:r>
    </w:p>
    <w:p>
      <w:pPr>
        <w:spacing w:after="0" w:line="11"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4"/>
          <w:szCs w:val="14"/>
          <w:color w:val="auto"/>
        </w:rPr>
        <w:t>and Manager</w:t>
      </w:r>
    </w:p>
    <w:p>
      <w:pPr>
        <w:spacing w:after="0" w:line="167" w:lineRule="exact"/>
        <w:rPr>
          <w:sz w:val="20"/>
          <w:szCs w:val="20"/>
          <w:color w:val="auto"/>
        </w:rPr>
      </w:pPr>
    </w:p>
    <w:p>
      <w:pPr>
        <w:ind w:left="120" w:right="239" w:firstLine="350"/>
        <w:spacing w:after="0" w:line="261" w:lineRule="auto"/>
        <w:rPr>
          <w:sz w:val="20"/>
          <w:szCs w:val="20"/>
          <w:color w:val="auto"/>
        </w:rPr>
      </w:pPr>
      <w:r>
        <w:rPr>
          <w:rFonts w:ascii="Times New Roman" w:cs="Times New Roman" w:eastAsia="Times New Roman" w:hAnsi="Times New Roman"/>
          <w:sz w:val="14"/>
          <w:szCs w:val="14"/>
          <w:b w:val="1"/>
          <w:bCs w:val="1"/>
          <w:color w:val="auto"/>
        </w:rPr>
        <w:t>KNOWN ALL MEN BY THESE PRESENTS</w:t>
      </w:r>
      <w:r>
        <w:rPr>
          <w:rFonts w:ascii="Times New Roman" w:cs="Times New Roman" w:eastAsia="Times New Roman" w:hAnsi="Times New Roman"/>
          <w:sz w:val="14"/>
          <w:szCs w:val="14"/>
          <w:color w:val="auto"/>
        </w:rPr>
        <w:t>, that each person whose signature appears below hereby constitutes and appoints Shayn P.</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March, Vice President, Chief Financial Officer and Treasurer, and Scott A. Schipma, Vice President and Secretary, and each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146" w:lineRule="exact"/>
        <w:rPr>
          <w:sz w:val="20"/>
          <w:szCs w:val="20"/>
          <w:color w:val="auto"/>
        </w:rPr>
      </w:pPr>
    </w:p>
    <w:p>
      <w:pPr>
        <w:ind w:left="120" w:right="239" w:firstLine="350"/>
        <w:spacing w:after="0" w:line="292"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and on the date indicated.</w:t>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254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00" w:type="dxa"/>
            <w:vAlign w:val="bottom"/>
          </w:tcPr>
          <w:p>
            <w:pPr>
              <w:spacing w:after="0"/>
              <w:rPr>
                <w:sz w:val="12"/>
                <w:szCs w:val="12"/>
                <w:color w:val="auto"/>
              </w:rPr>
            </w:pPr>
          </w:p>
        </w:tc>
        <w:tc>
          <w:tcPr>
            <w:tcW w:w="446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60" w:type="dxa"/>
            <w:vAlign w:val="bottom"/>
          </w:tcPr>
          <w:p>
            <w:pPr>
              <w:spacing w:after="0"/>
              <w:rPr>
                <w:sz w:val="12"/>
                <w:szCs w:val="12"/>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Date</w:t>
            </w:r>
          </w:p>
        </w:tc>
      </w:tr>
      <w:tr>
        <w:trPr>
          <w:trHeight w:val="322"/>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George C. Zoley</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Chairman and Manager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George C. Zoley</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480" w:type="dxa"/>
            <w:vAlign w:val="bottom"/>
          </w:tcPr>
          <w:p>
            <w:pPr>
              <w:spacing w:after="0"/>
              <w:rPr>
                <w:sz w:val="15"/>
                <w:szCs w:val="15"/>
                <w:color w:val="auto"/>
              </w:rPr>
            </w:pPr>
          </w:p>
        </w:tc>
      </w:tr>
      <w:tr>
        <w:trPr>
          <w:trHeight w:val="339"/>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Chief Financial Officer, Treasurer and Manager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Financial and Accounting Officer)</w:t>
            </w:r>
          </w:p>
        </w:tc>
        <w:tc>
          <w:tcPr>
            <w:tcW w:w="1480" w:type="dxa"/>
            <w:vAlign w:val="bottom"/>
          </w:tcPr>
          <w:p>
            <w:pPr>
              <w:spacing w:after="0"/>
              <w:rPr>
                <w:sz w:val="15"/>
                <w:szCs w:val="15"/>
                <w:color w:val="auto"/>
              </w:rPr>
            </w:pPr>
          </w:p>
        </w:tc>
      </w:tr>
      <w:tr>
        <w:trPr>
          <w:trHeight w:val="340"/>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Scott A. Schipma</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Secretary and Manager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Scott A. Schipma</w:t>
            </w:r>
          </w:p>
        </w:tc>
        <w:tc>
          <w:tcPr>
            <w:tcW w:w="10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39"/>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Chief Financial Officer, Treasurer and Director of</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38"/>
        </w:trPr>
        <w:tc>
          <w:tcPr>
            <w:tcW w:w="2560" w:type="dxa"/>
            <w:vAlign w:val="bottom"/>
            <w:gridSpan w:val="2"/>
          </w:tcPr>
          <w:p>
            <w:pPr>
              <w:spacing w:after="0" w:line="138" w:lineRule="exact"/>
              <w:rPr>
                <w:sz w:val="20"/>
                <w:szCs w:val="20"/>
                <w:color w:val="auto"/>
              </w:rPr>
            </w:pPr>
            <w:r>
              <w:rPr>
                <w:rFonts w:ascii="Times New Roman" w:cs="Times New Roman" w:eastAsia="Times New Roman" w:hAnsi="Times New Roman"/>
                <w:sz w:val="14"/>
                <w:szCs w:val="14"/>
                <w:color w:val="auto"/>
              </w:rPr>
              <w:t>Shayn P. March</w:t>
            </w:r>
          </w:p>
        </w:tc>
        <w:tc>
          <w:tcPr>
            <w:tcW w:w="4720" w:type="dxa"/>
            <w:vAlign w:val="bottom"/>
            <w:gridSpan w:val="3"/>
          </w:tcPr>
          <w:p>
            <w:pPr>
              <w:ind w:left="80"/>
              <w:spacing w:after="0" w:line="138" w:lineRule="exact"/>
              <w:rPr>
                <w:sz w:val="20"/>
                <w:szCs w:val="20"/>
                <w:color w:val="auto"/>
              </w:rPr>
            </w:pPr>
            <w:r>
              <w:rPr>
                <w:rFonts w:ascii="Times New Roman" w:cs="Times New Roman" w:eastAsia="Times New Roman" w:hAnsi="Times New Roman"/>
                <w:sz w:val="14"/>
                <w:szCs w:val="14"/>
                <w:color w:val="auto"/>
              </w:rPr>
              <w:t>CiviGenics, Inc., the Sole Member of Community Corrections, LLC, the Sole</w:t>
            </w:r>
          </w:p>
        </w:tc>
        <w:tc>
          <w:tcPr>
            <w:tcW w:w="1480" w:type="dxa"/>
            <w:vAlign w:val="bottom"/>
          </w:tcPr>
          <w:p>
            <w:pPr>
              <w:spacing w:after="0"/>
              <w:rPr>
                <w:sz w:val="11"/>
                <w:szCs w:val="11"/>
                <w:color w:val="auto"/>
              </w:rPr>
            </w:pPr>
          </w:p>
        </w:tc>
      </w:tr>
      <w:tr>
        <w:trPr>
          <w:trHeight w:val="185"/>
        </w:trPr>
        <w:tc>
          <w:tcPr>
            <w:tcW w:w="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Member of Arapahoe County Residential Center, LLC</w:t>
            </w:r>
          </w:p>
        </w:tc>
        <w:tc>
          <w:tcPr>
            <w:tcW w:w="1480" w:type="dxa"/>
            <w:vAlign w:val="bottom"/>
          </w:tcPr>
          <w:p>
            <w:pPr>
              <w:spacing w:after="0"/>
              <w:rPr>
                <w:sz w:val="16"/>
                <w:szCs w:val="16"/>
                <w:color w:val="auto"/>
              </w:rPr>
            </w:pPr>
          </w:p>
        </w:tc>
      </w:tr>
      <w:tr>
        <w:trPr>
          <w:trHeight w:val="290"/>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20" w:type="dxa"/>
            <w:vAlign w:val="bottom"/>
            <w:gridSpan w:val="2"/>
          </w:tcPr>
          <w:p>
            <w:pPr>
              <w:ind w:left="1580"/>
              <w:spacing w:after="0"/>
              <w:rPr>
                <w:sz w:val="20"/>
                <w:szCs w:val="20"/>
                <w:color w:val="auto"/>
              </w:rPr>
            </w:pPr>
            <w:r>
              <w:rPr>
                <w:rFonts w:ascii="Times New Roman" w:cs="Times New Roman" w:eastAsia="Times New Roman" w:hAnsi="Times New Roman"/>
                <w:sz w:val="14"/>
                <w:szCs w:val="14"/>
                <w:color w:val="auto"/>
              </w:rPr>
              <w:t>II-27</w:t>
            </w:r>
          </w:p>
        </w:tc>
        <w:tc>
          <w:tcPr>
            <w:tcW w:w="1480" w:type="dxa"/>
            <w:vAlign w:val="bottom"/>
          </w:tcPr>
          <w:p>
            <w:pPr>
              <w:spacing w:after="0"/>
              <w:rPr>
                <w:sz w:val="24"/>
                <w:szCs w:val="24"/>
                <w:color w:val="auto"/>
              </w:rPr>
            </w:pPr>
          </w:p>
        </w:tc>
      </w:tr>
    </w:tbl>
    <w:p>
      <w:pPr>
        <w:sectPr>
          <w:pgSz w:w="11900" w:h="16838" w:orient="portrait"/>
          <w:cols w:equalWidth="0" w:num="1">
            <w:col w:w="9019"/>
          </w:cols>
          <w:pgMar w:left="1440" w:top="243" w:right="1440" w:bottom="1440" w:gutter="0" w:footer="0" w:header="0"/>
        </w:sectPr>
      </w:pPr>
    </w:p>
    <w:bookmarkStart w:id="58" w:name="page59"/>
    <w:bookmarkEnd w:id="58"/>
    <w:p>
      <w:pPr>
        <w:ind w:left="120" w:right="179" w:firstLine="350"/>
        <w:spacing w:after="0" w:line="29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5">
                      <a:extLst>
                        <a:ext uri="{28A0092B-C50C-407E-A947-70E740481C1C}"/>
                      </a:extLst>
                    </a:blip>
                    <a:srcRect/>
                    <a:stretch>
                      <a:fillRect/>
                    </a:stretch>
                  </pic:blipFill>
                  <pic:spPr bwMode="auto">
                    <a:xfrm>
                      <a:off x="0" y="0"/>
                      <a:ext cx="7199630" cy="33020"/>
                    </a:xfrm>
                    <a:prstGeom prst="rect">
                      <a:avLst/>
                    </a:prstGeom>
                    <a:noFill/>
                  </pic:spPr>
                </pic:pic>
              </a:graphicData>
            </a:graphic>
          </wp:anchor>
        </w:drawing>
        <w:t>Pursuant to the requirements of the Securities Act of 1933, the undersigned Registrant has duly caused this Registration Statement to be signed on its behalf by the undersigned, thereunto duly authorized, in the City of Boca Raton, State of Florida, on the 30th day of October, 2026.</w:t>
      </w:r>
    </w:p>
    <w:p>
      <w:pPr>
        <w:spacing w:after="0" w:line="14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b w:val="1"/>
          <w:bCs w:val="1"/>
          <w:color w:val="auto"/>
        </w:rPr>
        <w:t>B.I. Incorporated</w:t>
      </w:r>
    </w:p>
    <w:p>
      <w:pPr>
        <w:spacing w:after="0" w:line="18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By: /s/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3606165</wp:posOffset>
            </wp:positionH>
            <wp:positionV relativeFrom="paragraph">
              <wp:posOffset>15875</wp:posOffset>
            </wp:positionV>
            <wp:extent cx="2037080"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6">
                      <a:extLst>
                        <a:ext uri="{28A0092B-C50C-407E-A947-70E740481C1C}"/>
                      </a:extLst>
                    </a:blip>
                    <a:srcRect/>
                    <a:stretch>
                      <a:fillRect/>
                    </a:stretch>
                  </pic:blipFill>
                  <pic:spPr bwMode="auto">
                    <a:xfrm>
                      <a:off x="0" y="0"/>
                      <a:ext cx="2037080" cy="6985"/>
                    </a:xfrm>
                    <a:prstGeom prst="rect">
                      <a:avLst/>
                    </a:prstGeom>
                    <a:noFill/>
                  </pic:spPr>
                </pic:pic>
              </a:graphicData>
            </a:graphic>
          </wp:anchor>
        </w:drawing>
      </w:r>
    </w:p>
    <w:p>
      <w:pPr>
        <w:spacing w:after="0" w:line="1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Name: Shayn P. March</w:t>
      </w:r>
    </w:p>
    <w:p>
      <w:pPr>
        <w:spacing w:after="0" w:line="2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Title:  Vice President, Treasurer and Director</w:t>
      </w:r>
    </w:p>
    <w:p>
      <w:pPr>
        <w:spacing w:after="0" w:line="167" w:lineRule="exact"/>
        <w:rPr>
          <w:sz w:val="20"/>
          <w:szCs w:val="20"/>
          <w:color w:val="auto"/>
        </w:rPr>
      </w:pPr>
    </w:p>
    <w:p>
      <w:pPr>
        <w:ind w:left="120" w:right="159" w:firstLine="350"/>
        <w:spacing w:after="0" w:line="261" w:lineRule="auto"/>
        <w:rPr>
          <w:sz w:val="20"/>
          <w:szCs w:val="20"/>
          <w:color w:val="auto"/>
        </w:rPr>
      </w:pPr>
      <w:r>
        <w:rPr>
          <w:rFonts w:ascii="Times New Roman" w:cs="Times New Roman" w:eastAsia="Times New Roman" w:hAnsi="Times New Roman"/>
          <w:sz w:val="14"/>
          <w:szCs w:val="14"/>
          <w:b w:val="1"/>
          <w:bCs w:val="1"/>
          <w:color w:val="auto"/>
        </w:rPr>
        <w:t>KNOWN ALL MEN BY THESE PRESENTS</w:t>
      </w:r>
      <w:r>
        <w:rPr>
          <w:rFonts w:ascii="Times New Roman" w:cs="Times New Roman" w:eastAsia="Times New Roman" w:hAnsi="Times New Roman"/>
          <w:sz w:val="14"/>
          <w:szCs w:val="14"/>
          <w:color w:val="auto"/>
        </w:rPr>
        <w:t>, that each person whose signature appears below hereby constitutes and appoints Shayn P.</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March, Vice President and Treasurer, and Scott A. Schipma, Vice President and Secretary, and each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146" w:lineRule="exact"/>
        <w:rPr>
          <w:sz w:val="20"/>
          <w:szCs w:val="20"/>
          <w:color w:val="auto"/>
        </w:rPr>
      </w:pPr>
    </w:p>
    <w:p>
      <w:pPr>
        <w:ind w:left="120" w:right="239" w:firstLine="350"/>
        <w:spacing w:after="0" w:line="292"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and on the date indicated.</w:t>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254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00" w:type="dxa"/>
            <w:vAlign w:val="bottom"/>
          </w:tcPr>
          <w:p>
            <w:pPr>
              <w:spacing w:after="0"/>
              <w:rPr>
                <w:sz w:val="12"/>
                <w:szCs w:val="12"/>
                <w:color w:val="auto"/>
              </w:rPr>
            </w:pPr>
          </w:p>
        </w:tc>
        <w:tc>
          <w:tcPr>
            <w:tcW w:w="446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60" w:type="dxa"/>
            <w:vAlign w:val="bottom"/>
          </w:tcPr>
          <w:p>
            <w:pPr>
              <w:spacing w:after="0"/>
              <w:rPr>
                <w:sz w:val="12"/>
                <w:szCs w:val="12"/>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Date</w:t>
            </w:r>
          </w:p>
        </w:tc>
      </w:tr>
      <w:tr>
        <w:trPr>
          <w:trHeight w:val="322"/>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George C. Zoley</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Chief Executive Officer and 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George C. Zoley</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480" w:type="dxa"/>
            <w:vAlign w:val="bottom"/>
          </w:tcPr>
          <w:p>
            <w:pPr>
              <w:spacing w:after="0"/>
              <w:rPr>
                <w:sz w:val="15"/>
                <w:szCs w:val="15"/>
                <w:color w:val="auto"/>
              </w:rPr>
            </w:pPr>
          </w:p>
        </w:tc>
      </w:tr>
      <w:tr>
        <w:trPr>
          <w:trHeight w:val="339"/>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Daniel Friend</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Chief Financial Officer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Daniel Friend</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Financial and Accounting Officer)</w:t>
            </w:r>
          </w:p>
        </w:tc>
        <w:tc>
          <w:tcPr>
            <w:tcW w:w="1480" w:type="dxa"/>
            <w:vAlign w:val="bottom"/>
          </w:tcPr>
          <w:p>
            <w:pPr>
              <w:spacing w:after="0"/>
              <w:rPr>
                <w:sz w:val="15"/>
                <w:szCs w:val="15"/>
                <w:color w:val="auto"/>
              </w:rPr>
            </w:pPr>
          </w:p>
        </w:tc>
      </w:tr>
      <w:tr>
        <w:trPr>
          <w:trHeight w:val="340"/>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Treasurer and 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Shayn P. March</w:t>
            </w:r>
          </w:p>
        </w:tc>
        <w:tc>
          <w:tcPr>
            <w:tcW w:w="10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40"/>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Scott A. Schipma</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Secretary and 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Scott A. Schipma</w:t>
            </w:r>
          </w:p>
        </w:tc>
        <w:tc>
          <w:tcPr>
            <w:tcW w:w="10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40"/>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David O. Meehan</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David O. Meehan</w:t>
            </w:r>
          </w:p>
        </w:tc>
        <w:tc>
          <w:tcPr>
            <w:tcW w:w="10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86"/>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20" w:type="dxa"/>
            <w:vAlign w:val="bottom"/>
            <w:gridSpan w:val="2"/>
          </w:tcPr>
          <w:p>
            <w:pPr>
              <w:ind w:left="1580"/>
              <w:spacing w:after="0"/>
              <w:rPr>
                <w:sz w:val="20"/>
                <w:szCs w:val="20"/>
                <w:color w:val="auto"/>
              </w:rPr>
            </w:pPr>
            <w:r>
              <w:rPr>
                <w:rFonts w:ascii="Times New Roman" w:cs="Times New Roman" w:eastAsia="Times New Roman" w:hAnsi="Times New Roman"/>
                <w:sz w:val="14"/>
                <w:szCs w:val="14"/>
                <w:color w:val="auto"/>
              </w:rPr>
              <w:t>II-28</w:t>
            </w:r>
          </w:p>
        </w:tc>
        <w:tc>
          <w:tcPr>
            <w:tcW w:w="1480" w:type="dxa"/>
            <w:vAlign w:val="bottom"/>
          </w:tcPr>
          <w:p>
            <w:pPr>
              <w:spacing w:after="0"/>
              <w:rPr>
                <w:sz w:val="24"/>
                <w:szCs w:val="24"/>
                <w:color w:val="auto"/>
              </w:rPr>
            </w:pPr>
          </w:p>
        </w:tc>
      </w:tr>
    </w:tbl>
    <w:p>
      <w:pPr>
        <w:sectPr>
          <w:pgSz w:w="11900" w:h="16838" w:orient="portrait"/>
          <w:cols w:equalWidth="0" w:num="1">
            <w:col w:w="9019"/>
          </w:cols>
          <w:pgMar w:left="1440" w:top="243" w:right="1440" w:bottom="1440" w:gutter="0" w:footer="0" w:header="0"/>
        </w:sectPr>
      </w:pPr>
    </w:p>
    <w:bookmarkStart w:id="59" w:name="page60"/>
    <w:bookmarkEnd w:id="59"/>
    <w:p>
      <w:pPr>
        <w:ind w:left="120" w:right="179" w:firstLine="350"/>
        <w:spacing w:after="0" w:line="29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7">
                      <a:extLst>
                        <a:ext uri="{28A0092B-C50C-407E-A947-70E740481C1C}"/>
                      </a:extLst>
                    </a:blip>
                    <a:srcRect/>
                    <a:stretch>
                      <a:fillRect/>
                    </a:stretch>
                  </pic:blipFill>
                  <pic:spPr bwMode="auto">
                    <a:xfrm>
                      <a:off x="0" y="0"/>
                      <a:ext cx="7199630" cy="33020"/>
                    </a:xfrm>
                    <a:prstGeom prst="rect">
                      <a:avLst/>
                    </a:prstGeom>
                    <a:noFill/>
                  </pic:spPr>
                </pic:pic>
              </a:graphicData>
            </a:graphic>
          </wp:anchor>
        </w:drawing>
        <w:t>Pursuant to the requirements of the Securities Act of 1933, the undersigned Registrant has duly caused this Registration Statement to be signed on its behalf by the undersigned, thereunto duly authorized, in the City of Boca Raton, State of Florida, on the 30th day of October, 2026.</w:t>
      </w:r>
    </w:p>
    <w:p>
      <w:pPr>
        <w:spacing w:after="0" w:line="14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b w:val="1"/>
          <w:bCs w:val="1"/>
          <w:color w:val="auto"/>
        </w:rPr>
        <w:t>Behavioral Acquisition Corp.</w:t>
      </w:r>
    </w:p>
    <w:p>
      <w:pPr>
        <w:spacing w:after="0" w:line="18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By: /s/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3606165</wp:posOffset>
            </wp:positionH>
            <wp:positionV relativeFrom="paragraph">
              <wp:posOffset>15875</wp:posOffset>
            </wp:positionV>
            <wp:extent cx="2037080"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8">
                      <a:extLst>
                        <a:ext uri="{28A0092B-C50C-407E-A947-70E740481C1C}"/>
                      </a:extLst>
                    </a:blip>
                    <a:srcRect/>
                    <a:stretch>
                      <a:fillRect/>
                    </a:stretch>
                  </pic:blipFill>
                  <pic:spPr bwMode="auto">
                    <a:xfrm>
                      <a:off x="0" y="0"/>
                      <a:ext cx="2037080" cy="6985"/>
                    </a:xfrm>
                    <a:prstGeom prst="rect">
                      <a:avLst/>
                    </a:prstGeom>
                    <a:noFill/>
                  </pic:spPr>
                </pic:pic>
              </a:graphicData>
            </a:graphic>
          </wp:anchor>
        </w:drawing>
      </w:r>
    </w:p>
    <w:p>
      <w:pPr>
        <w:spacing w:after="0" w:line="1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Name: Shayn P. March</w:t>
      </w:r>
    </w:p>
    <w:p>
      <w:pPr>
        <w:spacing w:after="0" w:line="2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Title:  Vice President, Treasurer and Director</w:t>
      </w:r>
    </w:p>
    <w:p>
      <w:pPr>
        <w:spacing w:after="0" w:line="167" w:lineRule="exact"/>
        <w:rPr>
          <w:sz w:val="20"/>
          <w:szCs w:val="20"/>
          <w:color w:val="auto"/>
        </w:rPr>
      </w:pPr>
    </w:p>
    <w:p>
      <w:pPr>
        <w:ind w:left="120" w:right="159" w:firstLine="350"/>
        <w:spacing w:after="0" w:line="261" w:lineRule="auto"/>
        <w:rPr>
          <w:sz w:val="20"/>
          <w:szCs w:val="20"/>
          <w:color w:val="auto"/>
        </w:rPr>
      </w:pPr>
      <w:r>
        <w:rPr>
          <w:rFonts w:ascii="Times New Roman" w:cs="Times New Roman" w:eastAsia="Times New Roman" w:hAnsi="Times New Roman"/>
          <w:sz w:val="14"/>
          <w:szCs w:val="14"/>
          <w:b w:val="1"/>
          <w:bCs w:val="1"/>
          <w:color w:val="auto"/>
        </w:rPr>
        <w:t>KNOWN ALL MEN BY THESE PRESENTS</w:t>
      </w:r>
      <w:r>
        <w:rPr>
          <w:rFonts w:ascii="Times New Roman" w:cs="Times New Roman" w:eastAsia="Times New Roman" w:hAnsi="Times New Roman"/>
          <w:sz w:val="14"/>
          <w:szCs w:val="14"/>
          <w:color w:val="auto"/>
        </w:rPr>
        <w:t>, that each person whose signature appears below hereby constitutes and appoints Shayn P.</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March, Vice President and Treasurer, and Scott A. Schipma, Vice President and Secretary, and each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146" w:lineRule="exact"/>
        <w:rPr>
          <w:sz w:val="20"/>
          <w:szCs w:val="20"/>
          <w:color w:val="auto"/>
        </w:rPr>
      </w:pPr>
    </w:p>
    <w:p>
      <w:pPr>
        <w:ind w:left="120" w:right="239" w:firstLine="350"/>
        <w:spacing w:after="0" w:line="292"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and on the date indicated.</w:t>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254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00" w:type="dxa"/>
            <w:vAlign w:val="bottom"/>
          </w:tcPr>
          <w:p>
            <w:pPr>
              <w:spacing w:after="0"/>
              <w:rPr>
                <w:sz w:val="12"/>
                <w:szCs w:val="12"/>
                <w:color w:val="auto"/>
              </w:rPr>
            </w:pPr>
          </w:p>
        </w:tc>
        <w:tc>
          <w:tcPr>
            <w:tcW w:w="446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60" w:type="dxa"/>
            <w:vAlign w:val="bottom"/>
          </w:tcPr>
          <w:p>
            <w:pPr>
              <w:spacing w:after="0"/>
              <w:rPr>
                <w:sz w:val="12"/>
                <w:szCs w:val="12"/>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Date</w:t>
            </w:r>
          </w:p>
        </w:tc>
      </w:tr>
      <w:tr>
        <w:trPr>
          <w:trHeight w:val="322"/>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George C. Zoley</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Chief Executive Officer and 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George C. Zoley</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480" w:type="dxa"/>
            <w:vAlign w:val="bottom"/>
          </w:tcPr>
          <w:p>
            <w:pPr>
              <w:spacing w:after="0"/>
              <w:rPr>
                <w:sz w:val="15"/>
                <w:szCs w:val="15"/>
                <w:color w:val="auto"/>
              </w:rPr>
            </w:pPr>
          </w:p>
        </w:tc>
      </w:tr>
      <w:tr>
        <w:trPr>
          <w:trHeight w:val="339"/>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Daniel Friend</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Chief Financial Officer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Daniel Friend</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Financial and Accounting Officer)</w:t>
            </w:r>
          </w:p>
        </w:tc>
        <w:tc>
          <w:tcPr>
            <w:tcW w:w="1480" w:type="dxa"/>
            <w:vAlign w:val="bottom"/>
          </w:tcPr>
          <w:p>
            <w:pPr>
              <w:spacing w:after="0"/>
              <w:rPr>
                <w:sz w:val="15"/>
                <w:szCs w:val="15"/>
                <w:color w:val="auto"/>
              </w:rPr>
            </w:pPr>
          </w:p>
        </w:tc>
      </w:tr>
      <w:tr>
        <w:trPr>
          <w:trHeight w:val="340"/>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Treasurer and 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Shayn P. March</w:t>
            </w:r>
          </w:p>
        </w:tc>
        <w:tc>
          <w:tcPr>
            <w:tcW w:w="10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40"/>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Scott A. Schipma</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Secretary and 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Scott A. Schipma</w:t>
            </w:r>
          </w:p>
        </w:tc>
        <w:tc>
          <w:tcPr>
            <w:tcW w:w="10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40"/>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David O. Meehan</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David O. Meehan</w:t>
            </w:r>
          </w:p>
        </w:tc>
        <w:tc>
          <w:tcPr>
            <w:tcW w:w="10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86"/>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20" w:type="dxa"/>
            <w:vAlign w:val="bottom"/>
            <w:gridSpan w:val="2"/>
          </w:tcPr>
          <w:p>
            <w:pPr>
              <w:ind w:left="1580"/>
              <w:spacing w:after="0"/>
              <w:rPr>
                <w:sz w:val="20"/>
                <w:szCs w:val="20"/>
                <w:color w:val="auto"/>
              </w:rPr>
            </w:pPr>
            <w:r>
              <w:rPr>
                <w:rFonts w:ascii="Times New Roman" w:cs="Times New Roman" w:eastAsia="Times New Roman" w:hAnsi="Times New Roman"/>
                <w:sz w:val="14"/>
                <w:szCs w:val="14"/>
                <w:color w:val="auto"/>
              </w:rPr>
              <w:t>II-29</w:t>
            </w:r>
          </w:p>
        </w:tc>
        <w:tc>
          <w:tcPr>
            <w:tcW w:w="1480" w:type="dxa"/>
            <w:vAlign w:val="bottom"/>
          </w:tcPr>
          <w:p>
            <w:pPr>
              <w:spacing w:after="0"/>
              <w:rPr>
                <w:sz w:val="24"/>
                <w:szCs w:val="24"/>
                <w:color w:val="auto"/>
              </w:rPr>
            </w:pPr>
          </w:p>
        </w:tc>
      </w:tr>
    </w:tbl>
    <w:p>
      <w:pPr>
        <w:sectPr>
          <w:pgSz w:w="11900" w:h="16838" w:orient="portrait"/>
          <w:cols w:equalWidth="0" w:num="1">
            <w:col w:w="9019"/>
          </w:cols>
          <w:pgMar w:left="1440" w:top="243" w:right="1440" w:bottom="1440" w:gutter="0" w:footer="0" w:header="0"/>
        </w:sectPr>
      </w:pPr>
    </w:p>
    <w:bookmarkStart w:id="60" w:name="page61"/>
    <w:bookmarkEnd w:id="60"/>
    <w:p>
      <w:pPr>
        <w:ind w:left="120" w:right="179" w:firstLine="350"/>
        <w:spacing w:after="0" w:line="29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9">
                      <a:extLst>
                        <a:ext uri="{28A0092B-C50C-407E-A947-70E740481C1C}"/>
                      </a:extLst>
                    </a:blip>
                    <a:srcRect/>
                    <a:stretch>
                      <a:fillRect/>
                    </a:stretch>
                  </pic:blipFill>
                  <pic:spPr bwMode="auto">
                    <a:xfrm>
                      <a:off x="0" y="0"/>
                      <a:ext cx="7199630" cy="33020"/>
                    </a:xfrm>
                    <a:prstGeom prst="rect">
                      <a:avLst/>
                    </a:prstGeom>
                    <a:noFill/>
                  </pic:spPr>
                </pic:pic>
              </a:graphicData>
            </a:graphic>
          </wp:anchor>
        </w:drawing>
        <w:t>Pursuant to the requirements of the Securities Act of 1933, the undersigned Registrant has duly caused this Registration Statement to be signed on its behalf by the undersigned, thereunto duly authorized, in the City of Boca Raton, State of Florida, on the 30th day of October, 2026.</w:t>
      </w:r>
    </w:p>
    <w:p>
      <w:pPr>
        <w:spacing w:after="0" w:line="14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b w:val="1"/>
          <w:bCs w:val="1"/>
          <w:color w:val="auto"/>
        </w:rPr>
        <w:t>Behavioral Holding Corp.</w:t>
      </w:r>
    </w:p>
    <w:p>
      <w:pPr>
        <w:spacing w:after="0" w:line="18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By: /s/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3606165</wp:posOffset>
            </wp:positionH>
            <wp:positionV relativeFrom="paragraph">
              <wp:posOffset>15875</wp:posOffset>
            </wp:positionV>
            <wp:extent cx="2037080"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0">
                      <a:extLst>
                        <a:ext uri="{28A0092B-C50C-407E-A947-70E740481C1C}"/>
                      </a:extLst>
                    </a:blip>
                    <a:srcRect/>
                    <a:stretch>
                      <a:fillRect/>
                    </a:stretch>
                  </pic:blipFill>
                  <pic:spPr bwMode="auto">
                    <a:xfrm>
                      <a:off x="0" y="0"/>
                      <a:ext cx="2037080" cy="6985"/>
                    </a:xfrm>
                    <a:prstGeom prst="rect">
                      <a:avLst/>
                    </a:prstGeom>
                    <a:noFill/>
                  </pic:spPr>
                </pic:pic>
              </a:graphicData>
            </a:graphic>
          </wp:anchor>
        </w:drawing>
      </w:r>
    </w:p>
    <w:p>
      <w:pPr>
        <w:spacing w:after="0" w:line="1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Name: Shayn P. March</w:t>
      </w:r>
    </w:p>
    <w:p>
      <w:pPr>
        <w:spacing w:after="0" w:line="2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Title:  Vice President, Treasurer and Director</w:t>
      </w:r>
    </w:p>
    <w:p>
      <w:pPr>
        <w:spacing w:after="0" w:line="167" w:lineRule="exact"/>
        <w:rPr>
          <w:sz w:val="20"/>
          <w:szCs w:val="20"/>
          <w:color w:val="auto"/>
        </w:rPr>
      </w:pPr>
    </w:p>
    <w:p>
      <w:pPr>
        <w:ind w:left="120" w:right="159" w:firstLine="350"/>
        <w:spacing w:after="0" w:line="261" w:lineRule="auto"/>
        <w:rPr>
          <w:sz w:val="20"/>
          <w:szCs w:val="20"/>
          <w:color w:val="auto"/>
        </w:rPr>
      </w:pPr>
      <w:r>
        <w:rPr>
          <w:rFonts w:ascii="Times New Roman" w:cs="Times New Roman" w:eastAsia="Times New Roman" w:hAnsi="Times New Roman"/>
          <w:sz w:val="14"/>
          <w:szCs w:val="14"/>
          <w:b w:val="1"/>
          <w:bCs w:val="1"/>
          <w:color w:val="auto"/>
        </w:rPr>
        <w:t>KNOWN ALL MEN BY THESE PRESENTS</w:t>
      </w:r>
      <w:r>
        <w:rPr>
          <w:rFonts w:ascii="Times New Roman" w:cs="Times New Roman" w:eastAsia="Times New Roman" w:hAnsi="Times New Roman"/>
          <w:sz w:val="14"/>
          <w:szCs w:val="14"/>
          <w:color w:val="auto"/>
        </w:rPr>
        <w:t>, that each person whose signature appears below hereby constitutes and appoints Shayn P.</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March, Vice President and Treasurer, and Scott A. Schipma, Vice President and Secretary, and each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146" w:lineRule="exact"/>
        <w:rPr>
          <w:sz w:val="20"/>
          <w:szCs w:val="20"/>
          <w:color w:val="auto"/>
        </w:rPr>
      </w:pPr>
    </w:p>
    <w:p>
      <w:pPr>
        <w:ind w:left="120" w:right="239" w:firstLine="350"/>
        <w:spacing w:after="0" w:line="292"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and on the date indicated.</w:t>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254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00" w:type="dxa"/>
            <w:vAlign w:val="bottom"/>
          </w:tcPr>
          <w:p>
            <w:pPr>
              <w:spacing w:after="0"/>
              <w:rPr>
                <w:sz w:val="12"/>
                <w:szCs w:val="12"/>
                <w:color w:val="auto"/>
              </w:rPr>
            </w:pPr>
          </w:p>
        </w:tc>
        <w:tc>
          <w:tcPr>
            <w:tcW w:w="446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60" w:type="dxa"/>
            <w:vAlign w:val="bottom"/>
          </w:tcPr>
          <w:p>
            <w:pPr>
              <w:spacing w:after="0"/>
              <w:rPr>
                <w:sz w:val="12"/>
                <w:szCs w:val="12"/>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Date</w:t>
            </w:r>
          </w:p>
        </w:tc>
      </w:tr>
      <w:tr>
        <w:trPr>
          <w:trHeight w:val="322"/>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George C. Zoley</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Chief Executive Officer and 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George C. Zoley</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480" w:type="dxa"/>
            <w:vAlign w:val="bottom"/>
          </w:tcPr>
          <w:p>
            <w:pPr>
              <w:spacing w:after="0"/>
              <w:rPr>
                <w:sz w:val="15"/>
                <w:szCs w:val="15"/>
                <w:color w:val="auto"/>
              </w:rPr>
            </w:pPr>
          </w:p>
        </w:tc>
      </w:tr>
      <w:tr>
        <w:trPr>
          <w:trHeight w:val="339"/>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Daniel Friend</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Chief Financial Officer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Daniel Friend</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Financial and Accounting Officer)</w:t>
            </w:r>
          </w:p>
        </w:tc>
        <w:tc>
          <w:tcPr>
            <w:tcW w:w="1480" w:type="dxa"/>
            <w:vAlign w:val="bottom"/>
          </w:tcPr>
          <w:p>
            <w:pPr>
              <w:spacing w:after="0"/>
              <w:rPr>
                <w:sz w:val="15"/>
                <w:szCs w:val="15"/>
                <w:color w:val="auto"/>
              </w:rPr>
            </w:pPr>
          </w:p>
        </w:tc>
      </w:tr>
      <w:tr>
        <w:trPr>
          <w:trHeight w:val="340"/>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Treasurer and 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Shayn P. March</w:t>
            </w:r>
          </w:p>
        </w:tc>
        <w:tc>
          <w:tcPr>
            <w:tcW w:w="10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40"/>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Scott A. Schipma</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Secretary and 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Scott A. Schipma</w:t>
            </w:r>
          </w:p>
        </w:tc>
        <w:tc>
          <w:tcPr>
            <w:tcW w:w="10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40"/>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David O. Meehan</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David O. Meehan</w:t>
            </w:r>
          </w:p>
        </w:tc>
        <w:tc>
          <w:tcPr>
            <w:tcW w:w="10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86"/>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20" w:type="dxa"/>
            <w:vAlign w:val="bottom"/>
            <w:gridSpan w:val="2"/>
          </w:tcPr>
          <w:p>
            <w:pPr>
              <w:ind w:left="1580"/>
              <w:spacing w:after="0"/>
              <w:rPr>
                <w:sz w:val="20"/>
                <w:szCs w:val="20"/>
                <w:color w:val="auto"/>
              </w:rPr>
            </w:pPr>
            <w:r>
              <w:rPr>
                <w:rFonts w:ascii="Times New Roman" w:cs="Times New Roman" w:eastAsia="Times New Roman" w:hAnsi="Times New Roman"/>
                <w:sz w:val="14"/>
                <w:szCs w:val="14"/>
                <w:color w:val="auto"/>
              </w:rPr>
              <w:t>II-30</w:t>
            </w:r>
          </w:p>
        </w:tc>
        <w:tc>
          <w:tcPr>
            <w:tcW w:w="1480" w:type="dxa"/>
            <w:vAlign w:val="bottom"/>
          </w:tcPr>
          <w:p>
            <w:pPr>
              <w:spacing w:after="0"/>
              <w:rPr>
                <w:sz w:val="24"/>
                <w:szCs w:val="24"/>
                <w:color w:val="auto"/>
              </w:rPr>
            </w:pPr>
          </w:p>
        </w:tc>
      </w:tr>
    </w:tbl>
    <w:p>
      <w:pPr>
        <w:sectPr>
          <w:pgSz w:w="11900" w:h="16838" w:orient="portrait"/>
          <w:cols w:equalWidth="0" w:num="1">
            <w:col w:w="9019"/>
          </w:cols>
          <w:pgMar w:left="1440" w:top="243" w:right="1440" w:bottom="1440" w:gutter="0" w:footer="0" w:header="0"/>
        </w:sectPr>
      </w:pPr>
    </w:p>
    <w:bookmarkStart w:id="61" w:name="page62"/>
    <w:bookmarkEnd w:id="61"/>
    <w:p>
      <w:pPr>
        <w:ind w:left="120" w:right="179" w:firstLine="350"/>
        <w:spacing w:after="0" w:line="29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1">
                      <a:extLst>
                        <a:ext uri="{28A0092B-C50C-407E-A947-70E740481C1C}"/>
                      </a:extLst>
                    </a:blip>
                    <a:srcRect/>
                    <a:stretch>
                      <a:fillRect/>
                    </a:stretch>
                  </pic:blipFill>
                  <pic:spPr bwMode="auto">
                    <a:xfrm>
                      <a:off x="0" y="0"/>
                      <a:ext cx="7199630" cy="33020"/>
                    </a:xfrm>
                    <a:prstGeom prst="rect">
                      <a:avLst/>
                    </a:prstGeom>
                    <a:noFill/>
                  </pic:spPr>
                </pic:pic>
              </a:graphicData>
            </a:graphic>
          </wp:anchor>
        </w:drawing>
        <w:t>Pursuant to the requirements of the Securities Act of 1933, the undersigned Registrant has duly caused this Registration Statement to be signed on its behalf by the undersigned, thereunto duly authorized, in the City of Boca Raton, State of Florida, on the 30th day of October, 2026.</w:t>
      </w:r>
    </w:p>
    <w:p>
      <w:pPr>
        <w:spacing w:after="0" w:line="14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b w:val="1"/>
          <w:bCs w:val="1"/>
          <w:color w:val="auto"/>
        </w:rPr>
        <w:t>BI Mobile Breath, LLC</w:t>
      </w:r>
    </w:p>
    <w:p>
      <w:pPr>
        <w:spacing w:after="0" w:line="18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By: /s/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3606165</wp:posOffset>
            </wp:positionH>
            <wp:positionV relativeFrom="paragraph">
              <wp:posOffset>15875</wp:posOffset>
            </wp:positionV>
            <wp:extent cx="2037080"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2">
                      <a:extLst>
                        <a:ext uri="{28A0092B-C50C-407E-A947-70E740481C1C}"/>
                      </a:extLst>
                    </a:blip>
                    <a:srcRect/>
                    <a:stretch>
                      <a:fillRect/>
                    </a:stretch>
                  </pic:blipFill>
                  <pic:spPr bwMode="auto">
                    <a:xfrm>
                      <a:off x="0" y="0"/>
                      <a:ext cx="2037080" cy="6985"/>
                    </a:xfrm>
                    <a:prstGeom prst="rect">
                      <a:avLst/>
                    </a:prstGeom>
                    <a:noFill/>
                  </pic:spPr>
                </pic:pic>
              </a:graphicData>
            </a:graphic>
          </wp:anchor>
        </w:drawing>
      </w:r>
    </w:p>
    <w:p>
      <w:pPr>
        <w:spacing w:after="0" w:line="1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Name: Shayn P. March</w:t>
      </w:r>
    </w:p>
    <w:p>
      <w:pPr>
        <w:spacing w:after="0" w:line="2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Title:  Vice President, Treasurer and Manager</w:t>
      </w:r>
    </w:p>
    <w:p>
      <w:pPr>
        <w:spacing w:after="0" w:line="167" w:lineRule="exact"/>
        <w:rPr>
          <w:sz w:val="20"/>
          <w:szCs w:val="20"/>
          <w:color w:val="auto"/>
        </w:rPr>
      </w:pPr>
    </w:p>
    <w:p>
      <w:pPr>
        <w:ind w:left="120" w:right="159" w:firstLine="350"/>
        <w:spacing w:after="0" w:line="261" w:lineRule="auto"/>
        <w:rPr>
          <w:sz w:val="20"/>
          <w:szCs w:val="20"/>
          <w:color w:val="auto"/>
        </w:rPr>
      </w:pPr>
      <w:r>
        <w:rPr>
          <w:rFonts w:ascii="Times New Roman" w:cs="Times New Roman" w:eastAsia="Times New Roman" w:hAnsi="Times New Roman"/>
          <w:sz w:val="14"/>
          <w:szCs w:val="14"/>
          <w:b w:val="1"/>
          <w:bCs w:val="1"/>
          <w:color w:val="auto"/>
        </w:rPr>
        <w:t>KNOWN ALL MEN BY THESE PRESENTS</w:t>
      </w:r>
      <w:r>
        <w:rPr>
          <w:rFonts w:ascii="Times New Roman" w:cs="Times New Roman" w:eastAsia="Times New Roman" w:hAnsi="Times New Roman"/>
          <w:sz w:val="14"/>
          <w:szCs w:val="14"/>
          <w:color w:val="auto"/>
        </w:rPr>
        <w:t>, that each person whose signature appears below hereby constitutes and appoints Shayn P.</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March, Vice President and Treasurer, and Scott A. Schipma, Vice President and Secretary, and each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146" w:lineRule="exact"/>
        <w:rPr>
          <w:sz w:val="20"/>
          <w:szCs w:val="20"/>
          <w:color w:val="auto"/>
        </w:rPr>
      </w:pPr>
    </w:p>
    <w:p>
      <w:pPr>
        <w:ind w:left="120" w:right="239" w:firstLine="350"/>
        <w:spacing w:after="0" w:line="292"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and on the date indicated.</w:t>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254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00" w:type="dxa"/>
            <w:vAlign w:val="bottom"/>
          </w:tcPr>
          <w:p>
            <w:pPr>
              <w:spacing w:after="0"/>
              <w:rPr>
                <w:sz w:val="12"/>
                <w:szCs w:val="12"/>
                <w:color w:val="auto"/>
              </w:rPr>
            </w:pPr>
          </w:p>
        </w:tc>
        <w:tc>
          <w:tcPr>
            <w:tcW w:w="446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60" w:type="dxa"/>
            <w:vAlign w:val="bottom"/>
          </w:tcPr>
          <w:p>
            <w:pPr>
              <w:spacing w:after="0"/>
              <w:rPr>
                <w:sz w:val="12"/>
                <w:szCs w:val="12"/>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Date</w:t>
            </w:r>
          </w:p>
        </w:tc>
      </w:tr>
      <w:tr>
        <w:trPr>
          <w:trHeight w:val="322"/>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George C. Zoley</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Chief Executive Officer and Manager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George C. Zoley</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480" w:type="dxa"/>
            <w:vAlign w:val="bottom"/>
          </w:tcPr>
          <w:p>
            <w:pPr>
              <w:spacing w:after="0"/>
              <w:rPr>
                <w:sz w:val="15"/>
                <w:szCs w:val="15"/>
                <w:color w:val="auto"/>
              </w:rPr>
            </w:pPr>
          </w:p>
        </w:tc>
      </w:tr>
      <w:tr>
        <w:trPr>
          <w:trHeight w:val="339"/>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Daniel Friend</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Chief Financial Officer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Daniel Friend</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Financial and Accounting Officer)</w:t>
            </w:r>
          </w:p>
        </w:tc>
        <w:tc>
          <w:tcPr>
            <w:tcW w:w="1480" w:type="dxa"/>
            <w:vAlign w:val="bottom"/>
          </w:tcPr>
          <w:p>
            <w:pPr>
              <w:spacing w:after="0"/>
              <w:rPr>
                <w:sz w:val="15"/>
                <w:szCs w:val="15"/>
                <w:color w:val="auto"/>
              </w:rPr>
            </w:pPr>
          </w:p>
        </w:tc>
      </w:tr>
      <w:tr>
        <w:trPr>
          <w:trHeight w:val="340"/>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Treasurer and Manager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Shayn P. March</w:t>
            </w:r>
          </w:p>
        </w:tc>
        <w:tc>
          <w:tcPr>
            <w:tcW w:w="10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40"/>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Scott A. Schipma</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Secretary and Manager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Scott A. Schipma</w:t>
            </w:r>
          </w:p>
        </w:tc>
        <w:tc>
          <w:tcPr>
            <w:tcW w:w="10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40"/>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David O. Meehan</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Manager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David O. Meehan</w:t>
            </w:r>
          </w:p>
        </w:tc>
        <w:tc>
          <w:tcPr>
            <w:tcW w:w="10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86"/>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20" w:type="dxa"/>
            <w:vAlign w:val="bottom"/>
            <w:gridSpan w:val="2"/>
          </w:tcPr>
          <w:p>
            <w:pPr>
              <w:ind w:left="1580"/>
              <w:spacing w:after="0"/>
              <w:rPr>
                <w:sz w:val="20"/>
                <w:szCs w:val="20"/>
                <w:color w:val="auto"/>
              </w:rPr>
            </w:pPr>
            <w:r>
              <w:rPr>
                <w:rFonts w:ascii="Times New Roman" w:cs="Times New Roman" w:eastAsia="Times New Roman" w:hAnsi="Times New Roman"/>
                <w:sz w:val="14"/>
                <w:szCs w:val="14"/>
                <w:color w:val="auto"/>
              </w:rPr>
              <w:t>II-31</w:t>
            </w:r>
          </w:p>
        </w:tc>
        <w:tc>
          <w:tcPr>
            <w:tcW w:w="1480" w:type="dxa"/>
            <w:vAlign w:val="bottom"/>
          </w:tcPr>
          <w:p>
            <w:pPr>
              <w:spacing w:after="0"/>
              <w:rPr>
                <w:sz w:val="24"/>
                <w:szCs w:val="24"/>
                <w:color w:val="auto"/>
              </w:rPr>
            </w:pPr>
          </w:p>
        </w:tc>
      </w:tr>
    </w:tbl>
    <w:p>
      <w:pPr>
        <w:sectPr>
          <w:pgSz w:w="11900" w:h="16838" w:orient="portrait"/>
          <w:cols w:equalWidth="0" w:num="1">
            <w:col w:w="9019"/>
          </w:cols>
          <w:pgMar w:left="1440" w:top="243" w:right="1440" w:bottom="1440" w:gutter="0" w:footer="0" w:header="0"/>
        </w:sectPr>
      </w:pPr>
    </w:p>
    <w:bookmarkStart w:id="62" w:name="page63"/>
    <w:bookmarkEnd w:id="62"/>
    <w:p>
      <w:pPr>
        <w:ind w:left="120" w:right="179" w:firstLine="350"/>
        <w:spacing w:after="0" w:line="29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3">
                      <a:extLst>
                        <a:ext uri="{28A0092B-C50C-407E-A947-70E740481C1C}"/>
                      </a:extLst>
                    </a:blip>
                    <a:srcRect/>
                    <a:stretch>
                      <a:fillRect/>
                    </a:stretch>
                  </pic:blipFill>
                  <pic:spPr bwMode="auto">
                    <a:xfrm>
                      <a:off x="0" y="0"/>
                      <a:ext cx="7199630" cy="33020"/>
                    </a:xfrm>
                    <a:prstGeom prst="rect">
                      <a:avLst/>
                    </a:prstGeom>
                    <a:noFill/>
                  </pic:spPr>
                </pic:pic>
              </a:graphicData>
            </a:graphic>
          </wp:anchor>
        </w:drawing>
        <w:t>Pursuant to the requirements of the Securities Act of 1933, the undersigned Registrant has duly caused this Registration Statement to be signed on its behalf by the undersigned, thereunto duly authorized, in the City of Boca Raton, State of Florida, on the 30th day of October, 2026.</w:t>
      </w:r>
    </w:p>
    <w:p>
      <w:pPr>
        <w:spacing w:after="0" w:line="14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b w:val="1"/>
          <w:bCs w:val="1"/>
          <w:color w:val="auto"/>
        </w:rPr>
        <w:t>BII Holding Corporation</w:t>
      </w:r>
    </w:p>
    <w:p>
      <w:pPr>
        <w:spacing w:after="0" w:line="18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By: /s/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3606165</wp:posOffset>
            </wp:positionH>
            <wp:positionV relativeFrom="paragraph">
              <wp:posOffset>15875</wp:posOffset>
            </wp:positionV>
            <wp:extent cx="2037080" cy="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4">
                      <a:extLst>
                        <a:ext uri="{28A0092B-C50C-407E-A947-70E740481C1C}"/>
                      </a:extLst>
                    </a:blip>
                    <a:srcRect/>
                    <a:stretch>
                      <a:fillRect/>
                    </a:stretch>
                  </pic:blipFill>
                  <pic:spPr bwMode="auto">
                    <a:xfrm>
                      <a:off x="0" y="0"/>
                      <a:ext cx="2037080" cy="6985"/>
                    </a:xfrm>
                    <a:prstGeom prst="rect">
                      <a:avLst/>
                    </a:prstGeom>
                    <a:noFill/>
                  </pic:spPr>
                </pic:pic>
              </a:graphicData>
            </a:graphic>
          </wp:anchor>
        </w:drawing>
      </w:r>
    </w:p>
    <w:p>
      <w:pPr>
        <w:spacing w:after="0" w:line="1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Name: Shayn P. March</w:t>
      </w:r>
    </w:p>
    <w:p>
      <w:pPr>
        <w:spacing w:after="0" w:line="2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Title:  Vice President, Treasurer and Director</w:t>
      </w:r>
    </w:p>
    <w:p>
      <w:pPr>
        <w:spacing w:after="0" w:line="167" w:lineRule="exact"/>
        <w:rPr>
          <w:sz w:val="20"/>
          <w:szCs w:val="20"/>
          <w:color w:val="auto"/>
        </w:rPr>
      </w:pPr>
    </w:p>
    <w:p>
      <w:pPr>
        <w:ind w:left="120" w:right="159" w:firstLine="350"/>
        <w:spacing w:after="0" w:line="261" w:lineRule="auto"/>
        <w:rPr>
          <w:sz w:val="20"/>
          <w:szCs w:val="20"/>
          <w:color w:val="auto"/>
        </w:rPr>
      </w:pPr>
      <w:r>
        <w:rPr>
          <w:rFonts w:ascii="Times New Roman" w:cs="Times New Roman" w:eastAsia="Times New Roman" w:hAnsi="Times New Roman"/>
          <w:sz w:val="14"/>
          <w:szCs w:val="14"/>
          <w:b w:val="1"/>
          <w:bCs w:val="1"/>
          <w:color w:val="auto"/>
        </w:rPr>
        <w:t>KNOWN ALL MEN BY THESE PRESENTS</w:t>
      </w:r>
      <w:r>
        <w:rPr>
          <w:rFonts w:ascii="Times New Roman" w:cs="Times New Roman" w:eastAsia="Times New Roman" w:hAnsi="Times New Roman"/>
          <w:sz w:val="14"/>
          <w:szCs w:val="14"/>
          <w:color w:val="auto"/>
        </w:rPr>
        <w:t>, that each person whose signature appears below hereby constitutes and appoints Shayn P.</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March, Vice President and Treasurer, and Scott A. Schipma, Vice President and Secretary, and each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146" w:lineRule="exact"/>
        <w:rPr>
          <w:sz w:val="20"/>
          <w:szCs w:val="20"/>
          <w:color w:val="auto"/>
        </w:rPr>
      </w:pPr>
    </w:p>
    <w:p>
      <w:pPr>
        <w:ind w:left="120" w:right="239" w:firstLine="350"/>
        <w:spacing w:after="0" w:line="292"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and on the date indicated.</w:t>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254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00" w:type="dxa"/>
            <w:vAlign w:val="bottom"/>
          </w:tcPr>
          <w:p>
            <w:pPr>
              <w:spacing w:after="0"/>
              <w:rPr>
                <w:sz w:val="12"/>
                <w:szCs w:val="12"/>
                <w:color w:val="auto"/>
              </w:rPr>
            </w:pPr>
          </w:p>
        </w:tc>
        <w:tc>
          <w:tcPr>
            <w:tcW w:w="446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60" w:type="dxa"/>
            <w:vAlign w:val="bottom"/>
          </w:tcPr>
          <w:p>
            <w:pPr>
              <w:spacing w:after="0"/>
              <w:rPr>
                <w:sz w:val="12"/>
                <w:szCs w:val="12"/>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Date</w:t>
            </w:r>
          </w:p>
        </w:tc>
      </w:tr>
      <w:tr>
        <w:trPr>
          <w:trHeight w:val="322"/>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George C. Zoley</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Chief Executive Officer and 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George C. Zoley</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480" w:type="dxa"/>
            <w:vAlign w:val="bottom"/>
          </w:tcPr>
          <w:p>
            <w:pPr>
              <w:spacing w:after="0"/>
              <w:rPr>
                <w:sz w:val="15"/>
                <w:szCs w:val="15"/>
                <w:color w:val="auto"/>
              </w:rPr>
            </w:pPr>
          </w:p>
        </w:tc>
      </w:tr>
      <w:tr>
        <w:trPr>
          <w:trHeight w:val="339"/>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Daniel Friend</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Chief Financial Officer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Daniel Friend</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Financial and Accounting Officer)</w:t>
            </w:r>
          </w:p>
        </w:tc>
        <w:tc>
          <w:tcPr>
            <w:tcW w:w="1480" w:type="dxa"/>
            <w:vAlign w:val="bottom"/>
          </w:tcPr>
          <w:p>
            <w:pPr>
              <w:spacing w:after="0"/>
              <w:rPr>
                <w:sz w:val="15"/>
                <w:szCs w:val="15"/>
                <w:color w:val="auto"/>
              </w:rPr>
            </w:pPr>
          </w:p>
        </w:tc>
      </w:tr>
      <w:tr>
        <w:trPr>
          <w:trHeight w:val="340"/>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Treasurer and 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Shayn P. March</w:t>
            </w:r>
          </w:p>
        </w:tc>
        <w:tc>
          <w:tcPr>
            <w:tcW w:w="10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40"/>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Scott A. Schipma</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Secretary and 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Scott A. Schipma</w:t>
            </w:r>
          </w:p>
        </w:tc>
        <w:tc>
          <w:tcPr>
            <w:tcW w:w="10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40"/>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David O. Meehan</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David O. Meehan</w:t>
            </w:r>
          </w:p>
        </w:tc>
        <w:tc>
          <w:tcPr>
            <w:tcW w:w="10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86"/>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20" w:type="dxa"/>
            <w:vAlign w:val="bottom"/>
            <w:gridSpan w:val="2"/>
          </w:tcPr>
          <w:p>
            <w:pPr>
              <w:ind w:left="1580"/>
              <w:spacing w:after="0"/>
              <w:rPr>
                <w:sz w:val="20"/>
                <w:szCs w:val="20"/>
                <w:color w:val="auto"/>
              </w:rPr>
            </w:pPr>
            <w:r>
              <w:rPr>
                <w:rFonts w:ascii="Times New Roman" w:cs="Times New Roman" w:eastAsia="Times New Roman" w:hAnsi="Times New Roman"/>
                <w:sz w:val="14"/>
                <w:szCs w:val="14"/>
                <w:color w:val="auto"/>
              </w:rPr>
              <w:t>II-32</w:t>
            </w:r>
          </w:p>
        </w:tc>
        <w:tc>
          <w:tcPr>
            <w:tcW w:w="1480" w:type="dxa"/>
            <w:vAlign w:val="bottom"/>
          </w:tcPr>
          <w:p>
            <w:pPr>
              <w:spacing w:after="0"/>
              <w:rPr>
                <w:sz w:val="24"/>
                <w:szCs w:val="24"/>
                <w:color w:val="auto"/>
              </w:rPr>
            </w:pPr>
          </w:p>
        </w:tc>
      </w:tr>
    </w:tbl>
    <w:p>
      <w:pPr>
        <w:sectPr>
          <w:pgSz w:w="11900" w:h="16838" w:orient="portrait"/>
          <w:cols w:equalWidth="0" w:num="1">
            <w:col w:w="9019"/>
          </w:cols>
          <w:pgMar w:left="1440" w:top="243" w:right="1440" w:bottom="1440" w:gutter="0" w:footer="0" w:header="0"/>
        </w:sectPr>
      </w:pPr>
    </w:p>
    <w:bookmarkStart w:id="63" w:name="page64"/>
    <w:bookmarkEnd w:id="63"/>
    <w:p>
      <w:pPr>
        <w:ind w:left="120" w:right="179" w:firstLine="350"/>
        <w:spacing w:after="0" w:line="29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5">
                      <a:extLst>
                        <a:ext uri="{28A0092B-C50C-407E-A947-70E740481C1C}"/>
                      </a:extLst>
                    </a:blip>
                    <a:srcRect/>
                    <a:stretch>
                      <a:fillRect/>
                    </a:stretch>
                  </pic:blipFill>
                  <pic:spPr bwMode="auto">
                    <a:xfrm>
                      <a:off x="0" y="0"/>
                      <a:ext cx="7199630" cy="33020"/>
                    </a:xfrm>
                    <a:prstGeom prst="rect">
                      <a:avLst/>
                    </a:prstGeom>
                    <a:noFill/>
                  </pic:spPr>
                </pic:pic>
              </a:graphicData>
            </a:graphic>
          </wp:anchor>
        </w:drawing>
        <w:t>Pursuant to the requirements of the Securities Act of 1933, the undersigned Registrant has duly caused this Registration Statement to be signed on its behalf by the undersigned, thereunto duly authorized, in the City of Boca Raton, State of Florida, on the 30th day of October, 2026.</w:t>
      </w:r>
    </w:p>
    <w:p>
      <w:pPr>
        <w:spacing w:after="0" w:line="14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b w:val="1"/>
          <w:bCs w:val="1"/>
          <w:color w:val="auto"/>
        </w:rPr>
        <w:t>BII Holding I Corporation</w:t>
      </w:r>
    </w:p>
    <w:p>
      <w:pPr>
        <w:spacing w:after="0" w:line="18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By: /s/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3606165</wp:posOffset>
            </wp:positionH>
            <wp:positionV relativeFrom="paragraph">
              <wp:posOffset>15875</wp:posOffset>
            </wp:positionV>
            <wp:extent cx="2037080" cy="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6">
                      <a:extLst>
                        <a:ext uri="{28A0092B-C50C-407E-A947-70E740481C1C}"/>
                      </a:extLst>
                    </a:blip>
                    <a:srcRect/>
                    <a:stretch>
                      <a:fillRect/>
                    </a:stretch>
                  </pic:blipFill>
                  <pic:spPr bwMode="auto">
                    <a:xfrm>
                      <a:off x="0" y="0"/>
                      <a:ext cx="2037080" cy="6985"/>
                    </a:xfrm>
                    <a:prstGeom prst="rect">
                      <a:avLst/>
                    </a:prstGeom>
                    <a:noFill/>
                  </pic:spPr>
                </pic:pic>
              </a:graphicData>
            </a:graphic>
          </wp:anchor>
        </w:drawing>
      </w:r>
    </w:p>
    <w:p>
      <w:pPr>
        <w:spacing w:after="0" w:line="1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Name: Shayn P. March</w:t>
      </w:r>
    </w:p>
    <w:p>
      <w:pPr>
        <w:spacing w:after="0" w:line="2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Title:    Vice President, Treasurer and Director</w:t>
      </w:r>
    </w:p>
    <w:p>
      <w:pPr>
        <w:spacing w:after="0" w:line="167" w:lineRule="exact"/>
        <w:rPr>
          <w:sz w:val="20"/>
          <w:szCs w:val="20"/>
          <w:color w:val="auto"/>
        </w:rPr>
      </w:pPr>
    </w:p>
    <w:p>
      <w:pPr>
        <w:ind w:left="120" w:right="159" w:firstLine="350"/>
        <w:spacing w:after="0" w:line="261" w:lineRule="auto"/>
        <w:rPr>
          <w:sz w:val="20"/>
          <w:szCs w:val="20"/>
          <w:color w:val="auto"/>
        </w:rPr>
      </w:pPr>
      <w:r>
        <w:rPr>
          <w:rFonts w:ascii="Times New Roman" w:cs="Times New Roman" w:eastAsia="Times New Roman" w:hAnsi="Times New Roman"/>
          <w:sz w:val="14"/>
          <w:szCs w:val="14"/>
          <w:b w:val="1"/>
          <w:bCs w:val="1"/>
          <w:color w:val="auto"/>
        </w:rPr>
        <w:t>KNOWN ALL MEN BY THESE PRESENTS</w:t>
      </w:r>
      <w:r>
        <w:rPr>
          <w:rFonts w:ascii="Times New Roman" w:cs="Times New Roman" w:eastAsia="Times New Roman" w:hAnsi="Times New Roman"/>
          <w:sz w:val="14"/>
          <w:szCs w:val="14"/>
          <w:color w:val="auto"/>
        </w:rPr>
        <w:t>, that each person whose signature appears below hereby constitutes and appoints Shayn P.</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March, Vice President and Treasurer, and Scott A. Schipma, Vice President and Secretary, and each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146" w:lineRule="exact"/>
        <w:rPr>
          <w:sz w:val="20"/>
          <w:szCs w:val="20"/>
          <w:color w:val="auto"/>
        </w:rPr>
      </w:pPr>
    </w:p>
    <w:p>
      <w:pPr>
        <w:ind w:left="120" w:right="239" w:firstLine="350"/>
        <w:spacing w:after="0" w:line="292"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and on the date indicated.</w:t>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254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00" w:type="dxa"/>
            <w:vAlign w:val="bottom"/>
          </w:tcPr>
          <w:p>
            <w:pPr>
              <w:spacing w:after="0"/>
              <w:rPr>
                <w:sz w:val="12"/>
                <w:szCs w:val="12"/>
                <w:color w:val="auto"/>
              </w:rPr>
            </w:pPr>
          </w:p>
        </w:tc>
        <w:tc>
          <w:tcPr>
            <w:tcW w:w="446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60" w:type="dxa"/>
            <w:vAlign w:val="bottom"/>
          </w:tcPr>
          <w:p>
            <w:pPr>
              <w:spacing w:after="0"/>
              <w:rPr>
                <w:sz w:val="12"/>
                <w:szCs w:val="12"/>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Date</w:t>
            </w:r>
          </w:p>
        </w:tc>
      </w:tr>
      <w:tr>
        <w:trPr>
          <w:trHeight w:val="322"/>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George C. Zoley</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Chief Executive Officer and 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George C. Zoley</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480" w:type="dxa"/>
            <w:vAlign w:val="bottom"/>
          </w:tcPr>
          <w:p>
            <w:pPr>
              <w:spacing w:after="0"/>
              <w:rPr>
                <w:sz w:val="15"/>
                <w:szCs w:val="15"/>
                <w:color w:val="auto"/>
              </w:rPr>
            </w:pPr>
          </w:p>
        </w:tc>
      </w:tr>
      <w:tr>
        <w:trPr>
          <w:trHeight w:val="339"/>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Daniel Friend</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Chief Financial Officer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Daniel Friend</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Financial and Accounting Officer)</w:t>
            </w:r>
          </w:p>
        </w:tc>
        <w:tc>
          <w:tcPr>
            <w:tcW w:w="1480" w:type="dxa"/>
            <w:vAlign w:val="bottom"/>
          </w:tcPr>
          <w:p>
            <w:pPr>
              <w:spacing w:after="0"/>
              <w:rPr>
                <w:sz w:val="15"/>
                <w:szCs w:val="15"/>
                <w:color w:val="auto"/>
              </w:rPr>
            </w:pPr>
          </w:p>
        </w:tc>
      </w:tr>
      <w:tr>
        <w:trPr>
          <w:trHeight w:val="340"/>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Treasurer and 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Shayn P. March</w:t>
            </w:r>
          </w:p>
        </w:tc>
        <w:tc>
          <w:tcPr>
            <w:tcW w:w="10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40"/>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Scott A. Schipma</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Secretary and 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Scott A. Schipma</w:t>
            </w:r>
          </w:p>
        </w:tc>
        <w:tc>
          <w:tcPr>
            <w:tcW w:w="10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40"/>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David O. Meehan</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David O. Meehan</w:t>
            </w:r>
          </w:p>
        </w:tc>
        <w:tc>
          <w:tcPr>
            <w:tcW w:w="10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86"/>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20" w:type="dxa"/>
            <w:vAlign w:val="bottom"/>
            <w:gridSpan w:val="2"/>
          </w:tcPr>
          <w:p>
            <w:pPr>
              <w:ind w:left="1580"/>
              <w:spacing w:after="0"/>
              <w:rPr>
                <w:sz w:val="20"/>
                <w:szCs w:val="20"/>
                <w:color w:val="auto"/>
              </w:rPr>
            </w:pPr>
            <w:r>
              <w:rPr>
                <w:rFonts w:ascii="Times New Roman" w:cs="Times New Roman" w:eastAsia="Times New Roman" w:hAnsi="Times New Roman"/>
                <w:sz w:val="14"/>
                <w:szCs w:val="14"/>
                <w:color w:val="auto"/>
              </w:rPr>
              <w:t>II-33</w:t>
            </w:r>
          </w:p>
        </w:tc>
        <w:tc>
          <w:tcPr>
            <w:tcW w:w="1480" w:type="dxa"/>
            <w:vAlign w:val="bottom"/>
          </w:tcPr>
          <w:p>
            <w:pPr>
              <w:spacing w:after="0"/>
              <w:rPr>
                <w:sz w:val="24"/>
                <w:szCs w:val="24"/>
                <w:color w:val="auto"/>
              </w:rPr>
            </w:pPr>
          </w:p>
        </w:tc>
      </w:tr>
    </w:tbl>
    <w:p>
      <w:pPr>
        <w:sectPr>
          <w:pgSz w:w="11900" w:h="16838" w:orient="portrait"/>
          <w:cols w:equalWidth="0" w:num="1">
            <w:col w:w="9019"/>
          </w:cols>
          <w:pgMar w:left="1440" w:top="243" w:right="1440" w:bottom="1440" w:gutter="0" w:footer="0" w:header="0"/>
        </w:sectPr>
      </w:pPr>
    </w:p>
    <w:bookmarkStart w:id="64" w:name="page65"/>
    <w:bookmarkEnd w:id="64"/>
    <w:p>
      <w:pPr>
        <w:ind w:left="120" w:right="179" w:firstLine="350"/>
        <w:spacing w:after="0" w:line="29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7">
                      <a:extLst>
                        <a:ext uri="{28A0092B-C50C-407E-A947-70E740481C1C}"/>
                      </a:extLst>
                    </a:blip>
                    <a:srcRect/>
                    <a:stretch>
                      <a:fillRect/>
                    </a:stretch>
                  </pic:blipFill>
                  <pic:spPr bwMode="auto">
                    <a:xfrm>
                      <a:off x="0" y="0"/>
                      <a:ext cx="7199630" cy="33020"/>
                    </a:xfrm>
                    <a:prstGeom prst="rect">
                      <a:avLst/>
                    </a:prstGeom>
                    <a:noFill/>
                  </pic:spPr>
                </pic:pic>
              </a:graphicData>
            </a:graphic>
          </wp:anchor>
        </w:drawing>
        <w:t>Pursuant to the requirements of the Securities Act of 1933, the undersigned Registrant has duly caused this Registration Statement to be signed on its behalf by the undersigned, thereunto duly authorized, in the City of Boca Raton, State of Florida, on the 30th day of October, 2026.</w:t>
      </w:r>
    </w:p>
    <w:p>
      <w:pPr>
        <w:spacing w:after="0" w:line="14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b w:val="1"/>
          <w:bCs w:val="1"/>
          <w:color w:val="auto"/>
        </w:rPr>
        <w:t>Broad Real Estate Holdings LLC</w:t>
      </w:r>
    </w:p>
    <w:p>
      <w:pPr>
        <w:spacing w:after="0" w:line="18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By: /s/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3606165</wp:posOffset>
            </wp:positionH>
            <wp:positionV relativeFrom="paragraph">
              <wp:posOffset>15875</wp:posOffset>
            </wp:positionV>
            <wp:extent cx="2037080" cy="69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8">
                      <a:extLst>
                        <a:ext uri="{28A0092B-C50C-407E-A947-70E740481C1C}"/>
                      </a:extLst>
                    </a:blip>
                    <a:srcRect/>
                    <a:stretch>
                      <a:fillRect/>
                    </a:stretch>
                  </pic:blipFill>
                  <pic:spPr bwMode="auto">
                    <a:xfrm>
                      <a:off x="0" y="0"/>
                      <a:ext cx="2037080" cy="6985"/>
                    </a:xfrm>
                    <a:prstGeom prst="rect">
                      <a:avLst/>
                    </a:prstGeom>
                    <a:noFill/>
                  </pic:spPr>
                </pic:pic>
              </a:graphicData>
            </a:graphic>
          </wp:anchor>
        </w:drawing>
      </w:r>
    </w:p>
    <w:p>
      <w:pPr>
        <w:spacing w:after="0" w:line="1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Name: Shayn P. March</w:t>
      </w:r>
    </w:p>
    <w:p>
      <w:pPr>
        <w:spacing w:after="0" w:line="2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Title:    Vice President, Chief Financial Officer and</w:t>
      </w:r>
    </w:p>
    <w:p>
      <w:pPr>
        <w:spacing w:after="0" w:line="1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4"/>
          <w:szCs w:val="14"/>
          <w:color w:val="auto"/>
        </w:rPr>
        <w:t>Treasurer</w:t>
      </w:r>
    </w:p>
    <w:p>
      <w:pPr>
        <w:spacing w:after="0" w:line="167" w:lineRule="exact"/>
        <w:rPr>
          <w:sz w:val="20"/>
          <w:szCs w:val="20"/>
          <w:color w:val="auto"/>
        </w:rPr>
      </w:pPr>
    </w:p>
    <w:p>
      <w:pPr>
        <w:ind w:left="120" w:right="239" w:firstLine="350"/>
        <w:spacing w:after="0" w:line="261" w:lineRule="auto"/>
        <w:rPr>
          <w:sz w:val="20"/>
          <w:szCs w:val="20"/>
          <w:color w:val="auto"/>
        </w:rPr>
      </w:pPr>
      <w:r>
        <w:rPr>
          <w:rFonts w:ascii="Times New Roman" w:cs="Times New Roman" w:eastAsia="Times New Roman" w:hAnsi="Times New Roman"/>
          <w:sz w:val="14"/>
          <w:szCs w:val="14"/>
          <w:b w:val="1"/>
          <w:bCs w:val="1"/>
          <w:color w:val="auto"/>
        </w:rPr>
        <w:t>KNOWN ALL MEN BY THESE PRESENTS</w:t>
      </w:r>
      <w:r>
        <w:rPr>
          <w:rFonts w:ascii="Times New Roman" w:cs="Times New Roman" w:eastAsia="Times New Roman" w:hAnsi="Times New Roman"/>
          <w:sz w:val="14"/>
          <w:szCs w:val="14"/>
          <w:color w:val="auto"/>
        </w:rPr>
        <w:t>, that each person whose signature appears below hereby constitutes and appoints Shayn P.</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March, Vice President, Chief Financial Officer and Treasurer, and Scott A. Schipma, Vice President and Secretary, and each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146" w:lineRule="exact"/>
        <w:rPr>
          <w:sz w:val="20"/>
          <w:szCs w:val="20"/>
          <w:color w:val="auto"/>
        </w:rPr>
      </w:pPr>
    </w:p>
    <w:p>
      <w:pPr>
        <w:ind w:left="120" w:right="239" w:firstLine="350"/>
        <w:spacing w:after="0" w:line="292"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and on the date indicated.</w:t>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254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00" w:type="dxa"/>
            <w:vAlign w:val="bottom"/>
          </w:tcPr>
          <w:p>
            <w:pPr>
              <w:spacing w:after="0"/>
              <w:rPr>
                <w:sz w:val="12"/>
                <w:szCs w:val="12"/>
                <w:color w:val="auto"/>
              </w:rPr>
            </w:pPr>
          </w:p>
        </w:tc>
        <w:tc>
          <w:tcPr>
            <w:tcW w:w="446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60" w:type="dxa"/>
            <w:vAlign w:val="bottom"/>
          </w:tcPr>
          <w:p>
            <w:pPr>
              <w:spacing w:after="0"/>
              <w:rPr>
                <w:sz w:val="12"/>
                <w:szCs w:val="12"/>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Date</w:t>
            </w:r>
          </w:p>
        </w:tc>
      </w:tr>
      <w:tr>
        <w:trPr>
          <w:trHeight w:val="322"/>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George C. Zoley</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Chairman and Chief Executive Officer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George C. Zoley</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480" w:type="dxa"/>
            <w:vAlign w:val="bottom"/>
          </w:tcPr>
          <w:p>
            <w:pPr>
              <w:spacing w:after="0"/>
              <w:rPr>
                <w:sz w:val="15"/>
                <w:szCs w:val="15"/>
                <w:color w:val="auto"/>
              </w:rPr>
            </w:pPr>
          </w:p>
        </w:tc>
      </w:tr>
      <w:tr>
        <w:trPr>
          <w:trHeight w:val="339"/>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Chief Financial Officer and Treasurer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Financial and Accounting Officer)</w:t>
            </w:r>
          </w:p>
        </w:tc>
        <w:tc>
          <w:tcPr>
            <w:tcW w:w="1480" w:type="dxa"/>
            <w:vAlign w:val="bottom"/>
          </w:tcPr>
          <w:p>
            <w:pPr>
              <w:spacing w:after="0"/>
              <w:rPr>
                <w:sz w:val="15"/>
                <w:szCs w:val="15"/>
                <w:color w:val="auto"/>
              </w:rPr>
            </w:pPr>
          </w:p>
        </w:tc>
      </w:tr>
      <w:tr>
        <w:trPr>
          <w:trHeight w:val="339"/>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Chief Financial Officer and Treasurer of GEO Corrections</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38"/>
        </w:trPr>
        <w:tc>
          <w:tcPr>
            <w:tcW w:w="2560" w:type="dxa"/>
            <w:vAlign w:val="bottom"/>
            <w:gridSpan w:val="2"/>
          </w:tcPr>
          <w:p>
            <w:pPr>
              <w:spacing w:after="0" w:line="138" w:lineRule="exact"/>
              <w:rPr>
                <w:sz w:val="20"/>
                <w:szCs w:val="20"/>
                <w:color w:val="auto"/>
              </w:rPr>
            </w:pPr>
            <w:r>
              <w:rPr>
                <w:rFonts w:ascii="Times New Roman" w:cs="Times New Roman" w:eastAsia="Times New Roman" w:hAnsi="Times New Roman"/>
                <w:sz w:val="14"/>
                <w:szCs w:val="14"/>
                <w:color w:val="auto"/>
              </w:rPr>
              <w:t>Shayn P. March</w:t>
            </w:r>
          </w:p>
        </w:tc>
        <w:tc>
          <w:tcPr>
            <w:tcW w:w="4720" w:type="dxa"/>
            <w:vAlign w:val="bottom"/>
            <w:gridSpan w:val="3"/>
          </w:tcPr>
          <w:p>
            <w:pPr>
              <w:ind w:left="80"/>
              <w:spacing w:after="0" w:line="138" w:lineRule="exact"/>
              <w:rPr>
                <w:sz w:val="20"/>
                <w:szCs w:val="20"/>
                <w:color w:val="auto"/>
              </w:rPr>
            </w:pPr>
            <w:r>
              <w:rPr>
                <w:rFonts w:ascii="Times New Roman" w:cs="Times New Roman" w:eastAsia="Times New Roman" w:hAnsi="Times New Roman"/>
                <w:sz w:val="14"/>
                <w:szCs w:val="14"/>
                <w:color w:val="auto"/>
              </w:rPr>
              <w:t>Holdings, Inc., the Sole Member of CCMAS LLC, the Sole Member of</w:t>
            </w:r>
          </w:p>
        </w:tc>
        <w:tc>
          <w:tcPr>
            <w:tcW w:w="1480" w:type="dxa"/>
            <w:vAlign w:val="bottom"/>
          </w:tcPr>
          <w:p>
            <w:pPr>
              <w:spacing w:after="0"/>
              <w:rPr>
                <w:sz w:val="11"/>
                <w:szCs w:val="11"/>
                <w:color w:val="auto"/>
              </w:rPr>
            </w:pPr>
          </w:p>
        </w:tc>
      </w:tr>
      <w:tr>
        <w:trPr>
          <w:trHeight w:val="185"/>
        </w:trPr>
        <w:tc>
          <w:tcPr>
            <w:tcW w:w="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Broad Real Estate Holdings LLC</w:t>
            </w:r>
          </w:p>
        </w:tc>
        <w:tc>
          <w:tcPr>
            <w:tcW w:w="1480" w:type="dxa"/>
            <w:vAlign w:val="bottom"/>
          </w:tcPr>
          <w:p>
            <w:pPr>
              <w:spacing w:after="0"/>
              <w:rPr>
                <w:sz w:val="16"/>
                <w:szCs w:val="16"/>
                <w:color w:val="auto"/>
              </w:rPr>
            </w:pPr>
          </w:p>
        </w:tc>
      </w:tr>
      <w:tr>
        <w:trPr>
          <w:trHeight w:val="290"/>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20" w:type="dxa"/>
            <w:vAlign w:val="bottom"/>
            <w:gridSpan w:val="2"/>
          </w:tcPr>
          <w:p>
            <w:pPr>
              <w:ind w:left="1580"/>
              <w:spacing w:after="0"/>
              <w:rPr>
                <w:sz w:val="20"/>
                <w:szCs w:val="20"/>
                <w:color w:val="auto"/>
              </w:rPr>
            </w:pPr>
            <w:r>
              <w:rPr>
                <w:rFonts w:ascii="Times New Roman" w:cs="Times New Roman" w:eastAsia="Times New Roman" w:hAnsi="Times New Roman"/>
                <w:sz w:val="14"/>
                <w:szCs w:val="14"/>
                <w:color w:val="auto"/>
              </w:rPr>
              <w:t>II-34</w:t>
            </w:r>
          </w:p>
        </w:tc>
        <w:tc>
          <w:tcPr>
            <w:tcW w:w="1480" w:type="dxa"/>
            <w:vAlign w:val="bottom"/>
          </w:tcPr>
          <w:p>
            <w:pPr>
              <w:spacing w:after="0"/>
              <w:rPr>
                <w:sz w:val="24"/>
                <w:szCs w:val="24"/>
                <w:color w:val="auto"/>
              </w:rPr>
            </w:pPr>
          </w:p>
        </w:tc>
      </w:tr>
    </w:tbl>
    <w:p>
      <w:pPr>
        <w:sectPr>
          <w:pgSz w:w="11900" w:h="16838" w:orient="portrait"/>
          <w:cols w:equalWidth="0" w:num="1">
            <w:col w:w="9019"/>
          </w:cols>
          <w:pgMar w:left="1440" w:top="243" w:right="1440" w:bottom="1440" w:gutter="0" w:footer="0" w:header="0"/>
        </w:sectPr>
      </w:pPr>
    </w:p>
    <w:bookmarkStart w:id="65" w:name="page66"/>
    <w:bookmarkEnd w:id="65"/>
    <w:p>
      <w:pPr>
        <w:ind w:left="120" w:right="179" w:firstLine="350"/>
        <w:spacing w:after="0" w:line="29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9">
                      <a:extLst>
                        <a:ext uri="{28A0092B-C50C-407E-A947-70E740481C1C}"/>
                      </a:extLst>
                    </a:blip>
                    <a:srcRect/>
                    <a:stretch>
                      <a:fillRect/>
                    </a:stretch>
                  </pic:blipFill>
                  <pic:spPr bwMode="auto">
                    <a:xfrm>
                      <a:off x="0" y="0"/>
                      <a:ext cx="7199630" cy="33020"/>
                    </a:xfrm>
                    <a:prstGeom prst="rect">
                      <a:avLst/>
                    </a:prstGeom>
                    <a:noFill/>
                  </pic:spPr>
                </pic:pic>
              </a:graphicData>
            </a:graphic>
          </wp:anchor>
        </w:drawing>
        <w:t>Pursuant to the requirements of the Securities Act of 1933, the undersigned Registrant has duly caused this Registration Statement to be signed on its behalf by the undersigned, thereunto duly authorized, in the City of Boca Raton, State of Florida, on the 30th day of October, 2026.</w:t>
      </w:r>
    </w:p>
    <w:p>
      <w:pPr>
        <w:spacing w:after="0" w:line="14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b w:val="1"/>
          <w:bCs w:val="1"/>
          <w:color w:val="auto"/>
        </w:rPr>
        <w:t>CCC Wyoming Properties, LLC</w:t>
      </w:r>
    </w:p>
    <w:p>
      <w:pPr>
        <w:spacing w:after="0" w:line="18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By: /s/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3606165</wp:posOffset>
            </wp:positionH>
            <wp:positionV relativeFrom="paragraph">
              <wp:posOffset>15875</wp:posOffset>
            </wp:positionV>
            <wp:extent cx="2037080" cy="69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0">
                      <a:extLst>
                        <a:ext uri="{28A0092B-C50C-407E-A947-70E740481C1C}"/>
                      </a:extLst>
                    </a:blip>
                    <a:srcRect/>
                    <a:stretch>
                      <a:fillRect/>
                    </a:stretch>
                  </pic:blipFill>
                  <pic:spPr bwMode="auto">
                    <a:xfrm>
                      <a:off x="0" y="0"/>
                      <a:ext cx="2037080" cy="6985"/>
                    </a:xfrm>
                    <a:prstGeom prst="rect">
                      <a:avLst/>
                    </a:prstGeom>
                    <a:noFill/>
                  </pic:spPr>
                </pic:pic>
              </a:graphicData>
            </a:graphic>
          </wp:anchor>
        </w:drawing>
      </w:r>
    </w:p>
    <w:p>
      <w:pPr>
        <w:spacing w:after="0" w:line="1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Name: Shayn P. March</w:t>
      </w:r>
    </w:p>
    <w:p>
      <w:pPr>
        <w:spacing w:after="0" w:line="2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Title:    Vice President, Chief Financial Officer and</w:t>
      </w:r>
    </w:p>
    <w:p>
      <w:pPr>
        <w:spacing w:after="0" w:line="1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4"/>
          <w:szCs w:val="14"/>
          <w:color w:val="auto"/>
        </w:rPr>
        <w:t>Treasurer</w:t>
      </w:r>
    </w:p>
    <w:p>
      <w:pPr>
        <w:spacing w:after="0" w:line="167" w:lineRule="exact"/>
        <w:rPr>
          <w:sz w:val="20"/>
          <w:szCs w:val="20"/>
          <w:color w:val="auto"/>
        </w:rPr>
      </w:pPr>
    </w:p>
    <w:p>
      <w:pPr>
        <w:ind w:left="120" w:right="239" w:firstLine="350"/>
        <w:spacing w:after="0" w:line="261" w:lineRule="auto"/>
        <w:rPr>
          <w:sz w:val="20"/>
          <w:szCs w:val="20"/>
          <w:color w:val="auto"/>
        </w:rPr>
      </w:pPr>
      <w:r>
        <w:rPr>
          <w:rFonts w:ascii="Times New Roman" w:cs="Times New Roman" w:eastAsia="Times New Roman" w:hAnsi="Times New Roman"/>
          <w:sz w:val="14"/>
          <w:szCs w:val="14"/>
          <w:b w:val="1"/>
          <w:bCs w:val="1"/>
          <w:color w:val="auto"/>
        </w:rPr>
        <w:t>KNOWN ALL MEN BY THESE PRESENTS</w:t>
      </w:r>
      <w:r>
        <w:rPr>
          <w:rFonts w:ascii="Times New Roman" w:cs="Times New Roman" w:eastAsia="Times New Roman" w:hAnsi="Times New Roman"/>
          <w:sz w:val="14"/>
          <w:szCs w:val="14"/>
          <w:color w:val="auto"/>
        </w:rPr>
        <w:t>, that each person whose signature appears below hereby constitutes and appoints Shayn P.</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March, Vice President, Chief Financial Officer and Treasurer, and Scott A. Schipma, Vice President and Secretary, and each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146" w:lineRule="exact"/>
        <w:rPr>
          <w:sz w:val="20"/>
          <w:szCs w:val="20"/>
          <w:color w:val="auto"/>
        </w:rPr>
      </w:pPr>
    </w:p>
    <w:p>
      <w:pPr>
        <w:ind w:left="120" w:right="239" w:firstLine="350"/>
        <w:spacing w:after="0" w:line="292"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and on the date indicated.</w:t>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254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00" w:type="dxa"/>
            <w:vAlign w:val="bottom"/>
          </w:tcPr>
          <w:p>
            <w:pPr>
              <w:spacing w:after="0"/>
              <w:rPr>
                <w:sz w:val="12"/>
                <w:szCs w:val="12"/>
                <w:color w:val="auto"/>
              </w:rPr>
            </w:pPr>
          </w:p>
        </w:tc>
        <w:tc>
          <w:tcPr>
            <w:tcW w:w="446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60" w:type="dxa"/>
            <w:vAlign w:val="bottom"/>
          </w:tcPr>
          <w:p>
            <w:pPr>
              <w:spacing w:after="0"/>
              <w:rPr>
                <w:sz w:val="12"/>
                <w:szCs w:val="12"/>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Date</w:t>
            </w:r>
          </w:p>
        </w:tc>
      </w:tr>
      <w:tr>
        <w:trPr>
          <w:trHeight w:val="322"/>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George C. Zoley</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Chairman and Chief Executive Officer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George C. Zoley</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480" w:type="dxa"/>
            <w:vAlign w:val="bottom"/>
          </w:tcPr>
          <w:p>
            <w:pPr>
              <w:spacing w:after="0"/>
              <w:rPr>
                <w:sz w:val="15"/>
                <w:szCs w:val="15"/>
                <w:color w:val="auto"/>
              </w:rPr>
            </w:pPr>
          </w:p>
        </w:tc>
      </w:tr>
      <w:tr>
        <w:trPr>
          <w:trHeight w:val="339"/>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Chief Financial Officer and Treasurer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Financial and Accounting Officer)</w:t>
            </w:r>
          </w:p>
        </w:tc>
        <w:tc>
          <w:tcPr>
            <w:tcW w:w="1480" w:type="dxa"/>
            <w:vAlign w:val="bottom"/>
          </w:tcPr>
          <w:p>
            <w:pPr>
              <w:spacing w:after="0"/>
              <w:rPr>
                <w:sz w:val="15"/>
                <w:szCs w:val="15"/>
                <w:color w:val="auto"/>
              </w:rPr>
            </w:pPr>
          </w:p>
        </w:tc>
      </w:tr>
      <w:tr>
        <w:trPr>
          <w:trHeight w:val="339"/>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Senior Vice President, Chief Financial Officer and Treasurer of The GEO</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Group, Inc., the Majority Member of CCC Wyoming Properties, LLC</w:t>
            </w:r>
          </w:p>
        </w:tc>
        <w:tc>
          <w:tcPr>
            <w:tcW w:w="1480" w:type="dxa"/>
            <w:vAlign w:val="bottom"/>
          </w:tcPr>
          <w:p>
            <w:pPr>
              <w:spacing w:after="0"/>
              <w:rPr>
                <w:sz w:val="15"/>
                <w:szCs w:val="15"/>
                <w:color w:val="auto"/>
              </w:rPr>
            </w:pPr>
          </w:p>
        </w:tc>
      </w:tr>
      <w:tr>
        <w:trPr>
          <w:trHeight w:val="286"/>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20" w:type="dxa"/>
            <w:vAlign w:val="bottom"/>
            <w:gridSpan w:val="2"/>
          </w:tcPr>
          <w:p>
            <w:pPr>
              <w:ind w:left="1580"/>
              <w:spacing w:after="0"/>
              <w:rPr>
                <w:sz w:val="20"/>
                <w:szCs w:val="20"/>
                <w:color w:val="auto"/>
              </w:rPr>
            </w:pPr>
            <w:r>
              <w:rPr>
                <w:rFonts w:ascii="Times New Roman" w:cs="Times New Roman" w:eastAsia="Times New Roman" w:hAnsi="Times New Roman"/>
                <w:sz w:val="14"/>
                <w:szCs w:val="14"/>
                <w:color w:val="auto"/>
              </w:rPr>
              <w:t>II-35</w:t>
            </w:r>
          </w:p>
        </w:tc>
        <w:tc>
          <w:tcPr>
            <w:tcW w:w="1480" w:type="dxa"/>
            <w:vAlign w:val="bottom"/>
          </w:tcPr>
          <w:p>
            <w:pPr>
              <w:spacing w:after="0"/>
              <w:rPr>
                <w:sz w:val="24"/>
                <w:szCs w:val="24"/>
                <w:color w:val="auto"/>
              </w:rPr>
            </w:pPr>
          </w:p>
        </w:tc>
      </w:tr>
    </w:tbl>
    <w:p>
      <w:pPr>
        <w:sectPr>
          <w:pgSz w:w="11900" w:h="16838" w:orient="portrait"/>
          <w:cols w:equalWidth="0" w:num="1">
            <w:col w:w="9019"/>
          </w:cols>
          <w:pgMar w:left="1440" w:top="243" w:right="1440" w:bottom="1440" w:gutter="0" w:footer="0" w:header="0"/>
        </w:sectPr>
      </w:pPr>
    </w:p>
    <w:bookmarkStart w:id="66" w:name="page67"/>
    <w:bookmarkEnd w:id="66"/>
    <w:p>
      <w:pPr>
        <w:ind w:left="120" w:right="179" w:firstLine="350"/>
        <w:spacing w:after="0" w:line="29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1">
                      <a:extLst>
                        <a:ext uri="{28A0092B-C50C-407E-A947-70E740481C1C}"/>
                      </a:extLst>
                    </a:blip>
                    <a:srcRect/>
                    <a:stretch>
                      <a:fillRect/>
                    </a:stretch>
                  </pic:blipFill>
                  <pic:spPr bwMode="auto">
                    <a:xfrm>
                      <a:off x="0" y="0"/>
                      <a:ext cx="7199630" cy="33020"/>
                    </a:xfrm>
                    <a:prstGeom prst="rect">
                      <a:avLst/>
                    </a:prstGeom>
                    <a:noFill/>
                  </pic:spPr>
                </pic:pic>
              </a:graphicData>
            </a:graphic>
          </wp:anchor>
        </w:drawing>
        <w:t>Pursuant to the requirements of the Securities Act of 1933, the undersigned Registrant has duly caused this Registration Statement to be signed on its behalf by the undersigned, thereunto duly authorized, in the City of Boca Raton, State of Florida, on the 30th day of October, 2026.</w:t>
      </w:r>
    </w:p>
    <w:p>
      <w:pPr>
        <w:spacing w:after="0" w:line="14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b w:val="1"/>
          <w:bCs w:val="1"/>
          <w:color w:val="auto"/>
        </w:rPr>
        <w:t>CCMAS LLC</w:t>
      </w:r>
    </w:p>
    <w:p>
      <w:pPr>
        <w:spacing w:after="0" w:line="18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By: /s/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3606165</wp:posOffset>
            </wp:positionH>
            <wp:positionV relativeFrom="paragraph">
              <wp:posOffset>15875</wp:posOffset>
            </wp:positionV>
            <wp:extent cx="2037080" cy="69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2">
                      <a:extLst>
                        <a:ext uri="{28A0092B-C50C-407E-A947-70E740481C1C}"/>
                      </a:extLst>
                    </a:blip>
                    <a:srcRect/>
                    <a:stretch>
                      <a:fillRect/>
                    </a:stretch>
                  </pic:blipFill>
                  <pic:spPr bwMode="auto">
                    <a:xfrm>
                      <a:off x="0" y="0"/>
                      <a:ext cx="2037080" cy="6985"/>
                    </a:xfrm>
                    <a:prstGeom prst="rect">
                      <a:avLst/>
                    </a:prstGeom>
                    <a:noFill/>
                  </pic:spPr>
                </pic:pic>
              </a:graphicData>
            </a:graphic>
          </wp:anchor>
        </w:drawing>
      </w:r>
    </w:p>
    <w:p>
      <w:pPr>
        <w:spacing w:after="0" w:line="1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Name: Shayn P. March</w:t>
      </w:r>
    </w:p>
    <w:p>
      <w:pPr>
        <w:spacing w:after="0" w:line="2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Title:    Vice President, Chief Financial Officer,</w:t>
      </w:r>
    </w:p>
    <w:p>
      <w:pPr>
        <w:spacing w:after="0" w:line="1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4"/>
          <w:szCs w:val="14"/>
          <w:color w:val="auto"/>
        </w:rPr>
        <w:t>Treasurer and Manager</w:t>
      </w:r>
    </w:p>
    <w:p>
      <w:pPr>
        <w:spacing w:after="0" w:line="167" w:lineRule="exact"/>
        <w:rPr>
          <w:sz w:val="20"/>
          <w:szCs w:val="20"/>
          <w:color w:val="auto"/>
        </w:rPr>
      </w:pPr>
    </w:p>
    <w:p>
      <w:pPr>
        <w:ind w:left="120" w:right="239" w:firstLine="350"/>
        <w:spacing w:after="0" w:line="261" w:lineRule="auto"/>
        <w:rPr>
          <w:sz w:val="20"/>
          <w:szCs w:val="20"/>
          <w:color w:val="auto"/>
        </w:rPr>
      </w:pPr>
      <w:r>
        <w:rPr>
          <w:rFonts w:ascii="Times New Roman" w:cs="Times New Roman" w:eastAsia="Times New Roman" w:hAnsi="Times New Roman"/>
          <w:sz w:val="14"/>
          <w:szCs w:val="14"/>
          <w:b w:val="1"/>
          <w:bCs w:val="1"/>
          <w:color w:val="auto"/>
        </w:rPr>
        <w:t>KNOWN ALL MEN BY THESE PRESENTS</w:t>
      </w:r>
      <w:r>
        <w:rPr>
          <w:rFonts w:ascii="Times New Roman" w:cs="Times New Roman" w:eastAsia="Times New Roman" w:hAnsi="Times New Roman"/>
          <w:sz w:val="14"/>
          <w:szCs w:val="14"/>
          <w:color w:val="auto"/>
        </w:rPr>
        <w:t>, that each person whose signature appears below hereby constitutes and appoints Shayn P.</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March, Vice President, Chief Financial Officer and Treasurer, and Scott A. Schipma, Vice President and Secretary, and each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146" w:lineRule="exact"/>
        <w:rPr>
          <w:sz w:val="20"/>
          <w:szCs w:val="20"/>
          <w:color w:val="auto"/>
        </w:rPr>
      </w:pPr>
    </w:p>
    <w:p>
      <w:pPr>
        <w:ind w:left="120" w:right="239" w:firstLine="350"/>
        <w:spacing w:after="0" w:line="292"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and on the date indicated.</w:t>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254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00" w:type="dxa"/>
            <w:vAlign w:val="bottom"/>
          </w:tcPr>
          <w:p>
            <w:pPr>
              <w:spacing w:after="0"/>
              <w:rPr>
                <w:sz w:val="12"/>
                <w:szCs w:val="12"/>
                <w:color w:val="auto"/>
              </w:rPr>
            </w:pPr>
          </w:p>
        </w:tc>
        <w:tc>
          <w:tcPr>
            <w:tcW w:w="446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60" w:type="dxa"/>
            <w:vAlign w:val="bottom"/>
          </w:tcPr>
          <w:p>
            <w:pPr>
              <w:spacing w:after="0"/>
              <w:rPr>
                <w:sz w:val="12"/>
                <w:szCs w:val="12"/>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Date</w:t>
            </w:r>
          </w:p>
        </w:tc>
      </w:tr>
      <w:tr>
        <w:trPr>
          <w:trHeight w:val="322"/>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George C. Zoley</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Chairman, Chief Executive Officer and Manager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George C. Zoley</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480" w:type="dxa"/>
            <w:vAlign w:val="bottom"/>
          </w:tcPr>
          <w:p>
            <w:pPr>
              <w:spacing w:after="0"/>
              <w:rPr>
                <w:sz w:val="15"/>
                <w:szCs w:val="15"/>
                <w:color w:val="auto"/>
              </w:rPr>
            </w:pPr>
          </w:p>
        </w:tc>
      </w:tr>
      <w:tr>
        <w:trPr>
          <w:trHeight w:val="339"/>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Chief Financial Officer, Treasurer and Manager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Financial and Accounting Officer)</w:t>
            </w:r>
          </w:p>
        </w:tc>
        <w:tc>
          <w:tcPr>
            <w:tcW w:w="1480" w:type="dxa"/>
            <w:vAlign w:val="bottom"/>
          </w:tcPr>
          <w:p>
            <w:pPr>
              <w:spacing w:after="0"/>
              <w:rPr>
                <w:sz w:val="15"/>
                <w:szCs w:val="15"/>
                <w:color w:val="auto"/>
              </w:rPr>
            </w:pPr>
          </w:p>
        </w:tc>
      </w:tr>
      <w:tr>
        <w:trPr>
          <w:trHeight w:val="340"/>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Scott A. Schipma</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Secretary and Manager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Scott A. Schipma</w:t>
            </w:r>
          </w:p>
        </w:tc>
        <w:tc>
          <w:tcPr>
            <w:tcW w:w="10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39"/>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Chief Financial Officer and Treasurer of GEO Corrections</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Holdings, Inc., the Sole Member of CCMAS LLC</w:t>
            </w:r>
          </w:p>
        </w:tc>
        <w:tc>
          <w:tcPr>
            <w:tcW w:w="1480" w:type="dxa"/>
            <w:vAlign w:val="bottom"/>
          </w:tcPr>
          <w:p>
            <w:pPr>
              <w:spacing w:after="0"/>
              <w:rPr>
                <w:sz w:val="15"/>
                <w:szCs w:val="15"/>
                <w:color w:val="auto"/>
              </w:rPr>
            </w:pPr>
          </w:p>
        </w:tc>
      </w:tr>
      <w:tr>
        <w:trPr>
          <w:trHeight w:val="286"/>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20" w:type="dxa"/>
            <w:vAlign w:val="bottom"/>
            <w:gridSpan w:val="2"/>
          </w:tcPr>
          <w:p>
            <w:pPr>
              <w:ind w:left="1580"/>
              <w:spacing w:after="0"/>
              <w:rPr>
                <w:sz w:val="20"/>
                <w:szCs w:val="20"/>
                <w:color w:val="auto"/>
              </w:rPr>
            </w:pPr>
            <w:r>
              <w:rPr>
                <w:rFonts w:ascii="Times New Roman" w:cs="Times New Roman" w:eastAsia="Times New Roman" w:hAnsi="Times New Roman"/>
                <w:sz w:val="14"/>
                <w:szCs w:val="14"/>
                <w:color w:val="auto"/>
              </w:rPr>
              <w:t>II-36</w:t>
            </w:r>
          </w:p>
        </w:tc>
        <w:tc>
          <w:tcPr>
            <w:tcW w:w="1480" w:type="dxa"/>
            <w:vAlign w:val="bottom"/>
          </w:tcPr>
          <w:p>
            <w:pPr>
              <w:spacing w:after="0"/>
              <w:rPr>
                <w:sz w:val="24"/>
                <w:szCs w:val="24"/>
                <w:color w:val="auto"/>
              </w:rPr>
            </w:pPr>
          </w:p>
        </w:tc>
      </w:tr>
    </w:tbl>
    <w:p>
      <w:pPr>
        <w:sectPr>
          <w:pgSz w:w="11900" w:h="16838" w:orient="portrait"/>
          <w:cols w:equalWidth="0" w:num="1">
            <w:col w:w="9019"/>
          </w:cols>
          <w:pgMar w:left="1440" w:top="243" w:right="1440" w:bottom="1440" w:gutter="0" w:footer="0" w:header="0"/>
        </w:sectPr>
      </w:pPr>
    </w:p>
    <w:bookmarkStart w:id="67" w:name="page68"/>
    <w:bookmarkEnd w:id="67"/>
    <w:p>
      <w:pPr>
        <w:ind w:left="120" w:right="179" w:firstLine="350"/>
        <w:spacing w:after="0" w:line="29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3">
                      <a:extLst>
                        <a:ext uri="{28A0092B-C50C-407E-A947-70E740481C1C}"/>
                      </a:extLst>
                    </a:blip>
                    <a:srcRect/>
                    <a:stretch>
                      <a:fillRect/>
                    </a:stretch>
                  </pic:blipFill>
                  <pic:spPr bwMode="auto">
                    <a:xfrm>
                      <a:off x="0" y="0"/>
                      <a:ext cx="7199630" cy="33020"/>
                    </a:xfrm>
                    <a:prstGeom prst="rect">
                      <a:avLst/>
                    </a:prstGeom>
                    <a:noFill/>
                  </pic:spPr>
                </pic:pic>
              </a:graphicData>
            </a:graphic>
          </wp:anchor>
        </w:drawing>
        <w:t>Pursuant to the requirements of the Securities Act of 1933, the undersigned Registrant has duly caused this Registration Statement to be signed on its behalf by the undersigned, thereunto duly authorized, in the City of Boca Raton, State of Florida, on the 30th day of October, 2026.</w:t>
      </w:r>
    </w:p>
    <w:p>
      <w:pPr>
        <w:spacing w:after="0" w:line="14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b w:val="1"/>
          <w:bCs w:val="1"/>
          <w:color w:val="auto"/>
        </w:rPr>
        <w:t>CEC Intermediate Holdings LLC</w:t>
      </w:r>
    </w:p>
    <w:p>
      <w:pPr>
        <w:spacing w:after="0" w:line="18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By: /s/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3606165</wp:posOffset>
            </wp:positionH>
            <wp:positionV relativeFrom="paragraph">
              <wp:posOffset>15875</wp:posOffset>
            </wp:positionV>
            <wp:extent cx="2037080" cy="69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4">
                      <a:extLst>
                        <a:ext uri="{28A0092B-C50C-407E-A947-70E740481C1C}"/>
                      </a:extLst>
                    </a:blip>
                    <a:srcRect/>
                    <a:stretch>
                      <a:fillRect/>
                    </a:stretch>
                  </pic:blipFill>
                  <pic:spPr bwMode="auto">
                    <a:xfrm>
                      <a:off x="0" y="0"/>
                      <a:ext cx="2037080" cy="6985"/>
                    </a:xfrm>
                    <a:prstGeom prst="rect">
                      <a:avLst/>
                    </a:prstGeom>
                    <a:noFill/>
                  </pic:spPr>
                </pic:pic>
              </a:graphicData>
            </a:graphic>
          </wp:anchor>
        </w:drawing>
      </w:r>
    </w:p>
    <w:p>
      <w:pPr>
        <w:spacing w:after="0" w:line="1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Name: Shayn P. March</w:t>
      </w:r>
    </w:p>
    <w:p>
      <w:pPr>
        <w:spacing w:after="0" w:line="2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Title:    Vice President, Chief Financial Officer and</w:t>
      </w:r>
    </w:p>
    <w:p>
      <w:pPr>
        <w:spacing w:after="0" w:line="1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4"/>
          <w:szCs w:val="14"/>
          <w:color w:val="auto"/>
        </w:rPr>
        <w:t>Treasurer</w:t>
      </w:r>
    </w:p>
    <w:p>
      <w:pPr>
        <w:spacing w:after="0" w:line="167" w:lineRule="exact"/>
        <w:rPr>
          <w:sz w:val="20"/>
          <w:szCs w:val="20"/>
          <w:color w:val="auto"/>
        </w:rPr>
      </w:pPr>
    </w:p>
    <w:p>
      <w:pPr>
        <w:ind w:left="120" w:right="239" w:firstLine="350"/>
        <w:spacing w:after="0" w:line="261" w:lineRule="auto"/>
        <w:rPr>
          <w:sz w:val="20"/>
          <w:szCs w:val="20"/>
          <w:color w:val="auto"/>
        </w:rPr>
      </w:pPr>
      <w:r>
        <w:rPr>
          <w:rFonts w:ascii="Times New Roman" w:cs="Times New Roman" w:eastAsia="Times New Roman" w:hAnsi="Times New Roman"/>
          <w:sz w:val="14"/>
          <w:szCs w:val="14"/>
          <w:b w:val="1"/>
          <w:bCs w:val="1"/>
          <w:color w:val="auto"/>
        </w:rPr>
        <w:t>KNOWN ALL MEN BY THESE PRESENTS</w:t>
      </w:r>
      <w:r>
        <w:rPr>
          <w:rFonts w:ascii="Times New Roman" w:cs="Times New Roman" w:eastAsia="Times New Roman" w:hAnsi="Times New Roman"/>
          <w:sz w:val="14"/>
          <w:szCs w:val="14"/>
          <w:color w:val="auto"/>
        </w:rPr>
        <w:t>, that each person whose signature appears below hereby constitutes and appoints Shayn P.</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March, Vice President, Chief Financial Officer and Treasurer, and Scott A. Schipma, Vice President and Secretary, and each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146" w:lineRule="exact"/>
        <w:rPr>
          <w:sz w:val="20"/>
          <w:szCs w:val="20"/>
          <w:color w:val="auto"/>
        </w:rPr>
      </w:pPr>
    </w:p>
    <w:p>
      <w:pPr>
        <w:ind w:left="120" w:right="239" w:firstLine="350"/>
        <w:spacing w:after="0" w:line="292"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and on the date indicated.</w:t>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254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00" w:type="dxa"/>
            <w:vAlign w:val="bottom"/>
          </w:tcPr>
          <w:p>
            <w:pPr>
              <w:spacing w:after="0"/>
              <w:rPr>
                <w:sz w:val="12"/>
                <w:szCs w:val="12"/>
                <w:color w:val="auto"/>
              </w:rPr>
            </w:pPr>
          </w:p>
        </w:tc>
        <w:tc>
          <w:tcPr>
            <w:tcW w:w="446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60" w:type="dxa"/>
            <w:vAlign w:val="bottom"/>
          </w:tcPr>
          <w:p>
            <w:pPr>
              <w:spacing w:after="0"/>
              <w:rPr>
                <w:sz w:val="12"/>
                <w:szCs w:val="12"/>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Date</w:t>
            </w:r>
          </w:p>
        </w:tc>
      </w:tr>
      <w:tr>
        <w:trPr>
          <w:trHeight w:val="322"/>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George C. Zoley</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Chairman and Chief Executive Officer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George C. Zoley</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480" w:type="dxa"/>
            <w:vAlign w:val="bottom"/>
          </w:tcPr>
          <w:p>
            <w:pPr>
              <w:spacing w:after="0"/>
              <w:rPr>
                <w:sz w:val="15"/>
                <w:szCs w:val="15"/>
                <w:color w:val="auto"/>
              </w:rPr>
            </w:pPr>
          </w:p>
        </w:tc>
      </w:tr>
      <w:tr>
        <w:trPr>
          <w:trHeight w:val="339"/>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Chief Financial Officer and Treasurer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Financial and Accounting Officer)</w:t>
            </w:r>
          </w:p>
        </w:tc>
        <w:tc>
          <w:tcPr>
            <w:tcW w:w="1480" w:type="dxa"/>
            <w:vAlign w:val="bottom"/>
          </w:tcPr>
          <w:p>
            <w:pPr>
              <w:spacing w:after="0"/>
              <w:rPr>
                <w:sz w:val="15"/>
                <w:szCs w:val="15"/>
                <w:color w:val="auto"/>
              </w:rPr>
            </w:pPr>
          </w:p>
        </w:tc>
      </w:tr>
      <w:tr>
        <w:trPr>
          <w:trHeight w:val="339"/>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Senior Vice President, Chief Financial Officer and Treasurer of The GEO</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38"/>
        </w:trPr>
        <w:tc>
          <w:tcPr>
            <w:tcW w:w="2560" w:type="dxa"/>
            <w:vAlign w:val="bottom"/>
            <w:gridSpan w:val="2"/>
          </w:tcPr>
          <w:p>
            <w:pPr>
              <w:spacing w:after="0" w:line="138" w:lineRule="exact"/>
              <w:rPr>
                <w:sz w:val="20"/>
                <w:szCs w:val="20"/>
                <w:color w:val="auto"/>
              </w:rPr>
            </w:pPr>
            <w:r>
              <w:rPr>
                <w:rFonts w:ascii="Times New Roman" w:cs="Times New Roman" w:eastAsia="Times New Roman" w:hAnsi="Times New Roman"/>
                <w:sz w:val="14"/>
                <w:szCs w:val="14"/>
                <w:color w:val="auto"/>
              </w:rPr>
              <w:t>Shayn P. March</w:t>
            </w:r>
          </w:p>
        </w:tc>
        <w:tc>
          <w:tcPr>
            <w:tcW w:w="4720" w:type="dxa"/>
            <w:vAlign w:val="bottom"/>
            <w:gridSpan w:val="3"/>
          </w:tcPr>
          <w:p>
            <w:pPr>
              <w:ind w:left="80"/>
              <w:spacing w:after="0" w:line="138" w:lineRule="exact"/>
              <w:rPr>
                <w:sz w:val="20"/>
                <w:szCs w:val="20"/>
                <w:color w:val="auto"/>
              </w:rPr>
            </w:pPr>
            <w:r>
              <w:rPr>
                <w:rFonts w:ascii="Times New Roman" w:cs="Times New Roman" w:eastAsia="Times New Roman" w:hAnsi="Times New Roman"/>
                <w:sz w:val="14"/>
                <w:szCs w:val="14"/>
                <w:color w:val="auto"/>
              </w:rPr>
              <w:t>Group, Inc., the Sole Member of CEC Parent Holdings LLC, the Sole</w:t>
            </w:r>
          </w:p>
        </w:tc>
        <w:tc>
          <w:tcPr>
            <w:tcW w:w="1480" w:type="dxa"/>
            <w:vAlign w:val="bottom"/>
          </w:tcPr>
          <w:p>
            <w:pPr>
              <w:spacing w:after="0"/>
              <w:rPr>
                <w:sz w:val="11"/>
                <w:szCs w:val="11"/>
                <w:color w:val="auto"/>
              </w:rPr>
            </w:pPr>
          </w:p>
        </w:tc>
      </w:tr>
      <w:tr>
        <w:trPr>
          <w:trHeight w:val="185"/>
        </w:trPr>
        <w:tc>
          <w:tcPr>
            <w:tcW w:w="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Member of CEC Intermediate Holdings LLC</w:t>
            </w:r>
          </w:p>
        </w:tc>
        <w:tc>
          <w:tcPr>
            <w:tcW w:w="1480" w:type="dxa"/>
            <w:vAlign w:val="bottom"/>
          </w:tcPr>
          <w:p>
            <w:pPr>
              <w:spacing w:after="0"/>
              <w:rPr>
                <w:sz w:val="16"/>
                <w:szCs w:val="16"/>
                <w:color w:val="auto"/>
              </w:rPr>
            </w:pPr>
          </w:p>
        </w:tc>
      </w:tr>
      <w:tr>
        <w:trPr>
          <w:trHeight w:val="290"/>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20" w:type="dxa"/>
            <w:vAlign w:val="bottom"/>
            <w:gridSpan w:val="2"/>
          </w:tcPr>
          <w:p>
            <w:pPr>
              <w:ind w:left="1580"/>
              <w:spacing w:after="0"/>
              <w:rPr>
                <w:sz w:val="20"/>
                <w:szCs w:val="20"/>
                <w:color w:val="auto"/>
              </w:rPr>
            </w:pPr>
            <w:r>
              <w:rPr>
                <w:rFonts w:ascii="Times New Roman" w:cs="Times New Roman" w:eastAsia="Times New Roman" w:hAnsi="Times New Roman"/>
                <w:sz w:val="14"/>
                <w:szCs w:val="14"/>
                <w:color w:val="auto"/>
              </w:rPr>
              <w:t>II-37</w:t>
            </w:r>
          </w:p>
        </w:tc>
        <w:tc>
          <w:tcPr>
            <w:tcW w:w="1480" w:type="dxa"/>
            <w:vAlign w:val="bottom"/>
          </w:tcPr>
          <w:p>
            <w:pPr>
              <w:spacing w:after="0"/>
              <w:rPr>
                <w:sz w:val="24"/>
                <w:szCs w:val="24"/>
                <w:color w:val="auto"/>
              </w:rPr>
            </w:pPr>
          </w:p>
        </w:tc>
      </w:tr>
    </w:tbl>
    <w:p>
      <w:pPr>
        <w:sectPr>
          <w:pgSz w:w="11900" w:h="16838" w:orient="portrait"/>
          <w:cols w:equalWidth="0" w:num="1">
            <w:col w:w="9019"/>
          </w:cols>
          <w:pgMar w:left="1440" w:top="243" w:right="1440" w:bottom="1440" w:gutter="0" w:footer="0" w:header="0"/>
        </w:sectPr>
      </w:pPr>
    </w:p>
    <w:bookmarkStart w:id="68" w:name="page69"/>
    <w:bookmarkEnd w:id="68"/>
    <w:p>
      <w:pPr>
        <w:ind w:left="120" w:right="179" w:firstLine="350"/>
        <w:spacing w:after="0" w:line="29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5">
                      <a:extLst>
                        <a:ext uri="{28A0092B-C50C-407E-A947-70E740481C1C}"/>
                      </a:extLst>
                    </a:blip>
                    <a:srcRect/>
                    <a:stretch>
                      <a:fillRect/>
                    </a:stretch>
                  </pic:blipFill>
                  <pic:spPr bwMode="auto">
                    <a:xfrm>
                      <a:off x="0" y="0"/>
                      <a:ext cx="7199630" cy="33020"/>
                    </a:xfrm>
                    <a:prstGeom prst="rect">
                      <a:avLst/>
                    </a:prstGeom>
                    <a:noFill/>
                  </pic:spPr>
                </pic:pic>
              </a:graphicData>
            </a:graphic>
          </wp:anchor>
        </w:drawing>
        <w:t>Pursuant to the requirements of the Securities Act of 1933, the undersigned Registrant has duly caused this Registration Statement to be signed on its behalf by the undersigned, thereunto duly authorized, in the City of Boca Raton, State of Florida, on the 30th day of October, 2026.</w:t>
      </w:r>
    </w:p>
    <w:p>
      <w:pPr>
        <w:spacing w:after="0" w:line="14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b w:val="1"/>
          <w:bCs w:val="1"/>
          <w:color w:val="auto"/>
        </w:rPr>
        <w:t>CEC Parent Holdings LLC</w:t>
      </w:r>
    </w:p>
    <w:p>
      <w:pPr>
        <w:spacing w:after="0" w:line="18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By: /s/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3606165</wp:posOffset>
            </wp:positionH>
            <wp:positionV relativeFrom="paragraph">
              <wp:posOffset>15875</wp:posOffset>
            </wp:positionV>
            <wp:extent cx="2037080" cy="69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6">
                      <a:extLst>
                        <a:ext uri="{28A0092B-C50C-407E-A947-70E740481C1C}"/>
                      </a:extLst>
                    </a:blip>
                    <a:srcRect/>
                    <a:stretch>
                      <a:fillRect/>
                    </a:stretch>
                  </pic:blipFill>
                  <pic:spPr bwMode="auto">
                    <a:xfrm>
                      <a:off x="0" y="0"/>
                      <a:ext cx="2037080" cy="6985"/>
                    </a:xfrm>
                    <a:prstGeom prst="rect">
                      <a:avLst/>
                    </a:prstGeom>
                    <a:noFill/>
                  </pic:spPr>
                </pic:pic>
              </a:graphicData>
            </a:graphic>
          </wp:anchor>
        </w:drawing>
      </w:r>
    </w:p>
    <w:p>
      <w:pPr>
        <w:spacing w:after="0" w:line="1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Name: Shayn P. March</w:t>
      </w:r>
    </w:p>
    <w:p>
      <w:pPr>
        <w:spacing w:after="0" w:line="2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Title:    Vice President, Chief Financial Officer,</w:t>
      </w:r>
    </w:p>
    <w:p>
      <w:pPr>
        <w:spacing w:after="0" w:line="1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4"/>
          <w:szCs w:val="14"/>
          <w:color w:val="auto"/>
        </w:rPr>
        <w:t>Treasurer and Manager</w:t>
      </w:r>
    </w:p>
    <w:p>
      <w:pPr>
        <w:spacing w:after="0" w:line="167" w:lineRule="exact"/>
        <w:rPr>
          <w:sz w:val="20"/>
          <w:szCs w:val="20"/>
          <w:color w:val="auto"/>
        </w:rPr>
      </w:pPr>
    </w:p>
    <w:p>
      <w:pPr>
        <w:ind w:left="120" w:right="239" w:firstLine="350"/>
        <w:spacing w:after="0" w:line="261" w:lineRule="auto"/>
        <w:rPr>
          <w:sz w:val="20"/>
          <w:szCs w:val="20"/>
          <w:color w:val="auto"/>
        </w:rPr>
      </w:pPr>
      <w:r>
        <w:rPr>
          <w:rFonts w:ascii="Times New Roman" w:cs="Times New Roman" w:eastAsia="Times New Roman" w:hAnsi="Times New Roman"/>
          <w:sz w:val="14"/>
          <w:szCs w:val="14"/>
          <w:b w:val="1"/>
          <w:bCs w:val="1"/>
          <w:color w:val="auto"/>
        </w:rPr>
        <w:t>KNOWN ALL MEN BY THESE PRESENTS</w:t>
      </w:r>
      <w:r>
        <w:rPr>
          <w:rFonts w:ascii="Times New Roman" w:cs="Times New Roman" w:eastAsia="Times New Roman" w:hAnsi="Times New Roman"/>
          <w:sz w:val="14"/>
          <w:szCs w:val="14"/>
          <w:color w:val="auto"/>
        </w:rPr>
        <w:t>, that each person whose signature appears below hereby constitutes and appoints Shayn P.</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March, Vice President, Chief Financial Officer and Treasurer, and Scott A. Schipma, Vice President and Secretary, and each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146" w:lineRule="exact"/>
        <w:rPr>
          <w:sz w:val="20"/>
          <w:szCs w:val="20"/>
          <w:color w:val="auto"/>
        </w:rPr>
      </w:pPr>
    </w:p>
    <w:p>
      <w:pPr>
        <w:ind w:left="120" w:right="239" w:firstLine="350"/>
        <w:spacing w:after="0" w:line="292"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and on the date indicated.</w:t>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254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00" w:type="dxa"/>
            <w:vAlign w:val="bottom"/>
          </w:tcPr>
          <w:p>
            <w:pPr>
              <w:spacing w:after="0"/>
              <w:rPr>
                <w:sz w:val="12"/>
                <w:szCs w:val="12"/>
                <w:color w:val="auto"/>
              </w:rPr>
            </w:pPr>
          </w:p>
        </w:tc>
        <w:tc>
          <w:tcPr>
            <w:tcW w:w="446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60" w:type="dxa"/>
            <w:vAlign w:val="bottom"/>
          </w:tcPr>
          <w:p>
            <w:pPr>
              <w:spacing w:after="0"/>
              <w:rPr>
                <w:sz w:val="12"/>
                <w:szCs w:val="12"/>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Date</w:t>
            </w:r>
          </w:p>
        </w:tc>
      </w:tr>
      <w:tr>
        <w:trPr>
          <w:trHeight w:val="322"/>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George C. Zoley</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Chairman, Chief Executive Officer and Manager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George C. Zoley</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480" w:type="dxa"/>
            <w:vAlign w:val="bottom"/>
          </w:tcPr>
          <w:p>
            <w:pPr>
              <w:spacing w:after="0"/>
              <w:rPr>
                <w:sz w:val="15"/>
                <w:szCs w:val="15"/>
                <w:color w:val="auto"/>
              </w:rPr>
            </w:pPr>
          </w:p>
        </w:tc>
      </w:tr>
      <w:tr>
        <w:trPr>
          <w:trHeight w:val="339"/>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Chief Financial Officer, Treasurer and Manager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Financial and Accounting Officer)</w:t>
            </w:r>
          </w:p>
        </w:tc>
        <w:tc>
          <w:tcPr>
            <w:tcW w:w="1480" w:type="dxa"/>
            <w:vAlign w:val="bottom"/>
          </w:tcPr>
          <w:p>
            <w:pPr>
              <w:spacing w:after="0"/>
              <w:rPr>
                <w:sz w:val="15"/>
                <w:szCs w:val="15"/>
                <w:color w:val="auto"/>
              </w:rPr>
            </w:pPr>
          </w:p>
        </w:tc>
      </w:tr>
      <w:tr>
        <w:trPr>
          <w:trHeight w:val="340"/>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Scott A. Schipma</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Secretary and Manager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Scott A. Schipma</w:t>
            </w:r>
          </w:p>
        </w:tc>
        <w:tc>
          <w:tcPr>
            <w:tcW w:w="10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39"/>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Senior Vice President, Chief Financial Officer and Treasurer of The GEO</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Group, Inc., the Sole Member of CEC Parent Holdings LLC</w:t>
            </w:r>
          </w:p>
        </w:tc>
        <w:tc>
          <w:tcPr>
            <w:tcW w:w="1480" w:type="dxa"/>
            <w:vAlign w:val="bottom"/>
          </w:tcPr>
          <w:p>
            <w:pPr>
              <w:spacing w:after="0"/>
              <w:rPr>
                <w:sz w:val="15"/>
                <w:szCs w:val="15"/>
                <w:color w:val="auto"/>
              </w:rPr>
            </w:pPr>
          </w:p>
        </w:tc>
      </w:tr>
      <w:tr>
        <w:trPr>
          <w:trHeight w:val="286"/>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20" w:type="dxa"/>
            <w:vAlign w:val="bottom"/>
            <w:gridSpan w:val="2"/>
          </w:tcPr>
          <w:p>
            <w:pPr>
              <w:ind w:left="1580"/>
              <w:spacing w:after="0"/>
              <w:rPr>
                <w:sz w:val="20"/>
                <w:szCs w:val="20"/>
                <w:color w:val="auto"/>
              </w:rPr>
            </w:pPr>
            <w:r>
              <w:rPr>
                <w:rFonts w:ascii="Times New Roman" w:cs="Times New Roman" w:eastAsia="Times New Roman" w:hAnsi="Times New Roman"/>
                <w:sz w:val="14"/>
                <w:szCs w:val="14"/>
                <w:color w:val="auto"/>
              </w:rPr>
              <w:t>II-38</w:t>
            </w:r>
          </w:p>
        </w:tc>
        <w:tc>
          <w:tcPr>
            <w:tcW w:w="1480" w:type="dxa"/>
            <w:vAlign w:val="bottom"/>
          </w:tcPr>
          <w:p>
            <w:pPr>
              <w:spacing w:after="0"/>
              <w:rPr>
                <w:sz w:val="24"/>
                <w:szCs w:val="24"/>
                <w:color w:val="auto"/>
              </w:rPr>
            </w:pPr>
          </w:p>
        </w:tc>
      </w:tr>
    </w:tbl>
    <w:p>
      <w:pPr>
        <w:sectPr>
          <w:pgSz w:w="11900" w:h="16838" w:orient="portrait"/>
          <w:cols w:equalWidth="0" w:num="1">
            <w:col w:w="9019"/>
          </w:cols>
          <w:pgMar w:left="1440" w:top="243" w:right="1440" w:bottom="1440" w:gutter="0" w:footer="0" w:header="0"/>
        </w:sectPr>
      </w:pPr>
    </w:p>
    <w:bookmarkStart w:id="69" w:name="page70"/>
    <w:bookmarkEnd w:id="69"/>
    <w:p>
      <w:pPr>
        <w:ind w:left="120" w:right="179" w:firstLine="350"/>
        <w:spacing w:after="0" w:line="29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7">
                      <a:extLst>
                        <a:ext uri="{28A0092B-C50C-407E-A947-70E740481C1C}"/>
                      </a:extLst>
                    </a:blip>
                    <a:srcRect/>
                    <a:stretch>
                      <a:fillRect/>
                    </a:stretch>
                  </pic:blipFill>
                  <pic:spPr bwMode="auto">
                    <a:xfrm>
                      <a:off x="0" y="0"/>
                      <a:ext cx="7199630" cy="33020"/>
                    </a:xfrm>
                    <a:prstGeom prst="rect">
                      <a:avLst/>
                    </a:prstGeom>
                    <a:noFill/>
                  </pic:spPr>
                </pic:pic>
              </a:graphicData>
            </a:graphic>
          </wp:anchor>
        </w:drawing>
        <w:t>Pursuant to the requirements of the Securities Act of 1933, the undersigned Registrant has duly caused this Registration Statement to be signed on its behalf by the undersigned, thereunto duly authorized, in the City of Boca Raton, State of Florida, on the 30th day of October, 2026.</w:t>
      </w:r>
    </w:p>
    <w:p>
      <w:pPr>
        <w:spacing w:after="0" w:line="14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b w:val="1"/>
          <w:bCs w:val="1"/>
          <w:color w:val="auto"/>
        </w:rPr>
        <w:t>CEC Staffing Solutions LLC</w:t>
      </w:r>
    </w:p>
    <w:p>
      <w:pPr>
        <w:spacing w:after="0" w:line="18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By: /s/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3606165</wp:posOffset>
            </wp:positionH>
            <wp:positionV relativeFrom="paragraph">
              <wp:posOffset>15875</wp:posOffset>
            </wp:positionV>
            <wp:extent cx="2037080" cy="69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8">
                      <a:extLst>
                        <a:ext uri="{28A0092B-C50C-407E-A947-70E740481C1C}"/>
                      </a:extLst>
                    </a:blip>
                    <a:srcRect/>
                    <a:stretch>
                      <a:fillRect/>
                    </a:stretch>
                  </pic:blipFill>
                  <pic:spPr bwMode="auto">
                    <a:xfrm>
                      <a:off x="0" y="0"/>
                      <a:ext cx="2037080" cy="6985"/>
                    </a:xfrm>
                    <a:prstGeom prst="rect">
                      <a:avLst/>
                    </a:prstGeom>
                    <a:noFill/>
                  </pic:spPr>
                </pic:pic>
              </a:graphicData>
            </a:graphic>
          </wp:anchor>
        </w:drawing>
      </w:r>
    </w:p>
    <w:p>
      <w:pPr>
        <w:spacing w:after="0" w:line="1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Name: Shayn P. March</w:t>
      </w:r>
    </w:p>
    <w:p>
      <w:pPr>
        <w:spacing w:after="0" w:line="2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Title:    Vice President, Chief Financial Officer,</w:t>
      </w:r>
    </w:p>
    <w:p>
      <w:pPr>
        <w:spacing w:after="0" w:line="1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4"/>
          <w:szCs w:val="14"/>
          <w:color w:val="auto"/>
        </w:rPr>
        <w:t>Treasurer and Manager</w:t>
      </w:r>
    </w:p>
    <w:p>
      <w:pPr>
        <w:spacing w:after="0" w:line="167" w:lineRule="exact"/>
        <w:rPr>
          <w:sz w:val="20"/>
          <w:szCs w:val="20"/>
          <w:color w:val="auto"/>
        </w:rPr>
      </w:pPr>
    </w:p>
    <w:p>
      <w:pPr>
        <w:ind w:left="120" w:right="239" w:firstLine="350"/>
        <w:spacing w:after="0" w:line="261" w:lineRule="auto"/>
        <w:rPr>
          <w:sz w:val="20"/>
          <w:szCs w:val="20"/>
          <w:color w:val="auto"/>
        </w:rPr>
      </w:pPr>
      <w:r>
        <w:rPr>
          <w:rFonts w:ascii="Times New Roman" w:cs="Times New Roman" w:eastAsia="Times New Roman" w:hAnsi="Times New Roman"/>
          <w:sz w:val="14"/>
          <w:szCs w:val="14"/>
          <w:b w:val="1"/>
          <w:bCs w:val="1"/>
          <w:color w:val="auto"/>
        </w:rPr>
        <w:t>KNOWN ALL MEN BY THESE PRESENTS</w:t>
      </w:r>
      <w:r>
        <w:rPr>
          <w:rFonts w:ascii="Times New Roman" w:cs="Times New Roman" w:eastAsia="Times New Roman" w:hAnsi="Times New Roman"/>
          <w:sz w:val="14"/>
          <w:szCs w:val="14"/>
          <w:color w:val="auto"/>
        </w:rPr>
        <w:t>, that each person whose signature appears below hereby constitutes and appoints Shayn P.</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March, Vice President, Chief Financial Officer and Treasurer, and Scott A. Schipma, Vice President and Secretary, and each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146" w:lineRule="exact"/>
        <w:rPr>
          <w:sz w:val="20"/>
          <w:szCs w:val="20"/>
          <w:color w:val="auto"/>
        </w:rPr>
      </w:pPr>
    </w:p>
    <w:p>
      <w:pPr>
        <w:ind w:left="120" w:right="239" w:firstLine="350"/>
        <w:spacing w:after="0" w:line="292"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and on the date indicated.</w:t>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254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00" w:type="dxa"/>
            <w:vAlign w:val="bottom"/>
          </w:tcPr>
          <w:p>
            <w:pPr>
              <w:spacing w:after="0"/>
              <w:rPr>
                <w:sz w:val="12"/>
                <w:szCs w:val="12"/>
                <w:color w:val="auto"/>
              </w:rPr>
            </w:pPr>
          </w:p>
        </w:tc>
        <w:tc>
          <w:tcPr>
            <w:tcW w:w="446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60" w:type="dxa"/>
            <w:vAlign w:val="bottom"/>
          </w:tcPr>
          <w:p>
            <w:pPr>
              <w:spacing w:after="0"/>
              <w:rPr>
                <w:sz w:val="12"/>
                <w:szCs w:val="12"/>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Date</w:t>
            </w:r>
          </w:p>
        </w:tc>
      </w:tr>
      <w:tr>
        <w:trPr>
          <w:trHeight w:val="322"/>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George C. Zoley</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Chairman, Chief Executive Officer and Manager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George C. Zoley</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480" w:type="dxa"/>
            <w:vAlign w:val="bottom"/>
          </w:tcPr>
          <w:p>
            <w:pPr>
              <w:spacing w:after="0"/>
              <w:rPr>
                <w:sz w:val="15"/>
                <w:szCs w:val="15"/>
                <w:color w:val="auto"/>
              </w:rPr>
            </w:pPr>
          </w:p>
        </w:tc>
      </w:tr>
      <w:tr>
        <w:trPr>
          <w:trHeight w:val="339"/>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Chief Financial Officer, Treasurer and Manager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Financial and Accounting Officer)</w:t>
            </w:r>
          </w:p>
        </w:tc>
        <w:tc>
          <w:tcPr>
            <w:tcW w:w="1480" w:type="dxa"/>
            <w:vAlign w:val="bottom"/>
          </w:tcPr>
          <w:p>
            <w:pPr>
              <w:spacing w:after="0"/>
              <w:rPr>
                <w:sz w:val="15"/>
                <w:szCs w:val="15"/>
                <w:color w:val="auto"/>
              </w:rPr>
            </w:pPr>
          </w:p>
        </w:tc>
      </w:tr>
      <w:tr>
        <w:trPr>
          <w:trHeight w:val="340"/>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Scott A. Schipma</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Secretary and Manager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Scott A. Schipma</w:t>
            </w:r>
          </w:p>
        </w:tc>
        <w:tc>
          <w:tcPr>
            <w:tcW w:w="10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39"/>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Chief Financial Officer and Treasurer of GEO Corrections</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Holdings, Inc., the Sole Member of CEC Staffing Solutions LLC</w:t>
            </w:r>
          </w:p>
        </w:tc>
        <w:tc>
          <w:tcPr>
            <w:tcW w:w="1480" w:type="dxa"/>
            <w:vAlign w:val="bottom"/>
          </w:tcPr>
          <w:p>
            <w:pPr>
              <w:spacing w:after="0"/>
              <w:rPr>
                <w:sz w:val="15"/>
                <w:szCs w:val="15"/>
                <w:color w:val="auto"/>
              </w:rPr>
            </w:pPr>
          </w:p>
        </w:tc>
      </w:tr>
      <w:tr>
        <w:trPr>
          <w:trHeight w:val="286"/>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20" w:type="dxa"/>
            <w:vAlign w:val="bottom"/>
            <w:gridSpan w:val="2"/>
          </w:tcPr>
          <w:p>
            <w:pPr>
              <w:ind w:left="1580"/>
              <w:spacing w:after="0"/>
              <w:rPr>
                <w:sz w:val="20"/>
                <w:szCs w:val="20"/>
                <w:color w:val="auto"/>
              </w:rPr>
            </w:pPr>
            <w:r>
              <w:rPr>
                <w:rFonts w:ascii="Times New Roman" w:cs="Times New Roman" w:eastAsia="Times New Roman" w:hAnsi="Times New Roman"/>
                <w:sz w:val="14"/>
                <w:szCs w:val="14"/>
                <w:color w:val="auto"/>
              </w:rPr>
              <w:t>II-39</w:t>
            </w:r>
          </w:p>
        </w:tc>
        <w:tc>
          <w:tcPr>
            <w:tcW w:w="1480" w:type="dxa"/>
            <w:vAlign w:val="bottom"/>
          </w:tcPr>
          <w:p>
            <w:pPr>
              <w:spacing w:after="0"/>
              <w:rPr>
                <w:sz w:val="24"/>
                <w:szCs w:val="24"/>
                <w:color w:val="auto"/>
              </w:rPr>
            </w:pPr>
          </w:p>
        </w:tc>
      </w:tr>
    </w:tbl>
    <w:p>
      <w:pPr>
        <w:sectPr>
          <w:pgSz w:w="11900" w:h="16838" w:orient="portrait"/>
          <w:cols w:equalWidth="0" w:num="1">
            <w:col w:w="9019"/>
          </w:cols>
          <w:pgMar w:left="1440" w:top="243" w:right="1440" w:bottom="1440" w:gutter="0" w:footer="0" w:header="0"/>
        </w:sectPr>
      </w:pPr>
    </w:p>
    <w:bookmarkStart w:id="70" w:name="page71"/>
    <w:bookmarkEnd w:id="70"/>
    <w:p>
      <w:pPr>
        <w:ind w:left="120" w:right="179" w:firstLine="350"/>
        <w:spacing w:after="0" w:line="29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9">
                      <a:extLst>
                        <a:ext uri="{28A0092B-C50C-407E-A947-70E740481C1C}"/>
                      </a:extLst>
                    </a:blip>
                    <a:srcRect/>
                    <a:stretch>
                      <a:fillRect/>
                    </a:stretch>
                  </pic:blipFill>
                  <pic:spPr bwMode="auto">
                    <a:xfrm>
                      <a:off x="0" y="0"/>
                      <a:ext cx="7199630" cy="33020"/>
                    </a:xfrm>
                    <a:prstGeom prst="rect">
                      <a:avLst/>
                    </a:prstGeom>
                    <a:noFill/>
                  </pic:spPr>
                </pic:pic>
              </a:graphicData>
            </a:graphic>
          </wp:anchor>
        </w:drawing>
        <w:t>Pursuant to the requirements of the Securities Act of 1933, the undersigned Registrant has duly caused this Registration Statement to be signed on its behalf by the undersigned, thereunto duly authorized, in the City of Boca Raton, State of Florida, on the 30th day of October, 2026.</w:t>
      </w:r>
    </w:p>
    <w:p>
      <w:pPr>
        <w:spacing w:after="0" w:line="14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b w:val="1"/>
          <w:bCs w:val="1"/>
          <w:color w:val="auto"/>
        </w:rPr>
        <w:t>CiviGenics Management Services, LLC</w:t>
      </w:r>
    </w:p>
    <w:p>
      <w:pPr>
        <w:spacing w:after="0" w:line="18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By: /s/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3606165</wp:posOffset>
            </wp:positionH>
            <wp:positionV relativeFrom="paragraph">
              <wp:posOffset>15875</wp:posOffset>
            </wp:positionV>
            <wp:extent cx="2037080" cy="69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0">
                      <a:extLst>
                        <a:ext uri="{28A0092B-C50C-407E-A947-70E740481C1C}"/>
                      </a:extLst>
                    </a:blip>
                    <a:srcRect/>
                    <a:stretch>
                      <a:fillRect/>
                    </a:stretch>
                  </pic:blipFill>
                  <pic:spPr bwMode="auto">
                    <a:xfrm>
                      <a:off x="0" y="0"/>
                      <a:ext cx="2037080" cy="6985"/>
                    </a:xfrm>
                    <a:prstGeom prst="rect">
                      <a:avLst/>
                    </a:prstGeom>
                    <a:noFill/>
                  </pic:spPr>
                </pic:pic>
              </a:graphicData>
            </a:graphic>
          </wp:anchor>
        </w:drawing>
      </w:r>
    </w:p>
    <w:p>
      <w:pPr>
        <w:spacing w:after="0" w:line="1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Name: Shayn P. March</w:t>
      </w:r>
    </w:p>
    <w:p>
      <w:pPr>
        <w:spacing w:after="0" w:line="2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Title:    Vice President, Chief Financial Officer,</w:t>
      </w:r>
    </w:p>
    <w:p>
      <w:pPr>
        <w:spacing w:after="0" w:line="1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4"/>
          <w:szCs w:val="14"/>
          <w:color w:val="auto"/>
        </w:rPr>
        <w:t>Treasurer and Manager</w:t>
      </w:r>
    </w:p>
    <w:p>
      <w:pPr>
        <w:spacing w:after="0" w:line="167" w:lineRule="exact"/>
        <w:rPr>
          <w:sz w:val="20"/>
          <w:szCs w:val="20"/>
          <w:color w:val="auto"/>
        </w:rPr>
      </w:pPr>
    </w:p>
    <w:p>
      <w:pPr>
        <w:ind w:left="120" w:right="239" w:firstLine="350"/>
        <w:spacing w:after="0" w:line="261" w:lineRule="auto"/>
        <w:rPr>
          <w:sz w:val="20"/>
          <w:szCs w:val="20"/>
          <w:color w:val="auto"/>
        </w:rPr>
      </w:pPr>
      <w:r>
        <w:rPr>
          <w:rFonts w:ascii="Times New Roman" w:cs="Times New Roman" w:eastAsia="Times New Roman" w:hAnsi="Times New Roman"/>
          <w:sz w:val="14"/>
          <w:szCs w:val="14"/>
          <w:b w:val="1"/>
          <w:bCs w:val="1"/>
          <w:color w:val="auto"/>
        </w:rPr>
        <w:t>KNOWN ALL MEN BY THESE PRESENTS</w:t>
      </w:r>
      <w:r>
        <w:rPr>
          <w:rFonts w:ascii="Times New Roman" w:cs="Times New Roman" w:eastAsia="Times New Roman" w:hAnsi="Times New Roman"/>
          <w:sz w:val="14"/>
          <w:szCs w:val="14"/>
          <w:color w:val="auto"/>
        </w:rPr>
        <w:t>, that each person whose signature appears below hereby constitutes and appoints Shayn P.</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March, Vice President, Chief Financial Officer and Treasurer, and Scott A. Schipma, Vice President and Secretary, and each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146" w:lineRule="exact"/>
        <w:rPr>
          <w:sz w:val="20"/>
          <w:szCs w:val="20"/>
          <w:color w:val="auto"/>
        </w:rPr>
      </w:pPr>
    </w:p>
    <w:p>
      <w:pPr>
        <w:ind w:left="120" w:right="239" w:firstLine="350"/>
        <w:spacing w:after="0" w:line="292"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and on the date indicated.</w:t>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254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00" w:type="dxa"/>
            <w:vAlign w:val="bottom"/>
          </w:tcPr>
          <w:p>
            <w:pPr>
              <w:spacing w:after="0"/>
              <w:rPr>
                <w:sz w:val="12"/>
                <w:szCs w:val="12"/>
                <w:color w:val="auto"/>
              </w:rPr>
            </w:pPr>
          </w:p>
        </w:tc>
        <w:tc>
          <w:tcPr>
            <w:tcW w:w="446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60" w:type="dxa"/>
            <w:vAlign w:val="bottom"/>
          </w:tcPr>
          <w:p>
            <w:pPr>
              <w:spacing w:after="0"/>
              <w:rPr>
                <w:sz w:val="12"/>
                <w:szCs w:val="12"/>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Date</w:t>
            </w:r>
          </w:p>
        </w:tc>
      </w:tr>
      <w:tr>
        <w:trPr>
          <w:trHeight w:val="322"/>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George C. Zoley</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Chairman, Chief Executive Officer and Manager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George C. Zoley</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480" w:type="dxa"/>
            <w:vAlign w:val="bottom"/>
          </w:tcPr>
          <w:p>
            <w:pPr>
              <w:spacing w:after="0"/>
              <w:rPr>
                <w:sz w:val="15"/>
                <w:szCs w:val="15"/>
                <w:color w:val="auto"/>
              </w:rPr>
            </w:pPr>
          </w:p>
        </w:tc>
      </w:tr>
      <w:tr>
        <w:trPr>
          <w:trHeight w:val="339"/>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Chief Financial Officer, Treasurer and Manager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Financial and Accounting Officer)</w:t>
            </w:r>
          </w:p>
        </w:tc>
        <w:tc>
          <w:tcPr>
            <w:tcW w:w="1480" w:type="dxa"/>
            <w:vAlign w:val="bottom"/>
          </w:tcPr>
          <w:p>
            <w:pPr>
              <w:spacing w:after="0"/>
              <w:rPr>
                <w:sz w:val="15"/>
                <w:szCs w:val="15"/>
                <w:color w:val="auto"/>
              </w:rPr>
            </w:pPr>
          </w:p>
        </w:tc>
      </w:tr>
      <w:tr>
        <w:trPr>
          <w:trHeight w:val="340"/>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Scott A. Schipma</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Secretary and Manager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Scott A. Schipma</w:t>
            </w:r>
          </w:p>
        </w:tc>
        <w:tc>
          <w:tcPr>
            <w:tcW w:w="10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39"/>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Chief Financial Officer, Treasurer and Director of</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38"/>
        </w:trPr>
        <w:tc>
          <w:tcPr>
            <w:tcW w:w="2560" w:type="dxa"/>
            <w:vAlign w:val="bottom"/>
            <w:gridSpan w:val="2"/>
          </w:tcPr>
          <w:p>
            <w:pPr>
              <w:spacing w:after="0" w:line="138" w:lineRule="exact"/>
              <w:rPr>
                <w:sz w:val="20"/>
                <w:szCs w:val="20"/>
                <w:color w:val="auto"/>
              </w:rPr>
            </w:pPr>
            <w:r>
              <w:rPr>
                <w:rFonts w:ascii="Times New Roman" w:cs="Times New Roman" w:eastAsia="Times New Roman" w:hAnsi="Times New Roman"/>
                <w:sz w:val="14"/>
                <w:szCs w:val="14"/>
                <w:color w:val="auto"/>
              </w:rPr>
              <w:t>Shayn P. March</w:t>
            </w:r>
          </w:p>
        </w:tc>
        <w:tc>
          <w:tcPr>
            <w:tcW w:w="4720" w:type="dxa"/>
            <w:vAlign w:val="bottom"/>
            <w:gridSpan w:val="3"/>
          </w:tcPr>
          <w:p>
            <w:pPr>
              <w:ind w:left="80"/>
              <w:spacing w:after="0" w:line="138" w:lineRule="exact"/>
              <w:rPr>
                <w:sz w:val="20"/>
                <w:szCs w:val="20"/>
                <w:color w:val="auto"/>
              </w:rPr>
            </w:pPr>
            <w:r>
              <w:rPr>
                <w:rFonts w:ascii="Times New Roman" w:cs="Times New Roman" w:eastAsia="Times New Roman" w:hAnsi="Times New Roman"/>
                <w:sz w:val="14"/>
                <w:szCs w:val="14"/>
                <w:color w:val="auto"/>
              </w:rPr>
              <w:t>CiviGenics, Inc., the Sole Member of CiviGenics Management Services,</w:t>
            </w:r>
          </w:p>
        </w:tc>
        <w:tc>
          <w:tcPr>
            <w:tcW w:w="1480" w:type="dxa"/>
            <w:vAlign w:val="bottom"/>
          </w:tcPr>
          <w:p>
            <w:pPr>
              <w:spacing w:after="0"/>
              <w:rPr>
                <w:sz w:val="11"/>
                <w:szCs w:val="11"/>
                <w:color w:val="auto"/>
              </w:rPr>
            </w:pPr>
          </w:p>
        </w:tc>
      </w:tr>
      <w:tr>
        <w:trPr>
          <w:trHeight w:val="185"/>
        </w:trPr>
        <w:tc>
          <w:tcPr>
            <w:tcW w:w="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LLC</w:t>
            </w:r>
          </w:p>
        </w:tc>
        <w:tc>
          <w:tcPr>
            <w:tcW w:w="1480" w:type="dxa"/>
            <w:vAlign w:val="bottom"/>
          </w:tcPr>
          <w:p>
            <w:pPr>
              <w:spacing w:after="0"/>
              <w:rPr>
                <w:sz w:val="16"/>
                <w:szCs w:val="16"/>
                <w:color w:val="auto"/>
              </w:rPr>
            </w:pPr>
          </w:p>
        </w:tc>
      </w:tr>
      <w:tr>
        <w:trPr>
          <w:trHeight w:val="290"/>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20" w:type="dxa"/>
            <w:vAlign w:val="bottom"/>
            <w:gridSpan w:val="2"/>
          </w:tcPr>
          <w:p>
            <w:pPr>
              <w:ind w:left="1580"/>
              <w:spacing w:after="0"/>
              <w:rPr>
                <w:sz w:val="20"/>
                <w:szCs w:val="20"/>
                <w:color w:val="auto"/>
              </w:rPr>
            </w:pPr>
            <w:r>
              <w:rPr>
                <w:rFonts w:ascii="Times New Roman" w:cs="Times New Roman" w:eastAsia="Times New Roman" w:hAnsi="Times New Roman"/>
                <w:sz w:val="14"/>
                <w:szCs w:val="14"/>
                <w:color w:val="auto"/>
              </w:rPr>
              <w:t>II-40</w:t>
            </w:r>
          </w:p>
        </w:tc>
        <w:tc>
          <w:tcPr>
            <w:tcW w:w="1480" w:type="dxa"/>
            <w:vAlign w:val="bottom"/>
          </w:tcPr>
          <w:p>
            <w:pPr>
              <w:spacing w:after="0"/>
              <w:rPr>
                <w:sz w:val="24"/>
                <w:szCs w:val="24"/>
                <w:color w:val="auto"/>
              </w:rPr>
            </w:pPr>
          </w:p>
        </w:tc>
      </w:tr>
    </w:tbl>
    <w:p>
      <w:pPr>
        <w:sectPr>
          <w:pgSz w:w="11900" w:h="16838" w:orient="portrait"/>
          <w:cols w:equalWidth="0" w:num="1">
            <w:col w:w="9019"/>
          </w:cols>
          <w:pgMar w:left="1440" w:top="243" w:right="1440" w:bottom="1440" w:gutter="0" w:footer="0" w:header="0"/>
        </w:sectPr>
      </w:pPr>
    </w:p>
    <w:bookmarkStart w:id="71" w:name="page72"/>
    <w:bookmarkEnd w:id="71"/>
    <w:p>
      <w:pPr>
        <w:ind w:left="120" w:right="179" w:firstLine="350"/>
        <w:spacing w:after="0" w:line="29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1">
                      <a:extLst>
                        <a:ext uri="{28A0092B-C50C-407E-A947-70E740481C1C}"/>
                      </a:extLst>
                    </a:blip>
                    <a:srcRect/>
                    <a:stretch>
                      <a:fillRect/>
                    </a:stretch>
                  </pic:blipFill>
                  <pic:spPr bwMode="auto">
                    <a:xfrm>
                      <a:off x="0" y="0"/>
                      <a:ext cx="7199630" cy="33020"/>
                    </a:xfrm>
                    <a:prstGeom prst="rect">
                      <a:avLst/>
                    </a:prstGeom>
                    <a:noFill/>
                  </pic:spPr>
                </pic:pic>
              </a:graphicData>
            </a:graphic>
          </wp:anchor>
        </w:drawing>
        <w:t>Pursuant to the requirements of the Securities Act of 1933, the undersigned Registrant has duly caused this Registration Statement to be signed on its behalf by the undersigned, thereunto duly authorized, in the City of Boca Raton, State of Florida, on the 30th day of October, 2026.</w:t>
      </w:r>
    </w:p>
    <w:p>
      <w:pPr>
        <w:spacing w:after="0" w:line="14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b w:val="1"/>
          <w:bCs w:val="1"/>
          <w:color w:val="auto"/>
        </w:rPr>
        <w:t>CiviGenics, Inc.</w:t>
      </w:r>
    </w:p>
    <w:p>
      <w:pPr>
        <w:spacing w:after="0" w:line="18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By: /s/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3606165</wp:posOffset>
            </wp:positionH>
            <wp:positionV relativeFrom="paragraph">
              <wp:posOffset>15875</wp:posOffset>
            </wp:positionV>
            <wp:extent cx="2037080" cy="69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2">
                      <a:extLst>
                        <a:ext uri="{28A0092B-C50C-407E-A947-70E740481C1C}"/>
                      </a:extLst>
                    </a:blip>
                    <a:srcRect/>
                    <a:stretch>
                      <a:fillRect/>
                    </a:stretch>
                  </pic:blipFill>
                  <pic:spPr bwMode="auto">
                    <a:xfrm>
                      <a:off x="0" y="0"/>
                      <a:ext cx="2037080" cy="6985"/>
                    </a:xfrm>
                    <a:prstGeom prst="rect">
                      <a:avLst/>
                    </a:prstGeom>
                    <a:noFill/>
                  </pic:spPr>
                </pic:pic>
              </a:graphicData>
            </a:graphic>
          </wp:anchor>
        </w:drawing>
      </w:r>
    </w:p>
    <w:p>
      <w:pPr>
        <w:spacing w:after="0" w:line="1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Name: Shayn P. March</w:t>
      </w:r>
    </w:p>
    <w:p>
      <w:pPr>
        <w:spacing w:after="0" w:line="2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Title:    Vice President, Chief Financial Officer,</w:t>
      </w:r>
    </w:p>
    <w:p>
      <w:pPr>
        <w:spacing w:after="0" w:line="1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4"/>
          <w:szCs w:val="14"/>
          <w:color w:val="auto"/>
        </w:rPr>
        <w:t>Treasurer and Director</w:t>
      </w:r>
    </w:p>
    <w:p>
      <w:pPr>
        <w:spacing w:after="0" w:line="167" w:lineRule="exact"/>
        <w:rPr>
          <w:sz w:val="20"/>
          <w:szCs w:val="20"/>
          <w:color w:val="auto"/>
        </w:rPr>
      </w:pPr>
    </w:p>
    <w:p>
      <w:pPr>
        <w:ind w:left="120" w:right="239" w:firstLine="350"/>
        <w:spacing w:after="0" w:line="261" w:lineRule="auto"/>
        <w:rPr>
          <w:sz w:val="20"/>
          <w:szCs w:val="20"/>
          <w:color w:val="auto"/>
        </w:rPr>
      </w:pPr>
      <w:r>
        <w:rPr>
          <w:rFonts w:ascii="Times New Roman" w:cs="Times New Roman" w:eastAsia="Times New Roman" w:hAnsi="Times New Roman"/>
          <w:sz w:val="14"/>
          <w:szCs w:val="14"/>
          <w:b w:val="1"/>
          <w:bCs w:val="1"/>
          <w:color w:val="auto"/>
        </w:rPr>
        <w:t>KNOWN ALL MEN BY THESE PRESENTS</w:t>
      </w:r>
      <w:r>
        <w:rPr>
          <w:rFonts w:ascii="Times New Roman" w:cs="Times New Roman" w:eastAsia="Times New Roman" w:hAnsi="Times New Roman"/>
          <w:sz w:val="14"/>
          <w:szCs w:val="14"/>
          <w:color w:val="auto"/>
        </w:rPr>
        <w:t>, that each person whose signature appears below hereby constitutes and appoints Shayn P.</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March, Vice President, Chief Financial Officer and Treasurer, and Scott A. Schipma, Vice President and Secretary, and each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146" w:lineRule="exact"/>
        <w:rPr>
          <w:sz w:val="20"/>
          <w:szCs w:val="20"/>
          <w:color w:val="auto"/>
        </w:rPr>
      </w:pPr>
    </w:p>
    <w:p>
      <w:pPr>
        <w:ind w:left="120" w:right="239" w:firstLine="350"/>
        <w:spacing w:after="0" w:line="292"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and on the date indicated.</w:t>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254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00" w:type="dxa"/>
            <w:vAlign w:val="bottom"/>
          </w:tcPr>
          <w:p>
            <w:pPr>
              <w:spacing w:after="0"/>
              <w:rPr>
                <w:sz w:val="12"/>
                <w:szCs w:val="12"/>
                <w:color w:val="auto"/>
              </w:rPr>
            </w:pPr>
          </w:p>
        </w:tc>
        <w:tc>
          <w:tcPr>
            <w:tcW w:w="446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60" w:type="dxa"/>
            <w:vAlign w:val="bottom"/>
          </w:tcPr>
          <w:p>
            <w:pPr>
              <w:spacing w:after="0"/>
              <w:rPr>
                <w:sz w:val="12"/>
                <w:szCs w:val="12"/>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Date</w:t>
            </w:r>
          </w:p>
        </w:tc>
      </w:tr>
      <w:tr>
        <w:trPr>
          <w:trHeight w:val="322"/>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George C. Zoley</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Chairman, Chief Executive Officer and 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George C. Zoley</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480" w:type="dxa"/>
            <w:vAlign w:val="bottom"/>
          </w:tcPr>
          <w:p>
            <w:pPr>
              <w:spacing w:after="0"/>
              <w:rPr>
                <w:sz w:val="15"/>
                <w:szCs w:val="15"/>
                <w:color w:val="auto"/>
              </w:rPr>
            </w:pPr>
          </w:p>
        </w:tc>
      </w:tr>
      <w:tr>
        <w:trPr>
          <w:trHeight w:val="339"/>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Chief Financial Officer, Treasurer and 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Financial and Accounting Officer)</w:t>
            </w:r>
          </w:p>
        </w:tc>
        <w:tc>
          <w:tcPr>
            <w:tcW w:w="1480" w:type="dxa"/>
            <w:vAlign w:val="bottom"/>
          </w:tcPr>
          <w:p>
            <w:pPr>
              <w:spacing w:after="0"/>
              <w:rPr>
                <w:sz w:val="15"/>
                <w:szCs w:val="15"/>
                <w:color w:val="auto"/>
              </w:rPr>
            </w:pPr>
          </w:p>
        </w:tc>
      </w:tr>
      <w:tr>
        <w:trPr>
          <w:trHeight w:val="340"/>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Scott A. Schipma</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Secretary and 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Scott A. Schipma</w:t>
            </w:r>
          </w:p>
        </w:tc>
        <w:tc>
          <w:tcPr>
            <w:tcW w:w="10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86"/>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20" w:type="dxa"/>
            <w:vAlign w:val="bottom"/>
            <w:gridSpan w:val="2"/>
          </w:tcPr>
          <w:p>
            <w:pPr>
              <w:ind w:left="1580"/>
              <w:spacing w:after="0"/>
              <w:rPr>
                <w:sz w:val="20"/>
                <w:szCs w:val="20"/>
                <w:color w:val="auto"/>
              </w:rPr>
            </w:pPr>
            <w:r>
              <w:rPr>
                <w:rFonts w:ascii="Times New Roman" w:cs="Times New Roman" w:eastAsia="Times New Roman" w:hAnsi="Times New Roman"/>
                <w:sz w:val="14"/>
                <w:szCs w:val="14"/>
                <w:color w:val="auto"/>
              </w:rPr>
              <w:t>II-41</w:t>
            </w:r>
          </w:p>
        </w:tc>
        <w:tc>
          <w:tcPr>
            <w:tcW w:w="1480" w:type="dxa"/>
            <w:vAlign w:val="bottom"/>
          </w:tcPr>
          <w:p>
            <w:pPr>
              <w:spacing w:after="0"/>
              <w:rPr>
                <w:sz w:val="24"/>
                <w:szCs w:val="24"/>
                <w:color w:val="auto"/>
              </w:rPr>
            </w:pPr>
          </w:p>
        </w:tc>
      </w:tr>
    </w:tbl>
    <w:p>
      <w:pPr>
        <w:sectPr>
          <w:pgSz w:w="11900" w:h="16838" w:orient="portrait"/>
          <w:cols w:equalWidth="0" w:num="1">
            <w:col w:w="9019"/>
          </w:cols>
          <w:pgMar w:left="1440" w:top="243" w:right="1440" w:bottom="1440" w:gutter="0" w:footer="0" w:header="0"/>
        </w:sectPr>
      </w:pPr>
    </w:p>
    <w:bookmarkStart w:id="72" w:name="page73"/>
    <w:bookmarkEnd w:id="72"/>
    <w:p>
      <w:pPr>
        <w:ind w:left="120" w:right="179" w:firstLine="350"/>
        <w:spacing w:after="0" w:line="29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3">
                      <a:extLst>
                        <a:ext uri="{28A0092B-C50C-407E-A947-70E740481C1C}"/>
                      </a:extLst>
                    </a:blip>
                    <a:srcRect/>
                    <a:stretch>
                      <a:fillRect/>
                    </a:stretch>
                  </pic:blipFill>
                  <pic:spPr bwMode="auto">
                    <a:xfrm>
                      <a:off x="0" y="0"/>
                      <a:ext cx="7199630" cy="33020"/>
                    </a:xfrm>
                    <a:prstGeom prst="rect">
                      <a:avLst/>
                    </a:prstGeom>
                    <a:noFill/>
                  </pic:spPr>
                </pic:pic>
              </a:graphicData>
            </a:graphic>
          </wp:anchor>
        </w:drawing>
        <w:t>Pursuant to the requirements of the Securities Act of 1933, the undersigned Registrant has duly caused this Registration Statement to be signed on its behalf by the undersigned, thereunto duly authorized, in the City of Boca Raton, State of Florida, on the 30th day of October, 2026.</w:t>
      </w:r>
    </w:p>
    <w:p>
      <w:pPr>
        <w:spacing w:after="0" w:line="14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b w:val="1"/>
          <w:bCs w:val="1"/>
          <w:color w:val="auto"/>
        </w:rPr>
        <w:t>CiviGenics-Texas, Inc.</w:t>
      </w:r>
    </w:p>
    <w:p>
      <w:pPr>
        <w:spacing w:after="0" w:line="18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By: /s/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3606165</wp:posOffset>
            </wp:positionH>
            <wp:positionV relativeFrom="paragraph">
              <wp:posOffset>15875</wp:posOffset>
            </wp:positionV>
            <wp:extent cx="2037080" cy="69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4">
                      <a:extLst>
                        <a:ext uri="{28A0092B-C50C-407E-A947-70E740481C1C}"/>
                      </a:extLst>
                    </a:blip>
                    <a:srcRect/>
                    <a:stretch>
                      <a:fillRect/>
                    </a:stretch>
                  </pic:blipFill>
                  <pic:spPr bwMode="auto">
                    <a:xfrm>
                      <a:off x="0" y="0"/>
                      <a:ext cx="2037080" cy="6985"/>
                    </a:xfrm>
                    <a:prstGeom prst="rect">
                      <a:avLst/>
                    </a:prstGeom>
                    <a:noFill/>
                  </pic:spPr>
                </pic:pic>
              </a:graphicData>
            </a:graphic>
          </wp:anchor>
        </w:drawing>
      </w:r>
    </w:p>
    <w:p>
      <w:pPr>
        <w:spacing w:after="0" w:line="1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Name: Shayn P. March</w:t>
      </w:r>
    </w:p>
    <w:p>
      <w:pPr>
        <w:spacing w:after="0" w:line="2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Title:    Vice President, Chief Financial Officer,</w:t>
      </w:r>
    </w:p>
    <w:p>
      <w:pPr>
        <w:spacing w:after="0" w:line="1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4"/>
          <w:szCs w:val="14"/>
          <w:color w:val="auto"/>
        </w:rPr>
        <w:t>Treasurer and Director</w:t>
      </w:r>
    </w:p>
    <w:p>
      <w:pPr>
        <w:spacing w:after="0" w:line="167" w:lineRule="exact"/>
        <w:rPr>
          <w:sz w:val="20"/>
          <w:szCs w:val="20"/>
          <w:color w:val="auto"/>
        </w:rPr>
      </w:pPr>
    </w:p>
    <w:p>
      <w:pPr>
        <w:ind w:left="120" w:right="239" w:firstLine="350"/>
        <w:spacing w:after="0" w:line="261" w:lineRule="auto"/>
        <w:rPr>
          <w:sz w:val="20"/>
          <w:szCs w:val="20"/>
          <w:color w:val="auto"/>
        </w:rPr>
      </w:pPr>
      <w:r>
        <w:rPr>
          <w:rFonts w:ascii="Times New Roman" w:cs="Times New Roman" w:eastAsia="Times New Roman" w:hAnsi="Times New Roman"/>
          <w:sz w:val="14"/>
          <w:szCs w:val="14"/>
          <w:b w:val="1"/>
          <w:bCs w:val="1"/>
          <w:color w:val="auto"/>
        </w:rPr>
        <w:t>KNOWN ALL MEN BY THESE PRESENTS</w:t>
      </w:r>
      <w:r>
        <w:rPr>
          <w:rFonts w:ascii="Times New Roman" w:cs="Times New Roman" w:eastAsia="Times New Roman" w:hAnsi="Times New Roman"/>
          <w:sz w:val="14"/>
          <w:szCs w:val="14"/>
          <w:color w:val="auto"/>
        </w:rPr>
        <w:t>, that each person whose signature appears below hereby constitutes and appoints Shayn P.</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March, Vice President, Chief Financial Officer and Treasurer, and Scott A. Schipma, Vice President and Secretary, and each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146" w:lineRule="exact"/>
        <w:rPr>
          <w:sz w:val="20"/>
          <w:szCs w:val="20"/>
          <w:color w:val="auto"/>
        </w:rPr>
      </w:pPr>
    </w:p>
    <w:p>
      <w:pPr>
        <w:ind w:left="120" w:right="239" w:firstLine="350"/>
        <w:spacing w:after="0" w:line="292"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and on the date indicated.</w:t>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254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00" w:type="dxa"/>
            <w:vAlign w:val="bottom"/>
          </w:tcPr>
          <w:p>
            <w:pPr>
              <w:spacing w:after="0"/>
              <w:rPr>
                <w:sz w:val="12"/>
                <w:szCs w:val="12"/>
                <w:color w:val="auto"/>
              </w:rPr>
            </w:pPr>
          </w:p>
        </w:tc>
        <w:tc>
          <w:tcPr>
            <w:tcW w:w="446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60" w:type="dxa"/>
            <w:vAlign w:val="bottom"/>
          </w:tcPr>
          <w:p>
            <w:pPr>
              <w:spacing w:after="0"/>
              <w:rPr>
                <w:sz w:val="12"/>
                <w:szCs w:val="12"/>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Date</w:t>
            </w:r>
          </w:p>
        </w:tc>
      </w:tr>
      <w:tr>
        <w:trPr>
          <w:trHeight w:val="322"/>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George C. Zoley</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Chairman, Chief Executive Officer and 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George C. Zoley</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480" w:type="dxa"/>
            <w:vAlign w:val="bottom"/>
          </w:tcPr>
          <w:p>
            <w:pPr>
              <w:spacing w:after="0"/>
              <w:rPr>
                <w:sz w:val="15"/>
                <w:szCs w:val="15"/>
                <w:color w:val="auto"/>
              </w:rPr>
            </w:pPr>
          </w:p>
        </w:tc>
      </w:tr>
      <w:tr>
        <w:trPr>
          <w:trHeight w:val="339"/>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Chief Financial Officer, Treasurer and 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Financial and Accounting Officer)</w:t>
            </w:r>
          </w:p>
        </w:tc>
        <w:tc>
          <w:tcPr>
            <w:tcW w:w="1480" w:type="dxa"/>
            <w:vAlign w:val="bottom"/>
          </w:tcPr>
          <w:p>
            <w:pPr>
              <w:spacing w:after="0"/>
              <w:rPr>
                <w:sz w:val="15"/>
                <w:szCs w:val="15"/>
                <w:color w:val="auto"/>
              </w:rPr>
            </w:pPr>
          </w:p>
        </w:tc>
      </w:tr>
      <w:tr>
        <w:trPr>
          <w:trHeight w:val="340"/>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Scott A. Schipma</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Secretary and 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Scott A. Schipma</w:t>
            </w:r>
          </w:p>
        </w:tc>
        <w:tc>
          <w:tcPr>
            <w:tcW w:w="10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86"/>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20" w:type="dxa"/>
            <w:vAlign w:val="bottom"/>
            <w:gridSpan w:val="2"/>
          </w:tcPr>
          <w:p>
            <w:pPr>
              <w:ind w:left="1580"/>
              <w:spacing w:after="0"/>
              <w:rPr>
                <w:sz w:val="20"/>
                <w:szCs w:val="20"/>
                <w:color w:val="auto"/>
              </w:rPr>
            </w:pPr>
            <w:r>
              <w:rPr>
                <w:rFonts w:ascii="Times New Roman" w:cs="Times New Roman" w:eastAsia="Times New Roman" w:hAnsi="Times New Roman"/>
                <w:sz w:val="14"/>
                <w:szCs w:val="14"/>
                <w:color w:val="auto"/>
              </w:rPr>
              <w:t>II-42</w:t>
            </w:r>
          </w:p>
        </w:tc>
        <w:tc>
          <w:tcPr>
            <w:tcW w:w="1480" w:type="dxa"/>
            <w:vAlign w:val="bottom"/>
          </w:tcPr>
          <w:p>
            <w:pPr>
              <w:spacing w:after="0"/>
              <w:rPr>
                <w:sz w:val="24"/>
                <w:szCs w:val="24"/>
                <w:color w:val="auto"/>
              </w:rPr>
            </w:pPr>
          </w:p>
        </w:tc>
      </w:tr>
    </w:tbl>
    <w:p>
      <w:pPr>
        <w:sectPr>
          <w:pgSz w:w="11900" w:h="16838" w:orient="portrait"/>
          <w:cols w:equalWidth="0" w:num="1">
            <w:col w:w="9019"/>
          </w:cols>
          <w:pgMar w:left="1440" w:top="243" w:right="1440" w:bottom="1440" w:gutter="0" w:footer="0" w:header="0"/>
        </w:sectPr>
      </w:pPr>
    </w:p>
    <w:bookmarkStart w:id="73" w:name="page74"/>
    <w:bookmarkEnd w:id="73"/>
    <w:p>
      <w:pPr>
        <w:ind w:left="120" w:right="179" w:firstLine="350"/>
        <w:spacing w:after="0" w:line="29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5">
                      <a:extLst>
                        <a:ext uri="{28A0092B-C50C-407E-A947-70E740481C1C}"/>
                      </a:extLst>
                    </a:blip>
                    <a:srcRect/>
                    <a:stretch>
                      <a:fillRect/>
                    </a:stretch>
                  </pic:blipFill>
                  <pic:spPr bwMode="auto">
                    <a:xfrm>
                      <a:off x="0" y="0"/>
                      <a:ext cx="7199630" cy="33020"/>
                    </a:xfrm>
                    <a:prstGeom prst="rect">
                      <a:avLst/>
                    </a:prstGeom>
                    <a:noFill/>
                  </pic:spPr>
                </pic:pic>
              </a:graphicData>
            </a:graphic>
          </wp:anchor>
        </w:drawing>
        <w:t>Pursuant to the requirements of the Securities Act of 1933, the undersigned Registrant has duly caused this Registration Statement to be signed on its behalf by the undersigned, thereunto duly authorized, in the City of Boca Raton, State of Florida, on the 30th day of October, 2026.</w:t>
      </w:r>
    </w:p>
    <w:p>
      <w:pPr>
        <w:spacing w:after="0" w:line="14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b w:val="1"/>
          <w:bCs w:val="1"/>
          <w:color w:val="auto"/>
        </w:rPr>
        <w:t>Clearstream Development LLC</w:t>
      </w:r>
    </w:p>
    <w:p>
      <w:pPr>
        <w:spacing w:after="0" w:line="18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By: /s/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3606165</wp:posOffset>
            </wp:positionH>
            <wp:positionV relativeFrom="paragraph">
              <wp:posOffset>15875</wp:posOffset>
            </wp:positionV>
            <wp:extent cx="2037080" cy="69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6">
                      <a:extLst>
                        <a:ext uri="{28A0092B-C50C-407E-A947-70E740481C1C}"/>
                      </a:extLst>
                    </a:blip>
                    <a:srcRect/>
                    <a:stretch>
                      <a:fillRect/>
                    </a:stretch>
                  </pic:blipFill>
                  <pic:spPr bwMode="auto">
                    <a:xfrm>
                      <a:off x="0" y="0"/>
                      <a:ext cx="2037080" cy="6985"/>
                    </a:xfrm>
                    <a:prstGeom prst="rect">
                      <a:avLst/>
                    </a:prstGeom>
                    <a:noFill/>
                  </pic:spPr>
                </pic:pic>
              </a:graphicData>
            </a:graphic>
          </wp:anchor>
        </w:drawing>
      </w:r>
    </w:p>
    <w:p>
      <w:pPr>
        <w:spacing w:after="0" w:line="1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Name: Shayn P. March</w:t>
      </w:r>
    </w:p>
    <w:p>
      <w:pPr>
        <w:spacing w:after="0" w:line="2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Title:    Vice President, Chief Financial Officer,</w:t>
      </w:r>
    </w:p>
    <w:p>
      <w:pPr>
        <w:spacing w:after="0" w:line="1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4"/>
          <w:szCs w:val="14"/>
          <w:color w:val="auto"/>
        </w:rPr>
        <w:t>Treasurer and Manager</w:t>
      </w:r>
    </w:p>
    <w:p>
      <w:pPr>
        <w:spacing w:after="0" w:line="167" w:lineRule="exact"/>
        <w:rPr>
          <w:sz w:val="20"/>
          <w:szCs w:val="20"/>
          <w:color w:val="auto"/>
        </w:rPr>
      </w:pPr>
    </w:p>
    <w:p>
      <w:pPr>
        <w:ind w:left="120" w:right="239" w:firstLine="350"/>
        <w:spacing w:after="0" w:line="261" w:lineRule="auto"/>
        <w:rPr>
          <w:sz w:val="20"/>
          <w:szCs w:val="20"/>
          <w:color w:val="auto"/>
        </w:rPr>
      </w:pPr>
      <w:r>
        <w:rPr>
          <w:rFonts w:ascii="Times New Roman" w:cs="Times New Roman" w:eastAsia="Times New Roman" w:hAnsi="Times New Roman"/>
          <w:sz w:val="14"/>
          <w:szCs w:val="14"/>
          <w:b w:val="1"/>
          <w:bCs w:val="1"/>
          <w:color w:val="auto"/>
        </w:rPr>
        <w:t>KNOWN ALL MEN BY THESE PRESENTS</w:t>
      </w:r>
      <w:r>
        <w:rPr>
          <w:rFonts w:ascii="Times New Roman" w:cs="Times New Roman" w:eastAsia="Times New Roman" w:hAnsi="Times New Roman"/>
          <w:sz w:val="14"/>
          <w:szCs w:val="14"/>
          <w:color w:val="auto"/>
        </w:rPr>
        <w:t>, that each person whose signature appears below hereby constitutes and appoints Shayn P.</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March, Vice President, Chief Financial Officer and Treasurer, and Scott A. Schipma, Vice President and Secretary, and each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146" w:lineRule="exact"/>
        <w:rPr>
          <w:sz w:val="20"/>
          <w:szCs w:val="20"/>
          <w:color w:val="auto"/>
        </w:rPr>
      </w:pPr>
    </w:p>
    <w:p>
      <w:pPr>
        <w:ind w:left="120" w:right="239" w:firstLine="350"/>
        <w:spacing w:after="0" w:line="292"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and on the date indicated.</w:t>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254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00" w:type="dxa"/>
            <w:vAlign w:val="bottom"/>
          </w:tcPr>
          <w:p>
            <w:pPr>
              <w:spacing w:after="0"/>
              <w:rPr>
                <w:sz w:val="12"/>
                <w:szCs w:val="12"/>
                <w:color w:val="auto"/>
              </w:rPr>
            </w:pPr>
          </w:p>
        </w:tc>
        <w:tc>
          <w:tcPr>
            <w:tcW w:w="446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60" w:type="dxa"/>
            <w:vAlign w:val="bottom"/>
          </w:tcPr>
          <w:p>
            <w:pPr>
              <w:spacing w:after="0"/>
              <w:rPr>
                <w:sz w:val="12"/>
                <w:szCs w:val="12"/>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Date</w:t>
            </w:r>
          </w:p>
        </w:tc>
      </w:tr>
      <w:tr>
        <w:trPr>
          <w:trHeight w:val="322"/>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George C. Zoley</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Chairman, Chief Executive Officer and Manager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George C. Zoley</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480" w:type="dxa"/>
            <w:vAlign w:val="bottom"/>
          </w:tcPr>
          <w:p>
            <w:pPr>
              <w:spacing w:after="0"/>
              <w:rPr>
                <w:sz w:val="15"/>
                <w:szCs w:val="15"/>
                <w:color w:val="auto"/>
              </w:rPr>
            </w:pPr>
          </w:p>
        </w:tc>
      </w:tr>
      <w:tr>
        <w:trPr>
          <w:trHeight w:val="339"/>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Chief Financial Officer, Treasurer and Manager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Financial and Accounting Officer)</w:t>
            </w:r>
          </w:p>
        </w:tc>
        <w:tc>
          <w:tcPr>
            <w:tcW w:w="1480" w:type="dxa"/>
            <w:vAlign w:val="bottom"/>
          </w:tcPr>
          <w:p>
            <w:pPr>
              <w:spacing w:after="0"/>
              <w:rPr>
                <w:sz w:val="15"/>
                <w:szCs w:val="15"/>
                <w:color w:val="auto"/>
              </w:rPr>
            </w:pPr>
          </w:p>
        </w:tc>
      </w:tr>
      <w:tr>
        <w:trPr>
          <w:trHeight w:val="340"/>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Scott A. Schipma</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Secretary and Manager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Scott A. Schipma</w:t>
            </w:r>
          </w:p>
        </w:tc>
        <w:tc>
          <w:tcPr>
            <w:tcW w:w="10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40"/>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Daniel Rebeor</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Real Estate and Manager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Daniel Rebeor</w:t>
            </w:r>
          </w:p>
        </w:tc>
        <w:tc>
          <w:tcPr>
            <w:tcW w:w="10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39"/>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Senior Vice President, Chief Financial Officer and Treasurer of The GEO</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Group, Inc., the Sole Member of Clearstream Development LLC</w:t>
            </w:r>
          </w:p>
        </w:tc>
        <w:tc>
          <w:tcPr>
            <w:tcW w:w="1480" w:type="dxa"/>
            <w:vAlign w:val="bottom"/>
          </w:tcPr>
          <w:p>
            <w:pPr>
              <w:spacing w:after="0"/>
              <w:rPr>
                <w:sz w:val="15"/>
                <w:szCs w:val="15"/>
                <w:color w:val="auto"/>
              </w:rPr>
            </w:pPr>
          </w:p>
        </w:tc>
      </w:tr>
      <w:tr>
        <w:trPr>
          <w:trHeight w:val="286"/>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20" w:type="dxa"/>
            <w:vAlign w:val="bottom"/>
            <w:gridSpan w:val="2"/>
          </w:tcPr>
          <w:p>
            <w:pPr>
              <w:ind w:left="1580"/>
              <w:spacing w:after="0"/>
              <w:rPr>
                <w:sz w:val="20"/>
                <w:szCs w:val="20"/>
                <w:color w:val="auto"/>
              </w:rPr>
            </w:pPr>
            <w:r>
              <w:rPr>
                <w:rFonts w:ascii="Times New Roman" w:cs="Times New Roman" w:eastAsia="Times New Roman" w:hAnsi="Times New Roman"/>
                <w:sz w:val="14"/>
                <w:szCs w:val="14"/>
                <w:color w:val="auto"/>
              </w:rPr>
              <w:t>II-43</w:t>
            </w:r>
          </w:p>
        </w:tc>
        <w:tc>
          <w:tcPr>
            <w:tcW w:w="1480" w:type="dxa"/>
            <w:vAlign w:val="bottom"/>
          </w:tcPr>
          <w:p>
            <w:pPr>
              <w:spacing w:after="0"/>
              <w:rPr>
                <w:sz w:val="24"/>
                <w:szCs w:val="24"/>
                <w:color w:val="auto"/>
              </w:rPr>
            </w:pPr>
          </w:p>
        </w:tc>
      </w:tr>
    </w:tbl>
    <w:p>
      <w:pPr>
        <w:sectPr>
          <w:pgSz w:w="11900" w:h="16838" w:orient="portrait"/>
          <w:cols w:equalWidth="0" w:num="1">
            <w:col w:w="9019"/>
          </w:cols>
          <w:pgMar w:left="1440" w:top="243" w:right="1440" w:bottom="1440" w:gutter="0" w:footer="0" w:header="0"/>
        </w:sectPr>
      </w:pPr>
    </w:p>
    <w:bookmarkStart w:id="74" w:name="page75"/>
    <w:bookmarkEnd w:id="74"/>
    <w:p>
      <w:pPr>
        <w:ind w:left="120" w:right="179" w:firstLine="350"/>
        <w:spacing w:after="0" w:line="29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7">
                      <a:extLst>
                        <a:ext uri="{28A0092B-C50C-407E-A947-70E740481C1C}"/>
                      </a:extLst>
                    </a:blip>
                    <a:srcRect/>
                    <a:stretch>
                      <a:fillRect/>
                    </a:stretch>
                  </pic:blipFill>
                  <pic:spPr bwMode="auto">
                    <a:xfrm>
                      <a:off x="0" y="0"/>
                      <a:ext cx="7199630" cy="33020"/>
                    </a:xfrm>
                    <a:prstGeom prst="rect">
                      <a:avLst/>
                    </a:prstGeom>
                    <a:noFill/>
                  </pic:spPr>
                </pic:pic>
              </a:graphicData>
            </a:graphic>
          </wp:anchor>
        </w:drawing>
        <w:t>Pursuant to the requirements of the Securities Act of 1933, the undersigned Registrant has duly caused this Registration Statement to be signed on its behalf by the undersigned, thereunto duly authorized, in the City of Boca Raton, State of Florida, on the 30th day of October, 2026.</w:t>
      </w:r>
    </w:p>
    <w:p>
      <w:pPr>
        <w:spacing w:after="0" w:line="14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b w:val="1"/>
          <w:bCs w:val="1"/>
          <w:color w:val="auto"/>
        </w:rPr>
        <w:t>Community Alternatives</w:t>
      </w:r>
    </w:p>
    <w:p>
      <w:pPr>
        <w:spacing w:after="0" w:line="18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By: /s/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3606165</wp:posOffset>
            </wp:positionH>
            <wp:positionV relativeFrom="paragraph">
              <wp:posOffset>15875</wp:posOffset>
            </wp:positionV>
            <wp:extent cx="2037080" cy="69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8">
                      <a:extLst>
                        <a:ext uri="{28A0092B-C50C-407E-A947-70E740481C1C}"/>
                      </a:extLst>
                    </a:blip>
                    <a:srcRect/>
                    <a:stretch>
                      <a:fillRect/>
                    </a:stretch>
                  </pic:blipFill>
                  <pic:spPr bwMode="auto">
                    <a:xfrm>
                      <a:off x="0" y="0"/>
                      <a:ext cx="2037080" cy="6985"/>
                    </a:xfrm>
                    <a:prstGeom prst="rect">
                      <a:avLst/>
                    </a:prstGeom>
                    <a:noFill/>
                  </pic:spPr>
                </pic:pic>
              </a:graphicData>
            </a:graphic>
          </wp:anchor>
        </w:drawing>
      </w:r>
    </w:p>
    <w:p>
      <w:pPr>
        <w:spacing w:after="0" w:line="1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Name: Shayn P. March</w:t>
      </w:r>
    </w:p>
    <w:p>
      <w:pPr>
        <w:spacing w:after="0" w:line="2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Title:    Vice President, Chief Financial Officer and</w:t>
      </w:r>
    </w:p>
    <w:p>
      <w:pPr>
        <w:spacing w:after="0" w:line="1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4"/>
          <w:szCs w:val="14"/>
          <w:color w:val="auto"/>
        </w:rPr>
        <w:t>Treasurer of CCC Wyoming Properties, LLC, a</w:t>
      </w:r>
    </w:p>
    <w:p>
      <w:pPr>
        <w:spacing w:after="0" w:line="1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4"/>
          <w:szCs w:val="14"/>
          <w:color w:val="auto"/>
        </w:rPr>
        <w:t>General Partner of Community Alternatives</w:t>
      </w:r>
    </w:p>
    <w:p>
      <w:pPr>
        <w:spacing w:after="0" w:line="167" w:lineRule="exact"/>
        <w:rPr>
          <w:sz w:val="20"/>
          <w:szCs w:val="20"/>
          <w:color w:val="auto"/>
        </w:rPr>
      </w:pPr>
    </w:p>
    <w:p>
      <w:pPr>
        <w:ind w:left="120" w:right="139" w:firstLine="350"/>
        <w:spacing w:after="0" w:line="260" w:lineRule="auto"/>
        <w:rPr>
          <w:sz w:val="20"/>
          <w:szCs w:val="20"/>
          <w:color w:val="auto"/>
        </w:rPr>
      </w:pPr>
      <w:r>
        <w:rPr>
          <w:rFonts w:ascii="Times New Roman" w:cs="Times New Roman" w:eastAsia="Times New Roman" w:hAnsi="Times New Roman"/>
          <w:sz w:val="14"/>
          <w:szCs w:val="14"/>
          <w:b w:val="1"/>
          <w:bCs w:val="1"/>
          <w:color w:val="auto"/>
        </w:rPr>
        <w:t>KNOWN ALL MEN BY THESE PRESENTS</w:t>
      </w:r>
      <w:r>
        <w:rPr>
          <w:rFonts w:ascii="Times New Roman" w:cs="Times New Roman" w:eastAsia="Times New Roman" w:hAnsi="Times New Roman"/>
          <w:sz w:val="14"/>
          <w:szCs w:val="14"/>
          <w:color w:val="auto"/>
        </w:rPr>
        <w:t>, that each person whose signature appears below hereby constitutes and appoints Shayn P.</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March, Vice President, Chief Financial Officer and Treasurer of CCC Wyoming Properties, LLC, a General Partner of Community Alternatives, and Scott A. Schipma, Vice President and Secretary of CCC Wyoming Properties, LLC, a General Partner of Community Alternatives, and each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149" w:lineRule="exact"/>
        <w:rPr>
          <w:sz w:val="20"/>
          <w:szCs w:val="20"/>
          <w:color w:val="auto"/>
        </w:rPr>
      </w:pPr>
    </w:p>
    <w:p>
      <w:pPr>
        <w:ind w:left="120" w:right="239" w:firstLine="350"/>
        <w:spacing w:after="0" w:line="292"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and on the date indicated.</w:t>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254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00" w:type="dxa"/>
            <w:vAlign w:val="bottom"/>
          </w:tcPr>
          <w:p>
            <w:pPr>
              <w:spacing w:after="0"/>
              <w:rPr>
                <w:sz w:val="12"/>
                <w:szCs w:val="12"/>
                <w:color w:val="auto"/>
              </w:rPr>
            </w:pPr>
          </w:p>
        </w:tc>
        <w:tc>
          <w:tcPr>
            <w:tcW w:w="446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60" w:type="dxa"/>
            <w:vAlign w:val="bottom"/>
          </w:tcPr>
          <w:p>
            <w:pPr>
              <w:spacing w:after="0"/>
              <w:rPr>
                <w:sz w:val="12"/>
                <w:szCs w:val="12"/>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Date</w:t>
            </w:r>
          </w:p>
        </w:tc>
      </w:tr>
      <w:tr>
        <w:trPr>
          <w:trHeight w:val="322"/>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Chief Financial Officer and Treasurer of CCC Wyoming</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Properties, LLC, a General Partner of Community Alternatives</w:t>
            </w:r>
          </w:p>
        </w:tc>
        <w:tc>
          <w:tcPr>
            <w:tcW w:w="1480" w:type="dxa"/>
            <w:vAlign w:val="bottom"/>
          </w:tcPr>
          <w:p>
            <w:pPr>
              <w:spacing w:after="0"/>
              <w:rPr>
                <w:sz w:val="15"/>
                <w:szCs w:val="15"/>
                <w:color w:val="auto"/>
              </w:rPr>
            </w:pPr>
          </w:p>
        </w:tc>
      </w:tr>
      <w:tr>
        <w:trPr>
          <w:trHeight w:val="339"/>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Chief Financial Officer, Treasurer and Director of</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Community Education Centers, Inc., Manager of Community Alternatives</w:t>
            </w:r>
          </w:p>
        </w:tc>
        <w:tc>
          <w:tcPr>
            <w:tcW w:w="1480" w:type="dxa"/>
            <w:vAlign w:val="bottom"/>
          </w:tcPr>
          <w:p>
            <w:pPr>
              <w:spacing w:after="0"/>
              <w:rPr>
                <w:sz w:val="15"/>
                <w:szCs w:val="15"/>
                <w:color w:val="auto"/>
              </w:rPr>
            </w:pPr>
          </w:p>
        </w:tc>
      </w:tr>
      <w:tr>
        <w:trPr>
          <w:trHeight w:val="286"/>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20" w:type="dxa"/>
            <w:vAlign w:val="bottom"/>
            <w:gridSpan w:val="2"/>
          </w:tcPr>
          <w:p>
            <w:pPr>
              <w:ind w:left="1580"/>
              <w:spacing w:after="0"/>
              <w:rPr>
                <w:sz w:val="20"/>
                <w:szCs w:val="20"/>
                <w:color w:val="auto"/>
              </w:rPr>
            </w:pPr>
            <w:r>
              <w:rPr>
                <w:rFonts w:ascii="Times New Roman" w:cs="Times New Roman" w:eastAsia="Times New Roman" w:hAnsi="Times New Roman"/>
                <w:sz w:val="14"/>
                <w:szCs w:val="14"/>
                <w:color w:val="auto"/>
              </w:rPr>
              <w:t>II-44</w:t>
            </w:r>
          </w:p>
        </w:tc>
        <w:tc>
          <w:tcPr>
            <w:tcW w:w="1480" w:type="dxa"/>
            <w:vAlign w:val="bottom"/>
          </w:tcPr>
          <w:p>
            <w:pPr>
              <w:spacing w:after="0"/>
              <w:rPr>
                <w:sz w:val="24"/>
                <w:szCs w:val="24"/>
                <w:color w:val="auto"/>
              </w:rPr>
            </w:pPr>
          </w:p>
        </w:tc>
      </w:tr>
    </w:tbl>
    <w:p>
      <w:pPr>
        <w:sectPr>
          <w:pgSz w:w="11900" w:h="16838" w:orient="portrait"/>
          <w:cols w:equalWidth="0" w:num="1">
            <w:col w:w="9019"/>
          </w:cols>
          <w:pgMar w:left="1440" w:top="243" w:right="1440" w:bottom="1440" w:gutter="0" w:footer="0" w:header="0"/>
        </w:sectPr>
      </w:pPr>
    </w:p>
    <w:bookmarkStart w:id="75" w:name="page76"/>
    <w:bookmarkEnd w:id="75"/>
    <w:p>
      <w:pPr>
        <w:ind w:left="120" w:right="179" w:firstLine="350"/>
        <w:spacing w:after="0" w:line="29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9">
                      <a:extLst>
                        <a:ext uri="{28A0092B-C50C-407E-A947-70E740481C1C}"/>
                      </a:extLst>
                    </a:blip>
                    <a:srcRect/>
                    <a:stretch>
                      <a:fillRect/>
                    </a:stretch>
                  </pic:blipFill>
                  <pic:spPr bwMode="auto">
                    <a:xfrm>
                      <a:off x="0" y="0"/>
                      <a:ext cx="7199630" cy="33020"/>
                    </a:xfrm>
                    <a:prstGeom prst="rect">
                      <a:avLst/>
                    </a:prstGeom>
                    <a:noFill/>
                  </pic:spPr>
                </pic:pic>
              </a:graphicData>
            </a:graphic>
          </wp:anchor>
        </w:drawing>
        <w:t>Pursuant to the requirements of the Securities Act of 1933, the undersigned Registrant has duly caused this Registration Statement to be signed on its behalf by the undersigned, thereunto duly authorized, in the City of Boca Raton, State of Florida, on the 30th day of October, 2026.</w:t>
      </w:r>
    </w:p>
    <w:p>
      <w:pPr>
        <w:spacing w:after="0" w:line="14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b w:val="1"/>
          <w:bCs w:val="1"/>
          <w:color w:val="auto"/>
        </w:rPr>
        <w:t>Community Corrections, LLC</w:t>
      </w:r>
    </w:p>
    <w:p>
      <w:pPr>
        <w:spacing w:after="0" w:line="18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By: /s/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3606165</wp:posOffset>
            </wp:positionH>
            <wp:positionV relativeFrom="paragraph">
              <wp:posOffset>15875</wp:posOffset>
            </wp:positionV>
            <wp:extent cx="2037080" cy="69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0">
                      <a:extLst>
                        <a:ext uri="{28A0092B-C50C-407E-A947-70E740481C1C}"/>
                      </a:extLst>
                    </a:blip>
                    <a:srcRect/>
                    <a:stretch>
                      <a:fillRect/>
                    </a:stretch>
                  </pic:blipFill>
                  <pic:spPr bwMode="auto">
                    <a:xfrm>
                      <a:off x="0" y="0"/>
                      <a:ext cx="2037080" cy="6985"/>
                    </a:xfrm>
                    <a:prstGeom prst="rect">
                      <a:avLst/>
                    </a:prstGeom>
                    <a:noFill/>
                  </pic:spPr>
                </pic:pic>
              </a:graphicData>
            </a:graphic>
          </wp:anchor>
        </w:drawing>
      </w:r>
    </w:p>
    <w:p>
      <w:pPr>
        <w:spacing w:after="0" w:line="1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Name: Shayn P. March</w:t>
      </w:r>
    </w:p>
    <w:p>
      <w:pPr>
        <w:spacing w:after="0" w:line="2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Title:    Vice President, Chief Financial Officer,</w:t>
      </w:r>
    </w:p>
    <w:p>
      <w:pPr>
        <w:spacing w:after="0" w:line="1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4"/>
          <w:szCs w:val="14"/>
          <w:color w:val="auto"/>
        </w:rPr>
        <w:t>Treasurer and Manager</w:t>
      </w:r>
    </w:p>
    <w:p>
      <w:pPr>
        <w:spacing w:after="0" w:line="167" w:lineRule="exact"/>
        <w:rPr>
          <w:sz w:val="20"/>
          <w:szCs w:val="20"/>
          <w:color w:val="auto"/>
        </w:rPr>
      </w:pPr>
    </w:p>
    <w:p>
      <w:pPr>
        <w:ind w:left="120" w:right="239" w:firstLine="350"/>
        <w:spacing w:after="0" w:line="261" w:lineRule="auto"/>
        <w:rPr>
          <w:sz w:val="20"/>
          <w:szCs w:val="20"/>
          <w:color w:val="auto"/>
        </w:rPr>
      </w:pPr>
      <w:r>
        <w:rPr>
          <w:rFonts w:ascii="Times New Roman" w:cs="Times New Roman" w:eastAsia="Times New Roman" w:hAnsi="Times New Roman"/>
          <w:sz w:val="14"/>
          <w:szCs w:val="14"/>
          <w:b w:val="1"/>
          <w:bCs w:val="1"/>
          <w:color w:val="auto"/>
        </w:rPr>
        <w:t>KNOWN ALL MEN BY THESE PRESENTS</w:t>
      </w:r>
      <w:r>
        <w:rPr>
          <w:rFonts w:ascii="Times New Roman" w:cs="Times New Roman" w:eastAsia="Times New Roman" w:hAnsi="Times New Roman"/>
          <w:sz w:val="14"/>
          <w:szCs w:val="14"/>
          <w:color w:val="auto"/>
        </w:rPr>
        <w:t>, that each person whose signature appears below hereby constitutes and appoints Shayn P.</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March, Vice President, Chief Financial Officer and Treasurer, and Scott A. Schipma, Vice President and Secretary, and each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146" w:lineRule="exact"/>
        <w:rPr>
          <w:sz w:val="20"/>
          <w:szCs w:val="20"/>
          <w:color w:val="auto"/>
        </w:rPr>
      </w:pPr>
    </w:p>
    <w:p>
      <w:pPr>
        <w:ind w:left="120" w:right="239" w:firstLine="350"/>
        <w:spacing w:after="0" w:line="292"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and on the date indicated.</w:t>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254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00" w:type="dxa"/>
            <w:vAlign w:val="bottom"/>
          </w:tcPr>
          <w:p>
            <w:pPr>
              <w:spacing w:after="0"/>
              <w:rPr>
                <w:sz w:val="12"/>
                <w:szCs w:val="12"/>
                <w:color w:val="auto"/>
              </w:rPr>
            </w:pPr>
          </w:p>
        </w:tc>
        <w:tc>
          <w:tcPr>
            <w:tcW w:w="446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60" w:type="dxa"/>
            <w:vAlign w:val="bottom"/>
          </w:tcPr>
          <w:p>
            <w:pPr>
              <w:spacing w:after="0"/>
              <w:rPr>
                <w:sz w:val="12"/>
                <w:szCs w:val="12"/>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Date</w:t>
            </w:r>
          </w:p>
        </w:tc>
      </w:tr>
      <w:tr>
        <w:trPr>
          <w:trHeight w:val="322"/>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George C. Zoley</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Chairman, Chief Executive Officer and Manager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George C. Zoley</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480" w:type="dxa"/>
            <w:vAlign w:val="bottom"/>
          </w:tcPr>
          <w:p>
            <w:pPr>
              <w:spacing w:after="0"/>
              <w:rPr>
                <w:sz w:val="15"/>
                <w:szCs w:val="15"/>
                <w:color w:val="auto"/>
              </w:rPr>
            </w:pPr>
          </w:p>
        </w:tc>
      </w:tr>
      <w:tr>
        <w:trPr>
          <w:trHeight w:val="339"/>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Chief Financial Officer, Treasurer and Manager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Financial and Accounting Officer)</w:t>
            </w:r>
          </w:p>
        </w:tc>
        <w:tc>
          <w:tcPr>
            <w:tcW w:w="1480" w:type="dxa"/>
            <w:vAlign w:val="bottom"/>
          </w:tcPr>
          <w:p>
            <w:pPr>
              <w:spacing w:after="0"/>
              <w:rPr>
                <w:sz w:val="15"/>
                <w:szCs w:val="15"/>
                <w:color w:val="auto"/>
              </w:rPr>
            </w:pPr>
          </w:p>
        </w:tc>
      </w:tr>
      <w:tr>
        <w:trPr>
          <w:trHeight w:val="340"/>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Scott A. Schipma</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Secretary and Manager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Scott A. Schipma</w:t>
            </w:r>
          </w:p>
        </w:tc>
        <w:tc>
          <w:tcPr>
            <w:tcW w:w="10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39"/>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Chief Financial Officer, Treasurer and Director of</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CiviGenics, Inc., the Sole Member of Community Corrections, LLC</w:t>
            </w:r>
          </w:p>
        </w:tc>
        <w:tc>
          <w:tcPr>
            <w:tcW w:w="1480" w:type="dxa"/>
            <w:vAlign w:val="bottom"/>
          </w:tcPr>
          <w:p>
            <w:pPr>
              <w:spacing w:after="0"/>
              <w:rPr>
                <w:sz w:val="15"/>
                <w:szCs w:val="15"/>
                <w:color w:val="auto"/>
              </w:rPr>
            </w:pPr>
          </w:p>
        </w:tc>
      </w:tr>
      <w:tr>
        <w:trPr>
          <w:trHeight w:val="286"/>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20" w:type="dxa"/>
            <w:vAlign w:val="bottom"/>
            <w:gridSpan w:val="2"/>
          </w:tcPr>
          <w:p>
            <w:pPr>
              <w:ind w:left="1580"/>
              <w:spacing w:after="0"/>
              <w:rPr>
                <w:sz w:val="20"/>
                <w:szCs w:val="20"/>
                <w:color w:val="auto"/>
              </w:rPr>
            </w:pPr>
            <w:r>
              <w:rPr>
                <w:rFonts w:ascii="Times New Roman" w:cs="Times New Roman" w:eastAsia="Times New Roman" w:hAnsi="Times New Roman"/>
                <w:sz w:val="14"/>
                <w:szCs w:val="14"/>
                <w:color w:val="auto"/>
              </w:rPr>
              <w:t>II-45</w:t>
            </w:r>
          </w:p>
        </w:tc>
        <w:tc>
          <w:tcPr>
            <w:tcW w:w="1480" w:type="dxa"/>
            <w:vAlign w:val="bottom"/>
          </w:tcPr>
          <w:p>
            <w:pPr>
              <w:spacing w:after="0"/>
              <w:rPr>
                <w:sz w:val="24"/>
                <w:szCs w:val="24"/>
                <w:color w:val="auto"/>
              </w:rPr>
            </w:pPr>
          </w:p>
        </w:tc>
      </w:tr>
    </w:tbl>
    <w:p>
      <w:pPr>
        <w:sectPr>
          <w:pgSz w:w="11900" w:h="16838" w:orient="portrait"/>
          <w:cols w:equalWidth="0" w:num="1">
            <w:col w:w="9019"/>
          </w:cols>
          <w:pgMar w:left="1440" w:top="243" w:right="1440" w:bottom="1440" w:gutter="0" w:footer="0" w:header="0"/>
        </w:sectPr>
      </w:pPr>
    </w:p>
    <w:bookmarkStart w:id="76" w:name="page77"/>
    <w:bookmarkEnd w:id="76"/>
    <w:p>
      <w:pPr>
        <w:ind w:left="120" w:right="179" w:firstLine="350"/>
        <w:spacing w:after="0" w:line="29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1">
                      <a:extLst>
                        <a:ext uri="{28A0092B-C50C-407E-A947-70E740481C1C}"/>
                      </a:extLst>
                    </a:blip>
                    <a:srcRect/>
                    <a:stretch>
                      <a:fillRect/>
                    </a:stretch>
                  </pic:blipFill>
                  <pic:spPr bwMode="auto">
                    <a:xfrm>
                      <a:off x="0" y="0"/>
                      <a:ext cx="7199630" cy="33020"/>
                    </a:xfrm>
                    <a:prstGeom prst="rect">
                      <a:avLst/>
                    </a:prstGeom>
                    <a:noFill/>
                  </pic:spPr>
                </pic:pic>
              </a:graphicData>
            </a:graphic>
          </wp:anchor>
        </w:drawing>
        <w:t>Pursuant to the requirements of the Securities Act of 1933, the undersigned Registrant has duly caused this Registration Statement to be signed on its behalf by the undersigned, thereunto duly authorized, in the City of Boca Raton, State of Florida, on the 30th day of October, 2026.</w:t>
      </w:r>
    </w:p>
    <w:p>
      <w:pPr>
        <w:spacing w:after="0" w:line="14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b w:val="1"/>
          <w:bCs w:val="1"/>
          <w:color w:val="auto"/>
        </w:rPr>
        <w:t>Community Education Centers, Inc.</w:t>
      </w:r>
    </w:p>
    <w:p>
      <w:pPr>
        <w:spacing w:after="0" w:line="18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By: /s/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3606165</wp:posOffset>
            </wp:positionH>
            <wp:positionV relativeFrom="paragraph">
              <wp:posOffset>15875</wp:posOffset>
            </wp:positionV>
            <wp:extent cx="2037080" cy="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2">
                      <a:extLst>
                        <a:ext uri="{28A0092B-C50C-407E-A947-70E740481C1C}"/>
                      </a:extLst>
                    </a:blip>
                    <a:srcRect/>
                    <a:stretch>
                      <a:fillRect/>
                    </a:stretch>
                  </pic:blipFill>
                  <pic:spPr bwMode="auto">
                    <a:xfrm>
                      <a:off x="0" y="0"/>
                      <a:ext cx="2037080" cy="6985"/>
                    </a:xfrm>
                    <a:prstGeom prst="rect">
                      <a:avLst/>
                    </a:prstGeom>
                    <a:noFill/>
                  </pic:spPr>
                </pic:pic>
              </a:graphicData>
            </a:graphic>
          </wp:anchor>
        </w:drawing>
      </w:r>
    </w:p>
    <w:p>
      <w:pPr>
        <w:spacing w:after="0" w:line="1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Name: Shayn P. March</w:t>
      </w:r>
    </w:p>
    <w:p>
      <w:pPr>
        <w:spacing w:after="0" w:line="2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Title:    Vice President, Chief Financial Officer,</w:t>
      </w:r>
    </w:p>
    <w:p>
      <w:pPr>
        <w:spacing w:after="0" w:line="1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4"/>
          <w:szCs w:val="14"/>
          <w:color w:val="auto"/>
        </w:rPr>
        <w:t>Treasurer and Director</w:t>
      </w:r>
    </w:p>
    <w:p>
      <w:pPr>
        <w:spacing w:after="0" w:line="167" w:lineRule="exact"/>
        <w:rPr>
          <w:sz w:val="20"/>
          <w:szCs w:val="20"/>
          <w:color w:val="auto"/>
        </w:rPr>
      </w:pPr>
    </w:p>
    <w:p>
      <w:pPr>
        <w:ind w:left="120" w:right="239" w:firstLine="350"/>
        <w:spacing w:after="0" w:line="261" w:lineRule="auto"/>
        <w:rPr>
          <w:sz w:val="20"/>
          <w:szCs w:val="20"/>
          <w:color w:val="auto"/>
        </w:rPr>
      </w:pPr>
      <w:r>
        <w:rPr>
          <w:rFonts w:ascii="Times New Roman" w:cs="Times New Roman" w:eastAsia="Times New Roman" w:hAnsi="Times New Roman"/>
          <w:sz w:val="14"/>
          <w:szCs w:val="14"/>
          <w:b w:val="1"/>
          <w:bCs w:val="1"/>
          <w:color w:val="auto"/>
        </w:rPr>
        <w:t>KNOWN ALL MEN BY THESE PRESENTS</w:t>
      </w:r>
      <w:r>
        <w:rPr>
          <w:rFonts w:ascii="Times New Roman" w:cs="Times New Roman" w:eastAsia="Times New Roman" w:hAnsi="Times New Roman"/>
          <w:sz w:val="14"/>
          <w:szCs w:val="14"/>
          <w:color w:val="auto"/>
        </w:rPr>
        <w:t>, that each person whose signature appears below hereby constitutes and appoints Shayn P.</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March, Vice President, Chief Financial Officer and Treasurer, and Scott A. Schipma, Vice President and Secretary, and each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146" w:lineRule="exact"/>
        <w:rPr>
          <w:sz w:val="20"/>
          <w:szCs w:val="20"/>
          <w:color w:val="auto"/>
        </w:rPr>
      </w:pPr>
    </w:p>
    <w:p>
      <w:pPr>
        <w:ind w:left="120" w:right="239" w:firstLine="350"/>
        <w:spacing w:after="0" w:line="292"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and on the date indicated.</w:t>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254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00" w:type="dxa"/>
            <w:vAlign w:val="bottom"/>
          </w:tcPr>
          <w:p>
            <w:pPr>
              <w:spacing w:after="0"/>
              <w:rPr>
                <w:sz w:val="12"/>
                <w:szCs w:val="12"/>
                <w:color w:val="auto"/>
              </w:rPr>
            </w:pPr>
          </w:p>
        </w:tc>
        <w:tc>
          <w:tcPr>
            <w:tcW w:w="446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60" w:type="dxa"/>
            <w:vAlign w:val="bottom"/>
          </w:tcPr>
          <w:p>
            <w:pPr>
              <w:spacing w:after="0"/>
              <w:rPr>
                <w:sz w:val="12"/>
                <w:szCs w:val="12"/>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Date</w:t>
            </w:r>
          </w:p>
        </w:tc>
      </w:tr>
      <w:tr>
        <w:trPr>
          <w:trHeight w:val="322"/>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George C. Zoley</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Chairman, Chief Executive Officer and 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George C. Zoley</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480" w:type="dxa"/>
            <w:vAlign w:val="bottom"/>
          </w:tcPr>
          <w:p>
            <w:pPr>
              <w:spacing w:after="0"/>
              <w:rPr>
                <w:sz w:val="15"/>
                <w:szCs w:val="15"/>
                <w:color w:val="auto"/>
              </w:rPr>
            </w:pPr>
          </w:p>
        </w:tc>
      </w:tr>
      <w:tr>
        <w:trPr>
          <w:trHeight w:val="339"/>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Chief Financial Officer, Treasurer and 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Financial and Accounting Officer)</w:t>
            </w:r>
          </w:p>
        </w:tc>
        <w:tc>
          <w:tcPr>
            <w:tcW w:w="1480" w:type="dxa"/>
            <w:vAlign w:val="bottom"/>
          </w:tcPr>
          <w:p>
            <w:pPr>
              <w:spacing w:after="0"/>
              <w:rPr>
                <w:sz w:val="15"/>
                <w:szCs w:val="15"/>
                <w:color w:val="auto"/>
              </w:rPr>
            </w:pPr>
          </w:p>
        </w:tc>
      </w:tr>
      <w:tr>
        <w:trPr>
          <w:trHeight w:val="340"/>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Scott A. Schipma</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Secretary and 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Scott A. Schipma</w:t>
            </w:r>
          </w:p>
        </w:tc>
        <w:tc>
          <w:tcPr>
            <w:tcW w:w="10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86"/>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20" w:type="dxa"/>
            <w:vAlign w:val="bottom"/>
            <w:gridSpan w:val="2"/>
          </w:tcPr>
          <w:p>
            <w:pPr>
              <w:ind w:left="1580"/>
              <w:spacing w:after="0"/>
              <w:rPr>
                <w:sz w:val="20"/>
                <w:szCs w:val="20"/>
                <w:color w:val="auto"/>
              </w:rPr>
            </w:pPr>
            <w:r>
              <w:rPr>
                <w:rFonts w:ascii="Times New Roman" w:cs="Times New Roman" w:eastAsia="Times New Roman" w:hAnsi="Times New Roman"/>
                <w:sz w:val="14"/>
                <w:szCs w:val="14"/>
                <w:color w:val="auto"/>
              </w:rPr>
              <w:t>II-46</w:t>
            </w:r>
          </w:p>
        </w:tc>
        <w:tc>
          <w:tcPr>
            <w:tcW w:w="1480" w:type="dxa"/>
            <w:vAlign w:val="bottom"/>
          </w:tcPr>
          <w:p>
            <w:pPr>
              <w:spacing w:after="0"/>
              <w:rPr>
                <w:sz w:val="24"/>
                <w:szCs w:val="24"/>
                <w:color w:val="auto"/>
              </w:rPr>
            </w:pPr>
          </w:p>
        </w:tc>
      </w:tr>
    </w:tbl>
    <w:p>
      <w:pPr>
        <w:sectPr>
          <w:pgSz w:w="11900" w:h="16838" w:orient="portrait"/>
          <w:cols w:equalWidth="0" w:num="1">
            <w:col w:w="9019"/>
          </w:cols>
          <w:pgMar w:left="1440" w:top="243" w:right="1440" w:bottom="1440" w:gutter="0" w:footer="0" w:header="0"/>
        </w:sectPr>
      </w:pPr>
    </w:p>
    <w:bookmarkStart w:id="77" w:name="page78"/>
    <w:bookmarkEnd w:id="77"/>
    <w:p>
      <w:pPr>
        <w:ind w:left="120" w:right="179" w:firstLine="350"/>
        <w:spacing w:after="0" w:line="29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3">
                      <a:extLst>
                        <a:ext uri="{28A0092B-C50C-407E-A947-70E740481C1C}"/>
                      </a:extLst>
                    </a:blip>
                    <a:srcRect/>
                    <a:stretch>
                      <a:fillRect/>
                    </a:stretch>
                  </pic:blipFill>
                  <pic:spPr bwMode="auto">
                    <a:xfrm>
                      <a:off x="0" y="0"/>
                      <a:ext cx="7199630" cy="33020"/>
                    </a:xfrm>
                    <a:prstGeom prst="rect">
                      <a:avLst/>
                    </a:prstGeom>
                    <a:noFill/>
                  </pic:spPr>
                </pic:pic>
              </a:graphicData>
            </a:graphic>
          </wp:anchor>
        </w:drawing>
        <w:t>Pursuant to the requirements of the Securities Act of 1933, the undersigned Registrant has duly caused this Registration Statement to be signed on its behalf by the undersigned, thereunto duly authorized, in the City of Boca Raton, State of Florida, on the 30th day of October, 2026.</w:t>
      </w:r>
    </w:p>
    <w:p>
      <w:pPr>
        <w:spacing w:after="0" w:line="14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b w:val="1"/>
          <w:bCs w:val="1"/>
          <w:color w:val="auto"/>
        </w:rPr>
        <w:t>Cornell Companies, Inc.</w:t>
      </w:r>
    </w:p>
    <w:p>
      <w:pPr>
        <w:spacing w:after="0" w:line="18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By: /s/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3606165</wp:posOffset>
            </wp:positionH>
            <wp:positionV relativeFrom="paragraph">
              <wp:posOffset>15875</wp:posOffset>
            </wp:positionV>
            <wp:extent cx="2037080" cy="69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4">
                      <a:extLst>
                        <a:ext uri="{28A0092B-C50C-407E-A947-70E740481C1C}"/>
                      </a:extLst>
                    </a:blip>
                    <a:srcRect/>
                    <a:stretch>
                      <a:fillRect/>
                    </a:stretch>
                  </pic:blipFill>
                  <pic:spPr bwMode="auto">
                    <a:xfrm>
                      <a:off x="0" y="0"/>
                      <a:ext cx="2037080" cy="6985"/>
                    </a:xfrm>
                    <a:prstGeom prst="rect">
                      <a:avLst/>
                    </a:prstGeom>
                    <a:noFill/>
                  </pic:spPr>
                </pic:pic>
              </a:graphicData>
            </a:graphic>
          </wp:anchor>
        </w:drawing>
      </w:r>
    </w:p>
    <w:p>
      <w:pPr>
        <w:spacing w:after="0" w:line="1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Name: Shayn P. March</w:t>
      </w:r>
    </w:p>
    <w:p>
      <w:pPr>
        <w:spacing w:after="0" w:line="2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Title:    Vice President, Chief Financial Officer,</w:t>
      </w:r>
    </w:p>
    <w:p>
      <w:pPr>
        <w:spacing w:after="0" w:line="1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4"/>
          <w:szCs w:val="14"/>
          <w:color w:val="auto"/>
        </w:rPr>
        <w:t>Treasurer and Director</w:t>
      </w:r>
    </w:p>
    <w:p>
      <w:pPr>
        <w:spacing w:after="0" w:line="167" w:lineRule="exact"/>
        <w:rPr>
          <w:sz w:val="20"/>
          <w:szCs w:val="20"/>
          <w:color w:val="auto"/>
        </w:rPr>
      </w:pPr>
    </w:p>
    <w:p>
      <w:pPr>
        <w:ind w:left="120" w:right="239" w:firstLine="350"/>
        <w:spacing w:after="0" w:line="261" w:lineRule="auto"/>
        <w:rPr>
          <w:sz w:val="20"/>
          <w:szCs w:val="20"/>
          <w:color w:val="auto"/>
        </w:rPr>
      </w:pPr>
      <w:r>
        <w:rPr>
          <w:rFonts w:ascii="Times New Roman" w:cs="Times New Roman" w:eastAsia="Times New Roman" w:hAnsi="Times New Roman"/>
          <w:sz w:val="14"/>
          <w:szCs w:val="14"/>
          <w:b w:val="1"/>
          <w:bCs w:val="1"/>
          <w:color w:val="auto"/>
        </w:rPr>
        <w:t>KNOWN ALL MEN BY THESE PRESENTS</w:t>
      </w:r>
      <w:r>
        <w:rPr>
          <w:rFonts w:ascii="Times New Roman" w:cs="Times New Roman" w:eastAsia="Times New Roman" w:hAnsi="Times New Roman"/>
          <w:sz w:val="14"/>
          <w:szCs w:val="14"/>
          <w:color w:val="auto"/>
        </w:rPr>
        <w:t>, that each person whose signature appears below hereby constitutes and appoints Shayn P.</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March, Vice President, Chief Financial Officer and Treasurer, and Scott A. Schipma, Vice President and Secretary, and each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146" w:lineRule="exact"/>
        <w:rPr>
          <w:sz w:val="20"/>
          <w:szCs w:val="20"/>
          <w:color w:val="auto"/>
        </w:rPr>
      </w:pPr>
    </w:p>
    <w:p>
      <w:pPr>
        <w:ind w:left="120" w:right="239" w:firstLine="350"/>
        <w:spacing w:after="0" w:line="292"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and on the date indicated.</w:t>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254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00" w:type="dxa"/>
            <w:vAlign w:val="bottom"/>
          </w:tcPr>
          <w:p>
            <w:pPr>
              <w:spacing w:after="0"/>
              <w:rPr>
                <w:sz w:val="12"/>
                <w:szCs w:val="12"/>
                <w:color w:val="auto"/>
              </w:rPr>
            </w:pPr>
          </w:p>
        </w:tc>
        <w:tc>
          <w:tcPr>
            <w:tcW w:w="446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60" w:type="dxa"/>
            <w:vAlign w:val="bottom"/>
          </w:tcPr>
          <w:p>
            <w:pPr>
              <w:spacing w:after="0"/>
              <w:rPr>
                <w:sz w:val="12"/>
                <w:szCs w:val="12"/>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Date</w:t>
            </w:r>
          </w:p>
        </w:tc>
      </w:tr>
      <w:tr>
        <w:trPr>
          <w:trHeight w:val="322"/>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George C. Zoley</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Chairman, Chief Executive Officer and 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George C. Zoley</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480" w:type="dxa"/>
            <w:vAlign w:val="bottom"/>
          </w:tcPr>
          <w:p>
            <w:pPr>
              <w:spacing w:after="0"/>
              <w:rPr>
                <w:sz w:val="15"/>
                <w:szCs w:val="15"/>
                <w:color w:val="auto"/>
              </w:rPr>
            </w:pPr>
          </w:p>
        </w:tc>
      </w:tr>
      <w:tr>
        <w:trPr>
          <w:trHeight w:val="339"/>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Chief Financial Officer, Treasurer and</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38"/>
        </w:trPr>
        <w:tc>
          <w:tcPr>
            <w:tcW w:w="2560" w:type="dxa"/>
            <w:vAlign w:val="bottom"/>
            <w:gridSpan w:val="2"/>
          </w:tcPr>
          <w:p>
            <w:pPr>
              <w:spacing w:after="0" w:line="138" w:lineRule="exact"/>
              <w:rPr>
                <w:sz w:val="20"/>
                <w:szCs w:val="20"/>
                <w:color w:val="auto"/>
              </w:rPr>
            </w:pPr>
            <w:r>
              <w:rPr>
                <w:rFonts w:ascii="Times New Roman" w:cs="Times New Roman" w:eastAsia="Times New Roman" w:hAnsi="Times New Roman"/>
                <w:sz w:val="14"/>
                <w:szCs w:val="14"/>
                <w:color w:val="auto"/>
              </w:rPr>
              <w:t>Shayn P. March</w:t>
            </w:r>
          </w:p>
        </w:tc>
        <w:tc>
          <w:tcPr>
            <w:tcW w:w="4720" w:type="dxa"/>
            <w:vAlign w:val="bottom"/>
            <w:gridSpan w:val="3"/>
          </w:tcPr>
          <w:p>
            <w:pPr>
              <w:ind w:left="80"/>
              <w:spacing w:after="0" w:line="138" w:lineRule="exact"/>
              <w:rPr>
                <w:sz w:val="20"/>
                <w:szCs w:val="20"/>
                <w:color w:val="auto"/>
              </w:rPr>
            </w:pPr>
            <w:r>
              <w:rPr>
                <w:rFonts w:ascii="Times New Roman" w:cs="Times New Roman" w:eastAsia="Times New Roman" w:hAnsi="Times New Roman"/>
                <w:sz w:val="14"/>
                <w:szCs w:val="14"/>
                <w:color w:val="auto"/>
              </w:rPr>
              <w:t>Director</w:t>
            </w:r>
          </w:p>
        </w:tc>
        <w:tc>
          <w:tcPr>
            <w:tcW w:w="1480" w:type="dxa"/>
            <w:vAlign w:val="bottom"/>
          </w:tcPr>
          <w:p>
            <w:pPr>
              <w:spacing w:after="0"/>
              <w:rPr>
                <w:sz w:val="11"/>
                <w:szCs w:val="11"/>
                <w:color w:val="auto"/>
              </w:rPr>
            </w:pPr>
          </w:p>
        </w:tc>
      </w:tr>
      <w:tr>
        <w:trPr>
          <w:trHeight w:val="185"/>
        </w:trPr>
        <w:tc>
          <w:tcPr>
            <w:tcW w:w="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Financial Officer)</w:t>
            </w:r>
          </w:p>
        </w:tc>
        <w:tc>
          <w:tcPr>
            <w:tcW w:w="1480" w:type="dxa"/>
            <w:vAlign w:val="bottom"/>
          </w:tcPr>
          <w:p>
            <w:pPr>
              <w:spacing w:after="0"/>
              <w:rPr>
                <w:sz w:val="16"/>
                <w:szCs w:val="16"/>
                <w:color w:val="auto"/>
              </w:rPr>
            </w:pPr>
          </w:p>
        </w:tc>
      </w:tr>
      <w:tr>
        <w:trPr>
          <w:trHeight w:val="354"/>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Ronald A. Brack</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Accounting</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Ronald A. Brack</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Accounting Officer)</w:t>
            </w:r>
          </w:p>
        </w:tc>
        <w:tc>
          <w:tcPr>
            <w:tcW w:w="1480" w:type="dxa"/>
            <w:vAlign w:val="bottom"/>
          </w:tcPr>
          <w:p>
            <w:pPr>
              <w:spacing w:after="0"/>
              <w:rPr>
                <w:sz w:val="15"/>
                <w:szCs w:val="15"/>
                <w:color w:val="auto"/>
              </w:rPr>
            </w:pPr>
          </w:p>
        </w:tc>
      </w:tr>
      <w:tr>
        <w:trPr>
          <w:trHeight w:val="340"/>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David O. Meehan</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David O. Meehan</w:t>
            </w:r>
          </w:p>
        </w:tc>
        <w:tc>
          <w:tcPr>
            <w:tcW w:w="10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40"/>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Scott A. Schipma</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Secretary and 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Scott A. Schipma</w:t>
            </w:r>
          </w:p>
        </w:tc>
        <w:tc>
          <w:tcPr>
            <w:tcW w:w="10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86"/>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20" w:type="dxa"/>
            <w:vAlign w:val="bottom"/>
            <w:gridSpan w:val="2"/>
          </w:tcPr>
          <w:p>
            <w:pPr>
              <w:ind w:left="1580"/>
              <w:spacing w:after="0"/>
              <w:rPr>
                <w:sz w:val="20"/>
                <w:szCs w:val="20"/>
                <w:color w:val="auto"/>
              </w:rPr>
            </w:pPr>
            <w:r>
              <w:rPr>
                <w:rFonts w:ascii="Times New Roman" w:cs="Times New Roman" w:eastAsia="Times New Roman" w:hAnsi="Times New Roman"/>
                <w:sz w:val="14"/>
                <w:szCs w:val="14"/>
                <w:color w:val="auto"/>
              </w:rPr>
              <w:t>II-47</w:t>
            </w:r>
          </w:p>
        </w:tc>
        <w:tc>
          <w:tcPr>
            <w:tcW w:w="1480" w:type="dxa"/>
            <w:vAlign w:val="bottom"/>
          </w:tcPr>
          <w:p>
            <w:pPr>
              <w:spacing w:after="0"/>
              <w:rPr>
                <w:sz w:val="24"/>
                <w:szCs w:val="24"/>
                <w:color w:val="auto"/>
              </w:rPr>
            </w:pPr>
          </w:p>
        </w:tc>
      </w:tr>
    </w:tbl>
    <w:p>
      <w:pPr>
        <w:sectPr>
          <w:pgSz w:w="11900" w:h="16838" w:orient="portrait"/>
          <w:cols w:equalWidth="0" w:num="1">
            <w:col w:w="9019"/>
          </w:cols>
          <w:pgMar w:left="1440" w:top="243" w:right="1440" w:bottom="1440" w:gutter="0" w:footer="0" w:header="0"/>
        </w:sectPr>
      </w:pPr>
    </w:p>
    <w:bookmarkStart w:id="78" w:name="page79"/>
    <w:bookmarkEnd w:id="78"/>
    <w:p>
      <w:pPr>
        <w:ind w:left="120" w:right="179" w:firstLine="350"/>
        <w:spacing w:after="0" w:line="29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5">
                      <a:extLst>
                        <a:ext uri="{28A0092B-C50C-407E-A947-70E740481C1C}"/>
                      </a:extLst>
                    </a:blip>
                    <a:srcRect/>
                    <a:stretch>
                      <a:fillRect/>
                    </a:stretch>
                  </pic:blipFill>
                  <pic:spPr bwMode="auto">
                    <a:xfrm>
                      <a:off x="0" y="0"/>
                      <a:ext cx="7199630" cy="33020"/>
                    </a:xfrm>
                    <a:prstGeom prst="rect">
                      <a:avLst/>
                    </a:prstGeom>
                    <a:noFill/>
                  </pic:spPr>
                </pic:pic>
              </a:graphicData>
            </a:graphic>
          </wp:anchor>
        </w:drawing>
        <w:t>Pursuant to the requirements of the Securities Act of 1933, the undersigned Registrant has duly caused this Registration Statement to be signed on its behalf by the undersigned, thereunto duly authorized, in the City of Boca Raton, State of Florida, on the 30th day of October, 2026.</w:t>
      </w:r>
    </w:p>
    <w:p>
      <w:pPr>
        <w:spacing w:after="0" w:line="14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b w:val="1"/>
          <w:bCs w:val="1"/>
          <w:color w:val="auto"/>
        </w:rPr>
        <w:t>Cornell Corrections Management, LLC</w:t>
      </w:r>
    </w:p>
    <w:p>
      <w:pPr>
        <w:spacing w:after="0" w:line="18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By: /s/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3606165</wp:posOffset>
            </wp:positionH>
            <wp:positionV relativeFrom="paragraph">
              <wp:posOffset>15875</wp:posOffset>
            </wp:positionV>
            <wp:extent cx="2037080" cy="69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6">
                      <a:extLst>
                        <a:ext uri="{28A0092B-C50C-407E-A947-70E740481C1C}"/>
                      </a:extLst>
                    </a:blip>
                    <a:srcRect/>
                    <a:stretch>
                      <a:fillRect/>
                    </a:stretch>
                  </pic:blipFill>
                  <pic:spPr bwMode="auto">
                    <a:xfrm>
                      <a:off x="0" y="0"/>
                      <a:ext cx="2037080" cy="6985"/>
                    </a:xfrm>
                    <a:prstGeom prst="rect">
                      <a:avLst/>
                    </a:prstGeom>
                    <a:noFill/>
                  </pic:spPr>
                </pic:pic>
              </a:graphicData>
            </a:graphic>
          </wp:anchor>
        </w:drawing>
      </w:r>
    </w:p>
    <w:p>
      <w:pPr>
        <w:spacing w:after="0" w:line="1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Name: Shayn P. March</w:t>
      </w:r>
    </w:p>
    <w:p>
      <w:pPr>
        <w:spacing w:after="0" w:line="2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Title:    Vice President, Chief Financial Officer,</w:t>
      </w:r>
    </w:p>
    <w:p>
      <w:pPr>
        <w:spacing w:after="0" w:line="1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4"/>
          <w:szCs w:val="14"/>
          <w:color w:val="auto"/>
        </w:rPr>
        <w:t>Treasurer and Manager</w:t>
      </w:r>
    </w:p>
    <w:p>
      <w:pPr>
        <w:spacing w:after="0" w:line="167" w:lineRule="exact"/>
        <w:rPr>
          <w:sz w:val="20"/>
          <w:szCs w:val="20"/>
          <w:color w:val="auto"/>
        </w:rPr>
      </w:pPr>
    </w:p>
    <w:p>
      <w:pPr>
        <w:ind w:left="120" w:right="239" w:firstLine="350"/>
        <w:spacing w:after="0" w:line="261" w:lineRule="auto"/>
        <w:rPr>
          <w:sz w:val="20"/>
          <w:szCs w:val="20"/>
          <w:color w:val="auto"/>
        </w:rPr>
      </w:pPr>
      <w:r>
        <w:rPr>
          <w:rFonts w:ascii="Times New Roman" w:cs="Times New Roman" w:eastAsia="Times New Roman" w:hAnsi="Times New Roman"/>
          <w:sz w:val="14"/>
          <w:szCs w:val="14"/>
          <w:b w:val="1"/>
          <w:bCs w:val="1"/>
          <w:color w:val="auto"/>
        </w:rPr>
        <w:t>KNOWN ALL MEN BY THESE PRESENTS</w:t>
      </w:r>
      <w:r>
        <w:rPr>
          <w:rFonts w:ascii="Times New Roman" w:cs="Times New Roman" w:eastAsia="Times New Roman" w:hAnsi="Times New Roman"/>
          <w:sz w:val="14"/>
          <w:szCs w:val="14"/>
          <w:color w:val="auto"/>
        </w:rPr>
        <w:t>, that each person whose signature appears below hereby constitutes and appoints Shayn P.</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March, Vice President, Chief Financial Officer and Treasurer, and Scott A. Schipma, Vice President and Secretary, and each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146" w:lineRule="exact"/>
        <w:rPr>
          <w:sz w:val="20"/>
          <w:szCs w:val="20"/>
          <w:color w:val="auto"/>
        </w:rPr>
      </w:pPr>
    </w:p>
    <w:p>
      <w:pPr>
        <w:ind w:left="120" w:right="239" w:firstLine="350"/>
        <w:spacing w:after="0" w:line="292"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and on the date indicated.</w:t>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254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00" w:type="dxa"/>
            <w:vAlign w:val="bottom"/>
          </w:tcPr>
          <w:p>
            <w:pPr>
              <w:spacing w:after="0"/>
              <w:rPr>
                <w:sz w:val="12"/>
                <w:szCs w:val="12"/>
                <w:color w:val="auto"/>
              </w:rPr>
            </w:pPr>
          </w:p>
        </w:tc>
        <w:tc>
          <w:tcPr>
            <w:tcW w:w="446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60" w:type="dxa"/>
            <w:vAlign w:val="bottom"/>
          </w:tcPr>
          <w:p>
            <w:pPr>
              <w:spacing w:after="0"/>
              <w:rPr>
                <w:sz w:val="12"/>
                <w:szCs w:val="12"/>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Date</w:t>
            </w:r>
          </w:p>
        </w:tc>
      </w:tr>
      <w:tr>
        <w:trPr>
          <w:trHeight w:val="322"/>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George C. Zoley</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Chairman, Chief Executive Officer and Manager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George C. Zoley</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480" w:type="dxa"/>
            <w:vAlign w:val="bottom"/>
          </w:tcPr>
          <w:p>
            <w:pPr>
              <w:spacing w:after="0"/>
              <w:rPr>
                <w:sz w:val="15"/>
                <w:szCs w:val="15"/>
                <w:color w:val="auto"/>
              </w:rPr>
            </w:pPr>
          </w:p>
        </w:tc>
      </w:tr>
      <w:tr>
        <w:trPr>
          <w:trHeight w:val="339"/>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Chief Financial Officer, Treasurer and Manager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Financial Officer)</w:t>
            </w:r>
          </w:p>
        </w:tc>
        <w:tc>
          <w:tcPr>
            <w:tcW w:w="1480" w:type="dxa"/>
            <w:vAlign w:val="bottom"/>
          </w:tcPr>
          <w:p>
            <w:pPr>
              <w:spacing w:after="0"/>
              <w:rPr>
                <w:sz w:val="15"/>
                <w:szCs w:val="15"/>
                <w:color w:val="auto"/>
              </w:rPr>
            </w:pPr>
          </w:p>
        </w:tc>
      </w:tr>
      <w:tr>
        <w:trPr>
          <w:trHeight w:val="339"/>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Ronald A. Brack</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Accounting</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Ronald A. Brack</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Accounting Officer)</w:t>
            </w:r>
          </w:p>
        </w:tc>
        <w:tc>
          <w:tcPr>
            <w:tcW w:w="1480" w:type="dxa"/>
            <w:vAlign w:val="bottom"/>
          </w:tcPr>
          <w:p>
            <w:pPr>
              <w:spacing w:after="0"/>
              <w:rPr>
                <w:sz w:val="15"/>
                <w:szCs w:val="15"/>
                <w:color w:val="auto"/>
              </w:rPr>
            </w:pPr>
          </w:p>
        </w:tc>
      </w:tr>
      <w:tr>
        <w:trPr>
          <w:trHeight w:val="340"/>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David O. Meehan</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Manager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David O. Meehan</w:t>
            </w:r>
          </w:p>
        </w:tc>
        <w:tc>
          <w:tcPr>
            <w:tcW w:w="10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40"/>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Scott A. Schipma</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Secretary and Manager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Scott A. Schipma</w:t>
            </w:r>
          </w:p>
        </w:tc>
        <w:tc>
          <w:tcPr>
            <w:tcW w:w="10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39"/>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Chief Financial Officer, Treasurer and Director of Cornell</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Companies, Inc., the Sole Member of Cornell Corrections Management, LLC</w:t>
            </w:r>
          </w:p>
        </w:tc>
        <w:tc>
          <w:tcPr>
            <w:tcW w:w="1480" w:type="dxa"/>
            <w:vAlign w:val="bottom"/>
          </w:tcPr>
          <w:p>
            <w:pPr>
              <w:spacing w:after="0"/>
              <w:rPr>
                <w:sz w:val="15"/>
                <w:szCs w:val="15"/>
                <w:color w:val="auto"/>
              </w:rPr>
            </w:pPr>
          </w:p>
        </w:tc>
      </w:tr>
      <w:tr>
        <w:trPr>
          <w:trHeight w:val="286"/>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20" w:type="dxa"/>
            <w:vAlign w:val="bottom"/>
            <w:gridSpan w:val="2"/>
          </w:tcPr>
          <w:p>
            <w:pPr>
              <w:ind w:left="1580"/>
              <w:spacing w:after="0"/>
              <w:rPr>
                <w:sz w:val="20"/>
                <w:szCs w:val="20"/>
                <w:color w:val="auto"/>
              </w:rPr>
            </w:pPr>
            <w:r>
              <w:rPr>
                <w:rFonts w:ascii="Times New Roman" w:cs="Times New Roman" w:eastAsia="Times New Roman" w:hAnsi="Times New Roman"/>
                <w:sz w:val="14"/>
                <w:szCs w:val="14"/>
                <w:color w:val="auto"/>
              </w:rPr>
              <w:t>II-48</w:t>
            </w:r>
          </w:p>
        </w:tc>
        <w:tc>
          <w:tcPr>
            <w:tcW w:w="1480" w:type="dxa"/>
            <w:vAlign w:val="bottom"/>
          </w:tcPr>
          <w:p>
            <w:pPr>
              <w:spacing w:after="0"/>
              <w:rPr>
                <w:sz w:val="24"/>
                <w:szCs w:val="24"/>
                <w:color w:val="auto"/>
              </w:rPr>
            </w:pPr>
          </w:p>
        </w:tc>
      </w:tr>
    </w:tbl>
    <w:p>
      <w:pPr>
        <w:sectPr>
          <w:pgSz w:w="11900" w:h="16838" w:orient="portrait"/>
          <w:cols w:equalWidth="0" w:num="1">
            <w:col w:w="9019"/>
          </w:cols>
          <w:pgMar w:left="1440" w:top="243" w:right="1440" w:bottom="1440" w:gutter="0" w:footer="0" w:header="0"/>
        </w:sectPr>
      </w:pPr>
    </w:p>
    <w:bookmarkStart w:id="79" w:name="page80"/>
    <w:bookmarkEnd w:id="79"/>
    <w:p>
      <w:pPr>
        <w:ind w:left="120" w:right="179" w:firstLine="350"/>
        <w:spacing w:after="0" w:line="29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7">
                      <a:extLst>
                        <a:ext uri="{28A0092B-C50C-407E-A947-70E740481C1C}"/>
                      </a:extLst>
                    </a:blip>
                    <a:srcRect/>
                    <a:stretch>
                      <a:fillRect/>
                    </a:stretch>
                  </pic:blipFill>
                  <pic:spPr bwMode="auto">
                    <a:xfrm>
                      <a:off x="0" y="0"/>
                      <a:ext cx="7199630" cy="33020"/>
                    </a:xfrm>
                    <a:prstGeom prst="rect">
                      <a:avLst/>
                    </a:prstGeom>
                    <a:noFill/>
                  </pic:spPr>
                </pic:pic>
              </a:graphicData>
            </a:graphic>
          </wp:anchor>
        </w:drawing>
        <w:t>Pursuant to the requirements of the Securities Act of 1933, the undersigned Registrant has duly caused this Registration Statement to be signed on its behalf by the undersigned, thereunto duly authorized, in the City of Boca Raton, State of Florida, on the 30th day of October, 2026.</w:t>
      </w:r>
    </w:p>
    <w:p>
      <w:pPr>
        <w:spacing w:after="0" w:line="14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b w:val="1"/>
          <w:bCs w:val="1"/>
          <w:color w:val="auto"/>
        </w:rPr>
        <w:t>Cornell Corrections of Rhode Island, Inc.</w:t>
      </w:r>
    </w:p>
    <w:p>
      <w:pPr>
        <w:spacing w:after="0" w:line="18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By: /s/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3606165</wp:posOffset>
            </wp:positionH>
            <wp:positionV relativeFrom="paragraph">
              <wp:posOffset>15875</wp:posOffset>
            </wp:positionV>
            <wp:extent cx="2037080" cy="69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8">
                      <a:extLst>
                        <a:ext uri="{28A0092B-C50C-407E-A947-70E740481C1C}"/>
                      </a:extLst>
                    </a:blip>
                    <a:srcRect/>
                    <a:stretch>
                      <a:fillRect/>
                    </a:stretch>
                  </pic:blipFill>
                  <pic:spPr bwMode="auto">
                    <a:xfrm>
                      <a:off x="0" y="0"/>
                      <a:ext cx="2037080" cy="6985"/>
                    </a:xfrm>
                    <a:prstGeom prst="rect">
                      <a:avLst/>
                    </a:prstGeom>
                    <a:noFill/>
                  </pic:spPr>
                </pic:pic>
              </a:graphicData>
            </a:graphic>
          </wp:anchor>
        </w:drawing>
      </w:r>
    </w:p>
    <w:p>
      <w:pPr>
        <w:spacing w:after="0" w:line="1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Name: Shayn P. March</w:t>
      </w:r>
    </w:p>
    <w:p>
      <w:pPr>
        <w:spacing w:after="0" w:line="2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Title:    Vice President, Chief Financial Officer,</w:t>
      </w:r>
    </w:p>
    <w:p>
      <w:pPr>
        <w:spacing w:after="0" w:line="1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4"/>
          <w:szCs w:val="14"/>
          <w:color w:val="auto"/>
        </w:rPr>
        <w:t>Treasurer and Director</w:t>
      </w:r>
    </w:p>
    <w:p>
      <w:pPr>
        <w:spacing w:after="0" w:line="167" w:lineRule="exact"/>
        <w:rPr>
          <w:sz w:val="20"/>
          <w:szCs w:val="20"/>
          <w:color w:val="auto"/>
        </w:rPr>
      </w:pPr>
    </w:p>
    <w:p>
      <w:pPr>
        <w:ind w:left="120" w:right="239" w:firstLine="350"/>
        <w:spacing w:after="0" w:line="261" w:lineRule="auto"/>
        <w:rPr>
          <w:sz w:val="20"/>
          <w:szCs w:val="20"/>
          <w:color w:val="auto"/>
        </w:rPr>
      </w:pPr>
      <w:r>
        <w:rPr>
          <w:rFonts w:ascii="Times New Roman" w:cs="Times New Roman" w:eastAsia="Times New Roman" w:hAnsi="Times New Roman"/>
          <w:sz w:val="14"/>
          <w:szCs w:val="14"/>
          <w:b w:val="1"/>
          <w:bCs w:val="1"/>
          <w:color w:val="auto"/>
        </w:rPr>
        <w:t>KNOWN ALL MEN BY THESE PRESENTS</w:t>
      </w:r>
      <w:r>
        <w:rPr>
          <w:rFonts w:ascii="Times New Roman" w:cs="Times New Roman" w:eastAsia="Times New Roman" w:hAnsi="Times New Roman"/>
          <w:sz w:val="14"/>
          <w:szCs w:val="14"/>
          <w:color w:val="auto"/>
        </w:rPr>
        <w:t>, that each person whose signature appears below hereby constitutes and appoints Shayn P.</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March, Vice President, Chief Financial Officer and Treasurer, and Scott A. Schipma, Vice President and Secretary, and each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146" w:lineRule="exact"/>
        <w:rPr>
          <w:sz w:val="20"/>
          <w:szCs w:val="20"/>
          <w:color w:val="auto"/>
        </w:rPr>
      </w:pPr>
    </w:p>
    <w:p>
      <w:pPr>
        <w:ind w:left="120" w:right="239" w:firstLine="350"/>
        <w:spacing w:after="0" w:line="292"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and on the date indicated.</w:t>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254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00" w:type="dxa"/>
            <w:vAlign w:val="bottom"/>
          </w:tcPr>
          <w:p>
            <w:pPr>
              <w:spacing w:after="0"/>
              <w:rPr>
                <w:sz w:val="12"/>
                <w:szCs w:val="12"/>
                <w:color w:val="auto"/>
              </w:rPr>
            </w:pPr>
          </w:p>
        </w:tc>
        <w:tc>
          <w:tcPr>
            <w:tcW w:w="446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60" w:type="dxa"/>
            <w:vAlign w:val="bottom"/>
          </w:tcPr>
          <w:p>
            <w:pPr>
              <w:spacing w:after="0"/>
              <w:rPr>
                <w:sz w:val="12"/>
                <w:szCs w:val="12"/>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Date</w:t>
            </w:r>
          </w:p>
        </w:tc>
      </w:tr>
      <w:tr>
        <w:trPr>
          <w:trHeight w:val="322"/>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George C. Zoley</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Chairman, Chief Executive Officer and 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George C. Zoley</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480" w:type="dxa"/>
            <w:vAlign w:val="bottom"/>
          </w:tcPr>
          <w:p>
            <w:pPr>
              <w:spacing w:after="0"/>
              <w:rPr>
                <w:sz w:val="15"/>
                <w:szCs w:val="15"/>
                <w:color w:val="auto"/>
              </w:rPr>
            </w:pPr>
          </w:p>
        </w:tc>
      </w:tr>
      <w:tr>
        <w:trPr>
          <w:trHeight w:val="339"/>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Chief Financial Officer, Treasurer and 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Financial Officer)</w:t>
            </w:r>
          </w:p>
        </w:tc>
        <w:tc>
          <w:tcPr>
            <w:tcW w:w="1480" w:type="dxa"/>
            <w:vAlign w:val="bottom"/>
          </w:tcPr>
          <w:p>
            <w:pPr>
              <w:spacing w:after="0"/>
              <w:rPr>
                <w:sz w:val="15"/>
                <w:szCs w:val="15"/>
                <w:color w:val="auto"/>
              </w:rPr>
            </w:pPr>
          </w:p>
        </w:tc>
      </w:tr>
      <w:tr>
        <w:trPr>
          <w:trHeight w:val="339"/>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Ronald A. Brack</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Accounting</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Ronald A. Brack</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Accounting Officer)</w:t>
            </w:r>
          </w:p>
        </w:tc>
        <w:tc>
          <w:tcPr>
            <w:tcW w:w="1480" w:type="dxa"/>
            <w:vAlign w:val="bottom"/>
          </w:tcPr>
          <w:p>
            <w:pPr>
              <w:spacing w:after="0"/>
              <w:rPr>
                <w:sz w:val="15"/>
                <w:szCs w:val="15"/>
                <w:color w:val="auto"/>
              </w:rPr>
            </w:pPr>
          </w:p>
        </w:tc>
      </w:tr>
      <w:tr>
        <w:trPr>
          <w:trHeight w:val="340"/>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David O. Meehan</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David O. Meehan</w:t>
            </w:r>
          </w:p>
        </w:tc>
        <w:tc>
          <w:tcPr>
            <w:tcW w:w="10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40"/>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Scott A. Schipma</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Secretary and 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Scott A. Schipma</w:t>
            </w:r>
          </w:p>
        </w:tc>
        <w:tc>
          <w:tcPr>
            <w:tcW w:w="10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86"/>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20" w:type="dxa"/>
            <w:vAlign w:val="bottom"/>
            <w:gridSpan w:val="2"/>
          </w:tcPr>
          <w:p>
            <w:pPr>
              <w:ind w:left="1580"/>
              <w:spacing w:after="0"/>
              <w:rPr>
                <w:sz w:val="20"/>
                <w:szCs w:val="20"/>
                <w:color w:val="auto"/>
              </w:rPr>
            </w:pPr>
            <w:r>
              <w:rPr>
                <w:rFonts w:ascii="Times New Roman" w:cs="Times New Roman" w:eastAsia="Times New Roman" w:hAnsi="Times New Roman"/>
                <w:sz w:val="14"/>
                <w:szCs w:val="14"/>
                <w:color w:val="auto"/>
              </w:rPr>
              <w:t>II-49</w:t>
            </w:r>
          </w:p>
        </w:tc>
        <w:tc>
          <w:tcPr>
            <w:tcW w:w="1480" w:type="dxa"/>
            <w:vAlign w:val="bottom"/>
          </w:tcPr>
          <w:p>
            <w:pPr>
              <w:spacing w:after="0"/>
              <w:rPr>
                <w:sz w:val="24"/>
                <w:szCs w:val="24"/>
                <w:color w:val="auto"/>
              </w:rPr>
            </w:pPr>
          </w:p>
        </w:tc>
      </w:tr>
    </w:tbl>
    <w:p>
      <w:pPr>
        <w:sectPr>
          <w:pgSz w:w="11900" w:h="16838" w:orient="portrait"/>
          <w:cols w:equalWidth="0" w:num="1">
            <w:col w:w="9019"/>
          </w:cols>
          <w:pgMar w:left="1440" w:top="243" w:right="1440" w:bottom="1440" w:gutter="0" w:footer="0" w:header="0"/>
        </w:sectPr>
      </w:pPr>
    </w:p>
    <w:bookmarkStart w:id="80" w:name="page81"/>
    <w:bookmarkEnd w:id="80"/>
    <w:p>
      <w:pPr>
        <w:ind w:left="120" w:right="179" w:firstLine="350"/>
        <w:spacing w:after="0" w:line="29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9">
                      <a:extLst>
                        <a:ext uri="{28A0092B-C50C-407E-A947-70E740481C1C}"/>
                      </a:extLst>
                    </a:blip>
                    <a:srcRect/>
                    <a:stretch>
                      <a:fillRect/>
                    </a:stretch>
                  </pic:blipFill>
                  <pic:spPr bwMode="auto">
                    <a:xfrm>
                      <a:off x="0" y="0"/>
                      <a:ext cx="7199630" cy="33020"/>
                    </a:xfrm>
                    <a:prstGeom prst="rect">
                      <a:avLst/>
                    </a:prstGeom>
                    <a:noFill/>
                  </pic:spPr>
                </pic:pic>
              </a:graphicData>
            </a:graphic>
          </wp:anchor>
        </w:drawing>
        <w:t>Pursuant to the requirements of the Securities Act of 1933, the undersigned Registrant has duly caused this Registration Statement to be signed on its behalf by the undersigned, thereunto duly authorized, in the City of Boca Raton, State of Florida, on the 30th day of October, 2026.</w:t>
      </w:r>
    </w:p>
    <w:p>
      <w:pPr>
        <w:spacing w:after="0" w:line="14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b w:val="1"/>
          <w:bCs w:val="1"/>
          <w:color w:val="auto"/>
        </w:rPr>
        <w:t>Cornell Corrections of Texas, Inc.</w:t>
      </w:r>
    </w:p>
    <w:p>
      <w:pPr>
        <w:spacing w:after="0" w:line="18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By: /s/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3606165</wp:posOffset>
            </wp:positionH>
            <wp:positionV relativeFrom="paragraph">
              <wp:posOffset>15875</wp:posOffset>
            </wp:positionV>
            <wp:extent cx="2037080" cy="69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0">
                      <a:extLst>
                        <a:ext uri="{28A0092B-C50C-407E-A947-70E740481C1C}"/>
                      </a:extLst>
                    </a:blip>
                    <a:srcRect/>
                    <a:stretch>
                      <a:fillRect/>
                    </a:stretch>
                  </pic:blipFill>
                  <pic:spPr bwMode="auto">
                    <a:xfrm>
                      <a:off x="0" y="0"/>
                      <a:ext cx="2037080" cy="6985"/>
                    </a:xfrm>
                    <a:prstGeom prst="rect">
                      <a:avLst/>
                    </a:prstGeom>
                    <a:noFill/>
                  </pic:spPr>
                </pic:pic>
              </a:graphicData>
            </a:graphic>
          </wp:anchor>
        </w:drawing>
      </w:r>
    </w:p>
    <w:p>
      <w:pPr>
        <w:spacing w:after="0" w:line="1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Name: Shayn P. March</w:t>
      </w:r>
    </w:p>
    <w:p>
      <w:pPr>
        <w:spacing w:after="0" w:line="2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Title:    Vice President, Chief Financial Officer,</w:t>
      </w:r>
    </w:p>
    <w:p>
      <w:pPr>
        <w:spacing w:after="0" w:line="1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4"/>
          <w:szCs w:val="14"/>
          <w:color w:val="auto"/>
        </w:rPr>
        <w:t>Treasurer and Director</w:t>
      </w:r>
    </w:p>
    <w:p>
      <w:pPr>
        <w:spacing w:after="0" w:line="167" w:lineRule="exact"/>
        <w:rPr>
          <w:sz w:val="20"/>
          <w:szCs w:val="20"/>
          <w:color w:val="auto"/>
        </w:rPr>
      </w:pPr>
    </w:p>
    <w:p>
      <w:pPr>
        <w:ind w:left="120" w:right="239" w:firstLine="350"/>
        <w:spacing w:after="0" w:line="261" w:lineRule="auto"/>
        <w:rPr>
          <w:sz w:val="20"/>
          <w:szCs w:val="20"/>
          <w:color w:val="auto"/>
        </w:rPr>
      </w:pPr>
      <w:r>
        <w:rPr>
          <w:rFonts w:ascii="Times New Roman" w:cs="Times New Roman" w:eastAsia="Times New Roman" w:hAnsi="Times New Roman"/>
          <w:sz w:val="14"/>
          <w:szCs w:val="14"/>
          <w:b w:val="1"/>
          <w:bCs w:val="1"/>
          <w:color w:val="auto"/>
        </w:rPr>
        <w:t>KNOWN ALL MEN BY THESE PRESENTS</w:t>
      </w:r>
      <w:r>
        <w:rPr>
          <w:rFonts w:ascii="Times New Roman" w:cs="Times New Roman" w:eastAsia="Times New Roman" w:hAnsi="Times New Roman"/>
          <w:sz w:val="14"/>
          <w:szCs w:val="14"/>
          <w:color w:val="auto"/>
        </w:rPr>
        <w:t>, that each person whose signature appears below hereby constitutes and appoints Shayn P.</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March, Vice President, Chief Financial Officer and Treasurer, and Scott A. Schipma, Vice President and Secretary, and each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146" w:lineRule="exact"/>
        <w:rPr>
          <w:sz w:val="20"/>
          <w:szCs w:val="20"/>
          <w:color w:val="auto"/>
        </w:rPr>
      </w:pPr>
    </w:p>
    <w:p>
      <w:pPr>
        <w:ind w:left="120" w:right="239" w:firstLine="350"/>
        <w:spacing w:after="0" w:line="292"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and on the date indicated.</w:t>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254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00" w:type="dxa"/>
            <w:vAlign w:val="bottom"/>
          </w:tcPr>
          <w:p>
            <w:pPr>
              <w:spacing w:after="0"/>
              <w:rPr>
                <w:sz w:val="12"/>
                <w:szCs w:val="12"/>
                <w:color w:val="auto"/>
              </w:rPr>
            </w:pPr>
          </w:p>
        </w:tc>
        <w:tc>
          <w:tcPr>
            <w:tcW w:w="446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60" w:type="dxa"/>
            <w:vAlign w:val="bottom"/>
          </w:tcPr>
          <w:p>
            <w:pPr>
              <w:spacing w:after="0"/>
              <w:rPr>
                <w:sz w:val="12"/>
                <w:szCs w:val="12"/>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Date</w:t>
            </w:r>
          </w:p>
        </w:tc>
      </w:tr>
      <w:tr>
        <w:trPr>
          <w:trHeight w:val="322"/>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George C. Zoley</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Chairman, Chief Executive Officer and 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George C. Zoley</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480" w:type="dxa"/>
            <w:vAlign w:val="bottom"/>
          </w:tcPr>
          <w:p>
            <w:pPr>
              <w:spacing w:after="0"/>
              <w:rPr>
                <w:sz w:val="15"/>
                <w:szCs w:val="15"/>
                <w:color w:val="auto"/>
              </w:rPr>
            </w:pPr>
          </w:p>
        </w:tc>
      </w:tr>
      <w:tr>
        <w:trPr>
          <w:trHeight w:val="339"/>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Chief Financial Officer, Treasurer and 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Financial Officer)</w:t>
            </w:r>
          </w:p>
        </w:tc>
        <w:tc>
          <w:tcPr>
            <w:tcW w:w="1480" w:type="dxa"/>
            <w:vAlign w:val="bottom"/>
          </w:tcPr>
          <w:p>
            <w:pPr>
              <w:spacing w:after="0"/>
              <w:rPr>
                <w:sz w:val="15"/>
                <w:szCs w:val="15"/>
                <w:color w:val="auto"/>
              </w:rPr>
            </w:pPr>
          </w:p>
        </w:tc>
      </w:tr>
      <w:tr>
        <w:trPr>
          <w:trHeight w:val="339"/>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Ronald A. Brack</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Accounting</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Ronald A. Brack</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Accounting Officer)</w:t>
            </w:r>
          </w:p>
        </w:tc>
        <w:tc>
          <w:tcPr>
            <w:tcW w:w="1480" w:type="dxa"/>
            <w:vAlign w:val="bottom"/>
          </w:tcPr>
          <w:p>
            <w:pPr>
              <w:spacing w:after="0"/>
              <w:rPr>
                <w:sz w:val="15"/>
                <w:szCs w:val="15"/>
                <w:color w:val="auto"/>
              </w:rPr>
            </w:pPr>
          </w:p>
        </w:tc>
      </w:tr>
      <w:tr>
        <w:trPr>
          <w:trHeight w:val="340"/>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David O. Meehan</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David O. Meehan</w:t>
            </w:r>
          </w:p>
        </w:tc>
        <w:tc>
          <w:tcPr>
            <w:tcW w:w="10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40"/>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Scott A. Schipma</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Secretary and 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Scott A. Schipma</w:t>
            </w:r>
          </w:p>
        </w:tc>
        <w:tc>
          <w:tcPr>
            <w:tcW w:w="10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86"/>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20" w:type="dxa"/>
            <w:vAlign w:val="bottom"/>
            <w:gridSpan w:val="2"/>
          </w:tcPr>
          <w:p>
            <w:pPr>
              <w:ind w:left="1580"/>
              <w:spacing w:after="0"/>
              <w:rPr>
                <w:sz w:val="20"/>
                <w:szCs w:val="20"/>
                <w:color w:val="auto"/>
              </w:rPr>
            </w:pPr>
            <w:r>
              <w:rPr>
                <w:rFonts w:ascii="Times New Roman" w:cs="Times New Roman" w:eastAsia="Times New Roman" w:hAnsi="Times New Roman"/>
                <w:sz w:val="14"/>
                <w:szCs w:val="14"/>
                <w:color w:val="auto"/>
              </w:rPr>
              <w:t>II-50</w:t>
            </w:r>
          </w:p>
        </w:tc>
        <w:tc>
          <w:tcPr>
            <w:tcW w:w="1480" w:type="dxa"/>
            <w:vAlign w:val="bottom"/>
          </w:tcPr>
          <w:p>
            <w:pPr>
              <w:spacing w:after="0"/>
              <w:rPr>
                <w:sz w:val="24"/>
                <w:szCs w:val="24"/>
                <w:color w:val="auto"/>
              </w:rPr>
            </w:pPr>
          </w:p>
        </w:tc>
      </w:tr>
    </w:tbl>
    <w:p>
      <w:pPr>
        <w:sectPr>
          <w:pgSz w:w="11900" w:h="16838" w:orient="portrait"/>
          <w:cols w:equalWidth="0" w:num="1">
            <w:col w:w="9019"/>
          </w:cols>
          <w:pgMar w:left="1440" w:top="243" w:right="1440" w:bottom="1440" w:gutter="0" w:footer="0" w:header="0"/>
        </w:sectPr>
      </w:pPr>
    </w:p>
    <w:bookmarkStart w:id="81" w:name="page82"/>
    <w:bookmarkEnd w:id="81"/>
    <w:p>
      <w:pPr>
        <w:ind w:left="120" w:right="179" w:firstLine="350"/>
        <w:spacing w:after="0" w:line="29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1">
                      <a:extLst>
                        <a:ext uri="{28A0092B-C50C-407E-A947-70E740481C1C}"/>
                      </a:extLst>
                    </a:blip>
                    <a:srcRect/>
                    <a:stretch>
                      <a:fillRect/>
                    </a:stretch>
                  </pic:blipFill>
                  <pic:spPr bwMode="auto">
                    <a:xfrm>
                      <a:off x="0" y="0"/>
                      <a:ext cx="7199630" cy="33020"/>
                    </a:xfrm>
                    <a:prstGeom prst="rect">
                      <a:avLst/>
                    </a:prstGeom>
                    <a:noFill/>
                  </pic:spPr>
                </pic:pic>
              </a:graphicData>
            </a:graphic>
          </wp:anchor>
        </w:drawing>
        <w:t>Pursuant to the requirements of the Securities Act of 1933, the undersigned Registrant has duly caused this Registration Statement to be signed on its behalf by the undersigned, thereunto duly authorized, in the City of Boca Raton, State of Florida, on the 30th day of October, 2026.</w:t>
      </w:r>
    </w:p>
    <w:p>
      <w:pPr>
        <w:spacing w:after="0" w:line="14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b w:val="1"/>
          <w:bCs w:val="1"/>
          <w:color w:val="auto"/>
        </w:rPr>
        <w:t>Correctional Properties Prison Finance, LLC</w:t>
      </w:r>
    </w:p>
    <w:p>
      <w:pPr>
        <w:spacing w:after="0" w:line="18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By: /s/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3606165</wp:posOffset>
            </wp:positionH>
            <wp:positionV relativeFrom="paragraph">
              <wp:posOffset>15875</wp:posOffset>
            </wp:positionV>
            <wp:extent cx="2037080" cy="69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2">
                      <a:extLst>
                        <a:ext uri="{28A0092B-C50C-407E-A947-70E740481C1C}"/>
                      </a:extLst>
                    </a:blip>
                    <a:srcRect/>
                    <a:stretch>
                      <a:fillRect/>
                    </a:stretch>
                  </pic:blipFill>
                  <pic:spPr bwMode="auto">
                    <a:xfrm>
                      <a:off x="0" y="0"/>
                      <a:ext cx="2037080" cy="6985"/>
                    </a:xfrm>
                    <a:prstGeom prst="rect">
                      <a:avLst/>
                    </a:prstGeom>
                    <a:noFill/>
                  </pic:spPr>
                </pic:pic>
              </a:graphicData>
            </a:graphic>
          </wp:anchor>
        </w:drawing>
      </w:r>
    </w:p>
    <w:p>
      <w:pPr>
        <w:spacing w:after="0" w:line="1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Name: Shayn P. March</w:t>
      </w:r>
    </w:p>
    <w:p>
      <w:pPr>
        <w:spacing w:after="0" w:line="2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Title:    Vice President, Treasurer and Manager</w:t>
      </w:r>
    </w:p>
    <w:p>
      <w:pPr>
        <w:spacing w:after="0" w:line="167" w:lineRule="exact"/>
        <w:rPr>
          <w:sz w:val="20"/>
          <w:szCs w:val="20"/>
          <w:color w:val="auto"/>
        </w:rPr>
      </w:pPr>
    </w:p>
    <w:p>
      <w:pPr>
        <w:ind w:left="120" w:right="159" w:firstLine="350"/>
        <w:spacing w:after="0" w:line="261" w:lineRule="auto"/>
        <w:rPr>
          <w:sz w:val="20"/>
          <w:szCs w:val="20"/>
          <w:color w:val="auto"/>
        </w:rPr>
      </w:pPr>
      <w:r>
        <w:rPr>
          <w:rFonts w:ascii="Times New Roman" w:cs="Times New Roman" w:eastAsia="Times New Roman" w:hAnsi="Times New Roman"/>
          <w:sz w:val="14"/>
          <w:szCs w:val="14"/>
          <w:b w:val="1"/>
          <w:bCs w:val="1"/>
          <w:color w:val="auto"/>
        </w:rPr>
        <w:t>KNOWN ALL MEN BY THESE PRESENTS</w:t>
      </w:r>
      <w:r>
        <w:rPr>
          <w:rFonts w:ascii="Times New Roman" w:cs="Times New Roman" w:eastAsia="Times New Roman" w:hAnsi="Times New Roman"/>
          <w:sz w:val="14"/>
          <w:szCs w:val="14"/>
          <w:color w:val="auto"/>
        </w:rPr>
        <w:t>, that each person whose signature appears below hereby constitutes and appoints Shayn P.</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March, Vice President and Treasurer, and Scott A. Schipma, Vice President and Secretary, and each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146" w:lineRule="exact"/>
        <w:rPr>
          <w:sz w:val="20"/>
          <w:szCs w:val="20"/>
          <w:color w:val="auto"/>
        </w:rPr>
      </w:pPr>
    </w:p>
    <w:p>
      <w:pPr>
        <w:ind w:left="120" w:right="239" w:firstLine="350"/>
        <w:spacing w:after="0" w:line="292"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and on the date indicated.</w:t>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254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00" w:type="dxa"/>
            <w:vAlign w:val="bottom"/>
          </w:tcPr>
          <w:p>
            <w:pPr>
              <w:spacing w:after="0"/>
              <w:rPr>
                <w:sz w:val="12"/>
                <w:szCs w:val="12"/>
                <w:color w:val="auto"/>
              </w:rPr>
            </w:pPr>
          </w:p>
        </w:tc>
        <w:tc>
          <w:tcPr>
            <w:tcW w:w="446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60" w:type="dxa"/>
            <w:vAlign w:val="bottom"/>
          </w:tcPr>
          <w:p>
            <w:pPr>
              <w:spacing w:after="0"/>
              <w:rPr>
                <w:sz w:val="12"/>
                <w:szCs w:val="12"/>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Date</w:t>
            </w:r>
          </w:p>
        </w:tc>
      </w:tr>
      <w:tr>
        <w:trPr>
          <w:trHeight w:val="322"/>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George C. Zoley</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Chairman, Chief Executive Officer and Manager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George C. Zoley</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480" w:type="dxa"/>
            <w:vAlign w:val="bottom"/>
          </w:tcPr>
          <w:p>
            <w:pPr>
              <w:spacing w:after="0"/>
              <w:rPr>
                <w:sz w:val="15"/>
                <w:szCs w:val="15"/>
                <w:color w:val="auto"/>
              </w:rPr>
            </w:pPr>
          </w:p>
        </w:tc>
      </w:tr>
      <w:tr>
        <w:trPr>
          <w:trHeight w:val="339"/>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Treasurer and Manager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Financial and Accounting Officer)</w:t>
            </w:r>
          </w:p>
        </w:tc>
        <w:tc>
          <w:tcPr>
            <w:tcW w:w="1480" w:type="dxa"/>
            <w:vAlign w:val="bottom"/>
          </w:tcPr>
          <w:p>
            <w:pPr>
              <w:spacing w:after="0"/>
              <w:rPr>
                <w:sz w:val="15"/>
                <w:szCs w:val="15"/>
                <w:color w:val="auto"/>
              </w:rPr>
            </w:pPr>
          </w:p>
        </w:tc>
      </w:tr>
      <w:tr>
        <w:trPr>
          <w:trHeight w:val="340"/>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Scott A. Schipma</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Secretary and Manager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Scott A. Schipma</w:t>
            </w:r>
          </w:p>
        </w:tc>
        <w:tc>
          <w:tcPr>
            <w:tcW w:w="10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39"/>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Treasurer and Director of GEO</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38"/>
        </w:trPr>
        <w:tc>
          <w:tcPr>
            <w:tcW w:w="2560" w:type="dxa"/>
            <w:vAlign w:val="bottom"/>
            <w:gridSpan w:val="2"/>
          </w:tcPr>
          <w:p>
            <w:pPr>
              <w:spacing w:after="0" w:line="138" w:lineRule="exact"/>
              <w:rPr>
                <w:sz w:val="20"/>
                <w:szCs w:val="20"/>
                <w:color w:val="auto"/>
              </w:rPr>
            </w:pPr>
            <w:r>
              <w:rPr>
                <w:rFonts w:ascii="Times New Roman" w:cs="Times New Roman" w:eastAsia="Times New Roman" w:hAnsi="Times New Roman"/>
                <w:sz w:val="14"/>
                <w:szCs w:val="14"/>
                <w:color w:val="auto"/>
              </w:rPr>
              <w:t>Shayn P. March</w:t>
            </w:r>
          </w:p>
        </w:tc>
        <w:tc>
          <w:tcPr>
            <w:tcW w:w="4720" w:type="dxa"/>
            <w:vAlign w:val="bottom"/>
            <w:gridSpan w:val="3"/>
          </w:tcPr>
          <w:p>
            <w:pPr>
              <w:ind w:left="80"/>
              <w:spacing w:after="0" w:line="138" w:lineRule="exact"/>
              <w:rPr>
                <w:sz w:val="20"/>
                <w:szCs w:val="20"/>
                <w:color w:val="auto"/>
              </w:rPr>
            </w:pPr>
            <w:r>
              <w:rPr>
                <w:rFonts w:ascii="Times New Roman" w:cs="Times New Roman" w:eastAsia="Times New Roman" w:hAnsi="Times New Roman"/>
                <w:sz w:val="14"/>
                <w:szCs w:val="14"/>
                <w:color w:val="auto"/>
              </w:rPr>
              <w:t>Acquisition II, Inc., the Sole General Partner of CPT Operating Partnership</w:t>
            </w:r>
          </w:p>
        </w:tc>
        <w:tc>
          <w:tcPr>
            <w:tcW w:w="1480" w:type="dxa"/>
            <w:vAlign w:val="bottom"/>
          </w:tcPr>
          <w:p>
            <w:pPr>
              <w:spacing w:after="0"/>
              <w:rPr>
                <w:sz w:val="11"/>
                <w:szCs w:val="11"/>
                <w:color w:val="auto"/>
              </w:rPr>
            </w:pPr>
          </w:p>
        </w:tc>
      </w:tr>
      <w:tr>
        <w:trPr>
          <w:trHeight w:val="185"/>
        </w:trPr>
        <w:tc>
          <w:tcPr>
            <w:tcW w:w="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L.P., the Sole Member of Correctional Properties Prison Finance, LLC</w:t>
            </w:r>
          </w:p>
        </w:tc>
        <w:tc>
          <w:tcPr>
            <w:tcW w:w="1480" w:type="dxa"/>
            <w:vAlign w:val="bottom"/>
          </w:tcPr>
          <w:p>
            <w:pPr>
              <w:spacing w:after="0"/>
              <w:rPr>
                <w:sz w:val="16"/>
                <w:szCs w:val="16"/>
                <w:color w:val="auto"/>
              </w:rPr>
            </w:pPr>
          </w:p>
        </w:tc>
      </w:tr>
      <w:tr>
        <w:trPr>
          <w:trHeight w:val="300"/>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20" w:type="dxa"/>
            <w:vAlign w:val="bottom"/>
            <w:gridSpan w:val="2"/>
          </w:tcPr>
          <w:p>
            <w:pPr>
              <w:ind w:left="1580"/>
              <w:spacing w:after="0"/>
              <w:rPr>
                <w:sz w:val="20"/>
                <w:szCs w:val="20"/>
                <w:color w:val="auto"/>
              </w:rPr>
            </w:pPr>
            <w:r>
              <w:rPr>
                <w:rFonts w:ascii="Times New Roman" w:cs="Times New Roman" w:eastAsia="Times New Roman" w:hAnsi="Times New Roman"/>
                <w:sz w:val="14"/>
                <w:szCs w:val="14"/>
                <w:color w:val="auto"/>
              </w:rPr>
              <w:t>II-51</w:t>
            </w:r>
          </w:p>
        </w:tc>
        <w:tc>
          <w:tcPr>
            <w:tcW w:w="1480" w:type="dxa"/>
            <w:vAlign w:val="bottom"/>
          </w:tcPr>
          <w:p>
            <w:pPr>
              <w:spacing w:after="0"/>
              <w:rPr>
                <w:sz w:val="24"/>
                <w:szCs w:val="24"/>
                <w:color w:val="auto"/>
              </w:rPr>
            </w:pPr>
          </w:p>
        </w:tc>
      </w:tr>
    </w:tbl>
    <w:p>
      <w:pPr>
        <w:sectPr>
          <w:pgSz w:w="11900" w:h="16838" w:orient="portrait"/>
          <w:cols w:equalWidth="0" w:num="1">
            <w:col w:w="9019"/>
          </w:cols>
          <w:pgMar w:left="1440" w:top="243" w:right="1440" w:bottom="1440" w:gutter="0" w:footer="0" w:header="0"/>
        </w:sectPr>
      </w:pPr>
    </w:p>
    <w:bookmarkStart w:id="82" w:name="page83"/>
    <w:bookmarkEnd w:id="82"/>
    <w:p>
      <w:pPr>
        <w:ind w:left="120" w:right="179" w:firstLine="350"/>
        <w:spacing w:after="0" w:line="29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3">
                      <a:extLst>
                        <a:ext uri="{28A0092B-C50C-407E-A947-70E740481C1C}"/>
                      </a:extLst>
                    </a:blip>
                    <a:srcRect/>
                    <a:stretch>
                      <a:fillRect/>
                    </a:stretch>
                  </pic:blipFill>
                  <pic:spPr bwMode="auto">
                    <a:xfrm>
                      <a:off x="0" y="0"/>
                      <a:ext cx="7199630" cy="33020"/>
                    </a:xfrm>
                    <a:prstGeom prst="rect">
                      <a:avLst/>
                    </a:prstGeom>
                    <a:noFill/>
                  </pic:spPr>
                </pic:pic>
              </a:graphicData>
            </a:graphic>
          </wp:anchor>
        </w:drawing>
        <w:t>Pursuant to the requirements of the Securities Act of 1933, the undersigned Registrant has duly caused this Registration Statement to be signed on its behalf by the undersigned, thereunto duly authorized, in the City of Boca Raton, State of Florida, on the 30th day of October, 2026.</w:t>
      </w:r>
    </w:p>
    <w:p>
      <w:pPr>
        <w:spacing w:after="0" w:line="14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b w:val="1"/>
          <w:bCs w:val="1"/>
          <w:color w:val="auto"/>
        </w:rPr>
        <w:t>Correctional Properties, LLC</w:t>
      </w:r>
    </w:p>
    <w:p>
      <w:pPr>
        <w:spacing w:after="0" w:line="18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By: /s/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3606165</wp:posOffset>
            </wp:positionH>
            <wp:positionV relativeFrom="paragraph">
              <wp:posOffset>15875</wp:posOffset>
            </wp:positionV>
            <wp:extent cx="2037080" cy="6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4">
                      <a:extLst>
                        <a:ext uri="{28A0092B-C50C-407E-A947-70E740481C1C}"/>
                      </a:extLst>
                    </a:blip>
                    <a:srcRect/>
                    <a:stretch>
                      <a:fillRect/>
                    </a:stretch>
                  </pic:blipFill>
                  <pic:spPr bwMode="auto">
                    <a:xfrm>
                      <a:off x="0" y="0"/>
                      <a:ext cx="2037080" cy="6985"/>
                    </a:xfrm>
                    <a:prstGeom prst="rect">
                      <a:avLst/>
                    </a:prstGeom>
                    <a:noFill/>
                  </pic:spPr>
                </pic:pic>
              </a:graphicData>
            </a:graphic>
          </wp:anchor>
        </w:drawing>
      </w:r>
    </w:p>
    <w:p>
      <w:pPr>
        <w:spacing w:after="0" w:line="1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Name: Shayn P. March</w:t>
      </w:r>
    </w:p>
    <w:p>
      <w:pPr>
        <w:spacing w:after="0" w:line="2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Title:    Vice President, Chief Financial Officer,</w:t>
      </w:r>
    </w:p>
    <w:p>
      <w:pPr>
        <w:spacing w:after="0" w:line="1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4"/>
          <w:szCs w:val="14"/>
          <w:color w:val="auto"/>
        </w:rPr>
        <w:t>Treasurer and Manager</w:t>
      </w:r>
    </w:p>
    <w:p>
      <w:pPr>
        <w:spacing w:after="0" w:line="167" w:lineRule="exact"/>
        <w:rPr>
          <w:sz w:val="20"/>
          <w:szCs w:val="20"/>
          <w:color w:val="auto"/>
        </w:rPr>
      </w:pPr>
    </w:p>
    <w:p>
      <w:pPr>
        <w:ind w:left="120" w:right="239" w:firstLine="350"/>
        <w:spacing w:after="0" w:line="261" w:lineRule="auto"/>
        <w:rPr>
          <w:sz w:val="20"/>
          <w:szCs w:val="20"/>
          <w:color w:val="auto"/>
        </w:rPr>
      </w:pPr>
      <w:r>
        <w:rPr>
          <w:rFonts w:ascii="Times New Roman" w:cs="Times New Roman" w:eastAsia="Times New Roman" w:hAnsi="Times New Roman"/>
          <w:sz w:val="14"/>
          <w:szCs w:val="14"/>
          <w:b w:val="1"/>
          <w:bCs w:val="1"/>
          <w:color w:val="auto"/>
        </w:rPr>
        <w:t>KNOWN ALL MEN BY THESE PRESENTS</w:t>
      </w:r>
      <w:r>
        <w:rPr>
          <w:rFonts w:ascii="Times New Roman" w:cs="Times New Roman" w:eastAsia="Times New Roman" w:hAnsi="Times New Roman"/>
          <w:sz w:val="14"/>
          <w:szCs w:val="14"/>
          <w:color w:val="auto"/>
        </w:rPr>
        <w:t>, that each person whose signature appears below hereby constitutes and appoints Shayn P.</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March, Vice President, Chief Financial Officer and Treasurer, and Scott A. Schipma, Vice President and Secretary, and each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146" w:lineRule="exact"/>
        <w:rPr>
          <w:sz w:val="20"/>
          <w:szCs w:val="20"/>
          <w:color w:val="auto"/>
        </w:rPr>
      </w:pPr>
    </w:p>
    <w:p>
      <w:pPr>
        <w:ind w:left="120" w:right="239" w:firstLine="350"/>
        <w:spacing w:after="0" w:line="292"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and on the date indicated.</w:t>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254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00" w:type="dxa"/>
            <w:vAlign w:val="bottom"/>
          </w:tcPr>
          <w:p>
            <w:pPr>
              <w:spacing w:after="0"/>
              <w:rPr>
                <w:sz w:val="12"/>
                <w:szCs w:val="12"/>
                <w:color w:val="auto"/>
              </w:rPr>
            </w:pPr>
          </w:p>
        </w:tc>
        <w:tc>
          <w:tcPr>
            <w:tcW w:w="446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60" w:type="dxa"/>
            <w:vAlign w:val="bottom"/>
          </w:tcPr>
          <w:p>
            <w:pPr>
              <w:spacing w:after="0"/>
              <w:rPr>
                <w:sz w:val="12"/>
                <w:szCs w:val="12"/>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Date</w:t>
            </w:r>
          </w:p>
        </w:tc>
      </w:tr>
      <w:tr>
        <w:trPr>
          <w:trHeight w:val="322"/>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George C. Zoley</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Chairman, Chief Executive Officer and Manager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George C. Zoley</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480" w:type="dxa"/>
            <w:vAlign w:val="bottom"/>
          </w:tcPr>
          <w:p>
            <w:pPr>
              <w:spacing w:after="0"/>
              <w:rPr>
                <w:sz w:val="15"/>
                <w:szCs w:val="15"/>
                <w:color w:val="auto"/>
              </w:rPr>
            </w:pPr>
          </w:p>
        </w:tc>
      </w:tr>
      <w:tr>
        <w:trPr>
          <w:trHeight w:val="339"/>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Chief Financial Officer, Treasurer and Manager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Financial Officer)</w:t>
            </w:r>
          </w:p>
        </w:tc>
        <w:tc>
          <w:tcPr>
            <w:tcW w:w="1480" w:type="dxa"/>
            <w:vAlign w:val="bottom"/>
          </w:tcPr>
          <w:p>
            <w:pPr>
              <w:spacing w:after="0"/>
              <w:rPr>
                <w:sz w:val="15"/>
                <w:szCs w:val="15"/>
                <w:color w:val="auto"/>
              </w:rPr>
            </w:pPr>
          </w:p>
        </w:tc>
      </w:tr>
      <w:tr>
        <w:trPr>
          <w:trHeight w:val="339"/>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Ronald A. Brack</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Accounting</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Ronald A. Brack</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Accounting Officer)</w:t>
            </w:r>
          </w:p>
        </w:tc>
        <w:tc>
          <w:tcPr>
            <w:tcW w:w="1480" w:type="dxa"/>
            <w:vAlign w:val="bottom"/>
          </w:tcPr>
          <w:p>
            <w:pPr>
              <w:spacing w:after="0"/>
              <w:rPr>
                <w:sz w:val="15"/>
                <w:szCs w:val="15"/>
                <w:color w:val="auto"/>
              </w:rPr>
            </w:pPr>
          </w:p>
        </w:tc>
      </w:tr>
      <w:tr>
        <w:trPr>
          <w:trHeight w:val="340"/>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Scott A. Schipma</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Secretary and Manager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Scott A. Schipma</w:t>
            </w:r>
          </w:p>
        </w:tc>
        <w:tc>
          <w:tcPr>
            <w:tcW w:w="10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40"/>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Paul Laird</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Operations and Manager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Paul Laird</w:t>
            </w:r>
          </w:p>
        </w:tc>
        <w:tc>
          <w:tcPr>
            <w:tcW w:w="10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39"/>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Senior Vice President, Chief Financial Officer and Treasurer of The GEO</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Group, Inc., the Sole Member of Correctional Properties, LLC</w:t>
            </w:r>
          </w:p>
        </w:tc>
        <w:tc>
          <w:tcPr>
            <w:tcW w:w="1480" w:type="dxa"/>
            <w:vAlign w:val="bottom"/>
          </w:tcPr>
          <w:p>
            <w:pPr>
              <w:spacing w:after="0"/>
              <w:rPr>
                <w:sz w:val="15"/>
                <w:szCs w:val="15"/>
                <w:color w:val="auto"/>
              </w:rPr>
            </w:pPr>
          </w:p>
        </w:tc>
      </w:tr>
      <w:tr>
        <w:trPr>
          <w:trHeight w:val="286"/>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20" w:type="dxa"/>
            <w:vAlign w:val="bottom"/>
            <w:gridSpan w:val="2"/>
          </w:tcPr>
          <w:p>
            <w:pPr>
              <w:ind w:left="1580"/>
              <w:spacing w:after="0"/>
              <w:rPr>
                <w:sz w:val="20"/>
                <w:szCs w:val="20"/>
                <w:color w:val="auto"/>
              </w:rPr>
            </w:pPr>
            <w:r>
              <w:rPr>
                <w:rFonts w:ascii="Times New Roman" w:cs="Times New Roman" w:eastAsia="Times New Roman" w:hAnsi="Times New Roman"/>
                <w:sz w:val="14"/>
                <w:szCs w:val="14"/>
                <w:color w:val="auto"/>
              </w:rPr>
              <w:t>II-52</w:t>
            </w:r>
          </w:p>
        </w:tc>
        <w:tc>
          <w:tcPr>
            <w:tcW w:w="1480" w:type="dxa"/>
            <w:vAlign w:val="bottom"/>
          </w:tcPr>
          <w:p>
            <w:pPr>
              <w:spacing w:after="0"/>
              <w:rPr>
                <w:sz w:val="24"/>
                <w:szCs w:val="24"/>
                <w:color w:val="auto"/>
              </w:rPr>
            </w:pPr>
          </w:p>
        </w:tc>
      </w:tr>
    </w:tbl>
    <w:p>
      <w:pPr>
        <w:sectPr>
          <w:pgSz w:w="11900" w:h="16838" w:orient="portrait"/>
          <w:cols w:equalWidth="0" w:num="1">
            <w:col w:w="9019"/>
          </w:cols>
          <w:pgMar w:left="1440" w:top="243" w:right="1440" w:bottom="1440" w:gutter="0" w:footer="0" w:header="0"/>
        </w:sectPr>
      </w:pPr>
    </w:p>
    <w:bookmarkStart w:id="83" w:name="page84"/>
    <w:bookmarkEnd w:id="83"/>
    <w:p>
      <w:pPr>
        <w:ind w:left="120" w:right="179" w:firstLine="350"/>
        <w:spacing w:after="0" w:line="29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5">
                      <a:extLst>
                        <a:ext uri="{28A0092B-C50C-407E-A947-70E740481C1C}"/>
                      </a:extLst>
                    </a:blip>
                    <a:srcRect/>
                    <a:stretch>
                      <a:fillRect/>
                    </a:stretch>
                  </pic:blipFill>
                  <pic:spPr bwMode="auto">
                    <a:xfrm>
                      <a:off x="0" y="0"/>
                      <a:ext cx="7199630" cy="33020"/>
                    </a:xfrm>
                    <a:prstGeom prst="rect">
                      <a:avLst/>
                    </a:prstGeom>
                    <a:noFill/>
                  </pic:spPr>
                </pic:pic>
              </a:graphicData>
            </a:graphic>
          </wp:anchor>
        </w:drawing>
        <w:t>Pursuant to the requirements of the Securities Act of 1933, the undersigned Registrant has duly caused this Registration Statement to be signed on its behalf by the undersigned, thereunto duly authorized, in the City of Boca Raton, State of Florida, on the 30th day of October, 2026.</w:t>
      </w:r>
    </w:p>
    <w:p>
      <w:pPr>
        <w:spacing w:after="0" w:line="14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b w:val="1"/>
          <w:bCs w:val="1"/>
          <w:color w:val="auto"/>
        </w:rPr>
        <w:t>Correctional Services Corporation, LLC</w:t>
      </w:r>
    </w:p>
    <w:p>
      <w:pPr>
        <w:spacing w:after="0" w:line="18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By: /s/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3606165</wp:posOffset>
            </wp:positionH>
            <wp:positionV relativeFrom="paragraph">
              <wp:posOffset>15875</wp:posOffset>
            </wp:positionV>
            <wp:extent cx="2037080" cy="6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6">
                      <a:extLst>
                        <a:ext uri="{28A0092B-C50C-407E-A947-70E740481C1C}"/>
                      </a:extLst>
                    </a:blip>
                    <a:srcRect/>
                    <a:stretch>
                      <a:fillRect/>
                    </a:stretch>
                  </pic:blipFill>
                  <pic:spPr bwMode="auto">
                    <a:xfrm>
                      <a:off x="0" y="0"/>
                      <a:ext cx="2037080" cy="6985"/>
                    </a:xfrm>
                    <a:prstGeom prst="rect">
                      <a:avLst/>
                    </a:prstGeom>
                    <a:noFill/>
                  </pic:spPr>
                </pic:pic>
              </a:graphicData>
            </a:graphic>
          </wp:anchor>
        </w:drawing>
      </w:r>
    </w:p>
    <w:p>
      <w:pPr>
        <w:spacing w:after="0" w:line="1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Name:  Shayn P. March</w:t>
      </w:r>
    </w:p>
    <w:p>
      <w:pPr>
        <w:spacing w:after="0" w:line="2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Title:    Vice President, Chief Financial Officer and</w:t>
      </w:r>
    </w:p>
    <w:p>
      <w:pPr>
        <w:spacing w:after="0" w:line="1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4"/>
          <w:szCs w:val="14"/>
          <w:color w:val="auto"/>
        </w:rPr>
        <w:t>Treasurer</w:t>
      </w:r>
    </w:p>
    <w:p>
      <w:pPr>
        <w:spacing w:after="0" w:line="167" w:lineRule="exact"/>
        <w:rPr>
          <w:sz w:val="20"/>
          <w:szCs w:val="20"/>
          <w:color w:val="auto"/>
        </w:rPr>
      </w:pPr>
    </w:p>
    <w:p>
      <w:pPr>
        <w:ind w:left="120" w:right="239" w:firstLine="350"/>
        <w:spacing w:after="0" w:line="261" w:lineRule="auto"/>
        <w:rPr>
          <w:sz w:val="20"/>
          <w:szCs w:val="20"/>
          <w:color w:val="auto"/>
        </w:rPr>
      </w:pPr>
      <w:r>
        <w:rPr>
          <w:rFonts w:ascii="Times New Roman" w:cs="Times New Roman" w:eastAsia="Times New Roman" w:hAnsi="Times New Roman"/>
          <w:sz w:val="14"/>
          <w:szCs w:val="14"/>
          <w:b w:val="1"/>
          <w:bCs w:val="1"/>
          <w:color w:val="auto"/>
        </w:rPr>
        <w:t>KNOWN ALL MEN BY THESE PRESENTS</w:t>
      </w:r>
      <w:r>
        <w:rPr>
          <w:rFonts w:ascii="Times New Roman" w:cs="Times New Roman" w:eastAsia="Times New Roman" w:hAnsi="Times New Roman"/>
          <w:sz w:val="14"/>
          <w:szCs w:val="14"/>
          <w:color w:val="auto"/>
        </w:rPr>
        <w:t>, that each person whose signature appears below hereby constitutes and appoints Shayn P.</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March, Vice President, Chief Financial Officer and Treasurer, and Scott A. Schipma, Vice President and Secretary, and each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146" w:lineRule="exact"/>
        <w:rPr>
          <w:sz w:val="20"/>
          <w:szCs w:val="20"/>
          <w:color w:val="auto"/>
        </w:rPr>
      </w:pPr>
    </w:p>
    <w:p>
      <w:pPr>
        <w:ind w:left="120" w:right="239" w:firstLine="350"/>
        <w:spacing w:after="0" w:line="292"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and on the date indicated.</w:t>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254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00" w:type="dxa"/>
            <w:vAlign w:val="bottom"/>
          </w:tcPr>
          <w:p>
            <w:pPr>
              <w:spacing w:after="0"/>
              <w:rPr>
                <w:sz w:val="12"/>
                <w:szCs w:val="12"/>
                <w:color w:val="auto"/>
              </w:rPr>
            </w:pPr>
          </w:p>
        </w:tc>
        <w:tc>
          <w:tcPr>
            <w:tcW w:w="446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60" w:type="dxa"/>
            <w:vAlign w:val="bottom"/>
          </w:tcPr>
          <w:p>
            <w:pPr>
              <w:spacing w:after="0"/>
              <w:rPr>
                <w:sz w:val="12"/>
                <w:szCs w:val="12"/>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Date</w:t>
            </w:r>
          </w:p>
        </w:tc>
      </w:tr>
      <w:tr>
        <w:trPr>
          <w:trHeight w:val="322"/>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George C. Zoley</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Chairman, Chief Executive Officer and Manager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George C. Zoley</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480" w:type="dxa"/>
            <w:vAlign w:val="bottom"/>
          </w:tcPr>
          <w:p>
            <w:pPr>
              <w:spacing w:after="0"/>
              <w:rPr>
                <w:sz w:val="15"/>
                <w:szCs w:val="15"/>
                <w:color w:val="auto"/>
              </w:rPr>
            </w:pPr>
          </w:p>
        </w:tc>
      </w:tr>
      <w:tr>
        <w:trPr>
          <w:trHeight w:val="339"/>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Chief Financial Officer and Treasurer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Financial and Accounting Officer)</w:t>
            </w:r>
          </w:p>
        </w:tc>
        <w:tc>
          <w:tcPr>
            <w:tcW w:w="1480" w:type="dxa"/>
            <w:vAlign w:val="bottom"/>
          </w:tcPr>
          <w:p>
            <w:pPr>
              <w:spacing w:after="0"/>
              <w:rPr>
                <w:sz w:val="15"/>
                <w:szCs w:val="15"/>
                <w:color w:val="auto"/>
              </w:rPr>
            </w:pPr>
          </w:p>
        </w:tc>
      </w:tr>
      <w:tr>
        <w:trPr>
          <w:trHeight w:val="340"/>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Scott A. Schipma</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Secretary and Manager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Scott A. Schipma</w:t>
            </w:r>
          </w:p>
        </w:tc>
        <w:tc>
          <w:tcPr>
            <w:tcW w:w="10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39"/>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Senior Vice President, Chief Financial Officer and Treasurer of The GEO</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Group, Inc., the Sole Member of Correctional Services Corporation, LLC</w:t>
            </w:r>
          </w:p>
        </w:tc>
        <w:tc>
          <w:tcPr>
            <w:tcW w:w="1480" w:type="dxa"/>
            <w:vAlign w:val="bottom"/>
          </w:tcPr>
          <w:p>
            <w:pPr>
              <w:spacing w:after="0"/>
              <w:rPr>
                <w:sz w:val="15"/>
                <w:szCs w:val="15"/>
                <w:color w:val="auto"/>
              </w:rPr>
            </w:pPr>
          </w:p>
        </w:tc>
      </w:tr>
      <w:tr>
        <w:trPr>
          <w:trHeight w:val="286"/>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20" w:type="dxa"/>
            <w:vAlign w:val="bottom"/>
            <w:gridSpan w:val="2"/>
          </w:tcPr>
          <w:p>
            <w:pPr>
              <w:ind w:left="1580"/>
              <w:spacing w:after="0"/>
              <w:rPr>
                <w:sz w:val="20"/>
                <w:szCs w:val="20"/>
                <w:color w:val="auto"/>
              </w:rPr>
            </w:pPr>
            <w:r>
              <w:rPr>
                <w:rFonts w:ascii="Times New Roman" w:cs="Times New Roman" w:eastAsia="Times New Roman" w:hAnsi="Times New Roman"/>
                <w:sz w:val="14"/>
                <w:szCs w:val="14"/>
                <w:color w:val="auto"/>
              </w:rPr>
              <w:t>II-53</w:t>
            </w:r>
          </w:p>
        </w:tc>
        <w:tc>
          <w:tcPr>
            <w:tcW w:w="1480" w:type="dxa"/>
            <w:vAlign w:val="bottom"/>
          </w:tcPr>
          <w:p>
            <w:pPr>
              <w:spacing w:after="0"/>
              <w:rPr>
                <w:sz w:val="24"/>
                <w:szCs w:val="24"/>
                <w:color w:val="auto"/>
              </w:rPr>
            </w:pPr>
          </w:p>
        </w:tc>
      </w:tr>
    </w:tbl>
    <w:p>
      <w:pPr>
        <w:sectPr>
          <w:pgSz w:w="11900" w:h="16838" w:orient="portrait"/>
          <w:cols w:equalWidth="0" w:num="1">
            <w:col w:w="9019"/>
          </w:cols>
          <w:pgMar w:left="1440" w:top="243" w:right="1440" w:bottom="1440" w:gutter="0" w:footer="0" w:header="0"/>
        </w:sectPr>
      </w:pPr>
    </w:p>
    <w:bookmarkStart w:id="84" w:name="page85"/>
    <w:bookmarkEnd w:id="84"/>
    <w:p>
      <w:pPr>
        <w:ind w:left="120" w:right="179" w:firstLine="350"/>
        <w:spacing w:after="0" w:line="29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7">
                      <a:extLst>
                        <a:ext uri="{28A0092B-C50C-407E-A947-70E740481C1C}"/>
                      </a:extLst>
                    </a:blip>
                    <a:srcRect/>
                    <a:stretch>
                      <a:fillRect/>
                    </a:stretch>
                  </pic:blipFill>
                  <pic:spPr bwMode="auto">
                    <a:xfrm>
                      <a:off x="0" y="0"/>
                      <a:ext cx="7199630" cy="33020"/>
                    </a:xfrm>
                    <a:prstGeom prst="rect">
                      <a:avLst/>
                    </a:prstGeom>
                    <a:noFill/>
                  </pic:spPr>
                </pic:pic>
              </a:graphicData>
            </a:graphic>
          </wp:anchor>
        </w:drawing>
        <w:t>Pursuant to the requirements of the Securities Act of 1933, the undersigned Registrant has duly caused this Registration Statement to be signed on its behalf by the undersigned, thereunto duly authorized, in the City of Boca Raton, State of Florida, on the 30th day of October, 2026.</w:t>
      </w:r>
    </w:p>
    <w:p>
      <w:pPr>
        <w:spacing w:after="0" w:line="14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b w:val="1"/>
          <w:bCs w:val="1"/>
          <w:color w:val="auto"/>
        </w:rPr>
        <w:t>Correctional Systems, LLC</w:t>
      </w:r>
    </w:p>
    <w:p>
      <w:pPr>
        <w:spacing w:after="0" w:line="18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By: /s/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3606165</wp:posOffset>
            </wp:positionH>
            <wp:positionV relativeFrom="paragraph">
              <wp:posOffset>15875</wp:posOffset>
            </wp:positionV>
            <wp:extent cx="2037080" cy="69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8">
                      <a:extLst>
                        <a:ext uri="{28A0092B-C50C-407E-A947-70E740481C1C}"/>
                      </a:extLst>
                    </a:blip>
                    <a:srcRect/>
                    <a:stretch>
                      <a:fillRect/>
                    </a:stretch>
                  </pic:blipFill>
                  <pic:spPr bwMode="auto">
                    <a:xfrm>
                      <a:off x="0" y="0"/>
                      <a:ext cx="2037080" cy="6985"/>
                    </a:xfrm>
                    <a:prstGeom prst="rect">
                      <a:avLst/>
                    </a:prstGeom>
                    <a:noFill/>
                  </pic:spPr>
                </pic:pic>
              </a:graphicData>
            </a:graphic>
          </wp:anchor>
        </w:drawing>
      </w:r>
    </w:p>
    <w:p>
      <w:pPr>
        <w:spacing w:after="0" w:line="1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Name:  Shayn P. March</w:t>
      </w:r>
    </w:p>
    <w:p>
      <w:pPr>
        <w:spacing w:after="0" w:line="2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Title:    Vice President, Chief Financial Officer,</w:t>
      </w:r>
    </w:p>
    <w:p>
      <w:pPr>
        <w:spacing w:after="0" w:line="1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4"/>
          <w:szCs w:val="14"/>
          <w:color w:val="auto"/>
        </w:rPr>
        <w:t>Treasurer and Manager</w:t>
      </w:r>
    </w:p>
    <w:p>
      <w:pPr>
        <w:spacing w:after="0" w:line="167" w:lineRule="exact"/>
        <w:rPr>
          <w:sz w:val="20"/>
          <w:szCs w:val="20"/>
          <w:color w:val="auto"/>
        </w:rPr>
      </w:pPr>
    </w:p>
    <w:p>
      <w:pPr>
        <w:ind w:left="120" w:right="239" w:firstLine="350"/>
        <w:spacing w:after="0" w:line="261" w:lineRule="auto"/>
        <w:rPr>
          <w:sz w:val="20"/>
          <w:szCs w:val="20"/>
          <w:color w:val="auto"/>
        </w:rPr>
      </w:pPr>
      <w:r>
        <w:rPr>
          <w:rFonts w:ascii="Times New Roman" w:cs="Times New Roman" w:eastAsia="Times New Roman" w:hAnsi="Times New Roman"/>
          <w:sz w:val="14"/>
          <w:szCs w:val="14"/>
          <w:b w:val="1"/>
          <w:bCs w:val="1"/>
          <w:color w:val="auto"/>
        </w:rPr>
        <w:t>KNOWN ALL MEN BY THESE PRESENTS</w:t>
      </w:r>
      <w:r>
        <w:rPr>
          <w:rFonts w:ascii="Times New Roman" w:cs="Times New Roman" w:eastAsia="Times New Roman" w:hAnsi="Times New Roman"/>
          <w:sz w:val="14"/>
          <w:szCs w:val="14"/>
          <w:color w:val="auto"/>
        </w:rPr>
        <w:t>, that each person whose signature appears below hereby constitutes and appoints Shayn P.</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March, Vice President, Chief Financial Officer and Treasurer, and Scott A. Schipma, Vice President and Secretary, and each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146" w:lineRule="exact"/>
        <w:rPr>
          <w:sz w:val="20"/>
          <w:szCs w:val="20"/>
          <w:color w:val="auto"/>
        </w:rPr>
      </w:pPr>
    </w:p>
    <w:p>
      <w:pPr>
        <w:ind w:left="120" w:right="239" w:firstLine="350"/>
        <w:spacing w:after="0" w:line="292"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and on the date indicated.</w:t>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254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00" w:type="dxa"/>
            <w:vAlign w:val="bottom"/>
          </w:tcPr>
          <w:p>
            <w:pPr>
              <w:spacing w:after="0"/>
              <w:rPr>
                <w:sz w:val="12"/>
                <w:szCs w:val="12"/>
                <w:color w:val="auto"/>
              </w:rPr>
            </w:pPr>
          </w:p>
        </w:tc>
        <w:tc>
          <w:tcPr>
            <w:tcW w:w="446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60" w:type="dxa"/>
            <w:vAlign w:val="bottom"/>
          </w:tcPr>
          <w:p>
            <w:pPr>
              <w:spacing w:after="0"/>
              <w:rPr>
                <w:sz w:val="12"/>
                <w:szCs w:val="12"/>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Date</w:t>
            </w:r>
          </w:p>
        </w:tc>
      </w:tr>
      <w:tr>
        <w:trPr>
          <w:trHeight w:val="322"/>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George C. Zoley</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Chairman, Chief Executive Officer and Manager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George C. Zoley</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480" w:type="dxa"/>
            <w:vAlign w:val="bottom"/>
          </w:tcPr>
          <w:p>
            <w:pPr>
              <w:spacing w:after="0"/>
              <w:rPr>
                <w:sz w:val="15"/>
                <w:szCs w:val="15"/>
                <w:color w:val="auto"/>
              </w:rPr>
            </w:pPr>
          </w:p>
        </w:tc>
      </w:tr>
      <w:tr>
        <w:trPr>
          <w:trHeight w:val="339"/>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Chief Financial Officer, Treasurer and Manager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Financial Officer)</w:t>
            </w:r>
          </w:p>
        </w:tc>
        <w:tc>
          <w:tcPr>
            <w:tcW w:w="1480" w:type="dxa"/>
            <w:vAlign w:val="bottom"/>
          </w:tcPr>
          <w:p>
            <w:pPr>
              <w:spacing w:after="0"/>
              <w:rPr>
                <w:sz w:val="15"/>
                <w:szCs w:val="15"/>
                <w:color w:val="auto"/>
              </w:rPr>
            </w:pPr>
          </w:p>
        </w:tc>
      </w:tr>
      <w:tr>
        <w:trPr>
          <w:trHeight w:val="339"/>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Ronald A. Brack</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Accounting</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Ronald A. Brack</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Accounting Officer)</w:t>
            </w:r>
          </w:p>
        </w:tc>
        <w:tc>
          <w:tcPr>
            <w:tcW w:w="1480" w:type="dxa"/>
            <w:vAlign w:val="bottom"/>
          </w:tcPr>
          <w:p>
            <w:pPr>
              <w:spacing w:after="0"/>
              <w:rPr>
                <w:sz w:val="15"/>
                <w:szCs w:val="15"/>
                <w:color w:val="auto"/>
              </w:rPr>
            </w:pPr>
          </w:p>
        </w:tc>
      </w:tr>
      <w:tr>
        <w:trPr>
          <w:trHeight w:val="340"/>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David O. Meehan</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Manager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David O. Meehan</w:t>
            </w:r>
          </w:p>
        </w:tc>
        <w:tc>
          <w:tcPr>
            <w:tcW w:w="10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40"/>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Scott A. Schipma</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Secretary and Manager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Scott A. Schipma</w:t>
            </w:r>
          </w:p>
        </w:tc>
        <w:tc>
          <w:tcPr>
            <w:tcW w:w="10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39"/>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Senior Vice President, Chief Financial Officer and Treasurer of The GEO</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38"/>
        </w:trPr>
        <w:tc>
          <w:tcPr>
            <w:tcW w:w="2560" w:type="dxa"/>
            <w:vAlign w:val="bottom"/>
            <w:gridSpan w:val="2"/>
          </w:tcPr>
          <w:p>
            <w:pPr>
              <w:spacing w:after="0" w:line="138" w:lineRule="exact"/>
              <w:rPr>
                <w:sz w:val="20"/>
                <w:szCs w:val="20"/>
                <w:color w:val="auto"/>
              </w:rPr>
            </w:pPr>
            <w:r>
              <w:rPr>
                <w:rFonts w:ascii="Times New Roman" w:cs="Times New Roman" w:eastAsia="Times New Roman" w:hAnsi="Times New Roman"/>
                <w:sz w:val="14"/>
                <w:szCs w:val="14"/>
                <w:color w:val="auto"/>
              </w:rPr>
              <w:t>Shayn P. March</w:t>
            </w:r>
          </w:p>
        </w:tc>
        <w:tc>
          <w:tcPr>
            <w:tcW w:w="4720" w:type="dxa"/>
            <w:vAlign w:val="bottom"/>
            <w:gridSpan w:val="3"/>
          </w:tcPr>
          <w:p>
            <w:pPr>
              <w:ind w:left="80"/>
              <w:spacing w:after="0" w:line="138" w:lineRule="exact"/>
              <w:rPr>
                <w:sz w:val="20"/>
                <w:szCs w:val="20"/>
                <w:color w:val="auto"/>
              </w:rPr>
            </w:pPr>
            <w:r>
              <w:rPr>
                <w:rFonts w:ascii="Times New Roman" w:cs="Times New Roman" w:eastAsia="Times New Roman" w:hAnsi="Times New Roman"/>
                <w:sz w:val="14"/>
                <w:szCs w:val="14"/>
                <w:color w:val="auto"/>
              </w:rPr>
              <w:t>Group, Inc., the Sole</w:t>
            </w:r>
          </w:p>
        </w:tc>
        <w:tc>
          <w:tcPr>
            <w:tcW w:w="1480" w:type="dxa"/>
            <w:vAlign w:val="bottom"/>
          </w:tcPr>
          <w:p>
            <w:pPr>
              <w:spacing w:after="0"/>
              <w:rPr>
                <w:sz w:val="11"/>
                <w:szCs w:val="11"/>
                <w:color w:val="auto"/>
              </w:rPr>
            </w:pPr>
          </w:p>
        </w:tc>
      </w:tr>
      <w:tr>
        <w:trPr>
          <w:trHeight w:val="185"/>
        </w:trPr>
        <w:tc>
          <w:tcPr>
            <w:tcW w:w="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Member of Correctional Systems, LLC</w:t>
            </w:r>
          </w:p>
        </w:tc>
        <w:tc>
          <w:tcPr>
            <w:tcW w:w="1480" w:type="dxa"/>
            <w:vAlign w:val="bottom"/>
          </w:tcPr>
          <w:p>
            <w:pPr>
              <w:spacing w:after="0"/>
              <w:rPr>
                <w:sz w:val="16"/>
                <w:szCs w:val="16"/>
                <w:color w:val="auto"/>
              </w:rPr>
            </w:pPr>
          </w:p>
        </w:tc>
      </w:tr>
      <w:tr>
        <w:trPr>
          <w:trHeight w:val="300"/>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20" w:type="dxa"/>
            <w:vAlign w:val="bottom"/>
            <w:gridSpan w:val="2"/>
          </w:tcPr>
          <w:p>
            <w:pPr>
              <w:ind w:left="1580"/>
              <w:spacing w:after="0"/>
              <w:rPr>
                <w:sz w:val="20"/>
                <w:szCs w:val="20"/>
                <w:color w:val="auto"/>
              </w:rPr>
            </w:pPr>
            <w:r>
              <w:rPr>
                <w:rFonts w:ascii="Times New Roman" w:cs="Times New Roman" w:eastAsia="Times New Roman" w:hAnsi="Times New Roman"/>
                <w:sz w:val="14"/>
                <w:szCs w:val="14"/>
                <w:color w:val="auto"/>
              </w:rPr>
              <w:t>II-54</w:t>
            </w:r>
          </w:p>
        </w:tc>
        <w:tc>
          <w:tcPr>
            <w:tcW w:w="1480" w:type="dxa"/>
            <w:vAlign w:val="bottom"/>
          </w:tcPr>
          <w:p>
            <w:pPr>
              <w:spacing w:after="0"/>
              <w:rPr>
                <w:sz w:val="24"/>
                <w:szCs w:val="24"/>
                <w:color w:val="auto"/>
              </w:rPr>
            </w:pPr>
          </w:p>
        </w:tc>
      </w:tr>
    </w:tbl>
    <w:p>
      <w:pPr>
        <w:sectPr>
          <w:pgSz w:w="11900" w:h="16838" w:orient="portrait"/>
          <w:cols w:equalWidth="0" w:num="1">
            <w:col w:w="9019"/>
          </w:cols>
          <w:pgMar w:left="1440" w:top="243" w:right="1440" w:bottom="1440" w:gutter="0" w:footer="0" w:header="0"/>
        </w:sectPr>
      </w:pPr>
    </w:p>
    <w:bookmarkStart w:id="85" w:name="page86"/>
    <w:bookmarkEnd w:id="85"/>
    <w:p>
      <w:pPr>
        <w:ind w:left="120" w:right="179" w:firstLine="350"/>
        <w:spacing w:after="0" w:line="29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9">
                      <a:extLst>
                        <a:ext uri="{28A0092B-C50C-407E-A947-70E740481C1C}"/>
                      </a:extLst>
                    </a:blip>
                    <a:srcRect/>
                    <a:stretch>
                      <a:fillRect/>
                    </a:stretch>
                  </pic:blipFill>
                  <pic:spPr bwMode="auto">
                    <a:xfrm>
                      <a:off x="0" y="0"/>
                      <a:ext cx="7199630" cy="33020"/>
                    </a:xfrm>
                    <a:prstGeom prst="rect">
                      <a:avLst/>
                    </a:prstGeom>
                    <a:noFill/>
                  </pic:spPr>
                </pic:pic>
              </a:graphicData>
            </a:graphic>
          </wp:anchor>
        </w:drawing>
        <w:t>Pursuant to the requirements of the Securities Act of 1933, the undersigned Registrant has duly caused this Registration Statement to be signed on its behalf by the undersigned, thereunto duly authorized, in the City of Boca Raton, State of Florida, on the 30th day of October, 2026.</w:t>
      </w:r>
    </w:p>
    <w:p>
      <w:pPr>
        <w:spacing w:after="0" w:line="14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b w:val="1"/>
          <w:bCs w:val="1"/>
          <w:color w:val="auto"/>
        </w:rPr>
        <w:t>CPT Limited Partner, LLC</w:t>
      </w:r>
    </w:p>
    <w:p>
      <w:pPr>
        <w:spacing w:after="0" w:line="18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By: /s/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3606165</wp:posOffset>
            </wp:positionH>
            <wp:positionV relativeFrom="paragraph">
              <wp:posOffset>15875</wp:posOffset>
            </wp:positionV>
            <wp:extent cx="2037080" cy="69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0">
                      <a:extLst>
                        <a:ext uri="{28A0092B-C50C-407E-A947-70E740481C1C}"/>
                      </a:extLst>
                    </a:blip>
                    <a:srcRect/>
                    <a:stretch>
                      <a:fillRect/>
                    </a:stretch>
                  </pic:blipFill>
                  <pic:spPr bwMode="auto">
                    <a:xfrm>
                      <a:off x="0" y="0"/>
                      <a:ext cx="2037080" cy="6985"/>
                    </a:xfrm>
                    <a:prstGeom prst="rect">
                      <a:avLst/>
                    </a:prstGeom>
                    <a:noFill/>
                  </pic:spPr>
                </pic:pic>
              </a:graphicData>
            </a:graphic>
          </wp:anchor>
        </w:drawing>
      </w:r>
    </w:p>
    <w:p>
      <w:pPr>
        <w:spacing w:after="0" w:line="1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Name:  Shayn P. March</w:t>
      </w:r>
    </w:p>
    <w:p>
      <w:pPr>
        <w:spacing w:after="0" w:line="2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Title:    Vice President and Treasurer</w:t>
      </w:r>
    </w:p>
    <w:p>
      <w:pPr>
        <w:spacing w:after="0" w:line="167" w:lineRule="exact"/>
        <w:rPr>
          <w:sz w:val="20"/>
          <w:szCs w:val="20"/>
          <w:color w:val="auto"/>
        </w:rPr>
      </w:pPr>
    </w:p>
    <w:p>
      <w:pPr>
        <w:ind w:left="120" w:right="159" w:firstLine="350"/>
        <w:spacing w:after="0" w:line="261" w:lineRule="auto"/>
        <w:rPr>
          <w:sz w:val="20"/>
          <w:szCs w:val="20"/>
          <w:color w:val="auto"/>
        </w:rPr>
      </w:pPr>
      <w:r>
        <w:rPr>
          <w:rFonts w:ascii="Times New Roman" w:cs="Times New Roman" w:eastAsia="Times New Roman" w:hAnsi="Times New Roman"/>
          <w:sz w:val="14"/>
          <w:szCs w:val="14"/>
          <w:b w:val="1"/>
          <w:bCs w:val="1"/>
          <w:color w:val="auto"/>
        </w:rPr>
        <w:t>KNOWN ALL MEN BY THESE PRESENTS</w:t>
      </w:r>
      <w:r>
        <w:rPr>
          <w:rFonts w:ascii="Times New Roman" w:cs="Times New Roman" w:eastAsia="Times New Roman" w:hAnsi="Times New Roman"/>
          <w:sz w:val="14"/>
          <w:szCs w:val="14"/>
          <w:color w:val="auto"/>
        </w:rPr>
        <w:t>, that each person whose signature appears below hereby constitutes and appoints Shayn P.</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March, Vice President and Treasurer, and Scott A. Schipma, Vice President and Secretary, and each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146" w:lineRule="exact"/>
        <w:rPr>
          <w:sz w:val="20"/>
          <w:szCs w:val="20"/>
          <w:color w:val="auto"/>
        </w:rPr>
      </w:pPr>
    </w:p>
    <w:p>
      <w:pPr>
        <w:ind w:left="120" w:right="239" w:firstLine="350"/>
        <w:spacing w:after="0" w:line="292"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and on the date indicated.</w:t>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254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00" w:type="dxa"/>
            <w:vAlign w:val="bottom"/>
          </w:tcPr>
          <w:p>
            <w:pPr>
              <w:spacing w:after="0"/>
              <w:rPr>
                <w:sz w:val="12"/>
                <w:szCs w:val="12"/>
                <w:color w:val="auto"/>
              </w:rPr>
            </w:pPr>
          </w:p>
        </w:tc>
        <w:tc>
          <w:tcPr>
            <w:tcW w:w="446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60" w:type="dxa"/>
            <w:vAlign w:val="bottom"/>
          </w:tcPr>
          <w:p>
            <w:pPr>
              <w:spacing w:after="0"/>
              <w:rPr>
                <w:sz w:val="12"/>
                <w:szCs w:val="12"/>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Date</w:t>
            </w:r>
          </w:p>
        </w:tc>
      </w:tr>
      <w:tr>
        <w:trPr>
          <w:trHeight w:val="322"/>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George C. Zoley</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Chairman and Chief Executive Officer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George C. Zoley</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480" w:type="dxa"/>
            <w:vAlign w:val="bottom"/>
          </w:tcPr>
          <w:p>
            <w:pPr>
              <w:spacing w:after="0"/>
              <w:rPr>
                <w:sz w:val="15"/>
                <w:szCs w:val="15"/>
                <w:color w:val="auto"/>
              </w:rPr>
            </w:pPr>
          </w:p>
        </w:tc>
      </w:tr>
      <w:tr>
        <w:trPr>
          <w:trHeight w:val="339"/>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and Treasurer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Financial and Accounting Officer)</w:t>
            </w:r>
          </w:p>
        </w:tc>
        <w:tc>
          <w:tcPr>
            <w:tcW w:w="1480" w:type="dxa"/>
            <w:vAlign w:val="bottom"/>
          </w:tcPr>
          <w:p>
            <w:pPr>
              <w:spacing w:after="0"/>
              <w:rPr>
                <w:sz w:val="15"/>
                <w:szCs w:val="15"/>
                <w:color w:val="auto"/>
              </w:rPr>
            </w:pPr>
          </w:p>
        </w:tc>
      </w:tr>
      <w:tr>
        <w:trPr>
          <w:trHeight w:val="339"/>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Treasurer and Director of GEO Acquisition II, Inc., the Sole</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Member and Manager of CPT Limited Partner, LLC</w:t>
            </w:r>
          </w:p>
        </w:tc>
        <w:tc>
          <w:tcPr>
            <w:tcW w:w="1480" w:type="dxa"/>
            <w:vAlign w:val="bottom"/>
          </w:tcPr>
          <w:p>
            <w:pPr>
              <w:spacing w:after="0"/>
              <w:rPr>
                <w:sz w:val="15"/>
                <w:szCs w:val="15"/>
                <w:color w:val="auto"/>
              </w:rPr>
            </w:pPr>
          </w:p>
        </w:tc>
      </w:tr>
      <w:tr>
        <w:trPr>
          <w:trHeight w:val="286"/>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20" w:type="dxa"/>
            <w:vAlign w:val="bottom"/>
            <w:gridSpan w:val="2"/>
          </w:tcPr>
          <w:p>
            <w:pPr>
              <w:ind w:left="1580"/>
              <w:spacing w:after="0"/>
              <w:rPr>
                <w:sz w:val="20"/>
                <w:szCs w:val="20"/>
                <w:color w:val="auto"/>
              </w:rPr>
            </w:pPr>
            <w:r>
              <w:rPr>
                <w:rFonts w:ascii="Times New Roman" w:cs="Times New Roman" w:eastAsia="Times New Roman" w:hAnsi="Times New Roman"/>
                <w:sz w:val="14"/>
                <w:szCs w:val="14"/>
                <w:color w:val="auto"/>
              </w:rPr>
              <w:t>II-55</w:t>
            </w:r>
          </w:p>
        </w:tc>
        <w:tc>
          <w:tcPr>
            <w:tcW w:w="1480" w:type="dxa"/>
            <w:vAlign w:val="bottom"/>
          </w:tcPr>
          <w:p>
            <w:pPr>
              <w:spacing w:after="0"/>
              <w:rPr>
                <w:sz w:val="24"/>
                <w:szCs w:val="24"/>
                <w:color w:val="auto"/>
              </w:rPr>
            </w:pPr>
          </w:p>
        </w:tc>
      </w:tr>
    </w:tbl>
    <w:p>
      <w:pPr>
        <w:sectPr>
          <w:pgSz w:w="11900" w:h="16838" w:orient="portrait"/>
          <w:cols w:equalWidth="0" w:num="1">
            <w:col w:w="9019"/>
          </w:cols>
          <w:pgMar w:left="1440" w:top="243" w:right="1440" w:bottom="1440" w:gutter="0" w:footer="0" w:header="0"/>
        </w:sectPr>
      </w:pPr>
    </w:p>
    <w:bookmarkStart w:id="86" w:name="page87"/>
    <w:bookmarkEnd w:id="86"/>
    <w:p>
      <w:pPr>
        <w:ind w:left="120" w:right="179" w:firstLine="350"/>
        <w:spacing w:after="0" w:line="29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1">
                      <a:extLst>
                        <a:ext uri="{28A0092B-C50C-407E-A947-70E740481C1C}"/>
                      </a:extLst>
                    </a:blip>
                    <a:srcRect/>
                    <a:stretch>
                      <a:fillRect/>
                    </a:stretch>
                  </pic:blipFill>
                  <pic:spPr bwMode="auto">
                    <a:xfrm>
                      <a:off x="0" y="0"/>
                      <a:ext cx="7199630" cy="33020"/>
                    </a:xfrm>
                    <a:prstGeom prst="rect">
                      <a:avLst/>
                    </a:prstGeom>
                    <a:noFill/>
                  </pic:spPr>
                </pic:pic>
              </a:graphicData>
            </a:graphic>
          </wp:anchor>
        </w:drawing>
        <w:t>Pursuant to the requirements of the Securities Act of 1933, the undersigned Registrant has duly caused this Registration Statement to be signed on its behalf by the undersigned, thereunto duly authorized, in the City of Boca Raton, State of Florida, on the 30th day of October, 2026.</w:t>
      </w:r>
    </w:p>
    <w:p>
      <w:pPr>
        <w:spacing w:after="0" w:line="14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b w:val="1"/>
          <w:bCs w:val="1"/>
          <w:color w:val="auto"/>
        </w:rPr>
        <w:t>CPT Operating Partnership L.P.</w:t>
      </w:r>
    </w:p>
    <w:p>
      <w:pPr>
        <w:spacing w:after="0" w:line="18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By: /s/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3606165</wp:posOffset>
            </wp:positionH>
            <wp:positionV relativeFrom="paragraph">
              <wp:posOffset>15875</wp:posOffset>
            </wp:positionV>
            <wp:extent cx="2037080" cy="69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2">
                      <a:extLst>
                        <a:ext uri="{28A0092B-C50C-407E-A947-70E740481C1C}"/>
                      </a:extLst>
                    </a:blip>
                    <a:srcRect/>
                    <a:stretch>
                      <a:fillRect/>
                    </a:stretch>
                  </pic:blipFill>
                  <pic:spPr bwMode="auto">
                    <a:xfrm>
                      <a:off x="0" y="0"/>
                      <a:ext cx="2037080" cy="6985"/>
                    </a:xfrm>
                    <a:prstGeom prst="rect">
                      <a:avLst/>
                    </a:prstGeom>
                    <a:noFill/>
                  </pic:spPr>
                </pic:pic>
              </a:graphicData>
            </a:graphic>
          </wp:anchor>
        </w:drawing>
      </w:r>
    </w:p>
    <w:p>
      <w:pPr>
        <w:spacing w:after="0" w:line="1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Name:  Shayn P. March</w:t>
      </w:r>
    </w:p>
    <w:p>
      <w:pPr>
        <w:spacing w:after="0" w:line="2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Title:    Vice President and Treasurer</w:t>
      </w:r>
    </w:p>
    <w:p>
      <w:pPr>
        <w:spacing w:after="0" w:line="167" w:lineRule="exact"/>
        <w:rPr>
          <w:sz w:val="20"/>
          <w:szCs w:val="20"/>
          <w:color w:val="auto"/>
        </w:rPr>
      </w:pPr>
    </w:p>
    <w:p>
      <w:pPr>
        <w:ind w:left="120" w:right="159" w:firstLine="350"/>
        <w:spacing w:after="0" w:line="261" w:lineRule="auto"/>
        <w:rPr>
          <w:sz w:val="20"/>
          <w:szCs w:val="20"/>
          <w:color w:val="auto"/>
        </w:rPr>
      </w:pPr>
      <w:r>
        <w:rPr>
          <w:rFonts w:ascii="Times New Roman" w:cs="Times New Roman" w:eastAsia="Times New Roman" w:hAnsi="Times New Roman"/>
          <w:sz w:val="14"/>
          <w:szCs w:val="14"/>
          <w:b w:val="1"/>
          <w:bCs w:val="1"/>
          <w:color w:val="auto"/>
        </w:rPr>
        <w:t>KNOWN ALL MEN BY THESE PRESENTS</w:t>
      </w:r>
      <w:r>
        <w:rPr>
          <w:rFonts w:ascii="Times New Roman" w:cs="Times New Roman" w:eastAsia="Times New Roman" w:hAnsi="Times New Roman"/>
          <w:sz w:val="14"/>
          <w:szCs w:val="14"/>
          <w:color w:val="auto"/>
        </w:rPr>
        <w:t>, that each person whose signature appears below hereby constitutes and appoints Shayn P.</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March, Vice President and Treasurer, and Scott A. Schipma, Vice President and Secretary, and each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146" w:lineRule="exact"/>
        <w:rPr>
          <w:sz w:val="20"/>
          <w:szCs w:val="20"/>
          <w:color w:val="auto"/>
        </w:rPr>
      </w:pPr>
    </w:p>
    <w:p>
      <w:pPr>
        <w:ind w:left="120" w:right="239" w:firstLine="350"/>
        <w:spacing w:after="0" w:line="292"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and on the date indicated.</w:t>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254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00" w:type="dxa"/>
            <w:vAlign w:val="bottom"/>
          </w:tcPr>
          <w:p>
            <w:pPr>
              <w:spacing w:after="0"/>
              <w:rPr>
                <w:sz w:val="12"/>
                <w:szCs w:val="12"/>
                <w:color w:val="auto"/>
              </w:rPr>
            </w:pPr>
          </w:p>
        </w:tc>
        <w:tc>
          <w:tcPr>
            <w:tcW w:w="446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60" w:type="dxa"/>
            <w:vAlign w:val="bottom"/>
          </w:tcPr>
          <w:p>
            <w:pPr>
              <w:spacing w:after="0"/>
              <w:rPr>
                <w:sz w:val="12"/>
                <w:szCs w:val="12"/>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Date</w:t>
            </w:r>
          </w:p>
        </w:tc>
      </w:tr>
      <w:tr>
        <w:trPr>
          <w:trHeight w:val="322"/>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George C. Zoley</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Chairman and Chief Executive Officer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George C. Zoley</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480" w:type="dxa"/>
            <w:vAlign w:val="bottom"/>
          </w:tcPr>
          <w:p>
            <w:pPr>
              <w:spacing w:after="0"/>
              <w:rPr>
                <w:sz w:val="15"/>
                <w:szCs w:val="15"/>
                <w:color w:val="auto"/>
              </w:rPr>
            </w:pPr>
          </w:p>
        </w:tc>
      </w:tr>
      <w:tr>
        <w:trPr>
          <w:trHeight w:val="339"/>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and Treasurer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Financial and Accounting Officer)</w:t>
            </w:r>
          </w:p>
        </w:tc>
        <w:tc>
          <w:tcPr>
            <w:tcW w:w="1480" w:type="dxa"/>
            <w:vAlign w:val="bottom"/>
          </w:tcPr>
          <w:p>
            <w:pPr>
              <w:spacing w:after="0"/>
              <w:rPr>
                <w:sz w:val="15"/>
                <w:szCs w:val="15"/>
                <w:color w:val="auto"/>
              </w:rPr>
            </w:pPr>
          </w:p>
        </w:tc>
      </w:tr>
      <w:tr>
        <w:trPr>
          <w:trHeight w:val="339"/>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Treasurer and Director of GEO Acquisition II, Inc., the Sole</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General Partner of CPT Operating Partnership L.P.</w:t>
            </w:r>
          </w:p>
        </w:tc>
        <w:tc>
          <w:tcPr>
            <w:tcW w:w="1480" w:type="dxa"/>
            <w:vAlign w:val="bottom"/>
          </w:tcPr>
          <w:p>
            <w:pPr>
              <w:spacing w:after="0"/>
              <w:rPr>
                <w:sz w:val="15"/>
                <w:szCs w:val="15"/>
                <w:color w:val="auto"/>
              </w:rPr>
            </w:pPr>
          </w:p>
        </w:tc>
      </w:tr>
      <w:tr>
        <w:trPr>
          <w:trHeight w:val="286"/>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20" w:type="dxa"/>
            <w:vAlign w:val="bottom"/>
            <w:gridSpan w:val="2"/>
          </w:tcPr>
          <w:p>
            <w:pPr>
              <w:ind w:left="1580"/>
              <w:spacing w:after="0"/>
              <w:rPr>
                <w:sz w:val="20"/>
                <w:szCs w:val="20"/>
                <w:color w:val="auto"/>
              </w:rPr>
            </w:pPr>
            <w:r>
              <w:rPr>
                <w:rFonts w:ascii="Times New Roman" w:cs="Times New Roman" w:eastAsia="Times New Roman" w:hAnsi="Times New Roman"/>
                <w:sz w:val="14"/>
                <w:szCs w:val="14"/>
                <w:color w:val="auto"/>
              </w:rPr>
              <w:t>II-56</w:t>
            </w:r>
          </w:p>
        </w:tc>
        <w:tc>
          <w:tcPr>
            <w:tcW w:w="1480" w:type="dxa"/>
            <w:vAlign w:val="bottom"/>
          </w:tcPr>
          <w:p>
            <w:pPr>
              <w:spacing w:after="0"/>
              <w:rPr>
                <w:sz w:val="24"/>
                <w:szCs w:val="24"/>
                <w:color w:val="auto"/>
              </w:rPr>
            </w:pPr>
          </w:p>
        </w:tc>
      </w:tr>
    </w:tbl>
    <w:p>
      <w:pPr>
        <w:sectPr>
          <w:pgSz w:w="11900" w:h="16838" w:orient="portrait"/>
          <w:cols w:equalWidth="0" w:num="1">
            <w:col w:w="9019"/>
          </w:cols>
          <w:pgMar w:left="1440" w:top="243" w:right="1440" w:bottom="1440" w:gutter="0" w:footer="0" w:header="0"/>
        </w:sectPr>
      </w:pPr>
    </w:p>
    <w:bookmarkStart w:id="87" w:name="page88"/>
    <w:bookmarkEnd w:id="87"/>
    <w:p>
      <w:pPr>
        <w:ind w:left="120" w:right="179" w:firstLine="350"/>
        <w:spacing w:after="0" w:line="29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3">
                      <a:extLst>
                        <a:ext uri="{28A0092B-C50C-407E-A947-70E740481C1C}"/>
                      </a:extLst>
                    </a:blip>
                    <a:srcRect/>
                    <a:stretch>
                      <a:fillRect/>
                    </a:stretch>
                  </pic:blipFill>
                  <pic:spPr bwMode="auto">
                    <a:xfrm>
                      <a:off x="0" y="0"/>
                      <a:ext cx="7199630" cy="33020"/>
                    </a:xfrm>
                    <a:prstGeom prst="rect">
                      <a:avLst/>
                    </a:prstGeom>
                    <a:noFill/>
                  </pic:spPr>
                </pic:pic>
              </a:graphicData>
            </a:graphic>
          </wp:anchor>
        </w:drawing>
        <w:t>Pursuant to the requirements of the Securities Act of 1933, the undersigned Registrant has duly caused this Registration Statement to be signed on its behalf by the undersigned, thereunto duly authorized, in the City of Boca Raton, State of Florida, on the 30th day of October, 2026.</w:t>
      </w:r>
    </w:p>
    <w:p>
      <w:pPr>
        <w:spacing w:after="0" w:line="14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b w:val="1"/>
          <w:bCs w:val="1"/>
          <w:color w:val="auto"/>
        </w:rPr>
        <w:t>Fenton Security, LLC</w:t>
      </w:r>
    </w:p>
    <w:p>
      <w:pPr>
        <w:spacing w:after="0" w:line="18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By: /s/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3606165</wp:posOffset>
            </wp:positionH>
            <wp:positionV relativeFrom="paragraph">
              <wp:posOffset>15875</wp:posOffset>
            </wp:positionV>
            <wp:extent cx="2037080" cy="69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4">
                      <a:extLst>
                        <a:ext uri="{28A0092B-C50C-407E-A947-70E740481C1C}"/>
                      </a:extLst>
                    </a:blip>
                    <a:srcRect/>
                    <a:stretch>
                      <a:fillRect/>
                    </a:stretch>
                  </pic:blipFill>
                  <pic:spPr bwMode="auto">
                    <a:xfrm>
                      <a:off x="0" y="0"/>
                      <a:ext cx="2037080" cy="6985"/>
                    </a:xfrm>
                    <a:prstGeom prst="rect">
                      <a:avLst/>
                    </a:prstGeom>
                    <a:noFill/>
                  </pic:spPr>
                </pic:pic>
              </a:graphicData>
            </a:graphic>
          </wp:anchor>
        </w:drawing>
      </w:r>
    </w:p>
    <w:p>
      <w:pPr>
        <w:spacing w:after="0" w:line="1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Name:  Shayn P. March</w:t>
      </w:r>
    </w:p>
    <w:p>
      <w:pPr>
        <w:spacing w:after="0" w:line="2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Title:    Vice President, Chief Financial Officer,</w:t>
      </w:r>
    </w:p>
    <w:p>
      <w:pPr>
        <w:spacing w:after="0" w:line="1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4"/>
          <w:szCs w:val="14"/>
          <w:color w:val="auto"/>
        </w:rPr>
        <w:t>Treasurer and Manager</w:t>
      </w:r>
    </w:p>
    <w:p>
      <w:pPr>
        <w:spacing w:after="0" w:line="167" w:lineRule="exact"/>
        <w:rPr>
          <w:sz w:val="20"/>
          <w:szCs w:val="20"/>
          <w:color w:val="auto"/>
        </w:rPr>
      </w:pPr>
    </w:p>
    <w:p>
      <w:pPr>
        <w:ind w:left="120" w:right="239" w:firstLine="350"/>
        <w:spacing w:after="0" w:line="261" w:lineRule="auto"/>
        <w:rPr>
          <w:sz w:val="20"/>
          <w:szCs w:val="20"/>
          <w:color w:val="auto"/>
        </w:rPr>
      </w:pPr>
      <w:r>
        <w:rPr>
          <w:rFonts w:ascii="Times New Roman" w:cs="Times New Roman" w:eastAsia="Times New Roman" w:hAnsi="Times New Roman"/>
          <w:sz w:val="14"/>
          <w:szCs w:val="14"/>
          <w:b w:val="1"/>
          <w:bCs w:val="1"/>
          <w:color w:val="auto"/>
        </w:rPr>
        <w:t>KNOWN ALL MEN BY THESE PRESENTS</w:t>
      </w:r>
      <w:r>
        <w:rPr>
          <w:rFonts w:ascii="Times New Roman" w:cs="Times New Roman" w:eastAsia="Times New Roman" w:hAnsi="Times New Roman"/>
          <w:sz w:val="14"/>
          <w:szCs w:val="14"/>
          <w:color w:val="auto"/>
        </w:rPr>
        <w:t>, that each person whose signature appears below hereby constitutes and appoints Shayn P.</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March, Vice President, Chief Financial Officer and Treasurer, and Scott A. Schipma, Vice President and Secretary, and each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146" w:lineRule="exact"/>
        <w:rPr>
          <w:sz w:val="20"/>
          <w:szCs w:val="20"/>
          <w:color w:val="auto"/>
        </w:rPr>
      </w:pPr>
    </w:p>
    <w:p>
      <w:pPr>
        <w:ind w:left="120" w:right="239" w:firstLine="350"/>
        <w:spacing w:after="0" w:line="292"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and on the date indicated.</w:t>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254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00" w:type="dxa"/>
            <w:vAlign w:val="bottom"/>
          </w:tcPr>
          <w:p>
            <w:pPr>
              <w:spacing w:after="0"/>
              <w:rPr>
                <w:sz w:val="12"/>
                <w:szCs w:val="12"/>
                <w:color w:val="auto"/>
              </w:rPr>
            </w:pPr>
          </w:p>
        </w:tc>
        <w:tc>
          <w:tcPr>
            <w:tcW w:w="446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60" w:type="dxa"/>
            <w:vAlign w:val="bottom"/>
          </w:tcPr>
          <w:p>
            <w:pPr>
              <w:spacing w:after="0"/>
              <w:rPr>
                <w:sz w:val="12"/>
                <w:szCs w:val="12"/>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Date</w:t>
            </w:r>
          </w:p>
        </w:tc>
      </w:tr>
      <w:tr>
        <w:trPr>
          <w:trHeight w:val="322"/>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George C. Zoley</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Chairman, Chief Executive Officer and Manager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George C. Zoley</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480" w:type="dxa"/>
            <w:vAlign w:val="bottom"/>
          </w:tcPr>
          <w:p>
            <w:pPr>
              <w:spacing w:after="0"/>
              <w:rPr>
                <w:sz w:val="15"/>
                <w:szCs w:val="15"/>
                <w:color w:val="auto"/>
              </w:rPr>
            </w:pPr>
          </w:p>
        </w:tc>
      </w:tr>
      <w:tr>
        <w:trPr>
          <w:trHeight w:val="339"/>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Chief Financial Officer, Treasurer and Manager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Financial and Accounting Officer)</w:t>
            </w:r>
          </w:p>
        </w:tc>
        <w:tc>
          <w:tcPr>
            <w:tcW w:w="1480" w:type="dxa"/>
            <w:vAlign w:val="bottom"/>
          </w:tcPr>
          <w:p>
            <w:pPr>
              <w:spacing w:after="0"/>
              <w:rPr>
                <w:sz w:val="15"/>
                <w:szCs w:val="15"/>
                <w:color w:val="auto"/>
              </w:rPr>
            </w:pPr>
          </w:p>
        </w:tc>
      </w:tr>
      <w:tr>
        <w:trPr>
          <w:trHeight w:val="340"/>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Scott A. Schipma</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Secretary and Manager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Scott A. Schipma</w:t>
            </w:r>
          </w:p>
        </w:tc>
        <w:tc>
          <w:tcPr>
            <w:tcW w:w="10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39"/>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Chief Financial Officer, Treasurer and Director of</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CiviGenics, Inc., the Sole Member of Fenton Security, LLC</w:t>
            </w:r>
          </w:p>
        </w:tc>
        <w:tc>
          <w:tcPr>
            <w:tcW w:w="1480" w:type="dxa"/>
            <w:vAlign w:val="bottom"/>
          </w:tcPr>
          <w:p>
            <w:pPr>
              <w:spacing w:after="0"/>
              <w:rPr>
                <w:sz w:val="15"/>
                <w:szCs w:val="15"/>
                <w:color w:val="auto"/>
              </w:rPr>
            </w:pPr>
          </w:p>
        </w:tc>
      </w:tr>
      <w:tr>
        <w:trPr>
          <w:trHeight w:val="286"/>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20" w:type="dxa"/>
            <w:vAlign w:val="bottom"/>
            <w:gridSpan w:val="2"/>
          </w:tcPr>
          <w:p>
            <w:pPr>
              <w:ind w:left="1580"/>
              <w:spacing w:after="0"/>
              <w:rPr>
                <w:sz w:val="20"/>
                <w:szCs w:val="20"/>
                <w:color w:val="auto"/>
              </w:rPr>
            </w:pPr>
            <w:r>
              <w:rPr>
                <w:rFonts w:ascii="Times New Roman" w:cs="Times New Roman" w:eastAsia="Times New Roman" w:hAnsi="Times New Roman"/>
                <w:sz w:val="14"/>
                <w:szCs w:val="14"/>
                <w:color w:val="auto"/>
              </w:rPr>
              <w:t>II-57</w:t>
            </w:r>
          </w:p>
        </w:tc>
        <w:tc>
          <w:tcPr>
            <w:tcW w:w="1480" w:type="dxa"/>
            <w:vAlign w:val="bottom"/>
          </w:tcPr>
          <w:p>
            <w:pPr>
              <w:spacing w:after="0"/>
              <w:rPr>
                <w:sz w:val="24"/>
                <w:szCs w:val="24"/>
                <w:color w:val="auto"/>
              </w:rPr>
            </w:pPr>
          </w:p>
        </w:tc>
      </w:tr>
    </w:tbl>
    <w:p>
      <w:pPr>
        <w:sectPr>
          <w:pgSz w:w="11900" w:h="16838" w:orient="portrait"/>
          <w:cols w:equalWidth="0" w:num="1">
            <w:col w:w="9019"/>
          </w:cols>
          <w:pgMar w:left="1440" w:top="243" w:right="1440" w:bottom="1440" w:gutter="0" w:footer="0" w:header="0"/>
        </w:sectPr>
      </w:pPr>
    </w:p>
    <w:bookmarkStart w:id="88" w:name="page89"/>
    <w:bookmarkEnd w:id="88"/>
    <w:p>
      <w:pPr>
        <w:ind w:left="120" w:right="179" w:firstLine="350"/>
        <w:spacing w:after="0" w:line="29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5">
                      <a:extLst>
                        <a:ext uri="{28A0092B-C50C-407E-A947-70E740481C1C}"/>
                      </a:extLst>
                    </a:blip>
                    <a:srcRect/>
                    <a:stretch>
                      <a:fillRect/>
                    </a:stretch>
                  </pic:blipFill>
                  <pic:spPr bwMode="auto">
                    <a:xfrm>
                      <a:off x="0" y="0"/>
                      <a:ext cx="7199630" cy="33020"/>
                    </a:xfrm>
                    <a:prstGeom prst="rect">
                      <a:avLst/>
                    </a:prstGeom>
                    <a:noFill/>
                  </pic:spPr>
                </pic:pic>
              </a:graphicData>
            </a:graphic>
          </wp:anchor>
        </w:drawing>
        <w:t>Pursuant to the requirements of the Securities Act of 1933, the undersigned Registrant has duly caused this Registration Statement to be signed on its behalf by the undersigned, thereunto duly authorized, in the City of Boca Raton, State of Florida, on the 30th day of October, 2026.</w:t>
      </w:r>
    </w:p>
    <w:p>
      <w:pPr>
        <w:spacing w:after="0" w:line="14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b w:val="1"/>
          <w:bCs w:val="1"/>
          <w:color w:val="auto"/>
        </w:rPr>
        <w:t>GEO Acquisition II, Inc.</w:t>
      </w:r>
    </w:p>
    <w:p>
      <w:pPr>
        <w:spacing w:after="0" w:line="18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By: /s/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3606165</wp:posOffset>
            </wp:positionH>
            <wp:positionV relativeFrom="paragraph">
              <wp:posOffset>15875</wp:posOffset>
            </wp:positionV>
            <wp:extent cx="2037080" cy="69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6">
                      <a:extLst>
                        <a:ext uri="{28A0092B-C50C-407E-A947-70E740481C1C}"/>
                      </a:extLst>
                    </a:blip>
                    <a:srcRect/>
                    <a:stretch>
                      <a:fillRect/>
                    </a:stretch>
                  </pic:blipFill>
                  <pic:spPr bwMode="auto">
                    <a:xfrm>
                      <a:off x="0" y="0"/>
                      <a:ext cx="2037080" cy="6985"/>
                    </a:xfrm>
                    <a:prstGeom prst="rect">
                      <a:avLst/>
                    </a:prstGeom>
                    <a:noFill/>
                  </pic:spPr>
                </pic:pic>
              </a:graphicData>
            </a:graphic>
          </wp:anchor>
        </w:drawing>
      </w:r>
    </w:p>
    <w:p>
      <w:pPr>
        <w:spacing w:after="0" w:line="1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Name:  Shayn P. March</w:t>
      </w:r>
    </w:p>
    <w:p>
      <w:pPr>
        <w:spacing w:after="0" w:line="2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Title:    Vice President, Treasurer and Director</w:t>
      </w:r>
    </w:p>
    <w:p>
      <w:pPr>
        <w:spacing w:after="0" w:line="167" w:lineRule="exact"/>
        <w:rPr>
          <w:sz w:val="20"/>
          <w:szCs w:val="20"/>
          <w:color w:val="auto"/>
        </w:rPr>
      </w:pPr>
    </w:p>
    <w:p>
      <w:pPr>
        <w:ind w:left="120" w:right="159" w:firstLine="350"/>
        <w:spacing w:after="0" w:line="261" w:lineRule="auto"/>
        <w:rPr>
          <w:sz w:val="20"/>
          <w:szCs w:val="20"/>
          <w:color w:val="auto"/>
        </w:rPr>
      </w:pPr>
      <w:r>
        <w:rPr>
          <w:rFonts w:ascii="Times New Roman" w:cs="Times New Roman" w:eastAsia="Times New Roman" w:hAnsi="Times New Roman"/>
          <w:sz w:val="14"/>
          <w:szCs w:val="14"/>
          <w:b w:val="1"/>
          <w:bCs w:val="1"/>
          <w:color w:val="auto"/>
        </w:rPr>
        <w:t>KNOWN ALL MEN BY THESE PRESENTS</w:t>
      </w:r>
      <w:r>
        <w:rPr>
          <w:rFonts w:ascii="Times New Roman" w:cs="Times New Roman" w:eastAsia="Times New Roman" w:hAnsi="Times New Roman"/>
          <w:sz w:val="14"/>
          <w:szCs w:val="14"/>
          <w:color w:val="auto"/>
        </w:rPr>
        <w:t>, that each person whose signature appears below hereby constitutes and appoints Shayn P.</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March, Vice President and Treasurer, and Scott A. Schipma, Vice President and Secretary, and each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146" w:lineRule="exact"/>
        <w:rPr>
          <w:sz w:val="20"/>
          <w:szCs w:val="20"/>
          <w:color w:val="auto"/>
        </w:rPr>
      </w:pPr>
    </w:p>
    <w:p>
      <w:pPr>
        <w:ind w:left="120" w:right="239" w:firstLine="350"/>
        <w:spacing w:after="0" w:line="292"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and on the date indicated.</w:t>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254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00" w:type="dxa"/>
            <w:vAlign w:val="bottom"/>
          </w:tcPr>
          <w:p>
            <w:pPr>
              <w:spacing w:after="0"/>
              <w:rPr>
                <w:sz w:val="12"/>
                <w:szCs w:val="12"/>
                <w:color w:val="auto"/>
              </w:rPr>
            </w:pPr>
          </w:p>
        </w:tc>
        <w:tc>
          <w:tcPr>
            <w:tcW w:w="446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60" w:type="dxa"/>
            <w:vAlign w:val="bottom"/>
          </w:tcPr>
          <w:p>
            <w:pPr>
              <w:spacing w:after="0"/>
              <w:rPr>
                <w:sz w:val="12"/>
                <w:szCs w:val="12"/>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Date</w:t>
            </w:r>
          </w:p>
        </w:tc>
      </w:tr>
      <w:tr>
        <w:trPr>
          <w:trHeight w:val="322"/>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George C. Zoley</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Chairman, Chief Executive Officer and 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George C. Zoley</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480" w:type="dxa"/>
            <w:vAlign w:val="bottom"/>
          </w:tcPr>
          <w:p>
            <w:pPr>
              <w:spacing w:after="0"/>
              <w:rPr>
                <w:sz w:val="15"/>
                <w:szCs w:val="15"/>
                <w:color w:val="auto"/>
              </w:rPr>
            </w:pPr>
          </w:p>
        </w:tc>
      </w:tr>
      <w:tr>
        <w:trPr>
          <w:trHeight w:val="339"/>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Treasurer and 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Financial and Accounting Officer)</w:t>
            </w:r>
          </w:p>
        </w:tc>
        <w:tc>
          <w:tcPr>
            <w:tcW w:w="1480" w:type="dxa"/>
            <w:vAlign w:val="bottom"/>
          </w:tcPr>
          <w:p>
            <w:pPr>
              <w:spacing w:after="0"/>
              <w:rPr>
                <w:sz w:val="15"/>
                <w:szCs w:val="15"/>
                <w:color w:val="auto"/>
              </w:rPr>
            </w:pPr>
          </w:p>
        </w:tc>
      </w:tr>
      <w:tr>
        <w:trPr>
          <w:trHeight w:val="340"/>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Scott A. Schipma</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Secretary and 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Scott A. Schipma</w:t>
            </w:r>
          </w:p>
        </w:tc>
        <w:tc>
          <w:tcPr>
            <w:tcW w:w="10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86"/>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20" w:type="dxa"/>
            <w:vAlign w:val="bottom"/>
            <w:gridSpan w:val="2"/>
          </w:tcPr>
          <w:p>
            <w:pPr>
              <w:ind w:left="1580"/>
              <w:spacing w:after="0"/>
              <w:rPr>
                <w:sz w:val="20"/>
                <w:szCs w:val="20"/>
                <w:color w:val="auto"/>
              </w:rPr>
            </w:pPr>
            <w:r>
              <w:rPr>
                <w:rFonts w:ascii="Times New Roman" w:cs="Times New Roman" w:eastAsia="Times New Roman" w:hAnsi="Times New Roman"/>
                <w:sz w:val="14"/>
                <w:szCs w:val="14"/>
                <w:color w:val="auto"/>
              </w:rPr>
              <w:t>II-58</w:t>
            </w:r>
          </w:p>
        </w:tc>
        <w:tc>
          <w:tcPr>
            <w:tcW w:w="1480" w:type="dxa"/>
            <w:vAlign w:val="bottom"/>
          </w:tcPr>
          <w:p>
            <w:pPr>
              <w:spacing w:after="0"/>
              <w:rPr>
                <w:sz w:val="24"/>
                <w:szCs w:val="24"/>
                <w:color w:val="auto"/>
              </w:rPr>
            </w:pPr>
          </w:p>
        </w:tc>
      </w:tr>
    </w:tbl>
    <w:p>
      <w:pPr>
        <w:sectPr>
          <w:pgSz w:w="11900" w:h="16838" w:orient="portrait"/>
          <w:cols w:equalWidth="0" w:num="1">
            <w:col w:w="9019"/>
          </w:cols>
          <w:pgMar w:left="1440" w:top="243" w:right="1440" w:bottom="1440" w:gutter="0" w:footer="0" w:header="0"/>
        </w:sectPr>
      </w:pPr>
    </w:p>
    <w:bookmarkStart w:id="89" w:name="page90"/>
    <w:bookmarkEnd w:id="89"/>
    <w:p>
      <w:pPr>
        <w:ind w:left="120" w:right="179" w:firstLine="350"/>
        <w:spacing w:after="0" w:line="29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7">
                      <a:extLst>
                        <a:ext uri="{28A0092B-C50C-407E-A947-70E740481C1C}"/>
                      </a:extLst>
                    </a:blip>
                    <a:srcRect/>
                    <a:stretch>
                      <a:fillRect/>
                    </a:stretch>
                  </pic:blipFill>
                  <pic:spPr bwMode="auto">
                    <a:xfrm>
                      <a:off x="0" y="0"/>
                      <a:ext cx="7199630" cy="33020"/>
                    </a:xfrm>
                    <a:prstGeom prst="rect">
                      <a:avLst/>
                    </a:prstGeom>
                    <a:noFill/>
                  </pic:spPr>
                </pic:pic>
              </a:graphicData>
            </a:graphic>
          </wp:anchor>
        </w:drawing>
        <w:t>Pursuant to the requirements of the Securities Act of 1933, the undersigned Registrant has duly caused this Registration Statement to be signed on its behalf by the undersigned, thereunto duly authorized, in the City of Boca Raton, State of Florida, on the 30th day of October, 2026.</w:t>
      </w:r>
    </w:p>
    <w:p>
      <w:pPr>
        <w:spacing w:after="0" w:line="14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b w:val="1"/>
          <w:bCs w:val="1"/>
          <w:color w:val="auto"/>
        </w:rPr>
        <w:t>GEO Care, Inc.</w:t>
      </w:r>
    </w:p>
    <w:p>
      <w:pPr>
        <w:spacing w:after="0" w:line="18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By: /s/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3606165</wp:posOffset>
            </wp:positionH>
            <wp:positionV relativeFrom="paragraph">
              <wp:posOffset>15875</wp:posOffset>
            </wp:positionV>
            <wp:extent cx="2037080" cy="69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8">
                      <a:extLst>
                        <a:ext uri="{28A0092B-C50C-407E-A947-70E740481C1C}"/>
                      </a:extLst>
                    </a:blip>
                    <a:srcRect/>
                    <a:stretch>
                      <a:fillRect/>
                    </a:stretch>
                  </pic:blipFill>
                  <pic:spPr bwMode="auto">
                    <a:xfrm>
                      <a:off x="0" y="0"/>
                      <a:ext cx="2037080" cy="6985"/>
                    </a:xfrm>
                    <a:prstGeom prst="rect">
                      <a:avLst/>
                    </a:prstGeom>
                    <a:noFill/>
                  </pic:spPr>
                </pic:pic>
              </a:graphicData>
            </a:graphic>
          </wp:anchor>
        </w:drawing>
      </w:r>
    </w:p>
    <w:p>
      <w:pPr>
        <w:spacing w:after="0" w:line="1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Name:  Shayn P. March</w:t>
      </w:r>
    </w:p>
    <w:p>
      <w:pPr>
        <w:spacing w:after="0" w:line="2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Title:    Vice President, Chief Financial Officer,</w:t>
      </w:r>
    </w:p>
    <w:p>
      <w:pPr>
        <w:spacing w:after="0" w:line="1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4"/>
          <w:szCs w:val="14"/>
          <w:color w:val="auto"/>
        </w:rPr>
        <w:t>Treasurer and Director</w:t>
      </w:r>
    </w:p>
    <w:p>
      <w:pPr>
        <w:spacing w:after="0" w:line="167" w:lineRule="exact"/>
        <w:rPr>
          <w:sz w:val="20"/>
          <w:szCs w:val="20"/>
          <w:color w:val="auto"/>
        </w:rPr>
      </w:pPr>
    </w:p>
    <w:p>
      <w:pPr>
        <w:ind w:left="120" w:right="239" w:firstLine="350"/>
        <w:spacing w:after="0" w:line="261" w:lineRule="auto"/>
        <w:rPr>
          <w:sz w:val="20"/>
          <w:szCs w:val="20"/>
          <w:color w:val="auto"/>
        </w:rPr>
      </w:pPr>
      <w:r>
        <w:rPr>
          <w:rFonts w:ascii="Times New Roman" w:cs="Times New Roman" w:eastAsia="Times New Roman" w:hAnsi="Times New Roman"/>
          <w:sz w:val="14"/>
          <w:szCs w:val="14"/>
          <w:b w:val="1"/>
          <w:bCs w:val="1"/>
          <w:color w:val="auto"/>
        </w:rPr>
        <w:t>KNOWN ALL MEN BY THESE PRESENTS</w:t>
      </w:r>
      <w:r>
        <w:rPr>
          <w:rFonts w:ascii="Times New Roman" w:cs="Times New Roman" w:eastAsia="Times New Roman" w:hAnsi="Times New Roman"/>
          <w:sz w:val="14"/>
          <w:szCs w:val="14"/>
          <w:color w:val="auto"/>
        </w:rPr>
        <w:t>, that each person whose signature appears below hereby constitutes and appoints Shayn P.</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March, Vice President, Chief Financial Officer and Treasurer, and Scott A. Schipma, Vice President and Secretary, and each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146" w:lineRule="exact"/>
        <w:rPr>
          <w:sz w:val="20"/>
          <w:szCs w:val="20"/>
          <w:color w:val="auto"/>
        </w:rPr>
      </w:pPr>
    </w:p>
    <w:p>
      <w:pPr>
        <w:ind w:left="120" w:right="239" w:firstLine="350"/>
        <w:spacing w:after="0" w:line="292"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and on the date indicated.</w:t>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254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00" w:type="dxa"/>
            <w:vAlign w:val="bottom"/>
          </w:tcPr>
          <w:p>
            <w:pPr>
              <w:spacing w:after="0"/>
              <w:rPr>
                <w:sz w:val="12"/>
                <w:szCs w:val="12"/>
                <w:color w:val="auto"/>
              </w:rPr>
            </w:pPr>
          </w:p>
        </w:tc>
        <w:tc>
          <w:tcPr>
            <w:tcW w:w="446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60" w:type="dxa"/>
            <w:vAlign w:val="bottom"/>
          </w:tcPr>
          <w:p>
            <w:pPr>
              <w:spacing w:after="0"/>
              <w:rPr>
                <w:sz w:val="12"/>
                <w:szCs w:val="12"/>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Date</w:t>
            </w:r>
          </w:p>
        </w:tc>
      </w:tr>
      <w:tr>
        <w:trPr>
          <w:trHeight w:val="322"/>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George C. Zoley</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Chairman, Chief Executive Officer and 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George C. Zoley</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480" w:type="dxa"/>
            <w:vAlign w:val="bottom"/>
          </w:tcPr>
          <w:p>
            <w:pPr>
              <w:spacing w:after="0"/>
              <w:rPr>
                <w:sz w:val="15"/>
                <w:szCs w:val="15"/>
                <w:color w:val="auto"/>
              </w:rPr>
            </w:pPr>
          </w:p>
        </w:tc>
      </w:tr>
      <w:tr>
        <w:trPr>
          <w:trHeight w:val="339"/>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Chief Financial Officer, Treasurer and 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Financial Officer)</w:t>
            </w:r>
          </w:p>
        </w:tc>
        <w:tc>
          <w:tcPr>
            <w:tcW w:w="1480" w:type="dxa"/>
            <w:vAlign w:val="bottom"/>
          </w:tcPr>
          <w:p>
            <w:pPr>
              <w:spacing w:after="0"/>
              <w:rPr>
                <w:sz w:val="15"/>
                <w:szCs w:val="15"/>
                <w:color w:val="auto"/>
              </w:rPr>
            </w:pPr>
          </w:p>
        </w:tc>
      </w:tr>
      <w:tr>
        <w:trPr>
          <w:trHeight w:val="339"/>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Ronald A. Brack</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Accounting</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Ronald A. Brack</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Accounting Officer)</w:t>
            </w:r>
          </w:p>
        </w:tc>
        <w:tc>
          <w:tcPr>
            <w:tcW w:w="1480" w:type="dxa"/>
            <w:vAlign w:val="bottom"/>
          </w:tcPr>
          <w:p>
            <w:pPr>
              <w:spacing w:after="0"/>
              <w:rPr>
                <w:sz w:val="15"/>
                <w:szCs w:val="15"/>
                <w:color w:val="auto"/>
              </w:rPr>
            </w:pPr>
          </w:p>
        </w:tc>
      </w:tr>
      <w:tr>
        <w:trPr>
          <w:trHeight w:val="340"/>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Scott A. Schipma</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Secretary and 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Scott A. Schipma</w:t>
            </w:r>
          </w:p>
        </w:tc>
        <w:tc>
          <w:tcPr>
            <w:tcW w:w="10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86"/>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20" w:type="dxa"/>
            <w:vAlign w:val="bottom"/>
            <w:gridSpan w:val="2"/>
          </w:tcPr>
          <w:p>
            <w:pPr>
              <w:ind w:left="1580"/>
              <w:spacing w:after="0"/>
              <w:rPr>
                <w:sz w:val="20"/>
                <w:szCs w:val="20"/>
                <w:color w:val="auto"/>
              </w:rPr>
            </w:pPr>
            <w:r>
              <w:rPr>
                <w:rFonts w:ascii="Times New Roman" w:cs="Times New Roman" w:eastAsia="Times New Roman" w:hAnsi="Times New Roman"/>
                <w:sz w:val="14"/>
                <w:szCs w:val="14"/>
                <w:color w:val="auto"/>
              </w:rPr>
              <w:t>II-59</w:t>
            </w:r>
          </w:p>
        </w:tc>
        <w:tc>
          <w:tcPr>
            <w:tcW w:w="1480" w:type="dxa"/>
            <w:vAlign w:val="bottom"/>
          </w:tcPr>
          <w:p>
            <w:pPr>
              <w:spacing w:after="0"/>
              <w:rPr>
                <w:sz w:val="24"/>
                <w:szCs w:val="24"/>
                <w:color w:val="auto"/>
              </w:rPr>
            </w:pPr>
          </w:p>
        </w:tc>
      </w:tr>
    </w:tbl>
    <w:p>
      <w:pPr>
        <w:sectPr>
          <w:pgSz w:w="11900" w:h="16838" w:orient="portrait"/>
          <w:cols w:equalWidth="0" w:num="1">
            <w:col w:w="9019"/>
          </w:cols>
          <w:pgMar w:left="1440" w:top="243" w:right="1440" w:bottom="1440" w:gutter="0" w:footer="0" w:header="0"/>
        </w:sectPr>
      </w:pPr>
    </w:p>
    <w:bookmarkStart w:id="90" w:name="page91"/>
    <w:bookmarkEnd w:id="90"/>
    <w:p>
      <w:pPr>
        <w:ind w:left="120" w:right="179" w:firstLine="350"/>
        <w:spacing w:after="0" w:line="29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9">
                      <a:extLst>
                        <a:ext uri="{28A0092B-C50C-407E-A947-70E740481C1C}"/>
                      </a:extLst>
                    </a:blip>
                    <a:srcRect/>
                    <a:stretch>
                      <a:fillRect/>
                    </a:stretch>
                  </pic:blipFill>
                  <pic:spPr bwMode="auto">
                    <a:xfrm>
                      <a:off x="0" y="0"/>
                      <a:ext cx="7199630" cy="33020"/>
                    </a:xfrm>
                    <a:prstGeom prst="rect">
                      <a:avLst/>
                    </a:prstGeom>
                    <a:noFill/>
                  </pic:spPr>
                </pic:pic>
              </a:graphicData>
            </a:graphic>
          </wp:anchor>
        </w:drawing>
        <w:t>Pursuant to the requirements of the Securities Act of 1933, the undersigned Registrant has duly caused this Registration Statement to be signed on its behalf by the undersigned, thereunto duly authorized, in the City of Boca Raton, State of Florida, on the 30th day of October, 2026.</w:t>
      </w:r>
    </w:p>
    <w:p>
      <w:pPr>
        <w:spacing w:after="0" w:line="14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b w:val="1"/>
          <w:bCs w:val="1"/>
          <w:color w:val="auto"/>
        </w:rPr>
        <w:t>GEO Care Services, LLC</w:t>
      </w:r>
    </w:p>
    <w:p>
      <w:pPr>
        <w:spacing w:after="0" w:line="18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By: /s/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3606165</wp:posOffset>
            </wp:positionH>
            <wp:positionV relativeFrom="paragraph">
              <wp:posOffset>15875</wp:posOffset>
            </wp:positionV>
            <wp:extent cx="2037080" cy="69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0">
                      <a:extLst>
                        <a:ext uri="{28A0092B-C50C-407E-A947-70E740481C1C}"/>
                      </a:extLst>
                    </a:blip>
                    <a:srcRect/>
                    <a:stretch>
                      <a:fillRect/>
                    </a:stretch>
                  </pic:blipFill>
                  <pic:spPr bwMode="auto">
                    <a:xfrm>
                      <a:off x="0" y="0"/>
                      <a:ext cx="2037080" cy="6985"/>
                    </a:xfrm>
                    <a:prstGeom prst="rect">
                      <a:avLst/>
                    </a:prstGeom>
                    <a:noFill/>
                  </pic:spPr>
                </pic:pic>
              </a:graphicData>
            </a:graphic>
          </wp:anchor>
        </w:drawing>
      </w:r>
    </w:p>
    <w:p>
      <w:pPr>
        <w:spacing w:after="0" w:line="1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Name:  Shayn P. March</w:t>
      </w:r>
    </w:p>
    <w:p>
      <w:pPr>
        <w:spacing w:after="0" w:line="2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Title:    Vice President, Chief Financial Officer,</w:t>
      </w:r>
    </w:p>
    <w:p>
      <w:pPr>
        <w:spacing w:after="0" w:line="1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4"/>
          <w:szCs w:val="14"/>
          <w:color w:val="auto"/>
        </w:rPr>
        <w:t>Treasurer and Manager</w:t>
      </w:r>
    </w:p>
    <w:p>
      <w:pPr>
        <w:spacing w:after="0" w:line="167" w:lineRule="exact"/>
        <w:rPr>
          <w:sz w:val="20"/>
          <w:szCs w:val="20"/>
          <w:color w:val="auto"/>
        </w:rPr>
      </w:pPr>
    </w:p>
    <w:p>
      <w:pPr>
        <w:ind w:left="120" w:right="239" w:firstLine="350"/>
        <w:spacing w:after="0" w:line="261" w:lineRule="auto"/>
        <w:rPr>
          <w:sz w:val="20"/>
          <w:szCs w:val="20"/>
          <w:color w:val="auto"/>
        </w:rPr>
      </w:pPr>
      <w:r>
        <w:rPr>
          <w:rFonts w:ascii="Times New Roman" w:cs="Times New Roman" w:eastAsia="Times New Roman" w:hAnsi="Times New Roman"/>
          <w:sz w:val="14"/>
          <w:szCs w:val="14"/>
          <w:b w:val="1"/>
          <w:bCs w:val="1"/>
          <w:color w:val="auto"/>
        </w:rPr>
        <w:t>KNOWN ALL MEN BY THESE PRESENTS</w:t>
      </w:r>
      <w:r>
        <w:rPr>
          <w:rFonts w:ascii="Times New Roman" w:cs="Times New Roman" w:eastAsia="Times New Roman" w:hAnsi="Times New Roman"/>
          <w:sz w:val="14"/>
          <w:szCs w:val="14"/>
          <w:color w:val="auto"/>
        </w:rPr>
        <w:t>, that each person whose signature appears below hereby constitutes and appoints Shayn P.</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March, Vice President, Chief Financial Officer and Treasurer, and Scott A. Schipma, Vice President and Secretary, and each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146" w:lineRule="exact"/>
        <w:rPr>
          <w:sz w:val="20"/>
          <w:szCs w:val="20"/>
          <w:color w:val="auto"/>
        </w:rPr>
      </w:pPr>
    </w:p>
    <w:p>
      <w:pPr>
        <w:ind w:left="120" w:right="239" w:firstLine="350"/>
        <w:spacing w:after="0" w:line="292"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and on the date indicated.</w:t>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254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00" w:type="dxa"/>
            <w:vAlign w:val="bottom"/>
          </w:tcPr>
          <w:p>
            <w:pPr>
              <w:spacing w:after="0"/>
              <w:rPr>
                <w:sz w:val="12"/>
                <w:szCs w:val="12"/>
                <w:color w:val="auto"/>
              </w:rPr>
            </w:pPr>
          </w:p>
        </w:tc>
        <w:tc>
          <w:tcPr>
            <w:tcW w:w="446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60" w:type="dxa"/>
            <w:vAlign w:val="bottom"/>
          </w:tcPr>
          <w:p>
            <w:pPr>
              <w:spacing w:after="0"/>
              <w:rPr>
                <w:sz w:val="12"/>
                <w:szCs w:val="12"/>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Date</w:t>
            </w:r>
          </w:p>
        </w:tc>
      </w:tr>
      <w:tr>
        <w:trPr>
          <w:trHeight w:val="322"/>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George C. Zoley</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Chairman, Chief Executive Officer and Manager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George C. Zoley</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480" w:type="dxa"/>
            <w:vAlign w:val="bottom"/>
          </w:tcPr>
          <w:p>
            <w:pPr>
              <w:spacing w:after="0"/>
              <w:rPr>
                <w:sz w:val="15"/>
                <w:szCs w:val="15"/>
                <w:color w:val="auto"/>
              </w:rPr>
            </w:pPr>
          </w:p>
        </w:tc>
      </w:tr>
      <w:tr>
        <w:trPr>
          <w:trHeight w:val="339"/>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Chief Financial Officer, Treasurer and Manager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Financial Officer)</w:t>
            </w:r>
          </w:p>
        </w:tc>
        <w:tc>
          <w:tcPr>
            <w:tcW w:w="1480" w:type="dxa"/>
            <w:vAlign w:val="bottom"/>
          </w:tcPr>
          <w:p>
            <w:pPr>
              <w:spacing w:after="0"/>
              <w:rPr>
                <w:sz w:val="15"/>
                <w:szCs w:val="15"/>
                <w:color w:val="auto"/>
              </w:rPr>
            </w:pPr>
          </w:p>
        </w:tc>
      </w:tr>
      <w:tr>
        <w:trPr>
          <w:trHeight w:val="339"/>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Ronald A. Brack</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Accounting</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Ronald A. Brack</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Accounting Officer)</w:t>
            </w:r>
          </w:p>
        </w:tc>
        <w:tc>
          <w:tcPr>
            <w:tcW w:w="1480" w:type="dxa"/>
            <w:vAlign w:val="bottom"/>
          </w:tcPr>
          <w:p>
            <w:pPr>
              <w:spacing w:after="0"/>
              <w:rPr>
                <w:sz w:val="15"/>
                <w:szCs w:val="15"/>
                <w:color w:val="auto"/>
              </w:rPr>
            </w:pPr>
          </w:p>
        </w:tc>
      </w:tr>
      <w:tr>
        <w:trPr>
          <w:trHeight w:val="340"/>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David O. Meehan</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Manager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David O. Meehan</w:t>
            </w:r>
          </w:p>
        </w:tc>
        <w:tc>
          <w:tcPr>
            <w:tcW w:w="10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40"/>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Scott A. Schipma</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Secretary and Manager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Scott A. Schipma</w:t>
            </w:r>
          </w:p>
        </w:tc>
        <w:tc>
          <w:tcPr>
            <w:tcW w:w="10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39"/>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Senior Vice President, Chief Financial Officer and Treasurer of The GEO</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Group, Inc., the Sole Member of GEO Care Services, LLC</w:t>
            </w:r>
          </w:p>
        </w:tc>
        <w:tc>
          <w:tcPr>
            <w:tcW w:w="1480" w:type="dxa"/>
            <w:vAlign w:val="bottom"/>
          </w:tcPr>
          <w:p>
            <w:pPr>
              <w:spacing w:after="0"/>
              <w:rPr>
                <w:sz w:val="15"/>
                <w:szCs w:val="15"/>
                <w:color w:val="auto"/>
              </w:rPr>
            </w:pPr>
          </w:p>
        </w:tc>
      </w:tr>
      <w:tr>
        <w:trPr>
          <w:trHeight w:val="286"/>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20" w:type="dxa"/>
            <w:vAlign w:val="bottom"/>
            <w:gridSpan w:val="2"/>
          </w:tcPr>
          <w:p>
            <w:pPr>
              <w:ind w:left="1580"/>
              <w:spacing w:after="0"/>
              <w:rPr>
                <w:sz w:val="20"/>
                <w:szCs w:val="20"/>
                <w:color w:val="auto"/>
              </w:rPr>
            </w:pPr>
            <w:r>
              <w:rPr>
                <w:rFonts w:ascii="Times New Roman" w:cs="Times New Roman" w:eastAsia="Times New Roman" w:hAnsi="Times New Roman"/>
                <w:sz w:val="14"/>
                <w:szCs w:val="14"/>
                <w:color w:val="auto"/>
              </w:rPr>
              <w:t>II-60</w:t>
            </w:r>
          </w:p>
        </w:tc>
        <w:tc>
          <w:tcPr>
            <w:tcW w:w="1480" w:type="dxa"/>
            <w:vAlign w:val="bottom"/>
          </w:tcPr>
          <w:p>
            <w:pPr>
              <w:spacing w:after="0"/>
              <w:rPr>
                <w:sz w:val="24"/>
                <w:szCs w:val="24"/>
                <w:color w:val="auto"/>
              </w:rPr>
            </w:pPr>
          </w:p>
        </w:tc>
      </w:tr>
    </w:tbl>
    <w:p>
      <w:pPr>
        <w:sectPr>
          <w:pgSz w:w="11900" w:h="16838" w:orient="portrait"/>
          <w:cols w:equalWidth="0" w:num="1">
            <w:col w:w="9019"/>
          </w:cols>
          <w:pgMar w:left="1440" w:top="243" w:right="1440" w:bottom="1440" w:gutter="0" w:footer="0" w:header="0"/>
        </w:sectPr>
      </w:pPr>
    </w:p>
    <w:bookmarkStart w:id="91" w:name="page92"/>
    <w:bookmarkEnd w:id="91"/>
    <w:p>
      <w:pPr>
        <w:ind w:left="120" w:right="179" w:firstLine="350"/>
        <w:spacing w:after="0" w:line="29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1">
                      <a:extLst>
                        <a:ext uri="{28A0092B-C50C-407E-A947-70E740481C1C}"/>
                      </a:extLst>
                    </a:blip>
                    <a:srcRect/>
                    <a:stretch>
                      <a:fillRect/>
                    </a:stretch>
                  </pic:blipFill>
                  <pic:spPr bwMode="auto">
                    <a:xfrm>
                      <a:off x="0" y="0"/>
                      <a:ext cx="7199630" cy="33020"/>
                    </a:xfrm>
                    <a:prstGeom prst="rect">
                      <a:avLst/>
                    </a:prstGeom>
                    <a:noFill/>
                  </pic:spPr>
                </pic:pic>
              </a:graphicData>
            </a:graphic>
          </wp:anchor>
        </w:drawing>
        <w:t>Pursuant to the requirements of the Securities Act of 1933, the undersigned Registrant has duly caused this Registration Statement to be signed on its behalf by the undersigned, thereunto duly authorized, in the City of Boca Raton, State of Florida, on the 30th day of October, 2026.</w:t>
      </w:r>
    </w:p>
    <w:p>
      <w:pPr>
        <w:spacing w:after="0" w:line="14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b w:val="1"/>
          <w:bCs w:val="1"/>
          <w:color w:val="auto"/>
        </w:rPr>
        <w:t>GEO CC3 Inc.</w:t>
      </w:r>
    </w:p>
    <w:p>
      <w:pPr>
        <w:spacing w:after="0" w:line="18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By: /s/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3606165</wp:posOffset>
            </wp:positionH>
            <wp:positionV relativeFrom="paragraph">
              <wp:posOffset>15875</wp:posOffset>
            </wp:positionV>
            <wp:extent cx="2037080" cy="69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2">
                      <a:extLst>
                        <a:ext uri="{28A0092B-C50C-407E-A947-70E740481C1C}"/>
                      </a:extLst>
                    </a:blip>
                    <a:srcRect/>
                    <a:stretch>
                      <a:fillRect/>
                    </a:stretch>
                  </pic:blipFill>
                  <pic:spPr bwMode="auto">
                    <a:xfrm>
                      <a:off x="0" y="0"/>
                      <a:ext cx="2037080" cy="6985"/>
                    </a:xfrm>
                    <a:prstGeom prst="rect">
                      <a:avLst/>
                    </a:prstGeom>
                    <a:noFill/>
                  </pic:spPr>
                </pic:pic>
              </a:graphicData>
            </a:graphic>
          </wp:anchor>
        </w:drawing>
      </w:r>
    </w:p>
    <w:p>
      <w:pPr>
        <w:spacing w:after="0" w:line="1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Name:  Shayn P. March</w:t>
      </w:r>
    </w:p>
    <w:p>
      <w:pPr>
        <w:spacing w:after="0" w:line="2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Title:    Vice President, Chief Financial Officer,</w:t>
      </w:r>
    </w:p>
    <w:p>
      <w:pPr>
        <w:spacing w:after="0" w:line="1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4"/>
          <w:szCs w:val="14"/>
          <w:color w:val="auto"/>
        </w:rPr>
        <w:t>Treasurer and Director</w:t>
      </w:r>
    </w:p>
    <w:p>
      <w:pPr>
        <w:spacing w:after="0" w:line="167" w:lineRule="exact"/>
        <w:rPr>
          <w:sz w:val="20"/>
          <w:szCs w:val="20"/>
          <w:color w:val="auto"/>
        </w:rPr>
      </w:pPr>
    </w:p>
    <w:p>
      <w:pPr>
        <w:ind w:left="120" w:right="239" w:firstLine="350"/>
        <w:spacing w:after="0" w:line="261" w:lineRule="auto"/>
        <w:rPr>
          <w:sz w:val="20"/>
          <w:szCs w:val="20"/>
          <w:color w:val="auto"/>
        </w:rPr>
      </w:pPr>
      <w:r>
        <w:rPr>
          <w:rFonts w:ascii="Times New Roman" w:cs="Times New Roman" w:eastAsia="Times New Roman" w:hAnsi="Times New Roman"/>
          <w:sz w:val="14"/>
          <w:szCs w:val="14"/>
          <w:b w:val="1"/>
          <w:bCs w:val="1"/>
          <w:color w:val="auto"/>
        </w:rPr>
        <w:t>KNOWN ALL MEN BY THESE PRESENTS</w:t>
      </w:r>
      <w:r>
        <w:rPr>
          <w:rFonts w:ascii="Times New Roman" w:cs="Times New Roman" w:eastAsia="Times New Roman" w:hAnsi="Times New Roman"/>
          <w:sz w:val="14"/>
          <w:szCs w:val="14"/>
          <w:color w:val="auto"/>
        </w:rPr>
        <w:t>, that each person whose signature appears below hereby constitutes and appoints Shayn P.</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March, Vice President, Chief Financial Officer and Treasurer, and Scott A. Schipma, Vice President and Secretary, and each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146" w:lineRule="exact"/>
        <w:rPr>
          <w:sz w:val="20"/>
          <w:szCs w:val="20"/>
          <w:color w:val="auto"/>
        </w:rPr>
      </w:pPr>
    </w:p>
    <w:p>
      <w:pPr>
        <w:ind w:left="120" w:right="239" w:firstLine="350"/>
        <w:spacing w:after="0" w:line="292"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and on the date indicated.</w:t>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254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00" w:type="dxa"/>
            <w:vAlign w:val="bottom"/>
          </w:tcPr>
          <w:p>
            <w:pPr>
              <w:spacing w:after="0"/>
              <w:rPr>
                <w:sz w:val="12"/>
                <w:szCs w:val="12"/>
                <w:color w:val="auto"/>
              </w:rPr>
            </w:pPr>
          </w:p>
        </w:tc>
        <w:tc>
          <w:tcPr>
            <w:tcW w:w="446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60" w:type="dxa"/>
            <w:vAlign w:val="bottom"/>
          </w:tcPr>
          <w:p>
            <w:pPr>
              <w:spacing w:after="0"/>
              <w:rPr>
                <w:sz w:val="12"/>
                <w:szCs w:val="12"/>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Date</w:t>
            </w:r>
          </w:p>
        </w:tc>
      </w:tr>
      <w:tr>
        <w:trPr>
          <w:trHeight w:val="322"/>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George C. Zoley</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Chairman, Chief Executive Officer and 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George C. Zoley</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480" w:type="dxa"/>
            <w:vAlign w:val="bottom"/>
          </w:tcPr>
          <w:p>
            <w:pPr>
              <w:spacing w:after="0"/>
              <w:rPr>
                <w:sz w:val="15"/>
                <w:szCs w:val="15"/>
                <w:color w:val="auto"/>
              </w:rPr>
            </w:pPr>
          </w:p>
        </w:tc>
      </w:tr>
      <w:tr>
        <w:trPr>
          <w:trHeight w:val="339"/>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Chief Financial Officer, Treasurer and 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Financial Officer)</w:t>
            </w:r>
          </w:p>
        </w:tc>
        <w:tc>
          <w:tcPr>
            <w:tcW w:w="1480" w:type="dxa"/>
            <w:vAlign w:val="bottom"/>
          </w:tcPr>
          <w:p>
            <w:pPr>
              <w:spacing w:after="0"/>
              <w:rPr>
                <w:sz w:val="15"/>
                <w:szCs w:val="15"/>
                <w:color w:val="auto"/>
              </w:rPr>
            </w:pPr>
          </w:p>
        </w:tc>
      </w:tr>
      <w:tr>
        <w:trPr>
          <w:trHeight w:val="339"/>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Ronald A. Brack</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Accounting</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Ronald A. Brack</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Accounting Officer)</w:t>
            </w:r>
          </w:p>
        </w:tc>
        <w:tc>
          <w:tcPr>
            <w:tcW w:w="1480" w:type="dxa"/>
            <w:vAlign w:val="bottom"/>
          </w:tcPr>
          <w:p>
            <w:pPr>
              <w:spacing w:after="0"/>
              <w:rPr>
                <w:sz w:val="15"/>
                <w:szCs w:val="15"/>
                <w:color w:val="auto"/>
              </w:rPr>
            </w:pPr>
          </w:p>
        </w:tc>
      </w:tr>
      <w:tr>
        <w:trPr>
          <w:trHeight w:val="340"/>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Scott A. Schipma</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Secretary and 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Scott A. Schipma</w:t>
            </w:r>
          </w:p>
        </w:tc>
        <w:tc>
          <w:tcPr>
            <w:tcW w:w="10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86"/>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20" w:type="dxa"/>
            <w:vAlign w:val="bottom"/>
            <w:gridSpan w:val="2"/>
          </w:tcPr>
          <w:p>
            <w:pPr>
              <w:ind w:left="1580"/>
              <w:spacing w:after="0"/>
              <w:rPr>
                <w:sz w:val="20"/>
                <w:szCs w:val="20"/>
                <w:color w:val="auto"/>
              </w:rPr>
            </w:pPr>
            <w:r>
              <w:rPr>
                <w:rFonts w:ascii="Times New Roman" w:cs="Times New Roman" w:eastAsia="Times New Roman" w:hAnsi="Times New Roman"/>
                <w:sz w:val="14"/>
                <w:szCs w:val="14"/>
                <w:color w:val="auto"/>
              </w:rPr>
              <w:t>II-61</w:t>
            </w:r>
          </w:p>
        </w:tc>
        <w:tc>
          <w:tcPr>
            <w:tcW w:w="1480" w:type="dxa"/>
            <w:vAlign w:val="bottom"/>
          </w:tcPr>
          <w:p>
            <w:pPr>
              <w:spacing w:after="0"/>
              <w:rPr>
                <w:sz w:val="24"/>
                <w:szCs w:val="24"/>
                <w:color w:val="auto"/>
              </w:rPr>
            </w:pPr>
          </w:p>
        </w:tc>
      </w:tr>
    </w:tbl>
    <w:p>
      <w:pPr>
        <w:sectPr>
          <w:pgSz w:w="11900" w:h="16838" w:orient="portrait"/>
          <w:cols w:equalWidth="0" w:num="1">
            <w:col w:w="9019"/>
          </w:cols>
          <w:pgMar w:left="1440" w:top="243" w:right="1440" w:bottom="1440" w:gutter="0" w:footer="0" w:header="0"/>
        </w:sectPr>
      </w:pPr>
    </w:p>
    <w:bookmarkStart w:id="92" w:name="page93"/>
    <w:bookmarkEnd w:id="92"/>
    <w:p>
      <w:pPr>
        <w:ind w:left="120" w:right="179" w:firstLine="350"/>
        <w:spacing w:after="0" w:line="29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3">
                      <a:extLst>
                        <a:ext uri="{28A0092B-C50C-407E-A947-70E740481C1C}"/>
                      </a:extLst>
                    </a:blip>
                    <a:srcRect/>
                    <a:stretch>
                      <a:fillRect/>
                    </a:stretch>
                  </pic:blipFill>
                  <pic:spPr bwMode="auto">
                    <a:xfrm>
                      <a:off x="0" y="0"/>
                      <a:ext cx="7199630" cy="33020"/>
                    </a:xfrm>
                    <a:prstGeom prst="rect">
                      <a:avLst/>
                    </a:prstGeom>
                    <a:noFill/>
                  </pic:spPr>
                </pic:pic>
              </a:graphicData>
            </a:graphic>
          </wp:anchor>
        </w:drawing>
        <w:t>Pursuant to the requirements of the Securities Act of 1933, the undersigned Registrant has duly caused this Registration Statement to be signed on its behalf by the undersigned, thereunto duly authorized, in the City of Boca Raton, State of Florida, on the 30th day of October, 2026.</w:t>
      </w:r>
    </w:p>
    <w:p>
      <w:pPr>
        <w:spacing w:after="0" w:line="14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b w:val="1"/>
          <w:bCs w:val="1"/>
          <w:color w:val="auto"/>
        </w:rPr>
        <w:t>GEO Corrections Holdings, Inc.</w:t>
      </w:r>
    </w:p>
    <w:p>
      <w:pPr>
        <w:spacing w:after="0" w:line="18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By: /s/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3606165</wp:posOffset>
            </wp:positionH>
            <wp:positionV relativeFrom="paragraph">
              <wp:posOffset>15875</wp:posOffset>
            </wp:positionV>
            <wp:extent cx="2037080" cy="69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4">
                      <a:extLst>
                        <a:ext uri="{28A0092B-C50C-407E-A947-70E740481C1C}"/>
                      </a:extLst>
                    </a:blip>
                    <a:srcRect/>
                    <a:stretch>
                      <a:fillRect/>
                    </a:stretch>
                  </pic:blipFill>
                  <pic:spPr bwMode="auto">
                    <a:xfrm>
                      <a:off x="0" y="0"/>
                      <a:ext cx="2037080" cy="6985"/>
                    </a:xfrm>
                    <a:prstGeom prst="rect">
                      <a:avLst/>
                    </a:prstGeom>
                    <a:noFill/>
                  </pic:spPr>
                </pic:pic>
              </a:graphicData>
            </a:graphic>
          </wp:anchor>
        </w:drawing>
      </w:r>
    </w:p>
    <w:p>
      <w:pPr>
        <w:spacing w:after="0" w:line="1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Name:  Shayn P. March</w:t>
      </w:r>
    </w:p>
    <w:p>
      <w:pPr>
        <w:spacing w:after="0" w:line="2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Title:    Vice President, Chief Financial Officer,</w:t>
      </w:r>
    </w:p>
    <w:p>
      <w:pPr>
        <w:spacing w:after="0" w:line="1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4"/>
          <w:szCs w:val="14"/>
          <w:color w:val="auto"/>
        </w:rPr>
        <w:t>Treasurer and Director</w:t>
      </w:r>
    </w:p>
    <w:p>
      <w:pPr>
        <w:spacing w:after="0" w:line="167" w:lineRule="exact"/>
        <w:rPr>
          <w:sz w:val="20"/>
          <w:szCs w:val="20"/>
          <w:color w:val="auto"/>
        </w:rPr>
      </w:pPr>
    </w:p>
    <w:p>
      <w:pPr>
        <w:ind w:left="120" w:right="239" w:firstLine="350"/>
        <w:spacing w:after="0" w:line="261" w:lineRule="auto"/>
        <w:rPr>
          <w:sz w:val="20"/>
          <w:szCs w:val="20"/>
          <w:color w:val="auto"/>
        </w:rPr>
      </w:pPr>
      <w:r>
        <w:rPr>
          <w:rFonts w:ascii="Times New Roman" w:cs="Times New Roman" w:eastAsia="Times New Roman" w:hAnsi="Times New Roman"/>
          <w:sz w:val="14"/>
          <w:szCs w:val="14"/>
          <w:b w:val="1"/>
          <w:bCs w:val="1"/>
          <w:color w:val="auto"/>
        </w:rPr>
        <w:t>KNOWN ALL MEN BY THESE PRESENTS</w:t>
      </w:r>
      <w:r>
        <w:rPr>
          <w:rFonts w:ascii="Times New Roman" w:cs="Times New Roman" w:eastAsia="Times New Roman" w:hAnsi="Times New Roman"/>
          <w:sz w:val="14"/>
          <w:szCs w:val="14"/>
          <w:color w:val="auto"/>
        </w:rPr>
        <w:t>, that each person whose signature appears below hereby constitutes and appoints Shayn P.</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March, Vice President, Chief Financial Officer and Treasurer, and Scott A. Schipma, Vice President and Secretary, and each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146" w:lineRule="exact"/>
        <w:rPr>
          <w:sz w:val="20"/>
          <w:szCs w:val="20"/>
          <w:color w:val="auto"/>
        </w:rPr>
      </w:pPr>
    </w:p>
    <w:p>
      <w:pPr>
        <w:ind w:left="120" w:right="239" w:firstLine="350"/>
        <w:spacing w:after="0" w:line="292"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and on the date indicated.</w:t>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254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00" w:type="dxa"/>
            <w:vAlign w:val="bottom"/>
          </w:tcPr>
          <w:p>
            <w:pPr>
              <w:spacing w:after="0"/>
              <w:rPr>
                <w:sz w:val="12"/>
                <w:szCs w:val="12"/>
                <w:color w:val="auto"/>
              </w:rPr>
            </w:pPr>
          </w:p>
        </w:tc>
        <w:tc>
          <w:tcPr>
            <w:tcW w:w="446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60" w:type="dxa"/>
            <w:vAlign w:val="bottom"/>
          </w:tcPr>
          <w:p>
            <w:pPr>
              <w:spacing w:after="0"/>
              <w:rPr>
                <w:sz w:val="12"/>
                <w:szCs w:val="12"/>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Date</w:t>
            </w:r>
          </w:p>
        </w:tc>
      </w:tr>
      <w:tr>
        <w:trPr>
          <w:trHeight w:val="322"/>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George C. Zoley</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Chairman, Chief Executive Officer and 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George C. Zoley</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480" w:type="dxa"/>
            <w:vAlign w:val="bottom"/>
          </w:tcPr>
          <w:p>
            <w:pPr>
              <w:spacing w:after="0"/>
              <w:rPr>
                <w:sz w:val="15"/>
                <w:szCs w:val="15"/>
                <w:color w:val="auto"/>
              </w:rPr>
            </w:pPr>
          </w:p>
        </w:tc>
      </w:tr>
      <w:tr>
        <w:trPr>
          <w:trHeight w:val="339"/>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Chief Financial Officer, Treasurer and 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Financial Officer)</w:t>
            </w:r>
          </w:p>
        </w:tc>
        <w:tc>
          <w:tcPr>
            <w:tcW w:w="1480" w:type="dxa"/>
            <w:vAlign w:val="bottom"/>
          </w:tcPr>
          <w:p>
            <w:pPr>
              <w:spacing w:after="0"/>
              <w:rPr>
                <w:sz w:val="15"/>
                <w:szCs w:val="15"/>
                <w:color w:val="auto"/>
              </w:rPr>
            </w:pPr>
          </w:p>
        </w:tc>
      </w:tr>
      <w:tr>
        <w:trPr>
          <w:trHeight w:val="339"/>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Ronald A. Brack</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Accounting</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Ronald A. Brack</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Accounting Officer)</w:t>
            </w:r>
          </w:p>
        </w:tc>
        <w:tc>
          <w:tcPr>
            <w:tcW w:w="1480" w:type="dxa"/>
            <w:vAlign w:val="bottom"/>
          </w:tcPr>
          <w:p>
            <w:pPr>
              <w:spacing w:after="0"/>
              <w:rPr>
                <w:sz w:val="15"/>
                <w:szCs w:val="15"/>
                <w:color w:val="auto"/>
              </w:rPr>
            </w:pPr>
          </w:p>
        </w:tc>
      </w:tr>
      <w:tr>
        <w:trPr>
          <w:trHeight w:val="340"/>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Scott A. Schipma</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Secretary and 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Scott A. Schipma</w:t>
            </w:r>
          </w:p>
        </w:tc>
        <w:tc>
          <w:tcPr>
            <w:tcW w:w="10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86"/>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20" w:type="dxa"/>
            <w:vAlign w:val="bottom"/>
            <w:gridSpan w:val="2"/>
          </w:tcPr>
          <w:p>
            <w:pPr>
              <w:ind w:left="1580"/>
              <w:spacing w:after="0"/>
              <w:rPr>
                <w:sz w:val="20"/>
                <w:szCs w:val="20"/>
                <w:color w:val="auto"/>
              </w:rPr>
            </w:pPr>
            <w:r>
              <w:rPr>
                <w:rFonts w:ascii="Times New Roman" w:cs="Times New Roman" w:eastAsia="Times New Roman" w:hAnsi="Times New Roman"/>
                <w:sz w:val="14"/>
                <w:szCs w:val="14"/>
                <w:color w:val="auto"/>
              </w:rPr>
              <w:t>II-62</w:t>
            </w:r>
          </w:p>
        </w:tc>
        <w:tc>
          <w:tcPr>
            <w:tcW w:w="1480" w:type="dxa"/>
            <w:vAlign w:val="bottom"/>
          </w:tcPr>
          <w:p>
            <w:pPr>
              <w:spacing w:after="0"/>
              <w:rPr>
                <w:sz w:val="24"/>
                <w:szCs w:val="24"/>
                <w:color w:val="auto"/>
              </w:rPr>
            </w:pPr>
          </w:p>
        </w:tc>
      </w:tr>
    </w:tbl>
    <w:p>
      <w:pPr>
        <w:sectPr>
          <w:pgSz w:w="11900" w:h="16838" w:orient="portrait"/>
          <w:cols w:equalWidth="0" w:num="1">
            <w:col w:w="9019"/>
          </w:cols>
          <w:pgMar w:left="1440" w:top="243" w:right="1440" w:bottom="1440" w:gutter="0" w:footer="0" w:header="0"/>
        </w:sectPr>
      </w:pPr>
    </w:p>
    <w:bookmarkStart w:id="93" w:name="page94"/>
    <w:bookmarkEnd w:id="93"/>
    <w:p>
      <w:pPr>
        <w:ind w:left="120" w:right="179" w:firstLine="350"/>
        <w:spacing w:after="0" w:line="29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5">
                      <a:extLst>
                        <a:ext uri="{28A0092B-C50C-407E-A947-70E740481C1C}"/>
                      </a:extLst>
                    </a:blip>
                    <a:srcRect/>
                    <a:stretch>
                      <a:fillRect/>
                    </a:stretch>
                  </pic:blipFill>
                  <pic:spPr bwMode="auto">
                    <a:xfrm>
                      <a:off x="0" y="0"/>
                      <a:ext cx="7199630" cy="33020"/>
                    </a:xfrm>
                    <a:prstGeom prst="rect">
                      <a:avLst/>
                    </a:prstGeom>
                    <a:noFill/>
                  </pic:spPr>
                </pic:pic>
              </a:graphicData>
            </a:graphic>
          </wp:anchor>
        </w:drawing>
        <w:t>Pursuant to the requirements of the Securities Act of 1933, the undersigned Registrant has duly caused this Registration Statement to be signed on its behalf by the undersigned, thereunto duly authorized, in the City of Boca Raton, State of Florida, on the 30th day of October, 2026.</w:t>
      </w:r>
    </w:p>
    <w:p>
      <w:pPr>
        <w:spacing w:after="0" w:line="14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b w:val="1"/>
          <w:bCs w:val="1"/>
          <w:color w:val="auto"/>
        </w:rPr>
        <w:t>GEO CPM, Inc.</w:t>
      </w:r>
    </w:p>
    <w:p>
      <w:pPr>
        <w:spacing w:after="0" w:line="18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By: /s/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3606165</wp:posOffset>
            </wp:positionH>
            <wp:positionV relativeFrom="paragraph">
              <wp:posOffset>15875</wp:posOffset>
            </wp:positionV>
            <wp:extent cx="2037080" cy="69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6">
                      <a:extLst>
                        <a:ext uri="{28A0092B-C50C-407E-A947-70E740481C1C}"/>
                      </a:extLst>
                    </a:blip>
                    <a:srcRect/>
                    <a:stretch>
                      <a:fillRect/>
                    </a:stretch>
                  </pic:blipFill>
                  <pic:spPr bwMode="auto">
                    <a:xfrm>
                      <a:off x="0" y="0"/>
                      <a:ext cx="2037080" cy="6985"/>
                    </a:xfrm>
                    <a:prstGeom prst="rect">
                      <a:avLst/>
                    </a:prstGeom>
                    <a:noFill/>
                  </pic:spPr>
                </pic:pic>
              </a:graphicData>
            </a:graphic>
          </wp:anchor>
        </w:drawing>
      </w:r>
    </w:p>
    <w:p>
      <w:pPr>
        <w:spacing w:after="0" w:line="1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Name:  Shayn P. March</w:t>
      </w:r>
    </w:p>
    <w:p>
      <w:pPr>
        <w:spacing w:after="0" w:line="2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Title:    Vice President, Chief Financial Officer,</w:t>
      </w:r>
    </w:p>
    <w:p>
      <w:pPr>
        <w:spacing w:after="0" w:line="1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4"/>
          <w:szCs w:val="14"/>
          <w:color w:val="auto"/>
        </w:rPr>
        <w:t>Treasurer and Director</w:t>
      </w:r>
    </w:p>
    <w:p>
      <w:pPr>
        <w:spacing w:after="0" w:line="167" w:lineRule="exact"/>
        <w:rPr>
          <w:sz w:val="20"/>
          <w:szCs w:val="20"/>
          <w:color w:val="auto"/>
        </w:rPr>
      </w:pPr>
    </w:p>
    <w:p>
      <w:pPr>
        <w:ind w:left="120" w:right="239" w:firstLine="350"/>
        <w:spacing w:after="0" w:line="261" w:lineRule="auto"/>
        <w:rPr>
          <w:sz w:val="20"/>
          <w:szCs w:val="20"/>
          <w:color w:val="auto"/>
        </w:rPr>
      </w:pPr>
      <w:r>
        <w:rPr>
          <w:rFonts w:ascii="Times New Roman" w:cs="Times New Roman" w:eastAsia="Times New Roman" w:hAnsi="Times New Roman"/>
          <w:sz w:val="14"/>
          <w:szCs w:val="14"/>
          <w:b w:val="1"/>
          <w:bCs w:val="1"/>
          <w:color w:val="auto"/>
        </w:rPr>
        <w:t>KNOWN ALL MEN BY THESE PRESENTS</w:t>
      </w:r>
      <w:r>
        <w:rPr>
          <w:rFonts w:ascii="Times New Roman" w:cs="Times New Roman" w:eastAsia="Times New Roman" w:hAnsi="Times New Roman"/>
          <w:sz w:val="14"/>
          <w:szCs w:val="14"/>
          <w:color w:val="auto"/>
        </w:rPr>
        <w:t>, that each person whose signature appears below hereby constitutes and appoints Shayn P.</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March, Vice President, Chief Financial Officer and Treasurer, and Scott A. Schipma, Vice President and Secretary, and each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146" w:lineRule="exact"/>
        <w:rPr>
          <w:sz w:val="20"/>
          <w:szCs w:val="20"/>
          <w:color w:val="auto"/>
        </w:rPr>
      </w:pPr>
    </w:p>
    <w:p>
      <w:pPr>
        <w:ind w:left="120" w:right="239" w:firstLine="350"/>
        <w:spacing w:after="0" w:line="292"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and on the date indicated.</w:t>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254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00" w:type="dxa"/>
            <w:vAlign w:val="bottom"/>
          </w:tcPr>
          <w:p>
            <w:pPr>
              <w:spacing w:after="0"/>
              <w:rPr>
                <w:sz w:val="12"/>
                <w:szCs w:val="12"/>
                <w:color w:val="auto"/>
              </w:rPr>
            </w:pPr>
          </w:p>
        </w:tc>
        <w:tc>
          <w:tcPr>
            <w:tcW w:w="446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60" w:type="dxa"/>
            <w:vAlign w:val="bottom"/>
          </w:tcPr>
          <w:p>
            <w:pPr>
              <w:spacing w:after="0"/>
              <w:rPr>
                <w:sz w:val="12"/>
                <w:szCs w:val="12"/>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Date</w:t>
            </w:r>
          </w:p>
        </w:tc>
      </w:tr>
      <w:tr>
        <w:trPr>
          <w:trHeight w:val="322"/>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George C. Zoley</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Chairman, Chief Executive Officer and 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George C. Zoley</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480" w:type="dxa"/>
            <w:vAlign w:val="bottom"/>
          </w:tcPr>
          <w:p>
            <w:pPr>
              <w:spacing w:after="0"/>
              <w:rPr>
                <w:sz w:val="15"/>
                <w:szCs w:val="15"/>
                <w:color w:val="auto"/>
              </w:rPr>
            </w:pPr>
          </w:p>
        </w:tc>
      </w:tr>
      <w:tr>
        <w:trPr>
          <w:trHeight w:val="339"/>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Chief Financial Officer, Treasurer and 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Financial Officer)</w:t>
            </w:r>
          </w:p>
        </w:tc>
        <w:tc>
          <w:tcPr>
            <w:tcW w:w="1480" w:type="dxa"/>
            <w:vAlign w:val="bottom"/>
          </w:tcPr>
          <w:p>
            <w:pPr>
              <w:spacing w:after="0"/>
              <w:rPr>
                <w:sz w:val="15"/>
                <w:szCs w:val="15"/>
                <w:color w:val="auto"/>
              </w:rPr>
            </w:pPr>
          </w:p>
        </w:tc>
      </w:tr>
      <w:tr>
        <w:trPr>
          <w:trHeight w:val="339"/>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Ronald A. Brack</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Accounting</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Ronald A. Brack</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Accounting Officer)</w:t>
            </w:r>
          </w:p>
        </w:tc>
        <w:tc>
          <w:tcPr>
            <w:tcW w:w="1480" w:type="dxa"/>
            <w:vAlign w:val="bottom"/>
          </w:tcPr>
          <w:p>
            <w:pPr>
              <w:spacing w:after="0"/>
              <w:rPr>
                <w:sz w:val="15"/>
                <w:szCs w:val="15"/>
                <w:color w:val="auto"/>
              </w:rPr>
            </w:pPr>
          </w:p>
        </w:tc>
      </w:tr>
      <w:tr>
        <w:trPr>
          <w:trHeight w:val="340"/>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Scott A. Schipma</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Secretary and 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Scott A. Schipma</w:t>
            </w:r>
          </w:p>
        </w:tc>
        <w:tc>
          <w:tcPr>
            <w:tcW w:w="10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86"/>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20" w:type="dxa"/>
            <w:vAlign w:val="bottom"/>
            <w:gridSpan w:val="2"/>
          </w:tcPr>
          <w:p>
            <w:pPr>
              <w:ind w:left="1580"/>
              <w:spacing w:after="0"/>
              <w:rPr>
                <w:sz w:val="20"/>
                <w:szCs w:val="20"/>
                <w:color w:val="auto"/>
              </w:rPr>
            </w:pPr>
            <w:r>
              <w:rPr>
                <w:rFonts w:ascii="Times New Roman" w:cs="Times New Roman" w:eastAsia="Times New Roman" w:hAnsi="Times New Roman"/>
                <w:sz w:val="14"/>
                <w:szCs w:val="14"/>
                <w:color w:val="auto"/>
              </w:rPr>
              <w:t>II-63</w:t>
            </w:r>
          </w:p>
        </w:tc>
        <w:tc>
          <w:tcPr>
            <w:tcW w:w="1480" w:type="dxa"/>
            <w:vAlign w:val="bottom"/>
          </w:tcPr>
          <w:p>
            <w:pPr>
              <w:spacing w:after="0"/>
              <w:rPr>
                <w:sz w:val="24"/>
                <w:szCs w:val="24"/>
                <w:color w:val="auto"/>
              </w:rPr>
            </w:pPr>
          </w:p>
        </w:tc>
      </w:tr>
    </w:tbl>
    <w:p>
      <w:pPr>
        <w:sectPr>
          <w:pgSz w:w="11900" w:h="16838" w:orient="portrait"/>
          <w:cols w:equalWidth="0" w:num="1">
            <w:col w:w="9019"/>
          </w:cols>
          <w:pgMar w:left="1440" w:top="243" w:right="1440" w:bottom="1440" w:gutter="0" w:footer="0" w:header="0"/>
        </w:sectPr>
      </w:pPr>
    </w:p>
    <w:bookmarkStart w:id="94" w:name="page95"/>
    <w:bookmarkEnd w:id="94"/>
    <w:p>
      <w:pPr>
        <w:ind w:left="120" w:right="179" w:firstLine="350"/>
        <w:spacing w:after="0" w:line="29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7">
                      <a:extLst>
                        <a:ext uri="{28A0092B-C50C-407E-A947-70E740481C1C}"/>
                      </a:extLst>
                    </a:blip>
                    <a:srcRect/>
                    <a:stretch>
                      <a:fillRect/>
                    </a:stretch>
                  </pic:blipFill>
                  <pic:spPr bwMode="auto">
                    <a:xfrm>
                      <a:off x="0" y="0"/>
                      <a:ext cx="7199630" cy="33020"/>
                    </a:xfrm>
                    <a:prstGeom prst="rect">
                      <a:avLst/>
                    </a:prstGeom>
                    <a:noFill/>
                  </pic:spPr>
                </pic:pic>
              </a:graphicData>
            </a:graphic>
          </wp:anchor>
        </w:drawing>
        <w:t>Pursuant to the requirements of the Securities Act of 1933, the undersigned Registrant has duly caused this Registration Statement to be signed on its behalf by the undersigned, thereunto duly authorized, in the City of Boca Raton, State of Florida, on the 30th day of October, 2026.</w:t>
      </w:r>
    </w:p>
    <w:p>
      <w:pPr>
        <w:spacing w:after="0" w:line="14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b w:val="1"/>
          <w:bCs w:val="1"/>
          <w:color w:val="auto"/>
        </w:rPr>
        <w:t>GEO Holdings I, Inc.</w:t>
      </w:r>
    </w:p>
    <w:p>
      <w:pPr>
        <w:spacing w:after="0" w:line="18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By: /s/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3606165</wp:posOffset>
            </wp:positionH>
            <wp:positionV relativeFrom="paragraph">
              <wp:posOffset>15875</wp:posOffset>
            </wp:positionV>
            <wp:extent cx="2037080" cy="69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8">
                      <a:extLst>
                        <a:ext uri="{28A0092B-C50C-407E-A947-70E740481C1C}"/>
                      </a:extLst>
                    </a:blip>
                    <a:srcRect/>
                    <a:stretch>
                      <a:fillRect/>
                    </a:stretch>
                  </pic:blipFill>
                  <pic:spPr bwMode="auto">
                    <a:xfrm>
                      <a:off x="0" y="0"/>
                      <a:ext cx="2037080" cy="6985"/>
                    </a:xfrm>
                    <a:prstGeom prst="rect">
                      <a:avLst/>
                    </a:prstGeom>
                    <a:noFill/>
                  </pic:spPr>
                </pic:pic>
              </a:graphicData>
            </a:graphic>
          </wp:anchor>
        </w:drawing>
      </w:r>
    </w:p>
    <w:p>
      <w:pPr>
        <w:spacing w:after="0" w:line="1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Name:  Shayn P. March</w:t>
      </w:r>
    </w:p>
    <w:p>
      <w:pPr>
        <w:spacing w:after="0" w:line="2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Title:    Vice President and Treasurer</w:t>
      </w:r>
    </w:p>
    <w:p>
      <w:pPr>
        <w:spacing w:after="0" w:line="167" w:lineRule="exact"/>
        <w:rPr>
          <w:sz w:val="20"/>
          <w:szCs w:val="20"/>
          <w:color w:val="auto"/>
        </w:rPr>
      </w:pPr>
    </w:p>
    <w:p>
      <w:pPr>
        <w:ind w:left="120" w:right="159" w:firstLine="350"/>
        <w:spacing w:after="0" w:line="261" w:lineRule="auto"/>
        <w:rPr>
          <w:sz w:val="20"/>
          <w:szCs w:val="20"/>
          <w:color w:val="auto"/>
        </w:rPr>
      </w:pPr>
      <w:r>
        <w:rPr>
          <w:rFonts w:ascii="Times New Roman" w:cs="Times New Roman" w:eastAsia="Times New Roman" w:hAnsi="Times New Roman"/>
          <w:sz w:val="14"/>
          <w:szCs w:val="14"/>
          <w:b w:val="1"/>
          <w:bCs w:val="1"/>
          <w:color w:val="auto"/>
        </w:rPr>
        <w:t>KNOWN ALL MEN BY THESE PRESENTS</w:t>
      </w:r>
      <w:r>
        <w:rPr>
          <w:rFonts w:ascii="Times New Roman" w:cs="Times New Roman" w:eastAsia="Times New Roman" w:hAnsi="Times New Roman"/>
          <w:sz w:val="14"/>
          <w:szCs w:val="14"/>
          <w:color w:val="auto"/>
        </w:rPr>
        <w:t>, that each person whose signature appears below hereby constitutes and appoints Shayn P.</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March, Vice President and Treasurer, and Scott A. Schipma, Vice President and Secretary, and each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146" w:lineRule="exact"/>
        <w:rPr>
          <w:sz w:val="20"/>
          <w:szCs w:val="20"/>
          <w:color w:val="auto"/>
        </w:rPr>
      </w:pPr>
    </w:p>
    <w:p>
      <w:pPr>
        <w:ind w:left="120" w:right="239" w:firstLine="350"/>
        <w:spacing w:after="0" w:line="292"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and on the date indicated.</w:t>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254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00" w:type="dxa"/>
            <w:vAlign w:val="bottom"/>
          </w:tcPr>
          <w:p>
            <w:pPr>
              <w:spacing w:after="0"/>
              <w:rPr>
                <w:sz w:val="12"/>
                <w:szCs w:val="12"/>
                <w:color w:val="auto"/>
              </w:rPr>
            </w:pPr>
          </w:p>
        </w:tc>
        <w:tc>
          <w:tcPr>
            <w:tcW w:w="446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60" w:type="dxa"/>
            <w:vAlign w:val="bottom"/>
          </w:tcPr>
          <w:p>
            <w:pPr>
              <w:spacing w:after="0"/>
              <w:rPr>
                <w:sz w:val="12"/>
                <w:szCs w:val="12"/>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Date</w:t>
            </w:r>
          </w:p>
        </w:tc>
      </w:tr>
      <w:tr>
        <w:trPr>
          <w:trHeight w:val="322"/>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George C. Zoley</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Chairman, Chief Executive Officer and 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George C. Zoley</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480" w:type="dxa"/>
            <w:vAlign w:val="bottom"/>
          </w:tcPr>
          <w:p>
            <w:pPr>
              <w:spacing w:after="0"/>
              <w:rPr>
                <w:sz w:val="15"/>
                <w:szCs w:val="15"/>
                <w:color w:val="auto"/>
              </w:rPr>
            </w:pPr>
          </w:p>
        </w:tc>
      </w:tr>
      <w:tr>
        <w:trPr>
          <w:trHeight w:val="339"/>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and Treasurer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Financial and Accounting Officer)</w:t>
            </w:r>
          </w:p>
        </w:tc>
        <w:tc>
          <w:tcPr>
            <w:tcW w:w="1480" w:type="dxa"/>
            <w:vAlign w:val="bottom"/>
          </w:tcPr>
          <w:p>
            <w:pPr>
              <w:spacing w:after="0"/>
              <w:rPr>
                <w:sz w:val="15"/>
                <w:szCs w:val="15"/>
                <w:color w:val="auto"/>
              </w:rPr>
            </w:pPr>
          </w:p>
        </w:tc>
      </w:tr>
      <w:tr>
        <w:trPr>
          <w:trHeight w:val="340"/>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Scott A. Schipma</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Secretary and 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Scott A. Schipma</w:t>
            </w:r>
          </w:p>
        </w:tc>
        <w:tc>
          <w:tcPr>
            <w:tcW w:w="10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86"/>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20" w:type="dxa"/>
            <w:vAlign w:val="bottom"/>
            <w:gridSpan w:val="2"/>
          </w:tcPr>
          <w:p>
            <w:pPr>
              <w:ind w:left="1580"/>
              <w:spacing w:after="0"/>
              <w:rPr>
                <w:sz w:val="20"/>
                <w:szCs w:val="20"/>
                <w:color w:val="auto"/>
              </w:rPr>
            </w:pPr>
            <w:r>
              <w:rPr>
                <w:rFonts w:ascii="Times New Roman" w:cs="Times New Roman" w:eastAsia="Times New Roman" w:hAnsi="Times New Roman"/>
                <w:sz w:val="14"/>
                <w:szCs w:val="14"/>
                <w:color w:val="auto"/>
              </w:rPr>
              <w:t>II-64</w:t>
            </w:r>
          </w:p>
        </w:tc>
        <w:tc>
          <w:tcPr>
            <w:tcW w:w="1480" w:type="dxa"/>
            <w:vAlign w:val="bottom"/>
          </w:tcPr>
          <w:p>
            <w:pPr>
              <w:spacing w:after="0"/>
              <w:rPr>
                <w:sz w:val="24"/>
                <w:szCs w:val="24"/>
                <w:color w:val="auto"/>
              </w:rPr>
            </w:pPr>
          </w:p>
        </w:tc>
      </w:tr>
    </w:tbl>
    <w:p>
      <w:pPr>
        <w:sectPr>
          <w:pgSz w:w="11900" w:h="16838" w:orient="portrait"/>
          <w:cols w:equalWidth="0" w:num="1">
            <w:col w:w="9019"/>
          </w:cols>
          <w:pgMar w:left="1440" w:top="243" w:right="1440" w:bottom="1440" w:gutter="0" w:footer="0" w:header="0"/>
        </w:sectPr>
      </w:pPr>
    </w:p>
    <w:bookmarkStart w:id="95" w:name="page96"/>
    <w:bookmarkEnd w:id="95"/>
    <w:p>
      <w:pPr>
        <w:ind w:left="120" w:right="179" w:firstLine="350"/>
        <w:spacing w:after="0" w:line="29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9">
                      <a:extLst>
                        <a:ext uri="{28A0092B-C50C-407E-A947-70E740481C1C}"/>
                      </a:extLst>
                    </a:blip>
                    <a:srcRect/>
                    <a:stretch>
                      <a:fillRect/>
                    </a:stretch>
                  </pic:blipFill>
                  <pic:spPr bwMode="auto">
                    <a:xfrm>
                      <a:off x="0" y="0"/>
                      <a:ext cx="7199630" cy="33020"/>
                    </a:xfrm>
                    <a:prstGeom prst="rect">
                      <a:avLst/>
                    </a:prstGeom>
                    <a:noFill/>
                  </pic:spPr>
                </pic:pic>
              </a:graphicData>
            </a:graphic>
          </wp:anchor>
        </w:drawing>
        <w:t>Pursuant to the requirements of the Securities Act of 1933, the undersigned Registrant has duly caused this Registration Statement to be signed on its behalf by the undersigned, thereunto duly authorized, in the City of Boca Raton, State of Florida, on the 30th day of October, 2026.</w:t>
      </w:r>
    </w:p>
    <w:p>
      <w:pPr>
        <w:spacing w:after="0" w:line="14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b w:val="1"/>
          <w:bCs w:val="1"/>
          <w:color w:val="auto"/>
        </w:rPr>
        <w:t>GEO International Services, Inc.</w:t>
      </w:r>
    </w:p>
    <w:p>
      <w:pPr>
        <w:spacing w:after="0" w:line="18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By: /s/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3606165</wp:posOffset>
            </wp:positionH>
            <wp:positionV relativeFrom="paragraph">
              <wp:posOffset>15875</wp:posOffset>
            </wp:positionV>
            <wp:extent cx="2037080" cy="69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0">
                      <a:extLst>
                        <a:ext uri="{28A0092B-C50C-407E-A947-70E740481C1C}"/>
                      </a:extLst>
                    </a:blip>
                    <a:srcRect/>
                    <a:stretch>
                      <a:fillRect/>
                    </a:stretch>
                  </pic:blipFill>
                  <pic:spPr bwMode="auto">
                    <a:xfrm>
                      <a:off x="0" y="0"/>
                      <a:ext cx="2037080" cy="6985"/>
                    </a:xfrm>
                    <a:prstGeom prst="rect">
                      <a:avLst/>
                    </a:prstGeom>
                    <a:noFill/>
                  </pic:spPr>
                </pic:pic>
              </a:graphicData>
            </a:graphic>
          </wp:anchor>
        </w:drawing>
      </w:r>
    </w:p>
    <w:p>
      <w:pPr>
        <w:spacing w:after="0" w:line="1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Name:  Shayn P. March</w:t>
      </w:r>
    </w:p>
    <w:p>
      <w:pPr>
        <w:spacing w:after="0" w:line="2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Title:    Vice President, Chief Financial Officer,</w:t>
      </w:r>
    </w:p>
    <w:p>
      <w:pPr>
        <w:spacing w:after="0" w:line="1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4"/>
          <w:szCs w:val="14"/>
          <w:color w:val="auto"/>
        </w:rPr>
        <w:t>Treasurer and Director</w:t>
      </w:r>
    </w:p>
    <w:p>
      <w:pPr>
        <w:spacing w:after="0" w:line="167" w:lineRule="exact"/>
        <w:rPr>
          <w:sz w:val="20"/>
          <w:szCs w:val="20"/>
          <w:color w:val="auto"/>
        </w:rPr>
      </w:pPr>
    </w:p>
    <w:p>
      <w:pPr>
        <w:ind w:left="120" w:right="239" w:firstLine="350"/>
        <w:spacing w:after="0" w:line="261" w:lineRule="auto"/>
        <w:rPr>
          <w:sz w:val="20"/>
          <w:szCs w:val="20"/>
          <w:color w:val="auto"/>
        </w:rPr>
      </w:pPr>
      <w:r>
        <w:rPr>
          <w:rFonts w:ascii="Times New Roman" w:cs="Times New Roman" w:eastAsia="Times New Roman" w:hAnsi="Times New Roman"/>
          <w:sz w:val="14"/>
          <w:szCs w:val="14"/>
          <w:b w:val="1"/>
          <w:bCs w:val="1"/>
          <w:color w:val="auto"/>
        </w:rPr>
        <w:t>KNOWN ALL MEN BY THESE PRESENTS</w:t>
      </w:r>
      <w:r>
        <w:rPr>
          <w:rFonts w:ascii="Times New Roman" w:cs="Times New Roman" w:eastAsia="Times New Roman" w:hAnsi="Times New Roman"/>
          <w:sz w:val="14"/>
          <w:szCs w:val="14"/>
          <w:color w:val="auto"/>
        </w:rPr>
        <w:t>, that each person whose signature appears below hereby constitutes and appoints Shayn P.</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March, Vice President, Chief Financial Officer and Treasurer, and Scott A. Schipma, Vice President and Secretary, and each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146" w:lineRule="exact"/>
        <w:rPr>
          <w:sz w:val="20"/>
          <w:szCs w:val="20"/>
          <w:color w:val="auto"/>
        </w:rPr>
      </w:pPr>
    </w:p>
    <w:p>
      <w:pPr>
        <w:ind w:left="120" w:right="239" w:firstLine="350"/>
        <w:spacing w:after="0" w:line="292"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and on the date indicated.</w:t>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254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00" w:type="dxa"/>
            <w:vAlign w:val="bottom"/>
          </w:tcPr>
          <w:p>
            <w:pPr>
              <w:spacing w:after="0"/>
              <w:rPr>
                <w:sz w:val="12"/>
                <w:szCs w:val="12"/>
                <w:color w:val="auto"/>
              </w:rPr>
            </w:pPr>
          </w:p>
        </w:tc>
        <w:tc>
          <w:tcPr>
            <w:tcW w:w="446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60" w:type="dxa"/>
            <w:vAlign w:val="bottom"/>
          </w:tcPr>
          <w:p>
            <w:pPr>
              <w:spacing w:after="0"/>
              <w:rPr>
                <w:sz w:val="12"/>
                <w:szCs w:val="12"/>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Date</w:t>
            </w:r>
          </w:p>
        </w:tc>
      </w:tr>
      <w:tr>
        <w:trPr>
          <w:trHeight w:val="322"/>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George C. Zoley</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Chairman, Chief Executive Officer and 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George C. Zoley</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480" w:type="dxa"/>
            <w:vAlign w:val="bottom"/>
          </w:tcPr>
          <w:p>
            <w:pPr>
              <w:spacing w:after="0"/>
              <w:rPr>
                <w:sz w:val="15"/>
                <w:szCs w:val="15"/>
                <w:color w:val="auto"/>
              </w:rPr>
            </w:pPr>
          </w:p>
        </w:tc>
      </w:tr>
      <w:tr>
        <w:trPr>
          <w:trHeight w:val="339"/>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Chief Financial Officer, Treasurer and 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Financial Officer)</w:t>
            </w:r>
          </w:p>
        </w:tc>
        <w:tc>
          <w:tcPr>
            <w:tcW w:w="1480" w:type="dxa"/>
            <w:vAlign w:val="bottom"/>
          </w:tcPr>
          <w:p>
            <w:pPr>
              <w:spacing w:after="0"/>
              <w:rPr>
                <w:sz w:val="15"/>
                <w:szCs w:val="15"/>
                <w:color w:val="auto"/>
              </w:rPr>
            </w:pPr>
          </w:p>
        </w:tc>
      </w:tr>
      <w:tr>
        <w:trPr>
          <w:trHeight w:val="339"/>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Ronald A. Brack</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Accounting</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Ronald A. Brack</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Accounting Officer)</w:t>
            </w:r>
          </w:p>
        </w:tc>
        <w:tc>
          <w:tcPr>
            <w:tcW w:w="1480" w:type="dxa"/>
            <w:vAlign w:val="bottom"/>
          </w:tcPr>
          <w:p>
            <w:pPr>
              <w:spacing w:after="0"/>
              <w:rPr>
                <w:sz w:val="15"/>
                <w:szCs w:val="15"/>
                <w:color w:val="auto"/>
              </w:rPr>
            </w:pPr>
          </w:p>
        </w:tc>
      </w:tr>
      <w:tr>
        <w:trPr>
          <w:trHeight w:val="340"/>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Paul Laird</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Secure Services and 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Paul Laird</w:t>
            </w:r>
          </w:p>
        </w:tc>
        <w:tc>
          <w:tcPr>
            <w:tcW w:w="10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40"/>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Scott A. Schipma</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Secretary and 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Scott A. Schipma</w:t>
            </w:r>
          </w:p>
        </w:tc>
        <w:tc>
          <w:tcPr>
            <w:tcW w:w="10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86"/>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20" w:type="dxa"/>
            <w:vAlign w:val="bottom"/>
            <w:gridSpan w:val="2"/>
          </w:tcPr>
          <w:p>
            <w:pPr>
              <w:ind w:left="1580"/>
              <w:spacing w:after="0"/>
              <w:rPr>
                <w:sz w:val="20"/>
                <w:szCs w:val="20"/>
                <w:color w:val="auto"/>
              </w:rPr>
            </w:pPr>
            <w:r>
              <w:rPr>
                <w:rFonts w:ascii="Times New Roman" w:cs="Times New Roman" w:eastAsia="Times New Roman" w:hAnsi="Times New Roman"/>
                <w:sz w:val="14"/>
                <w:szCs w:val="14"/>
                <w:color w:val="auto"/>
              </w:rPr>
              <w:t>II-65</w:t>
            </w:r>
          </w:p>
        </w:tc>
        <w:tc>
          <w:tcPr>
            <w:tcW w:w="1480" w:type="dxa"/>
            <w:vAlign w:val="bottom"/>
          </w:tcPr>
          <w:p>
            <w:pPr>
              <w:spacing w:after="0"/>
              <w:rPr>
                <w:sz w:val="24"/>
                <w:szCs w:val="24"/>
                <w:color w:val="auto"/>
              </w:rPr>
            </w:pPr>
          </w:p>
        </w:tc>
      </w:tr>
    </w:tbl>
    <w:p>
      <w:pPr>
        <w:sectPr>
          <w:pgSz w:w="11900" w:h="16838" w:orient="portrait"/>
          <w:cols w:equalWidth="0" w:num="1">
            <w:col w:w="9019"/>
          </w:cols>
          <w:pgMar w:left="1440" w:top="243" w:right="1440" w:bottom="1440" w:gutter="0" w:footer="0" w:header="0"/>
        </w:sectPr>
      </w:pPr>
    </w:p>
    <w:bookmarkStart w:id="96" w:name="page97"/>
    <w:bookmarkEnd w:id="96"/>
    <w:p>
      <w:pPr>
        <w:ind w:left="120" w:right="179" w:firstLine="350"/>
        <w:spacing w:after="0" w:line="29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1">
                      <a:extLst>
                        <a:ext uri="{28A0092B-C50C-407E-A947-70E740481C1C}"/>
                      </a:extLst>
                    </a:blip>
                    <a:srcRect/>
                    <a:stretch>
                      <a:fillRect/>
                    </a:stretch>
                  </pic:blipFill>
                  <pic:spPr bwMode="auto">
                    <a:xfrm>
                      <a:off x="0" y="0"/>
                      <a:ext cx="7199630" cy="33020"/>
                    </a:xfrm>
                    <a:prstGeom prst="rect">
                      <a:avLst/>
                    </a:prstGeom>
                    <a:noFill/>
                  </pic:spPr>
                </pic:pic>
              </a:graphicData>
            </a:graphic>
          </wp:anchor>
        </w:drawing>
        <w:t>Pursuant to the requirements of the Securities Act of 1933, the undersigned Registrant has duly caused this Registration Statement to be signed on its behalf by the undersigned, thereunto duly authorized, in the City of Boca Raton, State of Florida, on the 30th day of October, 2026.</w:t>
      </w:r>
    </w:p>
    <w:p>
      <w:pPr>
        <w:spacing w:after="0" w:line="14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b w:val="1"/>
          <w:bCs w:val="1"/>
          <w:color w:val="auto"/>
        </w:rPr>
        <w:t>GEO Leasing, LLC</w:t>
      </w:r>
    </w:p>
    <w:p>
      <w:pPr>
        <w:spacing w:after="0" w:line="18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By: /s/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3606165</wp:posOffset>
            </wp:positionH>
            <wp:positionV relativeFrom="paragraph">
              <wp:posOffset>15875</wp:posOffset>
            </wp:positionV>
            <wp:extent cx="2037080" cy="69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2">
                      <a:extLst>
                        <a:ext uri="{28A0092B-C50C-407E-A947-70E740481C1C}"/>
                      </a:extLst>
                    </a:blip>
                    <a:srcRect/>
                    <a:stretch>
                      <a:fillRect/>
                    </a:stretch>
                  </pic:blipFill>
                  <pic:spPr bwMode="auto">
                    <a:xfrm>
                      <a:off x="0" y="0"/>
                      <a:ext cx="2037080" cy="6985"/>
                    </a:xfrm>
                    <a:prstGeom prst="rect">
                      <a:avLst/>
                    </a:prstGeom>
                    <a:noFill/>
                  </pic:spPr>
                </pic:pic>
              </a:graphicData>
            </a:graphic>
          </wp:anchor>
        </w:drawing>
      </w:r>
    </w:p>
    <w:p>
      <w:pPr>
        <w:spacing w:after="0" w:line="1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Name:  Shayn P. March</w:t>
      </w:r>
    </w:p>
    <w:p>
      <w:pPr>
        <w:spacing w:after="0" w:line="2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Title:    Vice President, Chief Financial Officer,</w:t>
      </w:r>
    </w:p>
    <w:p>
      <w:pPr>
        <w:spacing w:after="0" w:line="1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4"/>
          <w:szCs w:val="14"/>
          <w:color w:val="auto"/>
        </w:rPr>
        <w:t>Treasurer and Manager</w:t>
      </w:r>
    </w:p>
    <w:p>
      <w:pPr>
        <w:spacing w:after="0" w:line="167" w:lineRule="exact"/>
        <w:rPr>
          <w:sz w:val="20"/>
          <w:szCs w:val="20"/>
          <w:color w:val="auto"/>
        </w:rPr>
      </w:pPr>
    </w:p>
    <w:p>
      <w:pPr>
        <w:ind w:left="120" w:right="239" w:firstLine="350"/>
        <w:spacing w:after="0" w:line="261" w:lineRule="auto"/>
        <w:rPr>
          <w:sz w:val="20"/>
          <w:szCs w:val="20"/>
          <w:color w:val="auto"/>
        </w:rPr>
      </w:pPr>
      <w:r>
        <w:rPr>
          <w:rFonts w:ascii="Times New Roman" w:cs="Times New Roman" w:eastAsia="Times New Roman" w:hAnsi="Times New Roman"/>
          <w:sz w:val="14"/>
          <w:szCs w:val="14"/>
          <w:b w:val="1"/>
          <w:bCs w:val="1"/>
          <w:color w:val="auto"/>
        </w:rPr>
        <w:t>KNOWN ALL MEN BY THESE PRESENTS</w:t>
      </w:r>
      <w:r>
        <w:rPr>
          <w:rFonts w:ascii="Times New Roman" w:cs="Times New Roman" w:eastAsia="Times New Roman" w:hAnsi="Times New Roman"/>
          <w:sz w:val="14"/>
          <w:szCs w:val="14"/>
          <w:color w:val="auto"/>
        </w:rPr>
        <w:t>, that each person whose signature appears below hereby constitutes and appoints Shayn P.</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March, Vice President, Chief Financial Officer and Treasurer, and Scott A. Schipma, Vice President and Secretary, and each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146" w:lineRule="exact"/>
        <w:rPr>
          <w:sz w:val="20"/>
          <w:szCs w:val="20"/>
          <w:color w:val="auto"/>
        </w:rPr>
      </w:pPr>
    </w:p>
    <w:p>
      <w:pPr>
        <w:ind w:left="120" w:right="239" w:firstLine="350"/>
        <w:spacing w:after="0" w:line="292"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and on the date indicated.</w:t>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254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00" w:type="dxa"/>
            <w:vAlign w:val="bottom"/>
          </w:tcPr>
          <w:p>
            <w:pPr>
              <w:spacing w:after="0"/>
              <w:rPr>
                <w:sz w:val="12"/>
                <w:szCs w:val="12"/>
                <w:color w:val="auto"/>
              </w:rPr>
            </w:pPr>
          </w:p>
        </w:tc>
        <w:tc>
          <w:tcPr>
            <w:tcW w:w="446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60" w:type="dxa"/>
            <w:vAlign w:val="bottom"/>
          </w:tcPr>
          <w:p>
            <w:pPr>
              <w:spacing w:after="0"/>
              <w:rPr>
                <w:sz w:val="12"/>
                <w:szCs w:val="12"/>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Date</w:t>
            </w:r>
          </w:p>
        </w:tc>
      </w:tr>
      <w:tr>
        <w:trPr>
          <w:trHeight w:val="322"/>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Chief Financial Officer, Treasurer and Manager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Executive and Financial Officer)</w:t>
            </w:r>
          </w:p>
        </w:tc>
        <w:tc>
          <w:tcPr>
            <w:tcW w:w="1480" w:type="dxa"/>
            <w:vAlign w:val="bottom"/>
          </w:tcPr>
          <w:p>
            <w:pPr>
              <w:spacing w:after="0"/>
              <w:rPr>
                <w:sz w:val="15"/>
                <w:szCs w:val="15"/>
                <w:color w:val="auto"/>
              </w:rPr>
            </w:pPr>
          </w:p>
        </w:tc>
      </w:tr>
      <w:tr>
        <w:trPr>
          <w:trHeight w:val="339"/>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Ronald A. Brack</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Accounting</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Ronald A. Brack</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Accounting Officer)</w:t>
            </w:r>
          </w:p>
        </w:tc>
        <w:tc>
          <w:tcPr>
            <w:tcW w:w="1480" w:type="dxa"/>
            <w:vAlign w:val="bottom"/>
          </w:tcPr>
          <w:p>
            <w:pPr>
              <w:spacing w:after="0"/>
              <w:rPr>
                <w:sz w:val="15"/>
                <w:szCs w:val="15"/>
                <w:color w:val="auto"/>
              </w:rPr>
            </w:pPr>
          </w:p>
        </w:tc>
      </w:tr>
      <w:tr>
        <w:trPr>
          <w:trHeight w:val="340"/>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Scott A. Schipma</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Secretary and Manager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Scott A. Schipma</w:t>
            </w:r>
          </w:p>
        </w:tc>
        <w:tc>
          <w:tcPr>
            <w:tcW w:w="10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40"/>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George C. Zoley</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Manager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George C. Zoley</w:t>
            </w:r>
          </w:p>
        </w:tc>
        <w:tc>
          <w:tcPr>
            <w:tcW w:w="10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39"/>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Chief Financial Officer, Treasurer and Director of GEO</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Corrections Holdings, Inc., the Sole Member of GEO Leasing, LLC</w:t>
            </w:r>
          </w:p>
        </w:tc>
        <w:tc>
          <w:tcPr>
            <w:tcW w:w="1480" w:type="dxa"/>
            <w:vAlign w:val="bottom"/>
          </w:tcPr>
          <w:p>
            <w:pPr>
              <w:spacing w:after="0"/>
              <w:rPr>
                <w:sz w:val="15"/>
                <w:szCs w:val="15"/>
                <w:color w:val="auto"/>
              </w:rPr>
            </w:pPr>
          </w:p>
        </w:tc>
      </w:tr>
      <w:tr>
        <w:trPr>
          <w:trHeight w:val="286"/>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20" w:type="dxa"/>
            <w:vAlign w:val="bottom"/>
            <w:gridSpan w:val="2"/>
          </w:tcPr>
          <w:p>
            <w:pPr>
              <w:ind w:left="1580"/>
              <w:spacing w:after="0"/>
              <w:rPr>
                <w:sz w:val="20"/>
                <w:szCs w:val="20"/>
                <w:color w:val="auto"/>
              </w:rPr>
            </w:pPr>
            <w:r>
              <w:rPr>
                <w:rFonts w:ascii="Times New Roman" w:cs="Times New Roman" w:eastAsia="Times New Roman" w:hAnsi="Times New Roman"/>
                <w:sz w:val="14"/>
                <w:szCs w:val="14"/>
                <w:color w:val="auto"/>
              </w:rPr>
              <w:t>II-66</w:t>
            </w:r>
          </w:p>
        </w:tc>
        <w:tc>
          <w:tcPr>
            <w:tcW w:w="1480" w:type="dxa"/>
            <w:vAlign w:val="bottom"/>
          </w:tcPr>
          <w:p>
            <w:pPr>
              <w:spacing w:after="0"/>
              <w:rPr>
                <w:sz w:val="24"/>
                <w:szCs w:val="24"/>
                <w:color w:val="auto"/>
              </w:rPr>
            </w:pPr>
          </w:p>
        </w:tc>
      </w:tr>
    </w:tbl>
    <w:p>
      <w:pPr>
        <w:sectPr>
          <w:pgSz w:w="11900" w:h="16838" w:orient="portrait"/>
          <w:cols w:equalWidth="0" w:num="1">
            <w:col w:w="9019"/>
          </w:cols>
          <w:pgMar w:left="1440" w:top="243" w:right="1440" w:bottom="1440" w:gutter="0" w:footer="0" w:header="0"/>
        </w:sectPr>
      </w:pPr>
    </w:p>
    <w:bookmarkStart w:id="97" w:name="page98"/>
    <w:bookmarkEnd w:id="97"/>
    <w:p>
      <w:pPr>
        <w:ind w:left="120" w:right="179" w:firstLine="350"/>
        <w:spacing w:after="0" w:line="29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3">
                      <a:extLst>
                        <a:ext uri="{28A0092B-C50C-407E-A947-70E740481C1C}"/>
                      </a:extLst>
                    </a:blip>
                    <a:srcRect/>
                    <a:stretch>
                      <a:fillRect/>
                    </a:stretch>
                  </pic:blipFill>
                  <pic:spPr bwMode="auto">
                    <a:xfrm>
                      <a:off x="0" y="0"/>
                      <a:ext cx="7199630" cy="33020"/>
                    </a:xfrm>
                    <a:prstGeom prst="rect">
                      <a:avLst/>
                    </a:prstGeom>
                    <a:noFill/>
                  </pic:spPr>
                </pic:pic>
              </a:graphicData>
            </a:graphic>
          </wp:anchor>
        </w:drawing>
        <w:t>Pursuant to the requirements of the Securities Act of 1933, the undersigned Registrant has duly caused this Registration Statement to be signed on its behalf by the undersigned, thereunto duly authorized, in the City of Boca Raton, State of Florida, on the 30th day of October, 2026.</w:t>
      </w:r>
    </w:p>
    <w:p>
      <w:pPr>
        <w:spacing w:after="0" w:line="14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b w:val="1"/>
          <w:bCs w:val="1"/>
          <w:color w:val="auto"/>
        </w:rPr>
        <w:t>GEO Management Services, Inc.</w:t>
      </w:r>
    </w:p>
    <w:p>
      <w:pPr>
        <w:spacing w:after="0" w:line="18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By: /s/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3606165</wp:posOffset>
            </wp:positionH>
            <wp:positionV relativeFrom="paragraph">
              <wp:posOffset>15875</wp:posOffset>
            </wp:positionV>
            <wp:extent cx="2037080" cy="69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4">
                      <a:extLst>
                        <a:ext uri="{28A0092B-C50C-407E-A947-70E740481C1C}"/>
                      </a:extLst>
                    </a:blip>
                    <a:srcRect/>
                    <a:stretch>
                      <a:fillRect/>
                    </a:stretch>
                  </pic:blipFill>
                  <pic:spPr bwMode="auto">
                    <a:xfrm>
                      <a:off x="0" y="0"/>
                      <a:ext cx="2037080" cy="6985"/>
                    </a:xfrm>
                    <a:prstGeom prst="rect">
                      <a:avLst/>
                    </a:prstGeom>
                    <a:noFill/>
                  </pic:spPr>
                </pic:pic>
              </a:graphicData>
            </a:graphic>
          </wp:anchor>
        </w:drawing>
      </w:r>
    </w:p>
    <w:p>
      <w:pPr>
        <w:spacing w:after="0" w:line="1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Name:  Shayn P. March</w:t>
      </w:r>
    </w:p>
    <w:p>
      <w:pPr>
        <w:spacing w:after="0" w:line="2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Title:    Vice President, Chief Financial Officer,</w:t>
      </w:r>
    </w:p>
    <w:p>
      <w:pPr>
        <w:spacing w:after="0" w:line="1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4"/>
          <w:szCs w:val="14"/>
          <w:color w:val="auto"/>
        </w:rPr>
        <w:t>Treasurer and Director</w:t>
      </w:r>
    </w:p>
    <w:p>
      <w:pPr>
        <w:spacing w:after="0" w:line="167" w:lineRule="exact"/>
        <w:rPr>
          <w:sz w:val="20"/>
          <w:szCs w:val="20"/>
          <w:color w:val="auto"/>
        </w:rPr>
      </w:pPr>
    </w:p>
    <w:p>
      <w:pPr>
        <w:ind w:left="120" w:right="239" w:firstLine="350"/>
        <w:spacing w:after="0" w:line="261" w:lineRule="auto"/>
        <w:rPr>
          <w:sz w:val="20"/>
          <w:szCs w:val="20"/>
          <w:color w:val="auto"/>
        </w:rPr>
      </w:pPr>
      <w:r>
        <w:rPr>
          <w:rFonts w:ascii="Times New Roman" w:cs="Times New Roman" w:eastAsia="Times New Roman" w:hAnsi="Times New Roman"/>
          <w:sz w:val="14"/>
          <w:szCs w:val="14"/>
          <w:b w:val="1"/>
          <w:bCs w:val="1"/>
          <w:color w:val="auto"/>
        </w:rPr>
        <w:t>KNOWN ALL MEN BY THESE PRESENTS</w:t>
      </w:r>
      <w:r>
        <w:rPr>
          <w:rFonts w:ascii="Times New Roman" w:cs="Times New Roman" w:eastAsia="Times New Roman" w:hAnsi="Times New Roman"/>
          <w:sz w:val="14"/>
          <w:szCs w:val="14"/>
          <w:color w:val="auto"/>
        </w:rPr>
        <w:t>, that each person whose signature appears below hereby constitutes and appoints Shayn P.</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March, Vice President, Chief Financial Officer and Treasurer, and Scott A. Schipma, Vice President and Secretary, and each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146" w:lineRule="exact"/>
        <w:rPr>
          <w:sz w:val="20"/>
          <w:szCs w:val="20"/>
          <w:color w:val="auto"/>
        </w:rPr>
      </w:pPr>
    </w:p>
    <w:p>
      <w:pPr>
        <w:ind w:left="120" w:right="239" w:firstLine="350"/>
        <w:spacing w:after="0" w:line="292"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and on the date indicated.</w:t>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254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00" w:type="dxa"/>
            <w:vAlign w:val="bottom"/>
          </w:tcPr>
          <w:p>
            <w:pPr>
              <w:spacing w:after="0"/>
              <w:rPr>
                <w:sz w:val="12"/>
                <w:szCs w:val="12"/>
                <w:color w:val="auto"/>
              </w:rPr>
            </w:pPr>
          </w:p>
        </w:tc>
        <w:tc>
          <w:tcPr>
            <w:tcW w:w="446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60" w:type="dxa"/>
            <w:vAlign w:val="bottom"/>
          </w:tcPr>
          <w:p>
            <w:pPr>
              <w:spacing w:after="0"/>
              <w:rPr>
                <w:sz w:val="12"/>
                <w:szCs w:val="12"/>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Date</w:t>
            </w:r>
          </w:p>
        </w:tc>
      </w:tr>
      <w:tr>
        <w:trPr>
          <w:trHeight w:val="322"/>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George C. Zoley</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Chairman, Chief Executive Officer and 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George C. Zoley</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480" w:type="dxa"/>
            <w:vAlign w:val="bottom"/>
          </w:tcPr>
          <w:p>
            <w:pPr>
              <w:spacing w:after="0"/>
              <w:rPr>
                <w:sz w:val="15"/>
                <w:szCs w:val="15"/>
                <w:color w:val="auto"/>
              </w:rPr>
            </w:pPr>
          </w:p>
        </w:tc>
      </w:tr>
      <w:tr>
        <w:trPr>
          <w:trHeight w:val="339"/>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Chief Financial Officer, Treasurer and 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Financial Officer)</w:t>
            </w:r>
          </w:p>
        </w:tc>
        <w:tc>
          <w:tcPr>
            <w:tcW w:w="1480" w:type="dxa"/>
            <w:vAlign w:val="bottom"/>
          </w:tcPr>
          <w:p>
            <w:pPr>
              <w:spacing w:after="0"/>
              <w:rPr>
                <w:sz w:val="15"/>
                <w:szCs w:val="15"/>
                <w:color w:val="auto"/>
              </w:rPr>
            </w:pPr>
          </w:p>
        </w:tc>
      </w:tr>
      <w:tr>
        <w:trPr>
          <w:trHeight w:val="339"/>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Ronald A. Brack</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Accounting</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Ronald A. Brack</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Accounting Officer)</w:t>
            </w:r>
          </w:p>
        </w:tc>
        <w:tc>
          <w:tcPr>
            <w:tcW w:w="1480" w:type="dxa"/>
            <w:vAlign w:val="bottom"/>
          </w:tcPr>
          <w:p>
            <w:pPr>
              <w:spacing w:after="0"/>
              <w:rPr>
                <w:sz w:val="15"/>
                <w:szCs w:val="15"/>
                <w:color w:val="auto"/>
              </w:rPr>
            </w:pPr>
          </w:p>
        </w:tc>
      </w:tr>
      <w:tr>
        <w:trPr>
          <w:trHeight w:val="340"/>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Scott A. Schipma</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Secretary and 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Scott A. Schipma</w:t>
            </w:r>
          </w:p>
        </w:tc>
        <w:tc>
          <w:tcPr>
            <w:tcW w:w="10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86"/>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20" w:type="dxa"/>
            <w:vAlign w:val="bottom"/>
            <w:gridSpan w:val="2"/>
          </w:tcPr>
          <w:p>
            <w:pPr>
              <w:ind w:left="1580"/>
              <w:spacing w:after="0"/>
              <w:rPr>
                <w:sz w:val="20"/>
                <w:szCs w:val="20"/>
                <w:color w:val="auto"/>
              </w:rPr>
            </w:pPr>
            <w:r>
              <w:rPr>
                <w:rFonts w:ascii="Times New Roman" w:cs="Times New Roman" w:eastAsia="Times New Roman" w:hAnsi="Times New Roman"/>
                <w:sz w:val="14"/>
                <w:szCs w:val="14"/>
                <w:color w:val="auto"/>
              </w:rPr>
              <w:t>II-67</w:t>
            </w:r>
          </w:p>
        </w:tc>
        <w:tc>
          <w:tcPr>
            <w:tcW w:w="1480" w:type="dxa"/>
            <w:vAlign w:val="bottom"/>
          </w:tcPr>
          <w:p>
            <w:pPr>
              <w:spacing w:after="0"/>
              <w:rPr>
                <w:sz w:val="24"/>
                <w:szCs w:val="24"/>
                <w:color w:val="auto"/>
              </w:rPr>
            </w:pPr>
          </w:p>
        </w:tc>
      </w:tr>
    </w:tbl>
    <w:p>
      <w:pPr>
        <w:sectPr>
          <w:pgSz w:w="11900" w:h="16838" w:orient="portrait"/>
          <w:cols w:equalWidth="0" w:num="1">
            <w:col w:w="9019"/>
          </w:cols>
          <w:pgMar w:left="1440" w:top="243" w:right="1440" w:bottom="1440" w:gutter="0" w:footer="0" w:header="0"/>
        </w:sectPr>
      </w:pPr>
    </w:p>
    <w:bookmarkStart w:id="98" w:name="page99"/>
    <w:bookmarkEnd w:id="98"/>
    <w:p>
      <w:pPr>
        <w:ind w:left="120" w:right="179" w:firstLine="350"/>
        <w:spacing w:after="0" w:line="29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5">
                      <a:extLst>
                        <a:ext uri="{28A0092B-C50C-407E-A947-70E740481C1C}"/>
                      </a:extLst>
                    </a:blip>
                    <a:srcRect/>
                    <a:stretch>
                      <a:fillRect/>
                    </a:stretch>
                  </pic:blipFill>
                  <pic:spPr bwMode="auto">
                    <a:xfrm>
                      <a:off x="0" y="0"/>
                      <a:ext cx="7199630" cy="33020"/>
                    </a:xfrm>
                    <a:prstGeom prst="rect">
                      <a:avLst/>
                    </a:prstGeom>
                    <a:noFill/>
                  </pic:spPr>
                </pic:pic>
              </a:graphicData>
            </a:graphic>
          </wp:anchor>
        </w:drawing>
        <w:t>Pursuant to the requirements of the Securities Act of 1933, the undersigned Registrant has duly caused this Registration Statement to be signed on its behalf by the undersigned, thereunto duly authorized, in the City of Boca Raton, State of Florida, on the 30th day of October, 2026.</w:t>
      </w:r>
    </w:p>
    <w:p>
      <w:pPr>
        <w:spacing w:after="0" w:line="14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b w:val="1"/>
          <w:bCs w:val="1"/>
          <w:color w:val="auto"/>
        </w:rPr>
        <w:t>GEO MCF LP, LLC</w:t>
      </w:r>
    </w:p>
    <w:p>
      <w:pPr>
        <w:spacing w:after="0" w:line="18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By: /s/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3606165</wp:posOffset>
            </wp:positionH>
            <wp:positionV relativeFrom="paragraph">
              <wp:posOffset>15875</wp:posOffset>
            </wp:positionV>
            <wp:extent cx="2037080" cy="69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6">
                      <a:extLst>
                        <a:ext uri="{28A0092B-C50C-407E-A947-70E740481C1C}"/>
                      </a:extLst>
                    </a:blip>
                    <a:srcRect/>
                    <a:stretch>
                      <a:fillRect/>
                    </a:stretch>
                  </pic:blipFill>
                  <pic:spPr bwMode="auto">
                    <a:xfrm>
                      <a:off x="0" y="0"/>
                      <a:ext cx="2037080" cy="6985"/>
                    </a:xfrm>
                    <a:prstGeom prst="rect">
                      <a:avLst/>
                    </a:prstGeom>
                    <a:noFill/>
                  </pic:spPr>
                </pic:pic>
              </a:graphicData>
            </a:graphic>
          </wp:anchor>
        </w:drawing>
      </w:r>
    </w:p>
    <w:p>
      <w:pPr>
        <w:spacing w:after="0" w:line="1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Name:  Shayn P. March</w:t>
      </w:r>
    </w:p>
    <w:p>
      <w:pPr>
        <w:spacing w:after="0" w:line="2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Title:    Vice President, Chief Financial Officer,</w:t>
      </w:r>
    </w:p>
    <w:p>
      <w:pPr>
        <w:spacing w:after="0" w:line="1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4"/>
          <w:szCs w:val="14"/>
          <w:color w:val="auto"/>
        </w:rPr>
        <w:t>Treasurer and Manager</w:t>
      </w:r>
    </w:p>
    <w:p>
      <w:pPr>
        <w:spacing w:after="0" w:line="167" w:lineRule="exact"/>
        <w:rPr>
          <w:sz w:val="20"/>
          <w:szCs w:val="20"/>
          <w:color w:val="auto"/>
        </w:rPr>
      </w:pPr>
    </w:p>
    <w:p>
      <w:pPr>
        <w:ind w:left="120" w:right="239" w:firstLine="350"/>
        <w:spacing w:after="0" w:line="261" w:lineRule="auto"/>
        <w:rPr>
          <w:sz w:val="20"/>
          <w:szCs w:val="20"/>
          <w:color w:val="auto"/>
        </w:rPr>
      </w:pPr>
      <w:r>
        <w:rPr>
          <w:rFonts w:ascii="Times New Roman" w:cs="Times New Roman" w:eastAsia="Times New Roman" w:hAnsi="Times New Roman"/>
          <w:sz w:val="14"/>
          <w:szCs w:val="14"/>
          <w:b w:val="1"/>
          <w:bCs w:val="1"/>
          <w:color w:val="auto"/>
        </w:rPr>
        <w:t>KNOWN ALL MEN BY THESE PRESENTS</w:t>
      </w:r>
      <w:r>
        <w:rPr>
          <w:rFonts w:ascii="Times New Roman" w:cs="Times New Roman" w:eastAsia="Times New Roman" w:hAnsi="Times New Roman"/>
          <w:sz w:val="14"/>
          <w:szCs w:val="14"/>
          <w:color w:val="auto"/>
        </w:rPr>
        <w:t>, that each person whose signature appears below hereby constitutes and appoints Shayn P.</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March, Vice President, Chief Financial Officer and Treasurer, and Scott A. Schipma, Vice President and Secretary, and each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146" w:lineRule="exact"/>
        <w:rPr>
          <w:sz w:val="20"/>
          <w:szCs w:val="20"/>
          <w:color w:val="auto"/>
        </w:rPr>
      </w:pPr>
    </w:p>
    <w:p>
      <w:pPr>
        <w:ind w:left="120" w:right="239" w:firstLine="350"/>
        <w:spacing w:after="0" w:line="292"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and on the date indicated.</w:t>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254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00" w:type="dxa"/>
            <w:vAlign w:val="bottom"/>
          </w:tcPr>
          <w:p>
            <w:pPr>
              <w:spacing w:after="0"/>
              <w:rPr>
                <w:sz w:val="12"/>
                <w:szCs w:val="12"/>
                <w:color w:val="auto"/>
              </w:rPr>
            </w:pPr>
          </w:p>
        </w:tc>
        <w:tc>
          <w:tcPr>
            <w:tcW w:w="446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60" w:type="dxa"/>
            <w:vAlign w:val="bottom"/>
          </w:tcPr>
          <w:p>
            <w:pPr>
              <w:spacing w:after="0"/>
              <w:rPr>
                <w:sz w:val="12"/>
                <w:szCs w:val="12"/>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Date</w:t>
            </w:r>
          </w:p>
        </w:tc>
      </w:tr>
      <w:tr>
        <w:trPr>
          <w:trHeight w:val="322"/>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George C. Zoley</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Chairman, Chief Executive Officer and Manager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George C. Zoley</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480" w:type="dxa"/>
            <w:vAlign w:val="bottom"/>
          </w:tcPr>
          <w:p>
            <w:pPr>
              <w:spacing w:after="0"/>
              <w:rPr>
                <w:sz w:val="15"/>
                <w:szCs w:val="15"/>
                <w:color w:val="auto"/>
              </w:rPr>
            </w:pPr>
          </w:p>
        </w:tc>
      </w:tr>
      <w:tr>
        <w:trPr>
          <w:trHeight w:val="339"/>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Chief Financial Officer, Treasurer and Manager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Financial and Accounting Officer)</w:t>
            </w:r>
          </w:p>
        </w:tc>
        <w:tc>
          <w:tcPr>
            <w:tcW w:w="1480" w:type="dxa"/>
            <w:vAlign w:val="bottom"/>
          </w:tcPr>
          <w:p>
            <w:pPr>
              <w:spacing w:after="0"/>
              <w:rPr>
                <w:sz w:val="15"/>
                <w:szCs w:val="15"/>
                <w:color w:val="auto"/>
              </w:rPr>
            </w:pPr>
          </w:p>
        </w:tc>
      </w:tr>
      <w:tr>
        <w:trPr>
          <w:trHeight w:val="340"/>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Scott A. Schipma</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Secretary and Manager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Scott A. Schipma</w:t>
            </w:r>
          </w:p>
        </w:tc>
        <w:tc>
          <w:tcPr>
            <w:tcW w:w="10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39"/>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Chief Financial Officer, Treasurer and Director of Cornell</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Companies, Inc., the Sole Member of GEO MCF LP, LLC</w:t>
            </w:r>
          </w:p>
        </w:tc>
        <w:tc>
          <w:tcPr>
            <w:tcW w:w="1480" w:type="dxa"/>
            <w:vAlign w:val="bottom"/>
          </w:tcPr>
          <w:p>
            <w:pPr>
              <w:spacing w:after="0"/>
              <w:rPr>
                <w:sz w:val="15"/>
                <w:szCs w:val="15"/>
                <w:color w:val="auto"/>
              </w:rPr>
            </w:pPr>
          </w:p>
        </w:tc>
      </w:tr>
      <w:tr>
        <w:trPr>
          <w:trHeight w:val="286"/>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20" w:type="dxa"/>
            <w:vAlign w:val="bottom"/>
            <w:gridSpan w:val="2"/>
          </w:tcPr>
          <w:p>
            <w:pPr>
              <w:ind w:left="1580"/>
              <w:spacing w:after="0"/>
              <w:rPr>
                <w:sz w:val="20"/>
                <w:szCs w:val="20"/>
                <w:color w:val="auto"/>
              </w:rPr>
            </w:pPr>
            <w:r>
              <w:rPr>
                <w:rFonts w:ascii="Times New Roman" w:cs="Times New Roman" w:eastAsia="Times New Roman" w:hAnsi="Times New Roman"/>
                <w:sz w:val="14"/>
                <w:szCs w:val="14"/>
                <w:color w:val="auto"/>
              </w:rPr>
              <w:t>II-68</w:t>
            </w:r>
          </w:p>
        </w:tc>
        <w:tc>
          <w:tcPr>
            <w:tcW w:w="1480" w:type="dxa"/>
            <w:vAlign w:val="bottom"/>
          </w:tcPr>
          <w:p>
            <w:pPr>
              <w:spacing w:after="0"/>
              <w:rPr>
                <w:sz w:val="24"/>
                <w:szCs w:val="24"/>
                <w:color w:val="auto"/>
              </w:rPr>
            </w:pPr>
          </w:p>
        </w:tc>
      </w:tr>
    </w:tbl>
    <w:p>
      <w:pPr>
        <w:sectPr>
          <w:pgSz w:w="11900" w:h="16838" w:orient="portrait"/>
          <w:cols w:equalWidth="0" w:num="1">
            <w:col w:w="9019"/>
          </w:cols>
          <w:pgMar w:left="1440" w:top="243" w:right="1440" w:bottom="1440" w:gutter="0" w:footer="0" w:header="0"/>
        </w:sectPr>
      </w:pPr>
    </w:p>
    <w:bookmarkStart w:id="99" w:name="page100"/>
    <w:bookmarkEnd w:id="99"/>
    <w:p>
      <w:pPr>
        <w:ind w:left="120" w:right="179" w:firstLine="350"/>
        <w:spacing w:after="0" w:line="29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7">
                      <a:extLst>
                        <a:ext uri="{28A0092B-C50C-407E-A947-70E740481C1C}"/>
                      </a:extLst>
                    </a:blip>
                    <a:srcRect/>
                    <a:stretch>
                      <a:fillRect/>
                    </a:stretch>
                  </pic:blipFill>
                  <pic:spPr bwMode="auto">
                    <a:xfrm>
                      <a:off x="0" y="0"/>
                      <a:ext cx="7199630" cy="33020"/>
                    </a:xfrm>
                    <a:prstGeom prst="rect">
                      <a:avLst/>
                    </a:prstGeom>
                    <a:noFill/>
                  </pic:spPr>
                </pic:pic>
              </a:graphicData>
            </a:graphic>
          </wp:anchor>
        </w:drawing>
        <w:t>Pursuant to the requirements of the Securities Act of 1933, the undersigned Registrant has duly caused this Registration Statement to be signed on its behalf by the undersigned, thereunto duly authorized, in the City of Boca Raton, State of Florida, on the 30th day of October, 2026.</w:t>
      </w:r>
    </w:p>
    <w:p>
      <w:pPr>
        <w:spacing w:after="0" w:line="14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b w:val="1"/>
          <w:bCs w:val="1"/>
          <w:color w:val="auto"/>
        </w:rPr>
        <w:t>GEO RE Holdings LLC</w:t>
      </w:r>
    </w:p>
    <w:p>
      <w:pPr>
        <w:spacing w:after="0" w:line="18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By: /s/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3606165</wp:posOffset>
            </wp:positionH>
            <wp:positionV relativeFrom="paragraph">
              <wp:posOffset>15875</wp:posOffset>
            </wp:positionV>
            <wp:extent cx="2037080" cy="69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8">
                      <a:extLst>
                        <a:ext uri="{28A0092B-C50C-407E-A947-70E740481C1C}"/>
                      </a:extLst>
                    </a:blip>
                    <a:srcRect/>
                    <a:stretch>
                      <a:fillRect/>
                    </a:stretch>
                  </pic:blipFill>
                  <pic:spPr bwMode="auto">
                    <a:xfrm>
                      <a:off x="0" y="0"/>
                      <a:ext cx="2037080" cy="6985"/>
                    </a:xfrm>
                    <a:prstGeom prst="rect">
                      <a:avLst/>
                    </a:prstGeom>
                    <a:noFill/>
                  </pic:spPr>
                </pic:pic>
              </a:graphicData>
            </a:graphic>
          </wp:anchor>
        </w:drawing>
      </w:r>
    </w:p>
    <w:p>
      <w:pPr>
        <w:spacing w:after="0" w:line="1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Name:  Shayn P. March</w:t>
      </w:r>
    </w:p>
    <w:p>
      <w:pPr>
        <w:spacing w:after="0" w:line="2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Title:    Vice President and Treasurer</w:t>
      </w:r>
    </w:p>
    <w:p>
      <w:pPr>
        <w:spacing w:after="0" w:line="167" w:lineRule="exact"/>
        <w:rPr>
          <w:sz w:val="20"/>
          <w:szCs w:val="20"/>
          <w:color w:val="auto"/>
        </w:rPr>
      </w:pPr>
    </w:p>
    <w:p>
      <w:pPr>
        <w:ind w:left="120" w:right="159" w:firstLine="350"/>
        <w:spacing w:after="0" w:line="261" w:lineRule="auto"/>
        <w:rPr>
          <w:sz w:val="20"/>
          <w:szCs w:val="20"/>
          <w:color w:val="auto"/>
        </w:rPr>
      </w:pPr>
      <w:r>
        <w:rPr>
          <w:rFonts w:ascii="Times New Roman" w:cs="Times New Roman" w:eastAsia="Times New Roman" w:hAnsi="Times New Roman"/>
          <w:sz w:val="14"/>
          <w:szCs w:val="14"/>
          <w:b w:val="1"/>
          <w:bCs w:val="1"/>
          <w:color w:val="auto"/>
        </w:rPr>
        <w:t>KNOWN ALL MEN BY THESE PRESENTS</w:t>
      </w:r>
      <w:r>
        <w:rPr>
          <w:rFonts w:ascii="Times New Roman" w:cs="Times New Roman" w:eastAsia="Times New Roman" w:hAnsi="Times New Roman"/>
          <w:sz w:val="14"/>
          <w:szCs w:val="14"/>
          <w:color w:val="auto"/>
        </w:rPr>
        <w:t>, that each person whose signature appears below hereby constitutes and appoints Shayn P.</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March, Vice President and Treasurer, and Scott A. Schipma, Vice President and Secretary, and each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146" w:lineRule="exact"/>
        <w:rPr>
          <w:sz w:val="20"/>
          <w:szCs w:val="20"/>
          <w:color w:val="auto"/>
        </w:rPr>
      </w:pPr>
    </w:p>
    <w:p>
      <w:pPr>
        <w:ind w:left="120" w:right="239" w:firstLine="350"/>
        <w:spacing w:after="0" w:line="292"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and on the date indicated.</w:t>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254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00" w:type="dxa"/>
            <w:vAlign w:val="bottom"/>
          </w:tcPr>
          <w:p>
            <w:pPr>
              <w:spacing w:after="0"/>
              <w:rPr>
                <w:sz w:val="12"/>
                <w:szCs w:val="12"/>
                <w:color w:val="auto"/>
              </w:rPr>
            </w:pPr>
          </w:p>
        </w:tc>
        <w:tc>
          <w:tcPr>
            <w:tcW w:w="446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60" w:type="dxa"/>
            <w:vAlign w:val="bottom"/>
          </w:tcPr>
          <w:p>
            <w:pPr>
              <w:spacing w:after="0"/>
              <w:rPr>
                <w:sz w:val="12"/>
                <w:szCs w:val="12"/>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Date</w:t>
            </w:r>
          </w:p>
        </w:tc>
      </w:tr>
      <w:tr>
        <w:trPr>
          <w:trHeight w:val="322"/>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George C. Zoley</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Chairman and Chief Executive Officer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George C. Zoley</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480" w:type="dxa"/>
            <w:vAlign w:val="bottom"/>
          </w:tcPr>
          <w:p>
            <w:pPr>
              <w:spacing w:after="0"/>
              <w:rPr>
                <w:sz w:val="15"/>
                <w:szCs w:val="15"/>
                <w:color w:val="auto"/>
              </w:rPr>
            </w:pPr>
          </w:p>
        </w:tc>
      </w:tr>
      <w:tr>
        <w:trPr>
          <w:trHeight w:val="339"/>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and Treasurer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Financial Officer)</w:t>
            </w:r>
          </w:p>
        </w:tc>
        <w:tc>
          <w:tcPr>
            <w:tcW w:w="1480" w:type="dxa"/>
            <w:vAlign w:val="bottom"/>
          </w:tcPr>
          <w:p>
            <w:pPr>
              <w:spacing w:after="0"/>
              <w:rPr>
                <w:sz w:val="15"/>
                <w:szCs w:val="15"/>
                <w:color w:val="auto"/>
              </w:rPr>
            </w:pPr>
          </w:p>
        </w:tc>
      </w:tr>
      <w:tr>
        <w:trPr>
          <w:trHeight w:val="339"/>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Ronald A. Brack</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Accounting</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Ronald A. Brack</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Accounting Officer)</w:t>
            </w:r>
          </w:p>
        </w:tc>
        <w:tc>
          <w:tcPr>
            <w:tcW w:w="1480" w:type="dxa"/>
            <w:vAlign w:val="bottom"/>
          </w:tcPr>
          <w:p>
            <w:pPr>
              <w:spacing w:after="0"/>
              <w:rPr>
                <w:sz w:val="15"/>
                <w:szCs w:val="15"/>
                <w:color w:val="auto"/>
              </w:rPr>
            </w:pPr>
          </w:p>
        </w:tc>
      </w:tr>
      <w:tr>
        <w:trPr>
          <w:trHeight w:val="339"/>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Senior Vice President, Chief Financial Officer and Treasurer of The GEO</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Group, Inc., the Sole Member and Manager of GEO RE Holdings LLC</w:t>
            </w:r>
          </w:p>
        </w:tc>
        <w:tc>
          <w:tcPr>
            <w:tcW w:w="1480" w:type="dxa"/>
            <w:vAlign w:val="bottom"/>
          </w:tcPr>
          <w:p>
            <w:pPr>
              <w:spacing w:after="0"/>
              <w:rPr>
                <w:sz w:val="15"/>
                <w:szCs w:val="15"/>
                <w:color w:val="auto"/>
              </w:rPr>
            </w:pPr>
          </w:p>
        </w:tc>
      </w:tr>
      <w:tr>
        <w:trPr>
          <w:trHeight w:val="286"/>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20" w:type="dxa"/>
            <w:vAlign w:val="bottom"/>
            <w:gridSpan w:val="2"/>
          </w:tcPr>
          <w:p>
            <w:pPr>
              <w:ind w:left="1580"/>
              <w:spacing w:after="0"/>
              <w:rPr>
                <w:sz w:val="20"/>
                <w:szCs w:val="20"/>
                <w:color w:val="auto"/>
              </w:rPr>
            </w:pPr>
            <w:r>
              <w:rPr>
                <w:rFonts w:ascii="Times New Roman" w:cs="Times New Roman" w:eastAsia="Times New Roman" w:hAnsi="Times New Roman"/>
                <w:sz w:val="14"/>
                <w:szCs w:val="14"/>
                <w:color w:val="auto"/>
              </w:rPr>
              <w:t>II-69</w:t>
            </w:r>
          </w:p>
        </w:tc>
        <w:tc>
          <w:tcPr>
            <w:tcW w:w="1480" w:type="dxa"/>
            <w:vAlign w:val="bottom"/>
          </w:tcPr>
          <w:p>
            <w:pPr>
              <w:spacing w:after="0"/>
              <w:rPr>
                <w:sz w:val="24"/>
                <w:szCs w:val="24"/>
                <w:color w:val="auto"/>
              </w:rPr>
            </w:pPr>
          </w:p>
        </w:tc>
      </w:tr>
    </w:tbl>
    <w:p>
      <w:pPr>
        <w:sectPr>
          <w:pgSz w:w="11900" w:h="16838" w:orient="portrait"/>
          <w:cols w:equalWidth="0" w:num="1">
            <w:col w:w="9019"/>
          </w:cols>
          <w:pgMar w:left="1440" w:top="243" w:right="1440" w:bottom="1440" w:gutter="0" w:footer="0" w:header="0"/>
        </w:sectPr>
      </w:pPr>
    </w:p>
    <w:bookmarkStart w:id="100" w:name="page101"/>
    <w:bookmarkEnd w:id="100"/>
    <w:p>
      <w:pPr>
        <w:ind w:left="120" w:right="179" w:firstLine="350"/>
        <w:spacing w:after="0" w:line="29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9">
                      <a:extLst>
                        <a:ext uri="{28A0092B-C50C-407E-A947-70E740481C1C}"/>
                      </a:extLst>
                    </a:blip>
                    <a:srcRect/>
                    <a:stretch>
                      <a:fillRect/>
                    </a:stretch>
                  </pic:blipFill>
                  <pic:spPr bwMode="auto">
                    <a:xfrm>
                      <a:off x="0" y="0"/>
                      <a:ext cx="7199630" cy="33020"/>
                    </a:xfrm>
                    <a:prstGeom prst="rect">
                      <a:avLst/>
                    </a:prstGeom>
                    <a:noFill/>
                  </pic:spPr>
                </pic:pic>
              </a:graphicData>
            </a:graphic>
          </wp:anchor>
        </w:drawing>
        <w:t>Pursuant to the requirements of the Securities Act of 1933, the undersigned Registrant has duly caused this Registration Statement to be signed on its behalf by the undersigned, thereunto duly authorized, in the City of Boca Raton, State of Florida, on the 30th day of October, 2026.</w:t>
      </w:r>
    </w:p>
    <w:p>
      <w:pPr>
        <w:spacing w:after="0" w:line="14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b w:val="1"/>
          <w:bCs w:val="1"/>
          <w:color w:val="auto"/>
        </w:rPr>
        <w:t>GEO Reentry of Alaska, Inc.</w:t>
      </w:r>
    </w:p>
    <w:p>
      <w:pPr>
        <w:spacing w:after="0" w:line="18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By: /s/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3606165</wp:posOffset>
            </wp:positionH>
            <wp:positionV relativeFrom="paragraph">
              <wp:posOffset>15875</wp:posOffset>
            </wp:positionV>
            <wp:extent cx="2037080" cy="69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0">
                      <a:extLst>
                        <a:ext uri="{28A0092B-C50C-407E-A947-70E740481C1C}"/>
                      </a:extLst>
                    </a:blip>
                    <a:srcRect/>
                    <a:stretch>
                      <a:fillRect/>
                    </a:stretch>
                  </pic:blipFill>
                  <pic:spPr bwMode="auto">
                    <a:xfrm>
                      <a:off x="0" y="0"/>
                      <a:ext cx="2037080" cy="6985"/>
                    </a:xfrm>
                    <a:prstGeom prst="rect">
                      <a:avLst/>
                    </a:prstGeom>
                    <a:noFill/>
                  </pic:spPr>
                </pic:pic>
              </a:graphicData>
            </a:graphic>
          </wp:anchor>
        </w:drawing>
      </w:r>
    </w:p>
    <w:p>
      <w:pPr>
        <w:spacing w:after="0" w:line="1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Name:  Shayn P. March</w:t>
      </w:r>
    </w:p>
    <w:p>
      <w:pPr>
        <w:spacing w:after="0" w:line="2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Title:    Vice President, Chief Financial Officer,</w:t>
      </w:r>
    </w:p>
    <w:p>
      <w:pPr>
        <w:spacing w:after="0" w:line="1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4"/>
          <w:szCs w:val="14"/>
          <w:color w:val="auto"/>
        </w:rPr>
        <w:t>Treasurer and Director</w:t>
      </w:r>
    </w:p>
    <w:p>
      <w:pPr>
        <w:spacing w:after="0" w:line="167" w:lineRule="exact"/>
        <w:rPr>
          <w:sz w:val="20"/>
          <w:szCs w:val="20"/>
          <w:color w:val="auto"/>
        </w:rPr>
      </w:pPr>
    </w:p>
    <w:p>
      <w:pPr>
        <w:ind w:left="120" w:right="239" w:firstLine="350"/>
        <w:spacing w:after="0" w:line="261" w:lineRule="auto"/>
        <w:rPr>
          <w:sz w:val="20"/>
          <w:szCs w:val="20"/>
          <w:color w:val="auto"/>
        </w:rPr>
      </w:pPr>
      <w:r>
        <w:rPr>
          <w:rFonts w:ascii="Times New Roman" w:cs="Times New Roman" w:eastAsia="Times New Roman" w:hAnsi="Times New Roman"/>
          <w:sz w:val="14"/>
          <w:szCs w:val="14"/>
          <w:b w:val="1"/>
          <w:bCs w:val="1"/>
          <w:color w:val="auto"/>
        </w:rPr>
        <w:t>KNOWN ALL MEN BY THESE PRESENTS</w:t>
      </w:r>
      <w:r>
        <w:rPr>
          <w:rFonts w:ascii="Times New Roman" w:cs="Times New Roman" w:eastAsia="Times New Roman" w:hAnsi="Times New Roman"/>
          <w:sz w:val="14"/>
          <w:szCs w:val="14"/>
          <w:color w:val="auto"/>
        </w:rPr>
        <w:t>, that each person whose signature appears below hereby constitutes and appoints Shayn P.</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March, Vice President, Chief Financial Officer and Treasurer, and Scott A. Schipma, Vice President and Secretary, and each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146" w:lineRule="exact"/>
        <w:rPr>
          <w:sz w:val="20"/>
          <w:szCs w:val="20"/>
          <w:color w:val="auto"/>
        </w:rPr>
      </w:pPr>
    </w:p>
    <w:p>
      <w:pPr>
        <w:ind w:left="120" w:right="239" w:firstLine="350"/>
        <w:spacing w:after="0" w:line="292"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and on the date indicated.</w:t>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254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00" w:type="dxa"/>
            <w:vAlign w:val="bottom"/>
          </w:tcPr>
          <w:p>
            <w:pPr>
              <w:spacing w:after="0"/>
              <w:rPr>
                <w:sz w:val="12"/>
                <w:szCs w:val="12"/>
                <w:color w:val="auto"/>
              </w:rPr>
            </w:pPr>
          </w:p>
        </w:tc>
        <w:tc>
          <w:tcPr>
            <w:tcW w:w="446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60" w:type="dxa"/>
            <w:vAlign w:val="bottom"/>
          </w:tcPr>
          <w:p>
            <w:pPr>
              <w:spacing w:after="0"/>
              <w:rPr>
                <w:sz w:val="12"/>
                <w:szCs w:val="12"/>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Date</w:t>
            </w:r>
          </w:p>
        </w:tc>
      </w:tr>
      <w:tr>
        <w:trPr>
          <w:trHeight w:val="322"/>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George C. Zoley</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Chairman, Chief Executive Officer and 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George C. Zoley</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480" w:type="dxa"/>
            <w:vAlign w:val="bottom"/>
          </w:tcPr>
          <w:p>
            <w:pPr>
              <w:spacing w:after="0"/>
              <w:rPr>
                <w:sz w:val="15"/>
                <w:szCs w:val="15"/>
                <w:color w:val="auto"/>
              </w:rPr>
            </w:pPr>
          </w:p>
        </w:tc>
      </w:tr>
      <w:tr>
        <w:trPr>
          <w:trHeight w:val="339"/>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Chief Financial Officer, Treasurer and 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Financial Officer)</w:t>
            </w:r>
          </w:p>
        </w:tc>
        <w:tc>
          <w:tcPr>
            <w:tcW w:w="1480" w:type="dxa"/>
            <w:vAlign w:val="bottom"/>
          </w:tcPr>
          <w:p>
            <w:pPr>
              <w:spacing w:after="0"/>
              <w:rPr>
                <w:sz w:val="15"/>
                <w:szCs w:val="15"/>
                <w:color w:val="auto"/>
              </w:rPr>
            </w:pPr>
          </w:p>
        </w:tc>
      </w:tr>
      <w:tr>
        <w:trPr>
          <w:trHeight w:val="339"/>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Ronald A. Brack</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Accounting</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Ronald A. Brack</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Accounting Officer)</w:t>
            </w:r>
          </w:p>
        </w:tc>
        <w:tc>
          <w:tcPr>
            <w:tcW w:w="1480" w:type="dxa"/>
            <w:vAlign w:val="bottom"/>
          </w:tcPr>
          <w:p>
            <w:pPr>
              <w:spacing w:after="0"/>
              <w:rPr>
                <w:sz w:val="15"/>
                <w:szCs w:val="15"/>
                <w:color w:val="auto"/>
              </w:rPr>
            </w:pPr>
          </w:p>
        </w:tc>
      </w:tr>
      <w:tr>
        <w:trPr>
          <w:trHeight w:val="340"/>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David O. Meehan</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David O. Meehan</w:t>
            </w:r>
          </w:p>
        </w:tc>
        <w:tc>
          <w:tcPr>
            <w:tcW w:w="10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40"/>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Scott A. Schipma</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Secretary and 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Scott A. Schipma</w:t>
            </w:r>
          </w:p>
        </w:tc>
        <w:tc>
          <w:tcPr>
            <w:tcW w:w="10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86"/>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20" w:type="dxa"/>
            <w:vAlign w:val="bottom"/>
            <w:gridSpan w:val="2"/>
          </w:tcPr>
          <w:p>
            <w:pPr>
              <w:ind w:left="1580"/>
              <w:spacing w:after="0"/>
              <w:rPr>
                <w:sz w:val="20"/>
                <w:szCs w:val="20"/>
                <w:color w:val="auto"/>
              </w:rPr>
            </w:pPr>
            <w:r>
              <w:rPr>
                <w:rFonts w:ascii="Times New Roman" w:cs="Times New Roman" w:eastAsia="Times New Roman" w:hAnsi="Times New Roman"/>
                <w:sz w:val="14"/>
                <w:szCs w:val="14"/>
                <w:color w:val="auto"/>
              </w:rPr>
              <w:t>II-70</w:t>
            </w:r>
          </w:p>
        </w:tc>
        <w:tc>
          <w:tcPr>
            <w:tcW w:w="1480" w:type="dxa"/>
            <w:vAlign w:val="bottom"/>
          </w:tcPr>
          <w:p>
            <w:pPr>
              <w:spacing w:after="0"/>
              <w:rPr>
                <w:sz w:val="24"/>
                <w:szCs w:val="24"/>
                <w:color w:val="auto"/>
              </w:rPr>
            </w:pPr>
          </w:p>
        </w:tc>
      </w:tr>
    </w:tbl>
    <w:p>
      <w:pPr>
        <w:sectPr>
          <w:pgSz w:w="11900" w:h="16838" w:orient="portrait"/>
          <w:cols w:equalWidth="0" w:num="1">
            <w:col w:w="9019"/>
          </w:cols>
          <w:pgMar w:left="1440" w:top="243" w:right="1440" w:bottom="1440" w:gutter="0" w:footer="0" w:header="0"/>
        </w:sectPr>
      </w:pPr>
    </w:p>
    <w:bookmarkStart w:id="101" w:name="page102"/>
    <w:bookmarkEnd w:id="101"/>
    <w:p>
      <w:pPr>
        <w:ind w:left="120" w:right="179" w:firstLine="350"/>
        <w:spacing w:after="0" w:line="29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1">
                      <a:extLst>
                        <a:ext uri="{28A0092B-C50C-407E-A947-70E740481C1C}"/>
                      </a:extLst>
                    </a:blip>
                    <a:srcRect/>
                    <a:stretch>
                      <a:fillRect/>
                    </a:stretch>
                  </pic:blipFill>
                  <pic:spPr bwMode="auto">
                    <a:xfrm>
                      <a:off x="0" y="0"/>
                      <a:ext cx="7199630" cy="33020"/>
                    </a:xfrm>
                    <a:prstGeom prst="rect">
                      <a:avLst/>
                    </a:prstGeom>
                    <a:noFill/>
                  </pic:spPr>
                </pic:pic>
              </a:graphicData>
            </a:graphic>
          </wp:anchor>
        </w:drawing>
        <w:t>Pursuant to the requirements of the Securities Act of 1933, the undersigned Registrant has duly caused this Registration Statement to be signed on its behalf by the undersigned, thereunto duly authorized, in the City of Boca Raton, State of Florida, on the 30th day of October, 2026.</w:t>
      </w:r>
    </w:p>
    <w:p>
      <w:pPr>
        <w:spacing w:after="0" w:line="14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b w:val="1"/>
          <w:bCs w:val="1"/>
          <w:color w:val="auto"/>
        </w:rPr>
        <w:t>GEO Reentry Services, LLC</w:t>
      </w:r>
    </w:p>
    <w:p>
      <w:pPr>
        <w:spacing w:after="0" w:line="18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By: /s/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3606165</wp:posOffset>
            </wp:positionH>
            <wp:positionV relativeFrom="paragraph">
              <wp:posOffset>15875</wp:posOffset>
            </wp:positionV>
            <wp:extent cx="2037080" cy="69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2">
                      <a:extLst>
                        <a:ext uri="{28A0092B-C50C-407E-A947-70E740481C1C}"/>
                      </a:extLst>
                    </a:blip>
                    <a:srcRect/>
                    <a:stretch>
                      <a:fillRect/>
                    </a:stretch>
                  </pic:blipFill>
                  <pic:spPr bwMode="auto">
                    <a:xfrm>
                      <a:off x="0" y="0"/>
                      <a:ext cx="2037080" cy="6985"/>
                    </a:xfrm>
                    <a:prstGeom prst="rect">
                      <a:avLst/>
                    </a:prstGeom>
                    <a:noFill/>
                  </pic:spPr>
                </pic:pic>
              </a:graphicData>
            </a:graphic>
          </wp:anchor>
        </w:drawing>
      </w:r>
    </w:p>
    <w:p>
      <w:pPr>
        <w:spacing w:after="0" w:line="1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Name:  Shayn P. March</w:t>
      </w:r>
    </w:p>
    <w:p>
      <w:pPr>
        <w:spacing w:after="0" w:line="2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Title:    Vice President, Chief Financial Officer,</w:t>
      </w:r>
    </w:p>
    <w:p>
      <w:pPr>
        <w:spacing w:after="0" w:line="1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4"/>
          <w:szCs w:val="14"/>
          <w:color w:val="auto"/>
        </w:rPr>
        <w:t>Treasurer and Manager</w:t>
      </w:r>
    </w:p>
    <w:p>
      <w:pPr>
        <w:spacing w:after="0" w:line="167" w:lineRule="exact"/>
        <w:rPr>
          <w:sz w:val="20"/>
          <w:szCs w:val="20"/>
          <w:color w:val="auto"/>
        </w:rPr>
      </w:pPr>
    </w:p>
    <w:p>
      <w:pPr>
        <w:ind w:left="120" w:right="239" w:firstLine="350"/>
        <w:spacing w:after="0" w:line="261" w:lineRule="auto"/>
        <w:rPr>
          <w:sz w:val="20"/>
          <w:szCs w:val="20"/>
          <w:color w:val="auto"/>
        </w:rPr>
      </w:pPr>
      <w:r>
        <w:rPr>
          <w:rFonts w:ascii="Times New Roman" w:cs="Times New Roman" w:eastAsia="Times New Roman" w:hAnsi="Times New Roman"/>
          <w:sz w:val="14"/>
          <w:szCs w:val="14"/>
          <w:b w:val="1"/>
          <w:bCs w:val="1"/>
          <w:color w:val="auto"/>
        </w:rPr>
        <w:t>KNOWN ALL MEN BY THESE PRESENTS</w:t>
      </w:r>
      <w:r>
        <w:rPr>
          <w:rFonts w:ascii="Times New Roman" w:cs="Times New Roman" w:eastAsia="Times New Roman" w:hAnsi="Times New Roman"/>
          <w:sz w:val="14"/>
          <w:szCs w:val="14"/>
          <w:color w:val="auto"/>
        </w:rPr>
        <w:t>, that each person whose signature appears below hereby constitutes and appoints Shayn P.</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March, Vice President, Chief Financial Officer and Treasurer, and Scott A. Schipma, Vice President and Secretary, and each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146" w:lineRule="exact"/>
        <w:rPr>
          <w:sz w:val="20"/>
          <w:szCs w:val="20"/>
          <w:color w:val="auto"/>
        </w:rPr>
      </w:pPr>
    </w:p>
    <w:p>
      <w:pPr>
        <w:ind w:left="120" w:right="239" w:firstLine="350"/>
        <w:spacing w:after="0" w:line="292"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and on the date indicated.</w:t>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254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00" w:type="dxa"/>
            <w:vAlign w:val="bottom"/>
          </w:tcPr>
          <w:p>
            <w:pPr>
              <w:spacing w:after="0"/>
              <w:rPr>
                <w:sz w:val="12"/>
                <w:szCs w:val="12"/>
                <w:color w:val="auto"/>
              </w:rPr>
            </w:pPr>
          </w:p>
        </w:tc>
        <w:tc>
          <w:tcPr>
            <w:tcW w:w="446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60" w:type="dxa"/>
            <w:vAlign w:val="bottom"/>
          </w:tcPr>
          <w:p>
            <w:pPr>
              <w:spacing w:after="0"/>
              <w:rPr>
                <w:sz w:val="12"/>
                <w:szCs w:val="12"/>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Date</w:t>
            </w:r>
          </w:p>
        </w:tc>
      </w:tr>
      <w:tr>
        <w:trPr>
          <w:trHeight w:val="322"/>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George C. Zoley</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Chairman, Chief Executive Officer and Manager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George C. Zoley</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480" w:type="dxa"/>
            <w:vAlign w:val="bottom"/>
          </w:tcPr>
          <w:p>
            <w:pPr>
              <w:spacing w:after="0"/>
              <w:rPr>
                <w:sz w:val="15"/>
                <w:szCs w:val="15"/>
                <w:color w:val="auto"/>
              </w:rPr>
            </w:pPr>
          </w:p>
        </w:tc>
      </w:tr>
      <w:tr>
        <w:trPr>
          <w:trHeight w:val="339"/>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Chief Financial Officer, Treasurer and Manager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Financial Officer)</w:t>
            </w:r>
          </w:p>
        </w:tc>
        <w:tc>
          <w:tcPr>
            <w:tcW w:w="1480" w:type="dxa"/>
            <w:vAlign w:val="bottom"/>
          </w:tcPr>
          <w:p>
            <w:pPr>
              <w:spacing w:after="0"/>
              <w:rPr>
                <w:sz w:val="15"/>
                <w:szCs w:val="15"/>
                <w:color w:val="auto"/>
              </w:rPr>
            </w:pPr>
          </w:p>
        </w:tc>
      </w:tr>
      <w:tr>
        <w:trPr>
          <w:trHeight w:val="339"/>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Ronald A. Brack</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Accounting</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Ronald A. Brack</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Accounting Officer)</w:t>
            </w:r>
          </w:p>
        </w:tc>
        <w:tc>
          <w:tcPr>
            <w:tcW w:w="1480" w:type="dxa"/>
            <w:vAlign w:val="bottom"/>
          </w:tcPr>
          <w:p>
            <w:pPr>
              <w:spacing w:after="0"/>
              <w:rPr>
                <w:sz w:val="15"/>
                <w:szCs w:val="15"/>
                <w:color w:val="auto"/>
              </w:rPr>
            </w:pPr>
          </w:p>
        </w:tc>
      </w:tr>
      <w:tr>
        <w:trPr>
          <w:trHeight w:val="340"/>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Scott A. Schipma</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Secretary and Manager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Scott A. Schipma</w:t>
            </w:r>
          </w:p>
        </w:tc>
        <w:tc>
          <w:tcPr>
            <w:tcW w:w="10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39"/>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Chief Financial Officer, Treasurer and Director of GEO</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Corrections Holdings, Inc., the Sole Member of GEO Reentry Services, LLC</w:t>
            </w:r>
          </w:p>
        </w:tc>
        <w:tc>
          <w:tcPr>
            <w:tcW w:w="1480" w:type="dxa"/>
            <w:vAlign w:val="bottom"/>
          </w:tcPr>
          <w:p>
            <w:pPr>
              <w:spacing w:after="0"/>
              <w:rPr>
                <w:sz w:val="15"/>
                <w:szCs w:val="15"/>
                <w:color w:val="auto"/>
              </w:rPr>
            </w:pPr>
          </w:p>
        </w:tc>
      </w:tr>
      <w:tr>
        <w:trPr>
          <w:trHeight w:val="286"/>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20" w:type="dxa"/>
            <w:vAlign w:val="bottom"/>
            <w:gridSpan w:val="2"/>
          </w:tcPr>
          <w:p>
            <w:pPr>
              <w:ind w:left="1580"/>
              <w:spacing w:after="0"/>
              <w:rPr>
                <w:sz w:val="20"/>
                <w:szCs w:val="20"/>
                <w:color w:val="auto"/>
              </w:rPr>
            </w:pPr>
            <w:r>
              <w:rPr>
                <w:rFonts w:ascii="Times New Roman" w:cs="Times New Roman" w:eastAsia="Times New Roman" w:hAnsi="Times New Roman"/>
                <w:sz w:val="14"/>
                <w:szCs w:val="14"/>
                <w:color w:val="auto"/>
              </w:rPr>
              <w:t>II-71</w:t>
            </w:r>
          </w:p>
        </w:tc>
        <w:tc>
          <w:tcPr>
            <w:tcW w:w="1480" w:type="dxa"/>
            <w:vAlign w:val="bottom"/>
          </w:tcPr>
          <w:p>
            <w:pPr>
              <w:spacing w:after="0"/>
              <w:rPr>
                <w:sz w:val="24"/>
                <w:szCs w:val="24"/>
                <w:color w:val="auto"/>
              </w:rPr>
            </w:pPr>
          </w:p>
        </w:tc>
      </w:tr>
    </w:tbl>
    <w:p>
      <w:pPr>
        <w:sectPr>
          <w:pgSz w:w="11900" w:h="16838" w:orient="portrait"/>
          <w:cols w:equalWidth="0" w:num="1">
            <w:col w:w="9019"/>
          </w:cols>
          <w:pgMar w:left="1440" w:top="243" w:right="1440" w:bottom="1440" w:gutter="0" w:footer="0" w:header="0"/>
        </w:sectPr>
      </w:pPr>
    </w:p>
    <w:bookmarkStart w:id="102" w:name="page103"/>
    <w:bookmarkEnd w:id="102"/>
    <w:p>
      <w:pPr>
        <w:ind w:left="120" w:right="179" w:firstLine="350"/>
        <w:spacing w:after="0" w:line="29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3">
                      <a:extLst>
                        <a:ext uri="{28A0092B-C50C-407E-A947-70E740481C1C}"/>
                      </a:extLst>
                    </a:blip>
                    <a:srcRect/>
                    <a:stretch>
                      <a:fillRect/>
                    </a:stretch>
                  </pic:blipFill>
                  <pic:spPr bwMode="auto">
                    <a:xfrm>
                      <a:off x="0" y="0"/>
                      <a:ext cx="7199630" cy="33020"/>
                    </a:xfrm>
                    <a:prstGeom prst="rect">
                      <a:avLst/>
                    </a:prstGeom>
                    <a:noFill/>
                  </pic:spPr>
                </pic:pic>
              </a:graphicData>
            </a:graphic>
          </wp:anchor>
        </w:drawing>
        <w:t>Pursuant to the requirements of the Securities Act of 1933, the undersigned Registrant has duly caused this Registration Statement to be signed on its behalf by the undersigned, thereunto duly authorized, in the City of Boca Raton, State of Florida, on the 30th day of October, 2026.</w:t>
      </w:r>
    </w:p>
    <w:p>
      <w:pPr>
        <w:spacing w:after="0" w:line="14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b w:val="1"/>
          <w:bCs w:val="1"/>
          <w:color w:val="auto"/>
        </w:rPr>
        <w:t>GEO Reentry, Inc.</w:t>
      </w:r>
    </w:p>
    <w:p>
      <w:pPr>
        <w:spacing w:after="0" w:line="18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By: /s/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3606165</wp:posOffset>
            </wp:positionH>
            <wp:positionV relativeFrom="paragraph">
              <wp:posOffset>15875</wp:posOffset>
            </wp:positionV>
            <wp:extent cx="2037080" cy="69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4">
                      <a:extLst>
                        <a:ext uri="{28A0092B-C50C-407E-A947-70E740481C1C}"/>
                      </a:extLst>
                    </a:blip>
                    <a:srcRect/>
                    <a:stretch>
                      <a:fillRect/>
                    </a:stretch>
                  </pic:blipFill>
                  <pic:spPr bwMode="auto">
                    <a:xfrm>
                      <a:off x="0" y="0"/>
                      <a:ext cx="2037080" cy="6985"/>
                    </a:xfrm>
                    <a:prstGeom prst="rect">
                      <a:avLst/>
                    </a:prstGeom>
                    <a:noFill/>
                  </pic:spPr>
                </pic:pic>
              </a:graphicData>
            </a:graphic>
          </wp:anchor>
        </w:drawing>
      </w:r>
    </w:p>
    <w:p>
      <w:pPr>
        <w:spacing w:after="0" w:line="1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Name:  Shayn P. March</w:t>
      </w:r>
    </w:p>
    <w:p>
      <w:pPr>
        <w:spacing w:after="0" w:line="2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Title:    Vice President, Chief Financial Officer,</w:t>
      </w:r>
    </w:p>
    <w:p>
      <w:pPr>
        <w:spacing w:after="0" w:line="1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4"/>
          <w:szCs w:val="14"/>
          <w:color w:val="auto"/>
        </w:rPr>
        <w:t>Treasurer and Director</w:t>
      </w:r>
    </w:p>
    <w:p>
      <w:pPr>
        <w:spacing w:after="0" w:line="167" w:lineRule="exact"/>
        <w:rPr>
          <w:sz w:val="20"/>
          <w:szCs w:val="20"/>
          <w:color w:val="auto"/>
        </w:rPr>
      </w:pPr>
    </w:p>
    <w:p>
      <w:pPr>
        <w:ind w:left="120" w:right="239" w:firstLine="350"/>
        <w:spacing w:after="0" w:line="261" w:lineRule="auto"/>
        <w:rPr>
          <w:sz w:val="20"/>
          <w:szCs w:val="20"/>
          <w:color w:val="auto"/>
        </w:rPr>
      </w:pPr>
      <w:r>
        <w:rPr>
          <w:rFonts w:ascii="Times New Roman" w:cs="Times New Roman" w:eastAsia="Times New Roman" w:hAnsi="Times New Roman"/>
          <w:sz w:val="14"/>
          <w:szCs w:val="14"/>
          <w:b w:val="1"/>
          <w:bCs w:val="1"/>
          <w:color w:val="auto"/>
        </w:rPr>
        <w:t>KNOWN ALL MEN BY THESE PRESENTS</w:t>
      </w:r>
      <w:r>
        <w:rPr>
          <w:rFonts w:ascii="Times New Roman" w:cs="Times New Roman" w:eastAsia="Times New Roman" w:hAnsi="Times New Roman"/>
          <w:sz w:val="14"/>
          <w:szCs w:val="14"/>
          <w:color w:val="auto"/>
        </w:rPr>
        <w:t>, that each person whose signature appears below hereby constitutes and appoints Shayn P.</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March, Vice President, Chief Financial Officer and Treasurer, and Scott A. Schipma, Vice President and Secretary, and each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146" w:lineRule="exact"/>
        <w:rPr>
          <w:sz w:val="20"/>
          <w:szCs w:val="20"/>
          <w:color w:val="auto"/>
        </w:rPr>
      </w:pPr>
    </w:p>
    <w:p>
      <w:pPr>
        <w:ind w:left="120" w:right="239" w:firstLine="350"/>
        <w:spacing w:after="0" w:line="292"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and on the date indicated.</w:t>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254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00" w:type="dxa"/>
            <w:vAlign w:val="bottom"/>
          </w:tcPr>
          <w:p>
            <w:pPr>
              <w:spacing w:after="0"/>
              <w:rPr>
                <w:sz w:val="12"/>
                <w:szCs w:val="12"/>
                <w:color w:val="auto"/>
              </w:rPr>
            </w:pPr>
          </w:p>
        </w:tc>
        <w:tc>
          <w:tcPr>
            <w:tcW w:w="446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60" w:type="dxa"/>
            <w:vAlign w:val="bottom"/>
          </w:tcPr>
          <w:p>
            <w:pPr>
              <w:spacing w:after="0"/>
              <w:rPr>
                <w:sz w:val="12"/>
                <w:szCs w:val="12"/>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Date</w:t>
            </w:r>
          </w:p>
        </w:tc>
      </w:tr>
      <w:tr>
        <w:trPr>
          <w:trHeight w:val="322"/>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George C. Zoley</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Chairman, Chief Executive Officer and 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George C. Zoley</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480" w:type="dxa"/>
            <w:vAlign w:val="bottom"/>
          </w:tcPr>
          <w:p>
            <w:pPr>
              <w:spacing w:after="0"/>
              <w:rPr>
                <w:sz w:val="15"/>
                <w:szCs w:val="15"/>
                <w:color w:val="auto"/>
              </w:rPr>
            </w:pPr>
          </w:p>
        </w:tc>
      </w:tr>
      <w:tr>
        <w:trPr>
          <w:trHeight w:val="339"/>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Chief Financial Officer, Treasurer and 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Financial Officer)</w:t>
            </w:r>
          </w:p>
        </w:tc>
        <w:tc>
          <w:tcPr>
            <w:tcW w:w="1480" w:type="dxa"/>
            <w:vAlign w:val="bottom"/>
          </w:tcPr>
          <w:p>
            <w:pPr>
              <w:spacing w:after="0"/>
              <w:rPr>
                <w:sz w:val="15"/>
                <w:szCs w:val="15"/>
                <w:color w:val="auto"/>
              </w:rPr>
            </w:pPr>
          </w:p>
        </w:tc>
      </w:tr>
      <w:tr>
        <w:trPr>
          <w:trHeight w:val="339"/>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Ronald A. Brack</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Accounting</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Ronald A. Brack</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Accounting Officer)</w:t>
            </w:r>
          </w:p>
        </w:tc>
        <w:tc>
          <w:tcPr>
            <w:tcW w:w="1480" w:type="dxa"/>
            <w:vAlign w:val="bottom"/>
          </w:tcPr>
          <w:p>
            <w:pPr>
              <w:spacing w:after="0"/>
              <w:rPr>
                <w:sz w:val="15"/>
                <w:szCs w:val="15"/>
                <w:color w:val="auto"/>
              </w:rPr>
            </w:pPr>
          </w:p>
        </w:tc>
      </w:tr>
      <w:tr>
        <w:trPr>
          <w:trHeight w:val="340"/>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David O. Meehan</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David O. Meehan</w:t>
            </w:r>
          </w:p>
        </w:tc>
        <w:tc>
          <w:tcPr>
            <w:tcW w:w="10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40"/>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Scott A. Schipma</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Secretary and 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Scott A. Schipma</w:t>
            </w:r>
          </w:p>
        </w:tc>
        <w:tc>
          <w:tcPr>
            <w:tcW w:w="10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86"/>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20" w:type="dxa"/>
            <w:vAlign w:val="bottom"/>
            <w:gridSpan w:val="2"/>
          </w:tcPr>
          <w:p>
            <w:pPr>
              <w:ind w:left="1580"/>
              <w:spacing w:after="0"/>
              <w:rPr>
                <w:sz w:val="20"/>
                <w:szCs w:val="20"/>
                <w:color w:val="auto"/>
              </w:rPr>
            </w:pPr>
            <w:r>
              <w:rPr>
                <w:rFonts w:ascii="Times New Roman" w:cs="Times New Roman" w:eastAsia="Times New Roman" w:hAnsi="Times New Roman"/>
                <w:sz w:val="14"/>
                <w:szCs w:val="14"/>
                <w:color w:val="auto"/>
              </w:rPr>
              <w:t>II-72</w:t>
            </w:r>
          </w:p>
        </w:tc>
        <w:tc>
          <w:tcPr>
            <w:tcW w:w="1480" w:type="dxa"/>
            <w:vAlign w:val="bottom"/>
          </w:tcPr>
          <w:p>
            <w:pPr>
              <w:spacing w:after="0"/>
              <w:rPr>
                <w:sz w:val="24"/>
                <w:szCs w:val="24"/>
                <w:color w:val="auto"/>
              </w:rPr>
            </w:pPr>
          </w:p>
        </w:tc>
      </w:tr>
    </w:tbl>
    <w:p>
      <w:pPr>
        <w:sectPr>
          <w:pgSz w:w="11900" w:h="16838" w:orient="portrait"/>
          <w:cols w:equalWidth="0" w:num="1">
            <w:col w:w="9019"/>
          </w:cols>
          <w:pgMar w:left="1440" w:top="243" w:right="1440" w:bottom="1440" w:gutter="0" w:footer="0" w:header="0"/>
        </w:sectPr>
      </w:pPr>
    </w:p>
    <w:bookmarkStart w:id="103" w:name="page104"/>
    <w:bookmarkEnd w:id="103"/>
    <w:p>
      <w:pPr>
        <w:ind w:left="120" w:right="179" w:firstLine="350"/>
        <w:spacing w:after="0" w:line="29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5">
                      <a:extLst>
                        <a:ext uri="{28A0092B-C50C-407E-A947-70E740481C1C}"/>
                      </a:extLst>
                    </a:blip>
                    <a:srcRect/>
                    <a:stretch>
                      <a:fillRect/>
                    </a:stretch>
                  </pic:blipFill>
                  <pic:spPr bwMode="auto">
                    <a:xfrm>
                      <a:off x="0" y="0"/>
                      <a:ext cx="7199630" cy="33020"/>
                    </a:xfrm>
                    <a:prstGeom prst="rect">
                      <a:avLst/>
                    </a:prstGeom>
                    <a:noFill/>
                  </pic:spPr>
                </pic:pic>
              </a:graphicData>
            </a:graphic>
          </wp:anchor>
        </w:drawing>
        <w:t>Pursuant to the requirements of the Securities Act of 1933, the undersigned Registrant has duly caused this Registration Statement to be signed on its behalf by the undersigned, thereunto duly authorized, in the City of Boca Raton, State of Florida, on the 30th day of October, 2026.</w:t>
      </w:r>
    </w:p>
    <w:p>
      <w:pPr>
        <w:spacing w:after="0" w:line="14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b w:val="1"/>
          <w:bCs w:val="1"/>
          <w:color w:val="auto"/>
        </w:rPr>
        <w:t>GEO Secure Services, LLC</w:t>
      </w:r>
    </w:p>
    <w:p>
      <w:pPr>
        <w:spacing w:after="0" w:line="18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By: /s/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3606165</wp:posOffset>
            </wp:positionH>
            <wp:positionV relativeFrom="paragraph">
              <wp:posOffset>15875</wp:posOffset>
            </wp:positionV>
            <wp:extent cx="2037080" cy="69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6">
                      <a:extLst>
                        <a:ext uri="{28A0092B-C50C-407E-A947-70E740481C1C}"/>
                      </a:extLst>
                    </a:blip>
                    <a:srcRect/>
                    <a:stretch>
                      <a:fillRect/>
                    </a:stretch>
                  </pic:blipFill>
                  <pic:spPr bwMode="auto">
                    <a:xfrm>
                      <a:off x="0" y="0"/>
                      <a:ext cx="2037080" cy="6985"/>
                    </a:xfrm>
                    <a:prstGeom prst="rect">
                      <a:avLst/>
                    </a:prstGeom>
                    <a:noFill/>
                  </pic:spPr>
                </pic:pic>
              </a:graphicData>
            </a:graphic>
          </wp:anchor>
        </w:drawing>
      </w:r>
    </w:p>
    <w:p>
      <w:pPr>
        <w:spacing w:after="0" w:line="1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Name:  Shayn P. March</w:t>
      </w:r>
    </w:p>
    <w:p>
      <w:pPr>
        <w:spacing w:after="0" w:line="2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Title:    Vice President, Chief Financial Officer,</w:t>
      </w:r>
    </w:p>
    <w:p>
      <w:pPr>
        <w:spacing w:after="0" w:line="1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4"/>
          <w:szCs w:val="14"/>
          <w:color w:val="auto"/>
        </w:rPr>
        <w:t>Treasurer and Manager</w:t>
      </w:r>
    </w:p>
    <w:p>
      <w:pPr>
        <w:spacing w:after="0" w:line="167" w:lineRule="exact"/>
        <w:rPr>
          <w:sz w:val="20"/>
          <w:szCs w:val="20"/>
          <w:color w:val="auto"/>
        </w:rPr>
      </w:pPr>
    </w:p>
    <w:p>
      <w:pPr>
        <w:ind w:left="120" w:right="239" w:firstLine="350"/>
        <w:spacing w:after="0" w:line="261" w:lineRule="auto"/>
        <w:rPr>
          <w:sz w:val="20"/>
          <w:szCs w:val="20"/>
          <w:color w:val="auto"/>
        </w:rPr>
      </w:pPr>
      <w:r>
        <w:rPr>
          <w:rFonts w:ascii="Times New Roman" w:cs="Times New Roman" w:eastAsia="Times New Roman" w:hAnsi="Times New Roman"/>
          <w:sz w:val="14"/>
          <w:szCs w:val="14"/>
          <w:b w:val="1"/>
          <w:bCs w:val="1"/>
          <w:color w:val="auto"/>
        </w:rPr>
        <w:t>KNOWN ALL MEN BY THESE PRESENTS</w:t>
      </w:r>
      <w:r>
        <w:rPr>
          <w:rFonts w:ascii="Times New Roman" w:cs="Times New Roman" w:eastAsia="Times New Roman" w:hAnsi="Times New Roman"/>
          <w:sz w:val="14"/>
          <w:szCs w:val="14"/>
          <w:color w:val="auto"/>
        </w:rPr>
        <w:t>, that each person whose signature appears below hereby constitutes and appoints Shayn P.</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March, Vice President, Chief Financial Officer and Treasurer, and Scott A. Schipma, Vice President and Secretary, and each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146" w:lineRule="exact"/>
        <w:rPr>
          <w:sz w:val="20"/>
          <w:szCs w:val="20"/>
          <w:color w:val="auto"/>
        </w:rPr>
      </w:pPr>
    </w:p>
    <w:p>
      <w:pPr>
        <w:ind w:left="120" w:right="239" w:firstLine="350"/>
        <w:spacing w:after="0" w:line="292"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and on the date indicated.</w:t>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254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00" w:type="dxa"/>
            <w:vAlign w:val="bottom"/>
          </w:tcPr>
          <w:p>
            <w:pPr>
              <w:spacing w:after="0"/>
              <w:rPr>
                <w:sz w:val="12"/>
                <w:szCs w:val="12"/>
                <w:color w:val="auto"/>
              </w:rPr>
            </w:pPr>
          </w:p>
        </w:tc>
        <w:tc>
          <w:tcPr>
            <w:tcW w:w="446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60" w:type="dxa"/>
            <w:vAlign w:val="bottom"/>
          </w:tcPr>
          <w:p>
            <w:pPr>
              <w:spacing w:after="0"/>
              <w:rPr>
                <w:sz w:val="12"/>
                <w:szCs w:val="12"/>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Date</w:t>
            </w:r>
          </w:p>
        </w:tc>
      </w:tr>
      <w:tr>
        <w:trPr>
          <w:trHeight w:val="322"/>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Paul Laird</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President</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Paul Laird</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480" w:type="dxa"/>
            <w:vAlign w:val="bottom"/>
          </w:tcPr>
          <w:p>
            <w:pPr>
              <w:spacing w:after="0"/>
              <w:rPr>
                <w:sz w:val="15"/>
                <w:szCs w:val="15"/>
                <w:color w:val="auto"/>
              </w:rPr>
            </w:pPr>
          </w:p>
        </w:tc>
      </w:tr>
      <w:tr>
        <w:trPr>
          <w:trHeight w:val="339"/>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Chief Financial Officer, Treasurer and Manager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Financial Officer)</w:t>
            </w:r>
          </w:p>
        </w:tc>
        <w:tc>
          <w:tcPr>
            <w:tcW w:w="1480" w:type="dxa"/>
            <w:vAlign w:val="bottom"/>
          </w:tcPr>
          <w:p>
            <w:pPr>
              <w:spacing w:after="0"/>
              <w:rPr>
                <w:sz w:val="15"/>
                <w:szCs w:val="15"/>
                <w:color w:val="auto"/>
              </w:rPr>
            </w:pPr>
          </w:p>
        </w:tc>
      </w:tr>
      <w:tr>
        <w:trPr>
          <w:trHeight w:val="339"/>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Ronald A. Brack</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Accounting</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Ronald A. Brack</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Accounting Officer)</w:t>
            </w:r>
          </w:p>
        </w:tc>
        <w:tc>
          <w:tcPr>
            <w:tcW w:w="1480" w:type="dxa"/>
            <w:vAlign w:val="bottom"/>
          </w:tcPr>
          <w:p>
            <w:pPr>
              <w:spacing w:after="0"/>
              <w:rPr>
                <w:sz w:val="15"/>
                <w:szCs w:val="15"/>
                <w:color w:val="auto"/>
              </w:rPr>
            </w:pPr>
          </w:p>
        </w:tc>
      </w:tr>
      <w:tr>
        <w:trPr>
          <w:trHeight w:val="340"/>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George C. Zoley</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Manager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George C. Zoley</w:t>
            </w:r>
          </w:p>
        </w:tc>
        <w:tc>
          <w:tcPr>
            <w:tcW w:w="10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40"/>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Scott A. Schipma</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Secretary and Manager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Scott A. Schipma</w:t>
            </w:r>
          </w:p>
        </w:tc>
        <w:tc>
          <w:tcPr>
            <w:tcW w:w="10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39"/>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Chief Financial Officer, Treasurer and Director of GEO</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Corrections Holdings, Inc., the Sole Member of GEO Secure Services, LLC</w:t>
            </w:r>
          </w:p>
        </w:tc>
        <w:tc>
          <w:tcPr>
            <w:tcW w:w="1480" w:type="dxa"/>
            <w:vAlign w:val="bottom"/>
          </w:tcPr>
          <w:p>
            <w:pPr>
              <w:spacing w:after="0"/>
              <w:rPr>
                <w:sz w:val="15"/>
                <w:szCs w:val="15"/>
                <w:color w:val="auto"/>
              </w:rPr>
            </w:pPr>
          </w:p>
        </w:tc>
      </w:tr>
      <w:tr>
        <w:trPr>
          <w:trHeight w:val="286"/>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20" w:type="dxa"/>
            <w:vAlign w:val="bottom"/>
            <w:gridSpan w:val="2"/>
          </w:tcPr>
          <w:p>
            <w:pPr>
              <w:ind w:left="1580"/>
              <w:spacing w:after="0"/>
              <w:rPr>
                <w:sz w:val="20"/>
                <w:szCs w:val="20"/>
                <w:color w:val="auto"/>
              </w:rPr>
            </w:pPr>
            <w:r>
              <w:rPr>
                <w:rFonts w:ascii="Times New Roman" w:cs="Times New Roman" w:eastAsia="Times New Roman" w:hAnsi="Times New Roman"/>
                <w:sz w:val="14"/>
                <w:szCs w:val="14"/>
                <w:color w:val="auto"/>
              </w:rPr>
              <w:t>II-73</w:t>
            </w:r>
          </w:p>
        </w:tc>
        <w:tc>
          <w:tcPr>
            <w:tcW w:w="1480" w:type="dxa"/>
            <w:vAlign w:val="bottom"/>
          </w:tcPr>
          <w:p>
            <w:pPr>
              <w:spacing w:after="0"/>
              <w:rPr>
                <w:sz w:val="24"/>
                <w:szCs w:val="24"/>
                <w:color w:val="auto"/>
              </w:rPr>
            </w:pPr>
          </w:p>
        </w:tc>
      </w:tr>
    </w:tbl>
    <w:p>
      <w:pPr>
        <w:sectPr>
          <w:pgSz w:w="11900" w:h="16838" w:orient="portrait"/>
          <w:cols w:equalWidth="0" w:num="1">
            <w:col w:w="9019"/>
          </w:cols>
          <w:pgMar w:left="1440" w:top="243" w:right="1440" w:bottom="1440" w:gutter="0" w:footer="0" w:header="0"/>
        </w:sectPr>
      </w:pPr>
    </w:p>
    <w:bookmarkStart w:id="104" w:name="page105"/>
    <w:bookmarkEnd w:id="104"/>
    <w:p>
      <w:pPr>
        <w:ind w:left="120" w:right="179" w:firstLine="350"/>
        <w:spacing w:after="0" w:line="29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7">
                      <a:extLst>
                        <a:ext uri="{28A0092B-C50C-407E-A947-70E740481C1C}"/>
                      </a:extLst>
                    </a:blip>
                    <a:srcRect/>
                    <a:stretch>
                      <a:fillRect/>
                    </a:stretch>
                  </pic:blipFill>
                  <pic:spPr bwMode="auto">
                    <a:xfrm>
                      <a:off x="0" y="0"/>
                      <a:ext cx="7199630" cy="33020"/>
                    </a:xfrm>
                    <a:prstGeom prst="rect">
                      <a:avLst/>
                    </a:prstGeom>
                    <a:noFill/>
                  </pic:spPr>
                </pic:pic>
              </a:graphicData>
            </a:graphic>
          </wp:anchor>
        </w:drawing>
        <w:t>Pursuant to the requirements of the Securities Act of 1933, the undersigned Registrant has duly caused this Registration Statement to be signed on its behalf by the undersigned, thereunto duly authorized, in the City of Boca Raton, State of Florida, on the 30th day of October, 2026.</w:t>
      </w:r>
    </w:p>
    <w:p>
      <w:pPr>
        <w:spacing w:after="0" w:line="14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b w:val="1"/>
          <w:bCs w:val="1"/>
          <w:color w:val="auto"/>
        </w:rPr>
        <w:t>GEO Transport, Inc.</w:t>
      </w:r>
    </w:p>
    <w:p>
      <w:pPr>
        <w:spacing w:after="0" w:line="18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By: /s/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3606165</wp:posOffset>
            </wp:positionH>
            <wp:positionV relativeFrom="paragraph">
              <wp:posOffset>15875</wp:posOffset>
            </wp:positionV>
            <wp:extent cx="2037080" cy="69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8">
                      <a:extLst>
                        <a:ext uri="{28A0092B-C50C-407E-A947-70E740481C1C}"/>
                      </a:extLst>
                    </a:blip>
                    <a:srcRect/>
                    <a:stretch>
                      <a:fillRect/>
                    </a:stretch>
                  </pic:blipFill>
                  <pic:spPr bwMode="auto">
                    <a:xfrm>
                      <a:off x="0" y="0"/>
                      <a:ext cx="2037080" cy="6985"/>
                    </a:xfrm>
                    <a:prstGeom prst="rect">
                      <a:avLst/>
                    </a:prstGeom>
                    <a:noFill/>
                  </pic:spPr>
                </pic:pic>
              </a:graphicData>
            </a:graphic>
          </wp:anchor>
        </w:drawing>
      </w:r>
    </w:p>
    <w:p>
      <w:pPr>
        <w:spacing w:after="0" w:line="1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Name:  Shayn P. March</w:t>
      </w:r>
    </w:p>
    <w:p>
      <w:pPr>
        <w:spacing w:after="0" w:line="2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Title:    Vice President and Treasurer</w:t>
      </w:r>
    </w:p>
    <w:p>
      <w:pPr>
        <w:spacing w:after="0" w:line="167" w:lineRule="exact"/>
        <w:rPr>
          <w:sz w:val="20"/>
          <w:szCs w:val="20"/>
          <w:color w:val="auto"/>
        </w:rPr>
      </w:pPr>
    </w:p>
    <w:p>
      <w:pPr>
        <w:ind w:left="120" w:right="159" w:firstLine="350"/>
        <w:spacing w:after="0" w:line="261" w:lineRule="auto"/>
        <w:rPr>
          <w:sz w:val="20"/>
          <w:szCs w:val="20"/>
          <w:color w:val="auto"/>
        </w:rPr>
      </w:pPr>
      <w:r>
        <w:rPr>
          <w:rFonts w:ascii="Times New Roman" w:cs="Times New Roman" w:eastAsia="Times New Roman" w:hAnsi="Times New Roman"/>
          <w:sz w:val="14"/>
          <w:szCs w:val="14"/>
          <w:b w:val="1"/>
          <w:bCs w:val="1"/>
          <w:color w:val="auto"/>
        </w:rPr>
        <w:t>KNOWN ALL MEN BY THESE PRESENTS</w:t>
      </w:r>
      <w:r>
        <w:rPr>
          <w:rFonts w:ascii="Times New Roman" w:cs="Times New Roman" w:eastAsia="Times New Roman" w:hAnsi="Times New Roman"/>
          <w:sz w:val="14"/>
          <w:szCs w:val="14"/>
          <w:color w:val="auto"/>
        </w:rPr>
        <w:t>, that each person whose signature appears below hereby constitutes and appoints Shayn P.</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March, Vice President and Treasurer, and Scott A. Schipma, Vice President and Secretary, and each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146" w:lineRule="exact"/>
        <w:rPr>
          <w:sz w:val="20"/>
          <w:szCs w:val="20"/>
          <w:color w:val="auto"/>
        </w:rPr>
      </w:pPr>
    </w:p>
    <w:p>
      <w:pPr>
        <w:ind w:left="120" w:right="239" w:firstLine="350"/>
        <w:spacing w:after="0" w:line="292"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and on the date indicated.</w:t>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254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00" w:type="dxa"/>
            <w:vAlign w:val="bottom"/>
          </w:tcPr>
          <w:p>
            <w:pPr>
              <w:spacing w:after="0"/>
              <w:rPr>
                <w:sz w:val="12"/>
                <w:szCs w:val="12"/>
                <w:color w:val="auto"/>
              </w:rPr>
            </w:pPr>
          </w:p>
        </w:tc>
        <w:tc>
          <w:tcPr>
            <w:tcW w:w="446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60" w:type="dxa"/>
            <w:vAlign w:val="bottom"/>
          </w:tcPr>
          <w:p>
            <w:pPr>
              <w:spacing w:after="0"/>
              <w:rPr>
                <w:sz w:val="12"/>
                <w:szCs w:val="12"/>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Date</w:t>
            </w:r>
          </w:p>
        </w:tc>
      </w:tr>
      <w:tr>
        <w:trPr>
          <w:trHeight w:val="322"/>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George C. Zoley</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Chairman, Chief Executive Officer and 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George C. Zoley</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480" w:type="dxa"/>
            <w:vAlign w:val="bottom"/>
          </w:tcPr>
          <w:p>
            <w:pPr>
              <w:spacing w:after="0"/>
              <w:rPr>
                <w:sz w:val="15"/>
                <w:szCs w:val="15"/>
                <w:color w:val="auto"/>
              </w:rPr>
            </w:pPr>
          </w:p>
        </w:tc>
      </w:tr>
      <w:tr>
        <w:trPr>
          <w:trHeight w:val="339"/>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and Treasurer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Financial Officer)</w:t>
            </w:r>
          </w:p>
        </w:tc>
        <w:tc>
          <w:tcPr>
            <w:tcW w:w="1480" w:type="dxa"/>
            <w:vAlign w:val="bottom"/>
          </w:tcPr>
          <w:p>
            <w:pPr>
              <w:spacing w:after="0"/>
              <w:rPr>
                <w:sz w:val="15"/>
                <w:szCs w:val="15"/>
                <w:color w:val="auto"/>
              </w:rPr>
            </w:pPr>
          </w:p>
        </w:tc>
      </w:tr>
      <w:tr>
        <w:trPr>
          <w:trHeight w:val="339"/>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Ronald A. Brack</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and Controller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Ronald A. Brack</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Accounting Officer)</w:t>
            </w:r>
          </w:p>
        </w:tc>
        <w:tc>
          <w:tcPr>
            <w:tcW w:w="1480" w:type="dxa"/>
            <w:vAlign w:val="bottom"/>
          </w:tcPr>
          <w:p>
            <w:pPr>
              <w:spacing w:after="0"/>
              <w:rPr>
                <w:sz w:val="15"/>
                <w:szCs w:val="15"/>
                <w:color w:val="auto"/>
              </w:rPr>
            </w:pPr>
          </w:p>
        </w:tc>
      </w:tr>
      <w:tr>
        <w:trPr>
          <w:trHeight w:val="340"/>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Paul Laird</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and 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Paul Laird</w:t>
            </w:r>
          </w:p>
        </w:tc>
        <w:tc>
          <w:tcPr>
            <w:tcW w:w="10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40"/>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Scott A. Schipma</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Secretary and 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Scott A. Schipma</w:t>
            </w:r>
          </w:p>
        </w:tc>
        <w:tc>
          <w:tcPr>
            <w:tcW w:w="10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86"/>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20" w:type="dxa"/>
            <w:vAlign w:val="bottom"/>
            <w:gridSpan w:val="2"/>
          </w:tcPr>
          <w:p>
            <w:pPr>
              <w:ind w:left="1580"/>
              <w:spacing w:after="0"/>
              <w:rPr>
                <w:sz w:val="20"/>
                <w:szCs w:val="20"/>
                <w:color w:val="auto"/>
              </w:rPr>
            </w:pPr>
            <w:r>
              <w:rPr>
                <w:rFonts w:ascii="Times New Roman" w:cs="Times New Roman" w:eastAsia="Times New Roman" w:hAnsi="Times New Roman"/>
                <w:sz w:val="14"/>
                <w:szCs w:val="14"/>
                <w:color w:val="auto"/>
              </w:rPr>
              <w:t>II-74</w:t>
            </w:r>
          </w:p>
        </w:tc>
        <w:tc>
          <w:tcPr>
            <w:tcW w:w="1480" w:type="dxa"/>
            <w:vAlign w:val="bottom"/>
          </w:tcPr>
          <w:p>
            <w:pPr>
              <w:spacing w:after="0"/>
              <w:rPr>
                <w:sz w:val="24"/>
                <w:szCs w:val="24"/>
                <w:color w:val="auto"/>
              </w:rPr>
            </w:pPr>
          </w:p>
        </w:tc>
      </w:tr>
    </w:tbl>
    <w:p>
      <w:pPr>
        <w:sectPr>
          <w:pgSz w:w="11900" w:h="16838" w:orient="portrait"/>
          <w:cols w:equalWidth="0" w:num="1">
            <w:col w:w="9019"/>
          </w:cols>
          <w:pgMar w:left="1440" w:top="243" w:right="1440" w:bottom="1440" w:gutter="0" w:footer="0" w:header="0"/>
        </w:sectPr>
      </w:pPr>
    </w:p>
    <w:bookmarkStart w:id="105" w:name="page106"/>
    <w:bookmarkEnd w:id="105"/>
    <w:p>
      <w:pPr>
        <w:ind w:left="120" w:right="179" w:firstLine="350"/>
        <w:spacing w:after="0" w:line="29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9">
                      <a:extLst>
                        <a:ext uri="{28A0092B-C50C-407E-A947-70E740481C1C}"/>
                      </a:extLst>
                    </a:blip>
                    <a:srcRect/>
                    <a:stretch>
                      <a:fillRect/>
                    </a:stretch>
                  </pic:blipFill>
                  <pic:spPr bwMode="auto">
                    <a:xfrm>
                      <a:off x="0" y="0"/>
                      <a:ext cx="7199630" cy="33020"/>
                    </a:xfrm>
                    <a:prstGeom prst="rect">
                      <a:avLst/>
                    </a:prstGeom>
                    <a:noFill/>
                  </pic:spPr>
                </pic:pic>
              </a:graphicData>
            </a:graphic>
          </wp:anchor>
        </w:drawing>
        <w:t>Pursuant to the requirements of the Securities Act of 1933, the undersigned Registrant has duly caused this Registration Statement to be signed on its behalf by the undersigned, thereunto duly authorized, in the City of Boca Raton, State of Florida, on the 30th day of October, 2026.</w:t>
      </w:r>
    </w:p>
    <w:p>
      <w:pPr>
        <w:spacing w:after="0" w:line="14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b w:val="1"/>
          <w:bCs w:val="1"/>
          <w:color w:val="auto"/>
        </w:rPr>
        <w:t>GEO/DEL/R/02, Inc.</w:t>
      </w:r>
    </w:p>
    <w:p>
      <w:pPr>
        <w:spacing w:after="0" w:line="18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By: /s/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3606165</wp:posOffset>
            </wp:positionH>
            <wp:positionV relativeFrom="paragraph">
              <wp:posOffset>15875</wp:posOffset>
            </wp:positionV>
            <wp:extent cx="2037080" cy="69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0">
                      <a:extLst>
                        <a:ext uri="{28A0092B-C50C-407E-A947-70E740481C1C}"/>
                      </a:extLst>
                    </a:blip>
                    <a:srcRect/>
                    <a:stretch>
                      <a:fillRect/>
                    </a:stretch>
                  </pic:blipFill>
                  <pic:spPr bwMode="auto">
                    <a:xfrm>
                      <a:off x="0" y="0"/>
                      <a:ext cx="2037080" cy="6985"/>
                    </a:xfrm>
                    <a:prstGeom prst="rect">
                      <a:avLst/>
                    </a:prstGeom>
                    <a:noFill/>
                  </pic:spPr>
                </pic:pic>
              </a:graphicData>
            </a:graphic>
          </wp:anchor>
        </w:drawing>
      </w:r>
    </w:p>
    <w:p>
      <w:pPr>
        <w:spacing w:after="0" w:line="1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Name:  Shayn P. March</w:t>
      </w:r>
    </w:p>
    <w:p>
      <w:pPr>
        <w:spacing w:after="0" w:line="2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Title:    Vice President, Chief Financial Officer,</w:t>
      </w:r>
    </w:p>
    <w:p>
      <w:pPr>
        <w:spacing w:after="0" w:line="1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4"/>
          <w:szCs w:val="14"/>
          <w:color w:val="auto"/>
        </w:rPr>
        <w:t>Treasurer and Director</w:t>
      </w:r>
    </w:p>
    <w:p>
      <w:pPr>
        <w:spacing w:after="0" w:line="167" w:lineRule="exact"/>
        <w:rPr>
          <w:sz w:val="20"/>
          <w:szCs w:val="20"/>
          <w:color w:val="auto"/>
        </w:rPr>
      </w:pPr>
    </w:p>
    <w:p>
      <w:pPr>
        <w:ind w:left="120" w:right="239" w:firstLine="350"/>
        <w:spacing w:after="0" w:line="261" w:lineRule="auto"/>
        <w:rPr>
          <w:sz w:val="20"/>
          <w:szCs w:val="20"/>
          <w:color w:val="auto"/>
        </w:rPr>
      </w:pPr>
      <w:r>
        <w:rPr>
          <w:rFonts w:ascii="Times New Roman" w:cs="Times New Roman" w:eastAsia="Times New Roman" w:hAnsi="Times New Roman"/>
          <w:sz w:val="14"/>
          <w:szCs w:val="14"/>
          <w:b w:val="1"/>
          <w:bCs w:val="1"/>
          <w:color w:val="auto"/>
        </w:rPr>
        <w:t>KNOWN ALL MEN BY THESE PRESENTS</w:t>
      </w:r>
      <w:r>
        <w:rPr>
          <w:rFonts w:ascii="Times New Roman" w:cs="Times New Roman" w:eastAsia="Times New Roman" w:hAnsi="Times New Roman"/>
          <w:sz w:val="14"/>
          <w:szCs w:val="14"/>
          <w:color w:val="auto"/>
        </w:rPr>
        <w:t>, that each person whose signature appears below hereby constitutes and appoints Shayn P.</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March, Vice President, Chief Financial Officer and Treasurer, and Scott A. Schipma, Vice President and Secretary, and each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146" w:lineRule="exact"/>
        <w:rPr>
          <w:sz w:val="20"/>
          <w:szCs w:val="20"/>
          <w:color w:val="auto"/>
        </w:rPr>
      </w:pPr>
    </w:p>
    <w:p>
      <w:pPr>
        <w:ind w:left="120" w:right="239" w:firstLine="350"/>
        <w:spacing w:after="0" w:line="292"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and on the date indicated.</w:t>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254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00" w:type="dxa"/>
            <w:vAlign w:val="bottom"/>
          </w:tcPr>
          <w:p>
            <w:pPr>
              <w:spacing w:after="0"/>
              <w:rPr>
                <w:sz w:val="12"/>
                <w:szCs w:val="12"/>
                <w:color w:val="auto"/>
              </w:rPr>
            </w:pPr>
          </w:p>
        </w:tc>
        <w:tc>
          <w:tcPr>
            <w:tcW w:w="446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60" w:type="dxa"/>
            <w:vAlign w:val="bottom"/>
          </w:tcPr>
          <w:p>
            <w:pPr>
              <w:spacing w:after="0"/>
              <w:rPr>
                <w:sz w:val="12"/>
                <w:szCs w:val="12"/>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Date</w:t>
            </w:r>
          </w:p>
        </w:tc>
      </w:tr>
      <w:tr>
        <w:trPr>
          <w:trHeight w:val="322"/>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George C. Zoley</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Chairman, Chief Executive Officer and 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George C. Zoley</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480" w:type="dxa"/>
            <w:vAlign w:val="bottom"/>
          </w:tcPr>
          <w:p>
            <w:pPr>
              <w:spacing w:after="0"/>
              <w:rPr>
                <w:sz w:val="15"/>
                <w:szCs w:val="15"/>
                <w:color w:val="auto"/>
              </w:rPr>
            </w:pPr>
          </w:p>
        </w:tc>
      </w:tr>
      <w:tr>
        <w:trPr>
          <w:trHeight w:val="339"/>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Chief Financial Officer, Treasurer and 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Financial Officer)</w:t>
            </w:r>
          </w:p>
        </w:tc>
        <w:tc>
          <w:tcPr>
            <w:tcW w:w="1480" w:type="dxa"/>
            <w:vAlign w:val="bottom"/>
          </w:tcPr>
          <w:p>
            <w:pPr>
              <w:spacing w:after="0"/>
              <w:rPr>
                <w:sz w:val="15"/>
                <w:szCs w:val="15"/>
                <w:color w:val="auto"/>
              </w:rPr>
            </w:pPr>
          </w:p>
        </w:tc>
      </w:tr>
      <w:tr>
        <w:trPr>
          <w:trHeight w:val="339"/>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Ronald A. Brack</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Accounting</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Ronald A. Brack</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Accounting Officer)</w:t>
            </w:r>
          </w:p>
        </w:tc>
        <w:tc>
          <w:tcPr>
            <w:tcW w:w="1480" w:type="dxa"/>
            <w:vAlign w:val="bottom"/>
          </w:tcPr>
          <w:p>
            <w:pPr>
              <w:spacing w:after="0"/>
              <w:rPr>
                <w:sz w:val="15"/>
                <w:szCs w:val="15"/>
                <w:color w:val="auto"/>
              </w:rPr>
            </w:pPr>
          </w:p>
        </w:tc>
      </w:tr>
      <w:tr>
        <w:trPr>
          <w:trHeight w:val="340"/>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Paul Laird</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Secure Services and 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Paul Laird</w:t>
            </w:r>
          </w:p>
        </w:tc>
        <w:tc>
          <w:tcPr>
            <w:tcW w:w="10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40"/>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Scott A. Schipma</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Secretary and 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Scott A. Schipma</w:t>
            </w:r>
          </w:p>
        </w:tc>
        <w:tc>
          <w:tcPr>
            <w:tcW w:w="10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86"/>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20" w:type="dxa"/>
            <w:vAlign w:val="bottom"/>
            <w:gridSpan w:val="2"/>
          </w:tcPr>
          <w:p>
            <w:pPr>
              <w:ind w:left="1580"/>
              <w:spacing w:after="0"/>
              <w:rPr>
                <w:sz w:val="20"/>
                <w:szCs w:val="20"/>
                <w:color w:val="auto"/>
              </w:rPr>
            </w:pPr>
            <w:r>
              <w:rPr>
                <w:rFonts w:ascii="Times New Roman" w:cs="Times New Roman" w:eastAsia="Times New Roman" w:hAnsi="Times New Roman"/>
                <w:sz w:val="14"/>
                <w:szCs w:val="14"/>
                <w:color w:val="auto"/>
              </w:rPr>
              <w:t>II-75</w:t>
            </w:r>
          </w:p>
        </w:tc>
        <w:tc>
          <w:tcPr>
            <w:tcW w:w="1480" w:type="dxa"/>
            <w:vAlign w:val="bottom"/>
          </w:tcPr>
          <w:p>
            <w:pPr>
              <w:spacing w:after="0"/>
              <w:rPr>
                <w:sz w:val="24"/>
                <w:szCs w:val="24"/>
                <w:color w:val="auto"/>
              </w:rPr>
            </w:pPr>
          </w:p>
        </w:tc>
      </w:tr>
    </w:tbl>
    <w:p>
      <w:pPr>
        <w:sectPr>
          <w:pgSz w:w="11900" w:h="16838" w:orient="portrait"/>
          <w:cols w:equalWidth="0" w:num="1">
            <w:col w:w="9019"/>
          </w:cols>
          <w:pgMar w:left="1440" w:top="243" w:right="1440" w:bottom="1440" w:gutter="0" w:footer="0" w:header="0"/>
        </w:sectPr>
      </w:pPr>
    </w:p>
    <w:bookmarkStart w:id="106" w:name="page107"/>
    <w:bookmarkEnd w:id="106"/>
    <w:p>
      <w:pPr>
        <w:ind w:left="120" w:right="179" w:firstLine="350"/>
        <w:spacing w:after="0" w:line="29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1">
                      <a:extLst>
                        <a:ext uri="{28A0092B-C50C-407E-A947-70E740481C1C}"/>
                      </a:extLst>
                    </a:blip>
                    <a:srcRect/>
                    <a:stretch>
                      <a:fillRect/>
                    </a:stretch>
                  </pic:blipFill>
                  <pic:spPr bwMode="auto">
                    <a:xfrm>
                      <a:off x="0" y="0"/>
                      <a:ext cx="7199630" cy="33020"/>
                    </a:xfrm>
                    <a:prstGeom prst="rect">
                      <a:avLst/>
                    </a:prstGeom>
                    <a:noFill/>
                  </pic:spPr>
                </pic:pic>
              </a:graphicData>
            </a:graphic>
          </wp:anchor>
        </w:drawing>
        <w:t>Pursuant to the requirements of the Securities Act of 1933, the undersigned Registrant has duly caused this Registration Statement to be signed on its behalf by the undersigned, thereunto duly authorized, in the City of Boca Raton, State of Florida, on the 30th day of October, 2026.</w:t>
      </w:r>
    </w:p>
    <w:p>
      <w:pPr>
        <w:spacing w:after="0" w:line="14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b w:val="1"/>
          <w:bCs w:val="1"/>
          <w:color w:val="auto"/>
        </w:rPr>
        <w:t>GEO/DEL/T/02, Inc.</w:t>
      </w:r>
    </w:p>
    <w:p>
      <w:pPr>
        <w:spacing w:after="0" w:line="18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By: /s/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3606165</wp:posOffset>
            </wp:positionH>
            <wp:positionV relativeFrom="paragraph">
              <wp:posOffset>15875</wp:posOffset>
            </wp:positionV>
            <wp:extent cx="2037080" cy="69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2">
                      <a:extLst>
                        <a:ext uri="{28A0092B-C50C-407E-A947-70E740481C1C}"/>
                      </a:extLst>
                    </a:blip>
                    <a:srcRect/>
                    <a:stretch>
                      <a:fillRect/>
                    </a:stretch>
                  </pic:blipFill>
                  <pic:spPr bwMode="auto">
                    <a:xfrm>
                      <a:off x="0" y="0"/>
                      <a:ext cx="2037080" cy="6985"/>
                    </a:xfrm>
                    <a:prstGeom prst="rect">
                      <a:avLst/>
                    </a:prstGeom>
                    <a:noFill/>
                  </pic:spPr>
                </pic:pic>
              </a:graphicData>
            </a:graphic>
          </wp:anchor>
        </w:drawing>
      </w:r>
    </w:p>
    <w:p>
      <w:pPr>
        <w:spacing w:after="0" w:line="1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Name:  Shayn P. March</w:t>
      </w:r>
    </w:p>
    <w:p>
      <w:pPr>
        <w:spacing w:after="0" w:line="2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Title:    Vice President, Chief Financial Officer,</w:t>
      </w:r>
    </w:p>
    <w:p>
      <w:pPr>
        <w:spacing w:after="0" w:line="1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4"/>
          <w:szCs w:val="14"/>
          <w:color w:val="auto"/>
        </w:rPr>
        <w:t>Treasurer and Director</w:t>
      </w:r>
    </w:p>
    <w:p>
      <w:pPr>
        <w:spacing w:after="0" w:line="167" w:lineRule="exact"/>
        <w:rPr>
          <w:sz w:val="20"/>
          <w:szCs w:val="20"/>
          <w:color w:val="auto"/>
        </w:rPr>
      </w:pPr>
    </w:p>
    <w:p>
      <w:pPr>
        <w:ind w:left="120" w:right="239" w:firstLine="350"/>
        <w:spacing w:after="0" w:line="261" w:lineRule="auto"/>
        <w:rPr>
          <w:sz w:val="20"/>
          <w:szCs w:val="20"/>
          <w:color w:val="auto"/>
        </w:rPr>
      </w:pPr>
      <w:r>
        <w:rPr>
          <w:rFonts w:ascii="Times New Roman" w:cs="Times New Roman" w:eastAsia="Times New Roman" w:hAnsi="Times New Roman"/>
          <w:sz w:val="14"/>
          <w:szCs w:val="14"/>
          <w:b w:val="1"/>
          <w:bCs w:val="1"/>
          <w:color w:val="auto"/>
        </w:rPr>
        <w:t>KNOWN ALL MEN BY THESE PRESENTS</w:t>
      </w:r>
      <w:r>
        <w:rPr>
          <w:rFonts w:ascii="Times New Roman" w:cs="Times New Roman" w:eastAsia="Times New Roman" w:hAnsi="Times New Roman"/>
          <w:sz w:val="14"/>
          <w:szCs w:val="14"/>
          <w:color w:val="auto"/>
        </w:rPr>
        <w:t>, that each person whose signature appears below hereby constitutes and appoints Shayn P.</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March, Vice President, Chief Financial Officer and Treasurer, and Scott A. Schipma, Vice President and Secretary, and each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146" w:lineRule="exact"/>
        <w:rPr>
          <w:sz w:val="20"/>
          <w:szCs w:val="20"/>
          <w:color w:val="auto"/>
        </w:rPr>
      </w:pPr>
    </w:p>
    <w:p>
      <w:pPr>
        <w:ind w:left="120" w:right="239" w:firstLine="350"/>
        <w:spacing w:after="0" w:line="292"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and on the date indicated.</w:t>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254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00" w:type="dxa"/>
            <w:vAlign w:val="bottom"/>
          </w:tcPr>
          <w:p>
            <w:pPr>
              <w:spacing w:after="0"/>
              <w:rPr>
                <w:sz w:val="12"/>
                <w:szCs w:val="12"/>
                <w:color w:val="auto"/>
              </w:rPr>
            </w:pPr>
          </w:p>
        </w:tc>
        <w:tc>
          <w:tcPr>
            <w:tcW w:w="446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60" w:type="dxa"/>
            <w:vAlign w:val="bottom"/>
          </w:tcPr>
          <w:p>
            <w:pPr>
              <w:spacing w:after="0"/>
              <w:rPr>
                <w:sz w:val="12"/>
                <w:szCs w:val="12"/>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Date</w:t>
            </w:r>
          </w:p>
        </w:tc>
      </w:tr>
      <w:tr>
        <w:trPr>
          <w:trHeight w:val="322"/>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George C. Zoley</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Chairman, Chief Executive Officer and 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George C. Zoley</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480" w:type="dxa"/>
            <w:vAlign w:val="bottom"/>
          </w:tcPr>
          <w:p>
            <w:pPr>
              <w:spacing w:after="0"/>
              <w:rPr>
                <w:sz w:val="15"/>
                <w:szCs w:val="15"/>
                <w:color w:val="auto"/>
              </w:rPr>
            </w:pPr>
          </w:p>
        </w:tc>
      </w:tr>
      <w:tr>
        <w:trPr>
          <w:trHeight w:val="339"/>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Chief Financial Officer, Treasurer and 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Financial Officer)</w:t>
            </w:r>
          </w:p>
        </w:tc>
        <w:tc>
          <w:tcPr>
            <w:tcW w:w="1480" w:type="dxa"/>
            <w:vAlign w:val="bottom"/>
          </w:tcPr>
          <w:p>
            <w:pPr>
              <w:spacing w:after="0"/>
              <w:rPr>
                <w:sz w:val="15"/>
                <w:szCs w:val="15"/>
                <w:color w:val="auto"/>
              </w:rPr>
            </w:pPr>
          </w:p>
        </w:tc>
      </w:tr>
      <w:tr>
        <w:trPr>
          <w:trHeight w:val="339"/>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Ronald A. Brack</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Accounting</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Ronald A. Brack</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Accounting Officer)</w:t>
            </w:r>
          </w:p>
        </w:tc>
        <w:tc>
          <w:tcPr>
            <w:tcW w:w="1480" w:type="dxa"/>
            <w:vAlign w:val="bottom"/>
          </w:tcPr>
          <w:p>
            <w:pPr>
              <w:spacing w:after="0"/>
              <w:rPr>
                <w:sz w:val="15"/>
                <w:szCs w:val="15"/>
                <w:color w:val="auto"/>
              </w:rPr>
            </w:pPr>
          </w:p>
        </w:tc>
      </w:tr>
      <w:tr>
        <w:trPr>
          <w:trHeight w:val="340"/>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Paul Laird</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Secure Services and 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Paul Laird</w:t>
            </w:r>
          </w:p>
        </w:tc>
        <w:tc>
          <w:tcPr>
            <w:tcW w:w="10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40"/>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Scott A. Schipma</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Secretary and 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Scott A. Schipma</w:t>
            </w:r>
          </w:p>
        </w:tc>
        <w:tc>
          <w:tcPr>
            <w:tcW w:w="10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86"/>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20" w:type="dxa"/>
            <w:vAlign w:val="bottom"/>
            <w:gridSpan w:val="2"/>
          </w:tcPr>
          <w:p>
            <w:pPr>
              <w:ind w:left="1580"/>
              <w:spacing w:after="0"/>
              <w:rPr>
                <w:sz w:val="20"/>
                <w:szCs w:val="20"/>
                <w:color w:val="auto"/>
              </w:rPr>
            </w:pPr>
            <w:r>
              <w:rPr>
                <w:rFonts w:ascii="Times New Roman" w:cs="Times New Roman" w:eastAsia="Times New Roman" w:hAnsi="Times New Roman"/>
                <w:sz w:val="14"/>
                <w:szCs w:val="14"/>
                <w:color w:val="auto"/>
              </w:rPr>
              <w:t>II-76</w:t>
            </w:r>
          </w:p>
        </w:tc>
        <w:tc>
          <w:tcPr>
            <w:tcW w:w="1480" w:type="dxa"/>
            <w:vAlign w:val="bottom"/>
          </w:tcPr>
          <w:p>
            <w:pPr>
              <w:spacing w:after="0"/>
              <w:rPr>
                <w:sz w:val="24"/>
                <w:szCs w:val="24"/>
                <w:color w:val="auto"/>
              </w:rPr>
            </w:pPr>
          </w:p>
        </w:tc>
      </w:tr>
    </w:tbl>
    <w:p>
      <w:pPr>
        <w:sectPr>
          <w:pgSz w:w="11900" w:h="16838" w:orient="portrait"/>
          <w:cols w:equalWidth="0" w:num="1">
            <w:col w:w="9019"/>
          </w:cols>
          <w:pgMar w:left="1440" w:top="243" w:right="1440" w:bottom="1440" w:gutter="0" w:footer="0" w:header="0"/>
        </w:sectPr>
      </w:pPr>
    </w:p>
    <w:bookmarkStart w:id="107" w:name="page108"/>
    <w:bookmarkEnd w:id="107"/>
    <w:p>
      <w:pPr>
        <w:ind w:left="120" w:right="179" w:firstLine="350"/>
        <w:spacing w:after="0" w:line="29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3">
                      <a:extLst>
                        <a:ext uri="{28A0092B-C50C-407E-A947-70E740481C1C}"/>
                      </a:extLst>
                    </a:blip>
                    <a:srcRect/>
                    <a:stretch>
                      <a:fillRect/>
                    </a:stretch>
                  </pic:blipFill>
                  <pic:spPr bwMode="auto">
                    <a:xfrm>
                      <a:off x="0" y="0"/>
                      <a:ext cx="7199630" cy="33020"/>
                    </a:xfrm>
                    <a:prstGeom prst="rect">
                      <a:avLst/>
                    </a:prstGeom>
                    <a:noFill/>
                  </pic:spPr>
                </pic:pic>
              </a:graphicData>
            </a:graphic>
          </wp:anchor>
        </w:drawing>
        <w:t>Pursuant to the requirements of the Securities Act of 1933, the undersigned Registrant has duly caused this Registration Statement to be signed on its behalf by the undersigned, thereunto duly authorized, in the City of Boca Raton, State of Florida, on the 30th day of October, 2026.</w:t>
      </w:r>
    </w:p>
    <w:p>
      <w:pPr>
        <w:spacing w:after="0" w:line="14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b w:val="1"/>
          <w:bCs w:val="1"/>
          <w:color w:val="auto"/>
        </w:rPr>
        <w:t>Highpoint Investments LLC</w:t>
      </w:r>
    </w:p>
    <w:p>
      <w:pPr>
        <w:spacing w:after="0" w:line="18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By: /s/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3606165</wp:posOffset>
            </wp:positionH>
            <wp:positionV relativeFrom="paragraph">
              <wp:posOffset>15875</wp:posOffset>
            </wp:positionV>
            <wp:extent cx="2037080" cy="69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4">
                      <a:extLst>
                        <a:ext uri="{28A0092B-C50C-407E-A947-70E740481C1C}"/>
                      </a:extLst>
                    </a:blip>
                    <a:srcRect/>
                    <a:stretch>
                      <a:fillRect/>
                    </a:stretch>
                  </pic:blipFill>
                  <pic:spPr bwMode="auto">
                    <a:xfrm>
                      <a:off x="0" y="0"/>
                      <a:ext cx="2037080" cy="6985"/>
                    </a:xfrm>
                    <a:prstGeom prst="rect">
                      <a:avLst/>
                    </a:prstGeom>
                    <a:noFill/>
                  </pic:spPr>
                </pic:pic>
              </a:graphicData>
            </a:graphic>
          </wp:anchor>
        </w:drawing>
      </w:r>
    </w:p>
    <w:p>
      <w:pPr>
        <w:spacing w:after="0" w:line="1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Name:  Shayn P. March</w:t>
      </w:r>
    </w:p>
    <w:p>
      <w:pPr>
        <w:spacing w:after="0" w:line="2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Title:    Vice President, Chief Financial Officer,</w:t>
      </w:r>
    </w:p>
    <w:p>
      <w:pPr>
        <w:spacing w:after="0" w:line="1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4"/>
          <w:szCs w:val="14"/>
          <w:color w:val="auto"/>
        </w:rPr>
        <w:t>Treasurer and Manager</w:t>
      </w:r>
    </w:p>
    <w:p>
      <w:pPr>
        <w:spacing w:after="0" w:line="167" w:lineRule="exact"/>
        <w:rPr>
          <w:sz w:val="20"/>
          <w:szCs w:val="20"/>
          <w:color w:val="auto"/>
        </w:rPr>
      </w:pPr>
    </w:p>
    <w:p>
      <w:pPr>
        <w:ind w:left="120" w:right="239" w:firstLine="350"/>
        <w:spacing w:after="0" w:line="261" w:lineRule="auto"/>
        <w:rPr>
          <w:sz w:val="20"/>
          <w:szCs w:val="20"/>
          <w:color w:val="auto"/>
        </w:rPr>
      </w:pPr>
      <w:r>
        <w:rPr>
          <w:rFonts w:ascii="Times New Roman" w:cs="Times New Roman" w:eastAsia="Times New Roman" w:hAnsi="Times New Roman"/>
          <w:sz w:val="14"/>
          <w:szCs w:val="14"/>
          <w:b w:val="1"/>
          <w:bCs w:val="1"/>
          <w:color w:val="auto"/>
        </w:rPr>
        <w:t>KNOWN ALL MEN BY THESE PRESENTS</w:t>
      </w:r>
      <w:r>
        <w:rPr>
          <w:rFonts w:ascii="Times New Roman" w:cs="Times New Roman" w:eastAsia="Times New Roman" w:hAnsi="Times New Roman"/>
          <w:sz w:val="14"/>
          <w:szCs w:val="14"/>
          <w:color w:val="auto"/>
        </w:rPr>
        <w:t>, that each person whose signature appears below hereby constitutes and appoints Shayn P.</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March, Vice President, Chief Financial Officer and Treasurer, and Scott A. Schipma, Vice President and Secretary, and each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146" w:lineRule="exact"/>
        <w:rPr>
          <w:sz w:val="20"/>
          <w:szCs w:val="20"/>
          <w:color w:val="auto"/>
        </w:rPr>
      </w:pPr>
    </w:p>
    <w:p>
      <w:pPr>
        <w:ind w:left="120" w:right="239" w:firstLine="350"/>
        <w:spacing w:after="0" w:line="292"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and on the date indicated.</w:t>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254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00" w:type="dxa"/>
            <w:vAlign w:val="bottom"/>
          </w:tcPr>
          <w:p>
            <w:pPr>
              <w:spacing w:after="0"/>
              <w:rPr>
                <w:sz w:val="12"/>
                <w:szCs w:val="12"/>
                <w:color w:val="auto"/>
              </w:rPr>
            </w:pPr>
          </w:p>
        </w:tc>
        <w:tc>
          <w:tcPr>
            <w:tcW w:w="446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60" w:type="dxa"/>
            <w:vAlign w:val="bottom"/>
          </w:tcPr>
          <w:p>
            <w:pPr>
              <w:spacing w:after="0"/>
              <w:rPr>
                <w:sz w:val="12"/>
                <w:szCs w:val="12"/>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Date</w:t>
            </w:r>
          </w:p>
        </w:tc>
      </w:tr>
      <w:tr>
        <w:trPr>
          <w:trHeight w:val="322"/>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George C. Zoley</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Chairman, Chief Executive Officer and Manager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George C. Zoley</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480" w:type="dxa"/>
            <w:vAlign w:val="bottom"/>
          </w:tcPr>
          <w:p>
            <w:pPr>
              <w:spacing w:after="0"/>
              <w:rPr>
                <w:sz w:val="15"/>
                <w:szCs w:val="15"/>
                <w:color w:val="auto"/>
              </w:rPr>
            </w:pPr>
          </w:p>
        </w:tc>
      </w:tr>
      <w:tr>
        <w:trPr>
          <w:trHeight w:val="339"/>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Chief Financial Officer, Treasurer and Manager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Financial and Accounting Officer)</w:t>
            </w:r>
          </w:p>
        </w:tc>
        <w:tc>
          <w:tcPr>
            <w:tcW w:w="1480" w:type="dxa"/>
            <w:vAlign w:val="bottom"/>
          </w:tcPr>
          <w:p>
            <w:pPr>
              <w:spacing w:after="0"/>
              <w:rPr>
                <w:sz w:val="15"/>
                <w:szCs w:val="15"/>
                <w:color w:val="auto"/>
              </w:rPr>
            </w:pPr>
          </w:p>
        </w:tc>
      </w:tr>
      <w:tr>
        <w:trPr>
          <w:trHeight w:val="340"/>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Scott A. Schipma</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Secretary and Manager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Scott A. Schipma</w:t>
            </w:r>
          </w:p>
        </w:tc>
        <w:tc>
          <w:tcPr>
            <w:tcW w:w="10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40"/>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Daniel Rebeor</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Real Estate and Manager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Daniel Rebeor</w:t>
            </w:r>
          </w:p>
        </w:tc>
        <w:tc>
          <w:tcPr>
            <w:tcW w:w="10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39"/>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Senior Vice President, Chief Financial Officer and Treasurer of The GEO</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Group, Inc., the Sole Member of Highpoint Investments LLC</w:t>
            </w:r>
          </w:p>
        </w:tc>
        <w:tc>
          <w:tcPr>
            <w:tcW w:w="1480" w:type="dxa"/>
            <w:vAlign w:val="bottom"/>
          </w:tcPr>
          <w:p>
            <w:pPr>
              <w:spacing w:after="0"/>
              <w:rPr>
                <w:sz w:val="15"/>
                <w:szCs w:val="15"/>
                <w:color w:val="auto"/>
              </w:rPr>
            </w:pPr>
          </w:p>
        </w:tc>
      </w:tr>
      <w:tr>
        <w:trPr>
          <w:trHeight w:val="286"/>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20" w:type="dxa"/>
            <w:vAlign w:val="bottom"/>
            <w:gridSpan w:val="2"/>
          </w:tcPr>
          <w:p>
            <w:pPr>
              <w:ind w:left="1580"/>
              <w:spacing w:after="0"/>
              <w:rPr>
                <w:sz w:val="20"/>
                <w:szCs w:val="20"/>
                <w:color w:val="auto"/>
              </w:rPr>
            </w:pPr>
            <w:r>
              <w:rPr>
                <w:rFonts w:ascii="Times New Roman" w:cs="Times New Roman" w:eastAsia="Times New Roman" w:hAnsi="Times New Roman"/>
                <w:sz w:val="14"/>
                <w:szCs w:val="14"/>
                <w:color w:val="auto"/>
              </w:rPr>
              <w:t>II-77</w:t>
            </w:r>
          </w:p>
        </w:tc>
        <w:tc>
          <w:tcPr>
            <w:tcW w:w="1480" w:type="dxa"/>
            <w:vAlign w:val="bottom"/>
          </w:tcPr>
          <w:p>
            <w:pPr>
              <w:spacing w:after="0"/>
              <w:rPr>
                <w:sz w:val="24"/>
                <w:szCs w:val="24"/>
                <w:color w:val="auto"/>
              </w:rPr>
            </w:pPr>
          </w:p>
        </w:tc>
      </w:tr>
    </w:tbl>
    <w:p>
      <w:pPr>
        <w:sectPr>
          <w:pgSz w:w="11900" w:h="16838" w:orient="portrait"/>
          <w:cols w:equalWidth="0" w:num="1">
            <w:col w:w="9019"/>
          </w:cols>
          <w:pgMar w:left="1440" w:top="243" w:right="1440" w:bottom="1440" w:gutter="0" w:footer="0" w:header="0"/>
        </w:sectPr>
      </w:pPr>
    </w:p>
    <w:bookmarkStart w:id="108" w:name="page109"/>
    <w:bookmarkEnd w:id="108"/>
    <w:p>
      <w:pPr>
        <w:ind w:left="120" w:right="179" w:firstLine="350"/>
        <w:spacing w:after="0" w:line="29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5">
                      <a:extLst>
                        <a:ext uri="{28A0092B-C50C-407E-A947-70E740481C1C}"/>
                      </a:extLst>
                    </a:blip>
                    <a:srcRect/>
                    <a:stretch>
                      <a:fillRect/>
                    </a:stretch>
                  </pic:blipFill>
                  <pic:spPr bwMode="auto">
                    <a:xfrm>
                      <a:off x="0" y="0"/>
                      <a:ext cx="7199630" cy="33020"/>
                    </a:xfrm>
                    <a:prstGeom prst="rect">
                      <a:avLst/>
                    </a:prstGeom>
                    <a:noFill/>
                  </pic:spPr>
                </pic:pic>
              </a:graphicData>
            </a:graphic>
          </wp:anchor>
        </w:drawing>
        <w:t>Pursuant to the requirements of the Securities Act of 1933, the undersigned Registrant has duly caused this Registration Statement to be signed on its behalf by the undersigned, thereunto duly authorized, in the City of Boca Raton, State of Florida, on the 30th day of October, 2026.</w:t>
      </w:r>
    </w:p>
    <w:p>
      <w:pPr>
        <w:spacing w:after="0" w:line="14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b w:val="1"/>
          <w:bCs w:val="1"/>
          <w:color w:val="auto"/>
        </w:rPr>
        <w:t>MCF GP, LLC</w:t>
      </w:r>
    </w:p>
    <w:p>
      <w:pPr>
        <w:spacing w:after="0" w:line="18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By: /s/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3606165</wp:posOffset>
            </wp:positionH>
            <wp:positionV relativeFrom="paragraph">
              <wp:posOffset>15875</wp:posOffset>
            </wp:positionV>
            <wp:extent cx="2037080" cy="69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6">
                      <a:extLst>
                        <a:ext uri="{28A0092B-C50C-407E-A947-70E740481C1C}"/>
                      </a:extLst>
                    </a:blip>
                    <a:srcRect/>
                    <a:stretch>
                      <a:fillRect/>
                    </a:stretch>
                  </pic:blipFill>
                  <pic:spPr bwMode="auto">
                    <a:xfrm>
                      <a:off x="0" y="0"/>
                      <a:ext cx="2037080" cy="6985"/>
                    </a:xfrm>
                    <a:prstGeom prst="rect">
                      <a:avLst/>
                    </a:prstGeom>
                    <a:noFill/>
                  </pic:spPr>
                </pic:pic>
              </a:graphicData>
            </a:graphic>
          </wp:anchor>
        </w:drawing>
      </w:r>
    </w:p>
    <w:p>
      <w:pPr>
        <w:spacing w:after="0" w:line="1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Name:  Shayn P. March</w:t>
      </w:r>
    </w:p>
    <w:p>
      <w:pPr>
        <w:spacing w:after="0" w:line="2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Title:    Vice President, Chief Financial Officer,</w:t>
      </w:r>
    </w:p>
    <w:p>
      <w:pPr>
        <w:spacing w:after="0" w:line="1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4"/>
          <w:szCs w:val="14"/>
          <w:color w:val="auto"/>
        </w:rPr>
        <w:t>Treasurer and Manager</w:t>
      </w:r>
    </w:p>
    <w:p>
      <w:pPr>
        <w:spacing w:after="0" w:line="167" w:lineRule="exact"/>
        <w:rPr>
          <w:sz w:val="20"/>
          <w:szCs w:val="20"/>
          <w:color w:val="auto"/>
        </w:rPr>
      </w:pPr>
    </w:p>
    <w:p>
      <w:pPr>
        <w:ind w:left="120" w:right="239" w:firstLine="350"/>
        <w:spacing w:after="0" w:line="261" w:lineRule="auto"/>
        <w:rPr>
          <w:sz w:val="20"/>
          <w:szCs w:val="20"/>
          <w:color w:val="auto"/>
        </w:rPr>
      </w:pPr>
      <w:r>
        <w:rPr>
          <w:rFonts w:ascii="Times New Roman" w:cs="Times New Roman" w:eastAsia="Times New Roman" w:hAnsi="Times New Roman"/>
          <w:sz w:val="14"/>
          <w:szCs w:val="14"/>
          <w:b w:val="1"/>
          <w:bCs w:val="1"/>
          <w:color w:val="auto"/>
        </w:rPr>
        <w:t>KNOWN ALL MEN BY THESE PRESENTS</w:t>
      </w:r>
      <w:r>
        <w:rPr>
          <w:rFonts w:ascii="Times New Roman" w:cs="Times New Roman" w:eastAsia="Times New Roman" w:hAnsi="Times New Roman"/>
          <w:sz w:val="14"/>
          <w:szCs w:val="14"/>
          <w:color w:val="auto"/>
        </w:rPr>
        <w:t>, that each person whose signature appears below hereby constitutes and appoints Shayn P.</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March, Vice President, Chief Financial Officer and Treasurer, and Scott A. Schipma, Vice President and Secretary, and each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146" w:lineRule="exact"/>
        <w:rPr>
          <w:sz w:val="20"/>
          <w:szCs w:val="20"/>
          <w:color w:val="auto"/>
        </w:rPr>
      </w:pPr>
    </w:p>
    <w:p>
      <w:pPr>
        <w:ind w:left="120" w:right="239" w:firstLine="350"/>
        <w:spacing w:after="0" w:line="292"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and on the date indicated.</w:t>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254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00" w:type="dxa"/>
            <w:vAlign w:val="bottom"/>
          </w:tcPr>
          <w:p>
            <w:pPr>
              <w:spacing w:after="0"/>
              <w:rPr>
                <w:sz w:val="12"/>
                <w:szCs w:val="12"/>
                <w:color w:val="auto"/>
              </w:rPr>
            </w:pPr>
          </w:p>
        </w:tc>
        <w:tc>
          <w:tcPr>
            <w:tcW w:w="446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60" w:type="dxa"/>
            <w:vAlign w:val="bottom"/>
          </w:tcPr>
          <w:p>
            <w:pPr>
              <w:spacing w:after="0"/>
              <w:rPr>
                <w:sz w:val="12"/>
                <w:szCs w:val="12"/>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Date</w:t>
            </w:r>
          </w:p>
        </w:tc>
      </w:tr>
      <w:tr>
        <w:trPr>
          <w:trHeight w:val="322"/>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George C. Zoley</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Chairman, Chief Executive Officer and Manager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George C. Zoley</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480" w:type="dxa"/>
            <w:vAlign w:val="bottom"/>
          </w:tcPr>
          <w:p>
            <w:pPr>
              <w:spacing w:after="0"/>
              <w:rPr>
                <w:sz w:val="15"/>
                <w:szCs w:val="15"/>
                <w:color w:val="auto"/>
              </w:rPr>
            </w:pPr>
          </w:p>
        </w:tc>
      </w:tr>
      <w:tr>
        <w:trPr>
          <w:trHeight w:val="339"/>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Chief Financial Officer, Treasurer and Manager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Financial and Accounting Officer)</w:t>
            </w:r>
          </w:p>
        </w:tc>
        <w:tc>
          <w:tcPr>
            <w:tcW w:w="1480" w:type="dxa"/>
            <w:vAlign w:val="bottom"/>
          </w:tcPr>
          <w:p>
            <w:pPr>
              <w:spacing w:after="0"/>
              <w:rPr>
                <w:sz w:val="15"/>
                <w:szCs w:val="15"/>
                <w:color w:val="auto"/>
              </w:rPr>
            </w:pPr>
          </w:p>
        </w:tc>
      </w:tr>
      <w:tr>
        <w:trPr>
          <w:trHeight w:val="340"/>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Scott A. Schipma</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Secretary and Manager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Scott A. Schipma</w:t>
            </w:r>
          </w:p>
        </w:tc>
        <w:tc>
          <w:tcPr>
            <w:tcW w:w="10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39"/>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Chief Financial Officer, Treasurer and Director of Cornell</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Companies, Inc., the Sole Member of MCF GP, LLC</w:t>
            </w:r>
          </w:p>
        </w:tc>
        <w:tc>
          <w:tcPr>
            <w:tcW w:w="1480" w:type="dxa"/>
            <w:vAlign w:val="bottom"/>
          </w:tcPr>
          <w:p>
            <w:pPr>
              <w:spacing w:after="0"/>
              <w:rPr>
                <w:sz w:val="15"/>
                <w:szCs w:val="15"/>
                <w:color w:val="auto"/>
              </w:rPr>
            </w:pPr>
          </w:p>
        </w:tc>
      </w:tr>
      <w:tr>
        <w:trPr>
          <w:trHeight w:val="286"/>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20" w:type="dxa"/>
            <w:vAlign w:val="bottom"/>
            <w:gridSpan w:val="2"/>
          </w:tcPr>
          <w:p>
            <w:pPr>
              <w:ind w:left="1580"/>
              <w:spacing w:after="0"/>
              <w:rPr>
                <w:sz w:val="20"/>
                <w:szCs w:val="20"/>
                <w:color w:val="auto"/>
              </w:rPr>
            </w:pPr>
            <w:r>
              <w:rPr>
                <w:rFonts w:ascii="Times New Roman" w:cs="Times New Roman" w:eastAsia="Times New Roman" w:hAnsi="Times New Roman"/>
                <w:sz w:val="14"/>
                <w:szCs w:val="14"/>
                <w:color w:val="auto"/>
              </w:rPr>
              <w:t>II-78</w:t>
            </w:r>
          </w:p>
        </w:tc>
        <w:tc>
          <w:tcPr>
            <w:tcW w:w="1480" w:type="dxa"/>
            <w:vAlign w:val="bottom"/>
          </w:tcPr>
          <w:p>
            <w:pPr>
              <w:spacing w:after="0"/>
              <w:rPr>
                <w:sz w:val="24"/>
                <w:szCs w:val="24"/>
                <w:color w:val="auto"/>
              </w:rPr>
            </w:pPr>
          </w:p>
        </w:tc>
      </w:tr>
    </w:tbl>
    <w:p>
      <w:pPr>
        <w:sectPr>
          <w:pgSz w:w="11900" w:h="16838" w:orient="portrait"/>
          <w:cols w:equalWidth="0" w:num="1">
            <w:col w:w="9019"/>
          </w:cols>
          <w:pgMar w:left="1440" w:top="243" w:right="1440" w:bottom="1440" w:gutter="0" w:footer="0" w:header="0"/>
        </w:sectPr>
      </w:pPr>
    </w:p>
    <w:bookmarkStart w:id="109" w:name="page110"/>
    <w:bookmarkEnd w:id="109"/>
    <w:p>
      <w:pPr>
        <w:ind w:left="120" w:right="179" w:firstLine="350"/>
        <w:spacing w:after="0" w:line="29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7">
                      <a:extLst>
                        <a:ext uri="{28A0092B-C50C-407E-A947-70E740481C1C}"/>
                      </a:extLst>
                    </a:blip>
                    <a:srcRect/>
                    <a:stretch>
                      <a:fillRect/>
                    </a:stretch>
                  </pic:blipFill>
                  <pic:spPr bwMode="auto">
                    <a:xfrm>
                      <a:off x="0" y="0"/>
                      <a:ext cx="7199630" cy="33020"/>
                    </a:xfrm>
                    <a:prstGeom prst="rect">
                      <a:avLst/>
                    </a:prstGeom>
                    <a:noFill/>
                  </pic:spPr>
                </pic:pic>
              </a:graphicData>
            </a:graphic>
          </wp:anchor>
        </w:drawing>
        <w:t>Pursuant to the requirements of the Securities Act of 1933, the undersigned Registrant has duly caused this Registration Statement to be signed on its behalf by the undersigned, thereunto duly authorized, in the City of Boca Raton, State of Florida, on the 30th day of October, 2026.</w:t>
      </w:r>
    </w:p>
    <w:p>
      <w:pPr>
        <w:spacing w:after="0" w:line="14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b w:val="1"/>
          <w:bCs w:val="1"/>
          <w:color w:val="auto"/>
        </w:rPr>
        <w:t>Minsec Companies, LLC</w:t>
      </w:r>
    </w:p>
    <w:p>
      <w:pPr>
        <w:spacing w:after="0" w:line="18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By: /s/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3606165</wp:posOffset>
            </wp:positionH>
            <wp:positionV relativeFrom="paragraph">
              <wp:posOffset>15875</wp:posOffset>
            </wp:positionV>
            <wp:extent cx="2037080" cy="69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8">
                      <a:extLst>
                        <a:ext uri="{28A0092B-C50C-407E-A947-70E740481C1C}"/>
                      </a:extLst>
                    </a:blip>
                    <a:srcRect/>
                    <a:stretch>
                      <a:fillRect/>
                    </a:stretch>
                  </pic:blipFill>
                  <pic:spPr bwMode="auto">
                    <a:xfrm>
                      <a:off x="0" y="0"/>
                      <a:ext cx="2037080" cy="6985"/>
                    </a:xfrm>
                    <a:prstGeom prst="rect">
                      <a:avLst/>
                    </a:prstGeom>
                    <a:noFill/>
                  </pic:spPr>
                </pic:pic>
              </a:graphicData>
            </a:graphic>
          </wp:anchor>
        </w:drawing>
      </w:r>
    </w:p>
    <w:p>
      <w:pPr>
        <w:spacing w:after="0" w:line="1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Name:  Shayn P. March</w:t>
      </w:r>
    </w:p>
    <w:p>
      <w:pPr>
        <w:spacing w:after="0" w:line="2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Title:    Vice President, Chief Financial Officer,</w:t>
      </w:r>
    </w:p>
    <w:p>
      <w:pPr>
        <w:spacing w:after="0" w:line="1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4"/>
          <w:szCs w:val="14"/>
          <w:color w:val="auto"/>
        </w:rPr>
        <w:t>Treasurer and Manager</w:t>
      </w:r>
    </w:p>
    <w:p>
      <w:pPr>
        <w:spacing w:after="0" w:line="167" w:lineRule="exact"/>
        <w:rPr>
          <w:sz w:val="20"/>
          <w:szCs w:val="20"/>
          <w:color w:val="auto"/>
        </w:rPr>
      </w:pPr>
    </w:p>
    <w:p>
      <w:pPr>
        <w:ind w:left="120" w:right="239" w:firstLine="350"/>
        <w:spacing w:after="0" w:line="261" w:lineRule="auto"/>
        <w:rPr>
          <w:sz w:val="20"/>
          <w:szCs w:val="20"/>
          <w:color w:val="auto"/>
        </w:rPr>
      </w:pPr>
      <w:r>
        <w:rPr>
          <w:rFonts w:ascii="Times New Roman" w:cs="Times New Roman" w:eastAsia="Times New Roman" w:hAnsi="Times New Roman"/>
          <w:sz w:val="14"/>
          <w:szCs w:val="14"/>
          <w:b w:val="1"/>
          <w:bCs w:val="1"/>
          <w:color w:val="auto"/>
        </w:rPr>
        <w:t>KNOWN ALL MEN BY THESE PRESENTS</w:t>
      </w:r>
      <w:r>
        <w:rPr>
          <w:rFonts w:ascii="Times New Roman" w:cs="Times New Roman" w:eastAsia="Times New Roman" w:hAnsi="Times New Roman"/>
          <w:sz w:val="14"/>
          <w:szCs w:val="14"/>
          <w:color w:val="auto"/>
        </w:rPr>
        <w:t>, that each person whose signature appears below hereby constitutes and appoints Shayn P.</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March, Vice President, Chief Financial Officer and Treasurer, and Scott A. Schipma, Vice President and Secretary, and each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146" w:lineRule="exact"/>
        <w:rPr>
          <w:sz w:val="20"/>
          <w:szCs w:val="20"/>
          <w:color w:val="auto"/>
        </w:rPr>
      </w:pPr>
    </w:p>
    <w:p>
      <w:pPr>
        <w:ind w:left="120" w:right="239" w:firstLine="350"/>
        <w:spacing w:after="0" w:line="292"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and on the date indicated.</w:t>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254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00" w:type="dxa"/>
            <w:vAlign w:val="bottom"/>
          </w:tcPr>
          <w:p>
            <w:pPr>
              <w:spacing w:after="0"/>
              <w:rPr>
                <w:sz w:val="12"/>
                <w:szCs w:val="12"/>
                <w:color w:val="auto"/>
              </w:rPr>
            </w:pPr>
          </w:p>
        </w:tc>
        <w:tc>
          <w:tcPr>
            <w:tcW w:w="446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60" w:type="dxa"/>
            <w:vAlign w:val="bottom"/>
          </w:tcPr>
          <w:p>
            <w:pPr>
              <w:spacing w:after="0"/>
              <w:rPr>
                <w:sz w:val="12"/>
                <w:szCs w:val="12"/>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Date</w:t>
            </w:r>
          </w:p>
        </w:tc>
      </w:tr>
      <w:tr>
        <w:trPr>
          <w:trHeight w:val="322"/>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George C. Zoley</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Chairman, Chief Executive Officer and Manager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George C. Zoley</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480" w:type="dxa"/>
            <w:vAlign w:val="bottom"/>
          </w:tcPr>
          <w:p>
            <w:pPr>
              <w:spacing w:after="0"/>
              <w:rPr>
                <w:sz w:val="15"/>
                <w:szCs w:val="15"/>
                <w:color w:val="auto"/>
              </w:rPr>
            </w:pPr>
          </w:p>
        </w:tc>
      </w:tr>
      <w:tr>
        <w:trPr>
          <w:trHeight w:val="339"/>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Chief Financial Officer, Treasurer and Manager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Financial and Accounting Officer)</w:t>
            </w:r>
          </w:p>
        </w:tc>
        <w:tc>
          <w:tcPr>
            <w:tcW w:w="1480" w:type="dxa"/>
            <w:vAlign w:val="bottom"/>
          </w:tcPr>
          <w:p>
            <w:pPr>
              <w:spacing w:after="0"/>
              <w:rPr>
                <w:sz w:val="15"/>
                <w:szCs w:val="15"/>
                <w:color w:val="auto"/>
              </w:rPr>
            </w:pPr>
          </w:p>
        </w:tc>
      </w:tr>
      <w:tr>
        <w:trPr>
          <w:trHeight w:val="340"/>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Scott A. Schipma</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Secretary and Manager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Scott A. Schipma</w:t>
            </w:r>
          </w:p>
        </w:tc>
        <w:tc>
          <w:tcPr>
            <w:tcW w:w="10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39"/>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Senior Vice President, Chief Financial Officer and Treasurer of The GEO</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Group, Inc., the Sole Member of Minsec Companies, LLC</w:t>
            </w:r>
          </w:p>
        </w:tc>
        <w:tc>
          <w:tcPr>
            <w:tcW w:w="1480" w:type="dxa"/>
            <w:vAlign w:val="bottom"/>
          </w:tcPr>
          <w:p>
            <w:pPr>
              <w:spacing w:after="0"/>
              <w:rPr>
                <w:sz w:val="15"/>
                <w:szCs w:val="15"/>
                <w:color w:val="auto"/>
              </w:rPr>
            </w:pPr>
          </w:p>
        </w:tc>
      </w:tr>
      <w:tr>
        <w:trPr>
          <w:trHeight w:val="286"/>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20" w:type="dxa"/>
            <w:vAlign w:val="bottom"/>
            <w:gridSpan w:val="2"/>
          </w:tcPr>
          <w:p>
            <w:pPr>
              <w:ind w:left="1580"/>
              <w:spacing w:after="0"/>
              <w:rPr>
                <w:sz w:val="20"/>
                <w:szCs w:val="20"/>
                <w:color w:val="auto"/>
              </w:rPr>
            </w:pPr>
            <w:r>
              <w:rPr>
                <w:rFonts w:ascii="Times New Roman" w:cs="Times New Roman" w:eastAsia="Times New Roman" w:hAnsi="Times New Roman"/>
                <w:sz w:val="14"/>
                <w:szCs w:val="14"/>
                <w:color w:val="auto"/>
              </w:rPr>
              <w:t>II-79</w:t>
            </w:r>
          </w:p>
        </w:tc>
        <w:tc>
          <w:tcPr>
            <w:tcW w:w="1480" w:type="dxa"/>
            <w:vAlign w:val="bottom"/>
          </w:tcPr>
          <w:p>
            <w:pPr>
              <w:spacing w:after="0"/>
              <w:rPr>
                <w:sz w:val="24"/>
                <w:szCs w:val="24"/>
                <w:color w:val="auto"/>
              </w:rPr>
            </w:pPr>
          </w:p>
        </w:tc>
      </w:tr>
    </w:tbl>
    <w:p>
      <w:pPr>
        <w:sectPr>
          <w:pgSz w:w="11900" w:h="16838" w:orient="portrait"/>
          <w:cols w:equalWidth="0" w:num="1">
            <w:col w:w="9019"/>
          </w:cols>
          <w:pgMar w:left="1440" w:top="243" w:right="1440" w:bottom="1440" w:gutter="0" w:footer="0" w:header="0"/>
        </w:sectPr>
      </w:pPr>
    </w:p>
    <w:bookmarkStart w:id="110" w:name="page111"/>
    <w:bookmarkEnd w:id="110"/>
    <w:p>
      <w:pPr>
        <w:ind w:left="120" w:right="179" w:firstLine="350"/>
        <w:spacing w:after="0" w:line="29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9">
                      <a:extLst>
                        <a:ext uri="{28A0092B-C50C-407E-A947-70E740481C1C}"/>
                      </a:extLst>
                    </a:blip>
                    <a:srcRect/>
                    <a:stretch>
                      <a:fillRect/>
                    </a:stretch>
                  </pic:blipFill>
                  <pic:spPr bwMode="auto">
                    <a:xfrm>
                      <a:off x="0" y="0"/>
                      <a:ext cx="7199630" cy="33020"/>
                    </a:xfrm>
                    <a:prstGeom prst="rect">
                      <a:avLst/>
                    </a:prstGeom>
                    <a:noFill/>
                  </pic:spPr>
                </pic:pic>
              </a:graphicData>
            </a:graphic>
          </wp:anchor>
        </w:drawing>
        <w:t>Pursuant to the requirements of the Securities Act of 1933, the undersigned Registrant has duly caused this Registration Statement to be signed on its behalf by the undersigned, thereunto duly authorized, in the City of Boca Raton, State of Florida, on the 30th day of October, 2026.</w:t>
      </w:r>
    </w:p>
    <w:p>
      <w:pPr>
        <w:spacing w:after="0" w:line="14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b w:val="1"/>
          <w:bCs w:val="1"/>
          <w:color w:val="auto"/>
        </w:rPr>
        <w:t>Minsec Treatment, LLC</w:t>
      </w:r>
    </w:p>
    <w:p>
      <w:pPr>
        <w:spacing w:after="0" w:line="18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By: /s/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3606165</wp:posOffset>
            </wp:positionH>
            <wp:positionV relativeFrom="paragraph">
              <wp:posOffset>15875</wp:posOffset>
            </wp:positionV>
            <wp:extent cx="2037080" cy="69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0">
                      <a:extLst>
                        <a:ext uri="{28A0092B-C50C-407E-A947-70E740481C1C}"/>
                      </a:extLst>
                    </a:blip>
                    <a:srcRect/>
                    <a:stretch>
                      <a:fillRect/>
                    </a:stretch>
                  </pic:blipFill>
                  <pic:spPr bwMode="auto">
                    <a:xfrm>
                      <a:off x="0" y="0"/>
                      <a:ext cx="2037080" cy="6985"/>
                    </a:xfrm>
                    <a:prstGeom prst="rect">
                      <a:avLst/>
                    </a:prstGeom>
                    <a:noFill/>
                  </pic:spPr>
                </pic:pic>
              </a:graphicData>
            </a:graphic>
          </wp:anchor>
        </w:drawing>
      </w:r>
    </w:p>
    <w:p>
      <w:pPr>
        <w:spacing w:after="0" w:line="1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Name:  Shayn P. March</w:t>
      </w:r>
    </w:p>
    <w:p>
      <w:pPr>
        <w:spacing w:after="0" w:line="2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Title:    Vice President, Chief Financial Officer,</w:t>
      </w:r>
    </w:p>
    <w:p>
      <w:pPr>
        <w:spacing w:after="0" w:line="1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4"/>
          <w:szCs w:val="14"/>
          <w:color w:val="auto"/>
        </w:rPr>
        <w:t>Treasurer and Manager</w:t>
      </w:r>
    </w:p>
    <w:p>
      <w:pPr>
        <w:spacing w:after="0" w:line="167" w:lineRule="exact"/>
        <w:rPr>
          <w:sz w:val="20"/>
          <w:szCs w:val="20"/>
          <w:color w:val="auto"/>
        </w:rPr>
      </w:pPr>
    </w:p>
    <w:p>
      <w:pPr>
        <w:ind w:left="120" w:right="239" w:firstLine="350"/>
        <w:spacing w:after="0" w:line="261" w:lineRule="auto"/>
        <w:rPr>
          <w:sz w:val="20"/>
          <w:szCs w:val="20"/>
          <w:color w:val="auto"/>
        </w:rPr>
      </w:pPr>
      <w:r>
        <w:rPr>
          <w:rFonts w:ascii="Times New Roman" w:cs="Times New Roman" w:eastAsia="Times New Roman" w:hAnsi="Times New Roman"/>
          <w:sz w:val="14"/>
          <w:szCs w:val="14"/>
          <w:b w:val="1"/>
          <w:bCs w:val="1"/>
          <w:color w:val="auto"/>
        </w:rPr>
        <w:t>KNOWN ALL MEN BY THESE PRESENTS</w:t>
      </w:r>
      <w:r>
        <w:rPr>
          <w:rFonts w:ascii="Times New Roman" w:cs="Times New Roman" w:eastAsia="Times New Roman" w:hAnsi="Times New Roman"/>
          <w:sz w:val="14"/>
          <w:szCs w:val="14"/>
          <w:color w:val="auto"/>
        </w:rPr>
        <w:t>, that each person whose signature appears below hereby constitutes and appoints Shayn P.</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March, Vice President, Chief Financial Officer and Treasurer, and Scott A. Schipma, Vice President and Secretary, and each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146" w:lineRule="exact"/>
        <w:rPr>
          <w:sz w:val="20"/>
          <w:szCs w:val="20"/>
          <w:color w:val="auto"/>
        </w:rPr>
      </w:pPr>
    </w:p>
    <w:p>
      <w:pPr>
        <w:ind w:left="120" w:right="239" w:firstLine="350"/>
        <w:spacing w:after="0" w:line="292"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and on the date indicated.</w:t>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254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00" w:type="dxa"/>
            <w:vAlign w:val="bottom"/>
          </w:tcPr>
          <w:p>
            <w:pPr>
              <w:spacing w:after="0"/>
              <w:rPr>
                <w:sz w:val="12"/>
                <w:szCs w:val="12"/>
                <w:color w:val="auto"/>
              </w:rPr>
            </w:pPr>
          </w:p>
        </w:tc>
        <w:tc>
          <w:tcPr>
            <w:tcW w:w="446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60" w:type="dxa"/>
            <w:vAlign w:val="bottom"/>
          </w:tcPr>
          <w:p>
            <w:pPr>
              <w:spacing w:after="0"/>
              <w:rPr>
                <w:sz w:val="12"/>
                <w:szCs w:val="12"/>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Date</w:t>
            </w:r>
          </w:p>
        </w:tc>
      </w:tr>
      <w:tr>
        <w:trPr>
          <w:trHeight w:val="322"/>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George C. Zoley</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Chairman, Chief Executive Officer and Manager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George C. Zoley</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480" w:type="dxa"/>
            <w:vAlign w:val="bottom"/>
          </w:tcPr>
          <w:p>
            <w:pPr>
              <w:spacing w:after="0"/>
              <w:rPr>
                <w:sz w:val="15"/>
                <w:szCs w:val="15"/>
                <w:color w:val="auto"/>
              </w:rPr>
            </w:pPr>
          </w:p>
        </w:tc>
      </w:tr>
      <w:tr>
        <w:trPr>
          <w:trHeight w:val="339"/>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Chief Financial Officer, Treasurer and Manager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Financial and Accounting Officer)</w:t>
            </w:r>
          </w:p>
        </w:tc>
        <w:tc>
          <w:tcPr>
            <w:tcW w:w="1480" w:type="dxa"/>
            <w:vAlign w:val="bottom"/>
          </w:tcPr>
          <w:p>
            <w:pPr>
              <w:spacing w:after="0"/>
              <w:rPr>
                <w:sz w:val="15"/>
                <w:szCs w:val="15"/>
                <w:color w:val="auto"/>
              </w:rPr>
            </w:pPr>
          </w:p>
        </w:tc>
      </w:tr>
      <w:tr>
        <w:trPr>
          <w:trHeight w:val="340"/>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Scott A. Schipma</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Secretary and Manager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Scott A. Schipma</w:t>
            </w:r>
          </w:p>
        </w:tc>
        <w:tc>
          <w:tcPr>
            <w:tcW w:w="10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39"/>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Chief Financial Officer, Treasurer and</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38"/>
        </w:trPr>
        <w:tc>
          <w:tcPr>
            <w:tcW w:w="2560" w:type="dxa"/>
            <w:vAlign w:val="bottom"/>
            <w:gridSpan w:val="2"/>
          </w:tcPr>
          <w:p>
            <w:pPr>
              <w:spacing w:after="0" w:line="138" w:lineRule="exact"/>
              <w:rPr>
                <w:sz w:val="20"/>
                <w:szCs w:val="20"/>
                <w:color w:val="auto"/>
              </w:rPr>
            </w:pPr>
            <w:r>
              <w:rPr>
                <w:rFonts w:ascii="Times New Roman" w:cs="Times New Roman" w:eastAsia="Times New Roman" w:hAnsi="Times New Roman"/>
                <w:sz w:val="14"/>
                <w:szCs w:val="14"/>
                <w:color w:val="auto"/>
              </w:rPr>
              <w:t>Shayn P. March</w:t>
            </w:r>
          </w:p>
        </w:tc>
        <w:tc>
          <w:tcPr>
            <w:tcW w:w="4720" w:type="dxa"/>
            <w:vAlign w:val="bottom"/>
            <w:gridSpan w:val="3"/>
          </w:tcPr>
          <w:p>
            <w:pPr>
              <w:ind w:left="80"/>
              <w:spacing w:after="0" w:line="138" w:lineRule="exact"/>
              <w:rPr>
                <w:sz w:val="20"/>
                <w:szCs w:val="20"/>
                <w:color w:val="auto"/>
              </w:rPr>
            </w:pPr>
            <w:r>
              <w:rPr>
                <w:rFonts w:ascii="Times New Roman" w:cs="Times New Roman" w:eastAsia="Times New Roman" w:hAnsi="Times New Roman"/>
                <w:sz w:val="14"/>
                <w:szCs w:val="14"/>
                <w:color w:val="auto"/>
              </w:rPr>
              <w:t>Manager of GEO Reentry Services, LLC, the Sole Member of Minsec</w:t>
            </w:r>
          </w:p>
        </w:tc>
        <w:tc>
          <w:tcPr>
            <w:tcW w:w="1480" w:type="dxa"/>
            <w:vAlign w:val="bottom"/>
          </w:tcPr>
          <w:p>
            <w:pPr>
              <w:spacing w:after="0"/>
              <w:rPr>
                <w:sz w:val="11"/>
                <w:szCs w:val="11"/>
                <w:color w:val="auto"/>
              </w:rPr>
            </w:pPr>
          </w:p>
        </w:tc>
      </w:tr>
      <w:tr>
        <w:trPr>
          <w:trHeight w:val="185"/>
        </w:trPr>
        <w:tc>
          <w:tcPr>
            <w:tcW w:w="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Treatment, LLC</w:t>
            </w:r>
          </w:p>
        </w:tc>
        <w:tc>
          <w:tcPr>
            <w:tcW w:w="1480" w:type="dxa"/>
            <w:vAlign w:val="bottom"/>
          </w:tcPr>
          <w:p>
            <w:pPr>
              <w:spacing w:after="0"/>
              <w:rPr>
                <w:sz w:val="16"/>
                <w:szCs w:val="16"/>
                <w:color w:val="auto"/>
              </w:rPr>
            </w:pPr>
          </w:p>
        </w:tc>
      </w:tr>
      <w:tr>
        <w:trPr>
          <w:trHeight w:val="290"/>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20" w:type="dxa"/>
            <w:vAlign w:val="bottom"/>
            <w:gridSpan w:val="2"/>
          </w:tcPr>
          <w:p>
            <w:pPr>
              <w:ind w:left="1580"/>
              <w:spacing w:after="0"/>
              <w:rPr>
                <w:sz w:val="20"/>
                <w:szCs w:val="20"/>
                <w:color w:val="auto"/>
              </w:rPr>
            </w:pPr>
            <w:r>
              <w:rPr>
                <w:rFonts w:ascii="Times New Roman" w:cs="Times New Roman" w:eastAsia="Times New Roman" w:hAnsi="Times New Roman"/>
                <w:sz w:val="14"/>
                <w:szCs w:val="14"/>
                <w:color w:val="auto"/>
              </w:rPr>
              <w:t>II-80</w:t>
            </w:r>
          </w:p>
        </w:tc>
        <w:tc>
          <w:tcPr>
            <w:tcW w:w="1480" w:type="dxa"/>
            <w:vAlign w:val="bottom"/>
          </w:tcPr>
          <w:p>
            <w:pPr>
              <w:spacing w:after="0"/>
              <w:rPr>
                <w:sz w:val="24"/>
                <w:szCs w:val="24"/>
                <w:color w:val="auto"/>
              </w:rPr>
            </w:pPr>
          </w:p>
        </w:tc>
      </w:tr>
    </w:tbl>
    <w:p>
      <w:pPr>
        <w:sectPr>
          <w:pgSz w:w="11900" w:h="16838" w:orient="portrait"/>
          <w:cols w:equalWidth="0" w:num="1">
            <w:col w:w="9019"/>
          </w:cols>
          <w:pgMar w:left="1440" w:top="243" w:right="1440" w:bottom="1440" w:gutter="0" w:footer="0" w:header="0"/>
        </w:sectPr>
      </w:pPr>
    </w:p>
    <w:bookmarkStart w:id="111" w:name="page112"/>
    <w:bookmarkEnd w:id="111"/>
    <w:p>
      <w:pPr>
        <w:ind w:left="120" w:right="179" w:firstLine="350"/>
        <w:spacing w:after="0" w:line="29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1">
                      <a:extLst>
                        <a:ext uri="{28A0092B-C50C-407E-A947-70E740481C1C}"/>
                      </a:extLst>
                    </a:blip>
                    <a:srcRect/>
                    <a:stretch>
                      <a:fillRect/>
                    </a:stretch>
                  </pic:blipFill>
                  <pic:spPr bwMode="auto">
                    <a:xfrm>
                      <a:off x="0" y="0"/>
                      <a:ext cx="7199630" cy="33020"/>
                    </a:xfrm>
                    <a:prstGeom prst="rect">
                      <a:avLst/>
                    </a:prstGeom>
                    <a:noFill/>
                  </pic:spPr>
                </pic:pic>
              </a:graphicData>
            </a:graphic>
          </wp:anchor>
        </w:drawing>
        <w:t>Pursuant to the requirements of the Securities Act of 1933, the undersigned Registrant has duly caused this Registration Statement to be signed on its behalf by the undersigned, thereunto duly authorized, in the City of Boca Raton, State of Florida, on the 30th day of October, 2026.</w:t>
      </w:r>
    </w:p>
    <w:p>
      <w:pPr>
        <w:spacing w:after="0" w:line="14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b w:val="1"/>
          <w:bCs w:val="1"/>
          <w:color w:val="auto"/>
        </w:rPr>
        <w:t>Municipal Corrections Finance, L.P.</w:t>
      </w:r>
    </w:p>
    <w:p>
      <w:pPr>
        <w:spacing w:after="0" w:line="18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By: /s/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3606165</wp:posOffset>
            </wp:positionH>
            <wp:positionV relativeFrom="paragraph">
              <wp:posOffset>15875</wp:posOffset>
            </wp:positionV>
            <wp:extent cx="2037080" cy="69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2">
                      <a:extLst>
                        <a:ext uri="{28A0092B-C50C-407E-A947-70E740481C1C}"/>
                      </a:extLst>
                    </a:blip>
                    <a:srcRect/>
                    <a:stretch>
                      <a:fillRect/>
                    </a:stretch>
                  </pic:blipFill>
                  <pic:spPr bwMode="auto">
                    <a:xfrm>
                      <a:off x="0" y="0"/>
                      <a:ext cx="2037080" cy="6985"/>
                    </a:xfrm>
                    <a:prstGeom prst="rect">
                      <a:avLst/>
                    </a:prstGeom>
                    <a:noFill/>
                  </pic:spPr>
                </pic:pic>
              </a:graphicData>
            </a:graphic>
          </wp:anchor>
        </w:drawing>
      </w:r>
    </w:p>
    <w:p>
      <w:pPr>
        <w:spacing w:after="0" w:line="1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Name:  Shayn P. March</w:t>
      </w:r>
    </w:p>
    <w:p>
      <w:pPr>
        <w:spacing w:after="0" w:line="2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Title:    Vice President and Treasurer</w:t>
      </w:r>
    </w:p>
    <w:p>
      <w:pPr>
        <w:spacing w:after="0" w:line="167" w:lineRule="exact"/>
        <w:rPr>
          <w:sz w:val="20"/>
          <w:szCs w:val="20"/>
          <w:color w:val="auto"/>
        </w:rPr>
      </w:pPr>
    </w:p>
    <w:p>
      <w:pPr>
        <w:ind w:left="120" w:right="159" w:firstLine="350"/>
        <w:spacing w:after="0" w:line="261" w:lineRule="auto"/>
        <w:rPr>
          <w:sz w:val="20"/>
          <w:szCs w:val="20"/>
          <w:color w:val="auto"/>
        </w:rPr>
      </w:pPr>
      <w:r>
        <w:rPr>
          <w:rFonts w:ascii="Times New Roman" w:cs="Times New Roman" w:eastAsia="Times New Roman" w:hAnsi="Times New Roman"/>
          <w:sz w:val="14"/>
          <w:szCs w:val="14"/>
          <w:b w:val="1"/>
          <w:bCs w:val="1"/>
          <w:color w:val="auto"/>
        </w:rPr>
        <w:t>KNOWN ALL MEN BY THESE PRESENTS</w:t>
      </w:r>
      <w:r>
        <w:rPr>
          <w:rFonts w:ascii="Times New Roman" w:cs="Times New Roman" w:eastAsia="Times New Roman" w:hAnsi="Times New Roman"/>
          <w:sz w:val="14"/>
          <w:szCs w:val="14"/>
          <w:color w:val="auto"/>
        </w:rPr>
        <w:t>, that each person whose signature appears below hereby constitutes and appoints Shayn P.</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March, Vice President and Treasurer, and Scott A. Schipma, Vice President and Secretary, and each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146" w:lineRule="exact"/>
        <w:rPr>
          <w:sz w:val="20"/>
          <w:szCs w:val="20"/>
          <w:color w:val="auto"/>
        </w:rPr>
      </w:pPr>
    </w:p>
    <w:p>
      <w:pPr>
        <w:ind w:left="120" w:right="239" w:firstLine="350"/>
        <w:spacing w:after="0" w:line="292"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and on the date indicated.</w:t>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254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00" w:type="dxa"/>
            <w:vAlign w:val="bottom"/>
          </w:tcPr>
          <w:p>
            <w:pPr>
              <w:spacing w:after="0"/>
              <w:rPr>
                <w:sz w:val="12"/>
                <w:szCs w:val="12"/>
                <w:color w:val="auto"/>
              </w:rPr>
            </w:pPr>
          </w:p>
        </w:tc>
        <w:tc>
          <w:tcPr>
            <w:tcW w:w="446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60" w:type="dxa"/>
            <w:vAlign w:val="bottom"/>
          </w:tcPr>
          <w:p>
            <w:pPr>
              <w:spacing w:after="0"/>
              <w:rPr>
                <w:sz w:val="12"/>
                <w:szCs w:val="12"/>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Date</w:t>
            </w:r>
          </w:p>
        </w:tc>
      </w:tr>
      <w:tr>
        <w:trPr>
          <w:trHeight w:val="322"/>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George C. Zoley</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Chairman and Chief Executive Officer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George C. Zoley</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480" w:type="dxa"/>
            <w:vAlign w:val="bottom"/>
          </w:tcPr>
          <w:p>
            <w:pPr>
              <w:spacing w:after="0"/>
              <w:rPr>
                <w:sz w:val="15"/>
                <w:szCs w:val="15"/>
                <w:color w:val="auto"/>
              </w:rPr>
            </w:pPr>
          </w:p>
        </w:tc>
      </w:tr>
      <w:tr>
        <w:trPr>
          <w:trHeight w:val="339"/>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and Treasurer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Financial Officer)</w:t>
            </w:r>
          </w:p>
        </w:tc>
        <w:tc>
          <w:tcPr>
            <w:tcW w:w="1480" w:type="dxa"/>
            <w:vAlign w:val="bottom"/>
          </w:tcPr>
          <w:p>
            <w:pPr>
              <w:spacing w:after="0"/>
              <w:rPr>
                <w:sz w:val="15"/>
                <w:szCs w:val="15"/>
                <w:color w:val="auto"/>
              </w:rPr>
            </w:pPr>
          </w:p>
        </w:tc>
      </w:tr>
      <w:tr>
        <w:trPr>
          <w:trHeight w:val="339"/>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Ronald A. Brack</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Accounting</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Ronald A. Brack</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Accounting Officer)</w:t>
            </w:r>
          </w:p>
        </w:tc>
        <w:tc>
          <w:tcPr>
            <w:tcW w:w="1480" w:type="dxa"/>
            <w:vAlign w:val="bottom"/>
          </w:tcPr>
          <w:p>
            <w:pPr>
              <w:spacing w:after="0"/>
              <w:rPr>
                <w:sz w:val="15"/>
                <w:szCs w:val="15"/>
                <w:color w:val="auto"/>
              </w:rPr>
            </w:pPr>
          </w:p>
        </w:tc>
      </w:tr>
      <w:tr>
        <w:trPr>
          <w:trHeight w:val="339"/>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Chief Financial Officer, Treasurer and</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38"/>
        </w:trPr>
        <w:tc>
          <w:tcPr>
            <w:tcW w:w="2560" w:type="dxa"/>
            <w:vAlign w:val="bottom"/>
            <w:gridSpan w:val="2"/>
          </w:tcPr>
          <w:p>
            <w:pPr>
              <w:spacing w:after="0" w:line="138" w:lineRule="exact"/>
              <w:rPr>
                <w:sz w:val="20"/>
                <w:szCs w:val="20"/>
                <w:color w:val="auto"/>
              </w:rPr>
            </w:pPr>
            <w:r>
              <w:rPr>
                <w:rFonts w:ascii="Times New Roman" w:cs="Times New Roman" w:eastAsia="Times New Roman" w:hAnsi="Times New Roman"/>
                <w:sz w:val="14"/>
                <w:szCs w:val="14"/>
                <w:color w:val="auto"/>
              </w:rPr>
              <w:t>Shayn P. March</w:t>
            </w:r>
          </w:p>
        </w:tc>
        <w:tc>
          <w:tcPr>
            <w:tcW w:w="4720" w:type="dxa"/>
            <w:vAlign w:val="bottom"/>
            <w:gridSpan w:val="3"/>
          </w:tcPr>
          <w:p>
            <w:pPr>
              <w:ind w:left="80"/>
              <w:spacing w:after="0" w:line="138" w:lineRule="exact"/>
              <w:rPr>
                <w:sz w:val="20"/>
                <w:szCs w:val="20"/>
                <w:color w:val="auto"/>
              </w:rPr>
            </w:pPr>
            <w:r>
              <w:rPr>
                <w:rFonts w:ascii="Times New Roman" w:cs="Times New Roman" w:eastAsia="Times New Roman" w:hAnsi="Times New Roman"/>
                <w:sz w:val="14"/>
                <w:szCs w:val="14"/>
                <w:color w:val="auto"/>
              </w:rPr>
              <w:t>Manager of MCF GP, LLC, the General Partner of Municipal Corrections</w:t>
            </w:r>
          </w:p>
        </w:tc>
        <w:tc>
          <w:tcPr>
            <w:tcW w:w="1480" w:type="dxa"/>
            <w:vAlign w:val="bottom"/>
          </w:tcPr>
          <w:p>
            <w:pPr>
              <w:spacing w:after="0"/>
              <w:rPr>
                <w:sz w:val="11"/>
                <w:szCs w:val="11"/>
                <w:color w:val="auto"/>
              </w:rPr>
            </w:pPr>
          </w:p>
        </w:tc>
      </w:tr>
      <w:tr>
        <w:trPr>
          <w:trHeight w:val="185"/>
        </w:trPr>
        <w:tc>
          <w:tcPr>
            <w:tcW w:w="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Finance, L.P.</w:t>
            </w:r>
          </w:p>
        </w:tc>
        <w:tc>
          <w:tcPr>
            <w:tcW w:w="1480" w:type="dxa"/>
            <w:vAlign w:val="bottom"/>
          </w:tcPr>
          <w:p>
            <w:pPr>
              <w:spacing w:after="0"/>
              <w:rPr>
                <w:sz w:val="16"/>
                <w:szCs w:val="16"/>
                <w:color w:val="auto"/>
              </w:rPr>
            </w:pPr>
          </w:p>
        </w:tc>
      </w:tr>
      <w:tr>
        <w:trPr>
          <w:trHeight w:val="290"/>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20" w:type="dxa"/>
            <w:vAlign w:val="bottom"/>
            <w:gridSpan w:val="2"/>
          </w:tcPr>
          <w:p>
            <w:pPr>
              <w:ind w:left="1580"/>
              <w:spacing w:after="0"/>
              <w:rPr>
                <w:sz w:val="20"/>
                <w:szCs w:val="20"/>
                <w:color w:val="auto"/>
              </w:rPr>
            </w:pPr>
            <w:r>
              <w:rPr>
                <w:rFonts w:ascii="Times New Roman" w:cs="Times New Roman" w:eastAsia="Times New Roman" w:hAnsi="Times New Roman"/>
                <w:sz w:val="14"/>
                <w:szCs w:val="14"/>
                <w:color w:val="auto"/>
              </w:rPr>
              <w:t>II-81</w:t>
            </w:r>
          </w:p>
        </w:tc>
        <w:tc>
          <w:tcPr>
            <w:tcW w:w="1480" w:type="dxa"/>
            <w:vAlign w:val="bottom"/>
          </w:tcPr>
          <w:p>
            <w:pPr>
              <w:spacing w:after="0"/>
              <w:rPr>
                <w:sz w:val="24"/>
                <w:szCs w:val="24"/>
                <w:color w:val="auto"/>
              </w:rPr>
            </w:pPr>
          </w:p>
        </w:tc>
      </w:tr>
    </w:tbl>
    <w:p>
      <w:pPr>
        <w:sectPr>
          <w:pgSz w:w="11900" w:h="16838" w:orient="portrait"/>
          <w:cols w:equalWidth="0" w:num="1">
            <w:col w:w="9019"/>
          </w:cols>
          <w:pgMar w:left="1440" w:top="243" w:right="1440" w:bottom="1440" w:gutter="0" w:footer="0" w:header="0"/>
        </w:sectPr>
      </w:pPr>
    </w:p>
    <w:bookmarkStart w:id="112" w:name="page113"/>
    <w:bookmarkEnd w:id="112"/>
    <w:p>
      <w:pPr>
        <w:ind w:left="120" w:right="179" w:firstLine="350"/>
        <w:spacing w:after="0" w:line="29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3">
                      <a:extLst>
                        <a:ext uri="{28A0092B-C50C-407E-A947-70E740481C1C}"/>
                      </a:extLst>
                    </a:blip>
                    <a:srcRect/>
                    <a:stretch>
                      <a:fillRect/>
                    </a:stretch>
                  </pic:blipFill>
                  <pic:spPr bwMode="auto">
                    <a:xfrm>
                      <a:off x="0" y="0"/>
                      <a:ext cx="7199630" cy="33020"/>
                    </a:xfrm>
                    <a:prstGeom prst="rect">
                      <a:avLst/>
                    </a:prstGeom>
                    <a:noFill/>
                  </pic:spPr>
                </pic:pic>
              </a:graphicData>
            </a:graphic>
          </wp:anchor>
        </w:drawing>
        <w:t>Pursuant to the requirements of the Securities Act of 1933, the undersigned Registrant has duly caused this Registration Statement to be signed on its behalf by the undersigned, thereunto duly authorized, in the City of Boca Raton, State of Florida, on the 30th day of October, 2026.</w:t>
      </w:r>
    </w:p>
    <w:p>
      <w:pPr>
        <w:spacing w:after="0" w:line="14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b w:val="1"/>
          <w:bCs w:val="1"/>
          <w:color w:val="auto"/>
        </w:rPr>
        <w:t>Protocol Criminal Justice, Inc.</w:t>
      </w:r>
    </w:p>
    <w:p>
      <w:pPr>
        <w:spacing w:after="0" w:line="18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By: /s/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3606165</wp:posOffset>
            </wp:positionH>
            <wp:positionV relativeFrom="paragraph">
              <wp:posOffset>15875</wp:posOffset>
            </wp:positionV>
            <wp:extent cx="2037080" cy="69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4">
                      <a:extLst>
                        <a:ext uri="{28A0092B-C50C-407E-A947-70E740481C1C}"/>
                      </a:extLst>
                    </a:blip>
                    <a:srcRect/>
                    <a:stretch>
                      <a:fillRect/>
                    </a:stretch>
                  </pic:blipFill>
                  <pic:spPr bwMode="auto">
                    <a:xfrm>
                      <a:off x="0" y="0"/>
                      <a:ext cx="2037080" cy="6985"/>
                    </a:xfrm>
                    <a:prstGeom prst="rect">
                      <a:avLst/>
                    </a:prstGeom>
                    <a:noFill/>
                  </pic:spPr>
                </pic:pic>
              </a:graphicData>
            </a:graphic>
          </wp:anchor>
        </w:drawing>
      </w:r>
    </w:p>
    <w:p>
      <w:pPr>
        <w:spacing w:after="0" w:line="1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Name:  Shayn P. March</w:t>
      </w:r>
    </w:p>
    <w:p>
      <w:pPr>
        <w:spacing w:after="0" w:line="2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Title:    Vice President, Treasurer and Director</w:t>
      </w:r>
    </w:p>
    <w:p>
      <w:pPr>
        <w:spacing w:after="0" w:line="167" w:lineRule="exact"/>
        <w:rPr>
          <w:sz w:val="20"/>
          <w:szCs w:val="20"/>
          <w:color w:val="auto"/>
        </w:rPr>
      </w:pPr>
    </w:p>
    <w:p>
      <w:pPr>
        <w:ind w:left="120" w:right="159" w:firstLine="350"/>
        <w:spacing w:after="0" w:line="261" w:lineRule="auto"/>
        <w:rPr>
          <w:sz w:val="20"/>
          <w:szCs w:val="20"/>
          <w:color w:val="auto"/>
        </w:rPr>
      </w:pPr>
      <w:r>
        <w:rPr>
          <w:rFonts w:ascii="Times New Roman" w:cs="Times New Roman" w:eastAsia="Times New Roman" w:hAnsi="Times New Roman"/>
          <w:sz w:val="14"/>
          <w:szCs w:val="14"/>
          <w:b w:val="1"/>
          <w:bCs w:val="1"/>
          <w:color w:val="auto"/>
        </w:rPr>
        <w:t>KNOWN ALL MEN BY THESE PRESENTS</w:t>
      </w:r>
      <w:r>
        <w:rPr>
          <w:rFonts w:ascii="Times New Roman" w:cs="Times New Roman" w:eastAsia="Times New Roman" w:hAnsi="Times New Roman"/>
          <w:sz w:val="14"/>
          <w:szCs w:val="14"/>
          <w:color w:val="auto"/>
        </w:rPr>
        <w:t>, that each person whose signature appears below hereby constitutes and appoints Shayn P.</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March, Vice President and Treasurer, and Scott A. Schipma, Vice President and Secretary, and each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146" w:lineRule="exact"/>
        <w:rPr>
          <w:sz w:val="20"/>
          <w:szCs w:val="20"/>
          <w:color w:val="auto"/>
        </w:rPr>
      </w:pPr>
    </w:p>
    <w:p>
      <w:pPr>
        <w:ind w:left="120" w:right="239" w:firstLine="350"/>
        <w:spacing w:after="0" w:line="292"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and on the date indicated.</w:t>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254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00" w:type="dxa"/>
            <w:vAlign w:val="bottom"/>
          </w:tcPr>
          <w:p>
            <w:pPr>
              <w:spacing w:after="0"/>
              <w:rPr>
                <w:sz w:val="12"/>
                <w:szCs w:val="12"/>
                <w:color w:val="auto"/>
              </w:rPr>
            </w:pPr>
          </w:p>
        </w:tc>
        <w:tc>
          <w:tcPr>
            <w:tcW w:w="446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60" w:type="dxa"/>
            <w:vAlign w:val="bottom"/>
          </w:tcPr>
          <w:p>
            <w:pPr>
              <w:spacing w:after="0"/>
              <w:rPr>
                <w:sz w:val="12"/>
                <w:szCs w:val="12"/>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Date</w:t>
            </w:r>
          </w:p>
        </w:tc>
      </w:tr>
      <w:tr>
        <w:trPr>
          <w:trHeight w:val="322"/>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George C. Zoley</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Chief Executive Officer and 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George C. Zoley</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480" w:type="dxa"/>
            <w:vAlign w:val="bottom"/>
          </w:tcPr>
          <w:p>
            <w:pPr>
              <w:spacing w:after="0"/>
              <w:rPr>
                <w:sz w:val="15"/>
                <w:szCs w:val="15"/>
                <w:color w:val="auto"/>
              </w:rPr>
            </w:pPr>
          </w:p>
        </w:tc>
      </w:tr>
      <w:tr>
        <w:trPr>
          <w:trHeight w:val="339"/>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Treasurer and 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Financial and Accounting Officer)</w:t>
            </w:r>
          </w:p>
        </w:tc>
        <w:tc>
          <w:tcPr>
            <w:tcW w:w="1480" w:type="dxa"/>
            <w:vAlign w:val="bottom"/>
          </w:tcPr>
          <w:p>
            <w:pPr>
              <w:spacing w:after="0"/>
              <w:rPr>
                <w:sz w:val="15"/>
                <w:szCs w:val="15"/>
                <w:color w:val="auto"/>
              </w:rPr>
            </w:pPr>
          </w:p>
        </w:tc>
      </w:tr>
      <w:tr>
        <w:trPr>
          <w:trHeight w:val="340"/>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Scott A. Schipma</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Secretary and 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Scott A. Schipma</w:t>
            </w:r>
          </w:p>
        </w:tc>
        <w:tc>
          <w:tcPr>
            <w:tcW w:w="10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40"/>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David O. Meehan</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David O. Meehan</w:t>
            </w:r>
          </w:p>
        </w:tc>
        <w:tc>
          <w:tcPr>
            <w:tcW w:w="10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86"/>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20" w:type="dxa"/>
            <w:vAlign w:val="bottom"/>
            <w:gridSpan w:val="2"/>
          </w:tcPr>
          <w:p>
            <w:pPr>
              <w:ind w:left="1580"/>
              <w:spacing w:after="0"/>
              <w:rPr>
                <w:sz w:val="20"/>
                <w:szCs w:val="20"/>
                <w:color w:val="auto"/>
              </w:rPr>
            </w:pPr>
            <w:r>
              <w:rPr>
                <w:rFonts w:ascii="Times New Roman" w:cs="Times New Roman" w:eastAsia="Times New Roman" w:hAnsi="Times New Roman"/>
                <w:sz w:val="14"/>
                <w:szCs w:val="14"/>
                <w:color w:val="auto"/>
              </w:rPr>
              <w:t>II-82</w:t>
            </w:r>
          </w:p>
        </w:tc>
        <w:tc>
          <w:tcPr>
            <w:tcW w:w="1480" w:type="dxa"/>
            <w:vAlign w:val="bottom"/>
          </w:tcPr>
          <w:p>
            <w:pPr>
              <w:spacing w:after="0"/>
              <w:rPr>
                <w:sz w:val="24"/>
                <w:szCs w:val="24"/>
                <w:color w:val="auto"/>
              </w:rPr>
            </w:pPr>
          </w:p>
        </w:tc>
      </w:tr>
    </w:tbl>
    <w:p>
      <w:pPr>
        <w:sectPr>
          <w:pgSz w:w="11900" w:h="16838" w:orient="portrait"/>
          <w:cols w:equalWidth="0" w:num="1">
            <w:col w:w="9019"/>
          </w:cols>
          <w:pgMar w:left="1440" w:top="243" w:right="1440" w:bottom="1440" w:gutter="0" w:footer="0" w:header="0"/>
        </w:sectPr>
      </w:pPr>
    </w:p>
    <w:bookmarkStart w:id="113" w:name="page114"/>
    <w:bookmarkEnd w:id="113"/>
    <w:p>
      <w:pPr>
        <w:ind w:left="120" w:right="179" w:firstLine="350"/>
        <w:spacing w:after="0" w:line="29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5">
                      <a:extLst>
                        <a:ext uri="{28A0092B-C50C-407E-A947-70E740481C1C}"/>
                      </a:extLst>
                    </a:blip>
                    <a:srcRect/>
                    <a:stretch>
                      <a:fillRect/>
                    </a:stretch>
                  </pic:blipFill>
                  <pic:spPr bwMode="auto">
                    <a:xfrm>
                      <a:off x="0" y="0"/>
                      <a:ext cx="7199630" cy="33020"/>
                    </a:xfrm>
                    <a:prstGeom prst="rect">
                      <a:avLst/>
                    </a:prstGeom>
                    <a:noFill/>
                  </pic:spPr>
                </pic:pic>
              </a:graphicData>
            </a:graphic>
          </wp:anchor>
        </w:drawing>
        <w:t>Pursuant to the requirements of the Securities Act of 1933, the undersigned Registrant has duly caused this Registration Statement to be signed on its behalf by the undersigned, thereunto duly authorized, in the City of Boca Raton, State of Florida, on the 30th day of October, 2026.</w:t>
      </w:r>
    </w:p>
    <w:p>
      <w:pPr>
        <w:spacing w:after="0" w:line="14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b w:val="1"/>
          <w:bCs w:val="1"/>
          <w:color w:val="auto"/>
        </w:rPr>
        <w:t>Public Properties Development and Leasing LLC</w:t>
      </w:r>
    </w:p>
    <w:p>
      <w:pPr>
        <w:spacing w:after="0" w:line="18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By: /s/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3606165</wp:posOffset>
            </wp:positionH>
            <wp:positionV relativeFrom="paragraph">
              <wp:posOffset>15875</wp:posOffset>
            </wp:positionV>
            <wp:extent cx="2037080" cy="69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6">
                      <a:extLst>
                        <a:ext uri="{28A0092B-C50C-407E-A947-70E740481C1C}"/>
                      </a:extLst>
                    </a:blip>
                    <a:srcRect/>
                    <a:stretch>
                      <a:fillRect/>
                    </a:stretch>
                  </pic:blipFill>
                  <pic:spPr bwMode="auto">
                    <a:xfrm>
                      <a:off x="0" y="0"/>
                      <a:ext cx="2037080" cy="6985"/>
                    </a:xfrm>
                    <a:prstGeom prst="rect">
                      <a:avLst/>
                    </a:prstGeom>
                    <a:noFill/>
                  </pic:spPr>
                </pic:pic>
              </a:graphicData>
            </a:graphic>
          </wp:anchor>
        </w:drawing>
      </w:r>
    </w:p>
    <w:p>
      <w:pPr>
        <w:spacing w:after="0" w:line="1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Name:  Shayn P. March</w:t>
      </w:r>
    </w:p>
    <w:p>
      <w:pPr>
        <w:spacing w:after="0" w:line="2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Title:    Vice President, Treasurer and Manager</w:t>
      </w:r>
    </w:p>
    <w:p>
      <w:pPr>
        <w:spacing w:after="0" w:line="167" w:lineRule="exact"/>
        <w:rPr>
          <w:sz w:val="20"/>
          <w:szCs w:val="20"/>
          <w:color w:val="auto"/>
        </w:rPr>
      </w:pPr>
    </w:p>
    <w:p>
      <w:pPr>
        <w:ind w:left="120" w:right="159" w:firstLine="350"/>
        <w:spacing w:after="0" w:line="261" w:lineRule="auto"/>
        <w:rPr>
          <w:sz w:val="20"/>
          <w:szCs w:val="20"/>
          <w:color w:val="auto"/>
        </w:rPr>
      </w:pPr>
      <w:r>
        <w:rPr>
          <w:rFonts w:ascii="Times New Roman" w:cs="Times New Roman" w:eastAsia="Times New Roman" w:hAnsi="Times New Roman"/>
          <w:sz w:val="14"/>
          <w:szCs w:val="14"/>
          <w:b w:val="1"/>
          <w:bCs w:val="1"/>
          <w:color w:val="auto"/>
        </w:rPr>
        <w:t>KNOWN ALL MEN BY THESE PRESENTS</w:t>
      </w:r>
      <w:r>
        <w:rPr>
          <w:rFonts w:ascii="Times New Roman" w:cs="Times New Roman" w:eastAsia="Times New Roman" w:hAnsi="Times New Roman"/>
          <w:sz w:val="14"/>
          <w:szCs w:val="14"/>
          <w:color w:val="auto"/>
        </w:rPr>
        <w:t>, that each person whose signature appears below hereby constitutes and appoints Shayn P.</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March, Vice President and Treasurer, and Scott A. Schipma, Vice President and Secretary, and each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146" w:lineRule="exact"/>
        <w:rPr>
          <w:sz w:val="20"/>
          <w:szCs w:val="20"/>
          <w:color w:val="auto"/>
        </w:rPr>
      </w:pPr>
    </w:p>
    <w:p>
      <w:pPr>
        <w:ind w:left="120" w:right="239" w:firstLine="350"/>
        <w:spacing w:after="0" w:line="292"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and on the date indicated.</w:t>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254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00" w:type="dxa"/>
            <w:vAlign w:val="bottom"/>
          </w:tcPr>
          <w:p>
            <w:pPr>
              <w:spacing w:after="0"/>
              <w:rPr>
                <w:sz w:val="12"/>
                <w:szCs w:val="12"/>
                <w:color w:val="auto"/>
              </w:rPr>
            </w:pPr>
          </w:p>
        </w:tc>
        <w:tc>
          <w:tcPr>
            <w:tcW w:w="446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60" w:type="dxa"/>
            <w:vAlign w:val="bottom"/>
          </w:tcPr>
          <w:p>
            <w:pPr>
              <w:spacing w:after="0"/>
              <w:rPr>
                <w:sz w:val="12"/>
                <w:szCs w:val="12"/>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Date</w:t>
            </w:r>
          </w:p>
        </w:tc>
      </w:tr>
      <w:tr>
        <w:trPr>
          <w:trHeight w:val="322"/>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George C. Zoley</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Chairman, Chief Executive Officer and Manager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George C. Zoley</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480" w:type="dxa"/>
            <w:vAlign w:val="bottom"/>
          </w:tcPr>
          <w:p>
            <w:pPr>
              <w:spacing w:after="0"/>
              <w:rPr>
                <w:sz w:val="15"/>
                <w:szCs w:val="15"/>
                <w:color w:val="auto"/>
              </w:rPr>
            </w:pPr>
          </w:p>
        </w:tc>
      </w:tr>
      <w:tr>
        <w:trPr>
          <w:trHeight w:val="339"/>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Treasurer and Manager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Financial and Accounting Officer)</w:t>
            </w:r>
          </w:p>
        </w:tc>
        <w:tc>
          <w:tcPr>
            <w:tcW w:w="1480" w:type="dxa"/>
            <w:vAlign w:val="bottom"/>
          </w:tcPr>
          <w:p>
            <w:pPr>
              <w:spacing w:after="0"/>
              <w:rPr>
                <w:sz w:val="15"/>
                <w:szCs w:val="15"/>
                <w:color w:val="auto"/>
              </w:rPr>
            </w:pPr>
          </w:p>
        </w:tc>
      </w:tr>
      <w:tr>
        <w:trPr>
          <w:trHeight w:val="340"/>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Scott A. Schipma</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Secretary and Manager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Scott A. Schipma</w:t>
            </w:r>
          </w:p>
        </w:tc>
        <w:tc>
          <w:tcPr>
            <w:tcW w:w="10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39"/>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Treasurer and Director of GEO</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38"/>
        </w:trPr>
        <w:tc>
          <w:tcPr>
            <w:tcW w:w="2560" w:type="dxa"/>
            <w:vAlign w:val="bottom"/>
            <w:gridSpan w:val="2"/>
          </w:tcPr>
          <w:p>
            <w:pPr>
              <w:spacing w:after="0" w:line="138" w:lineRule="exact"/>
              <w:rPr>
                <w:sz w:val="20"/>
                <w:szCs w:val="20"/>
                <w:color w:val="auto"/>
              </w:rPr>
            </w:pPr>
            <w:r>
              <w:rPr>
                <w:rFonts w:ascii="Times New Roman" w:cs="Times New Roman" w:eastAsia="Times New Roman" w:hAnsi="Times New Roman"/>
                <w:sz w:val="14"/>
                <w:szCs w:val="14"/>
                <w:color w:val="auto"/>
              </w:rPr>
              <w:t>Shayn P. March</w:t>
            </w:r>
          </w:p>
        </w:tc>
        <w:tc>
          <w:tcPr>
            <w:tcW w:w="4720" w:type="dxa"/>
            <w:vAlign w:val="bottom"/>
            <w:gridSpan w:val="3"/>
          </w:tcPr>
          <w:p>
            <w:pPr>
              <w:ind w:left="80"/>
              <w:spacing w:after="0" w:line="138" w:lineRule="exact"/>
              <w:rPr>
                <w:sz w:val="20"/>
                <w:szCs w:val="20"/>
                <w:color w:val="auto"/>
              </w:rPr>
            </w:pPr>
            <w:r>
              <w:rPr>
                <w:rFonts w:ascii="Times New Roman" w:cs="Times New Roman" w:eastAsia="Times New Roman" w:hAnsi="Times New Roman"/>
                <w:sz w:val="14"/>
                <w:szCs w:val="14"/>
                <w:color w:val="auto"/>
              </w:rPr>
              <w:t>Acquisition II, Inc., the Sole General Partner of CPT Operating Partnership</w:t>
            </w:r>
          </w:p>
        </w:tc>
        <w:tc>
          <w:tcPr>
            <w:tcW w:w="1480" w:type="dxa"/>
            <w:vAlign w:val="bottom"/>
          </w:tcPr>
          <w:p>
            <w:pPr>
              <w:spacing w:after="0"/>
              <w:rPr>
                <w:sz w:val="11"/>
                <w:szCs w:val="11"/>
                <w:color w:val="auto"/>
              </w:rPr>
            </w:pPr>
          </w:p>
        </w:tc>
      </w:tr>
      <w:tr>
        <w:trPr>
          <w:trHeight w:val="185"/>
        </w:trPr>
        <w:tc>
          <w:tcPr>
            <w:tcW w:w="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L.P., the Sole Member of Public Properties Development and Leasing LLC</w:t>
            </w:r>
          </w:p>
        </w:tc>
        <w:tc>
          <w:tcPr>
            <w:tcW w:w="1480" w:type="dxa"/>
            <w:vAlign w:val="bottom"/>
          </w:tcPr>
          <w:p>
            <w:pPr>
              <w:spacing w:after="0"/>
              <w:rPr>
                <w:sz w:val="16"/>
                <w:szCs w:val="16"/>
                <w:color w:val="auto"/>
              </w:rPr>
            </w:pPr>
          </w:p>
        </w:tc>
      </w:tr>
      <w:tr>
        <w:trPr>
          <w:trHeight w:val="300"/>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20" w:type="dxa"/>
            <w:vAlign w:val="bottom"/>
            <w:gridSpan w:val="2"/>
          </w:tcPr>
          <w:p>
            <w:pPr>
              <w:ind w:left="1580"/>
              <w:spacing w:after="0"/>
              <w:rPr>
                <w:sz w:val="20"/>
                <w:szCs w:val="20"/>
                <w:color w:val="auto"/>
              </w:rPr>
            </w:pPr>
            <w:r>
              <w:rPr>
                <w:rFonts w:ascii="Times New Roman" w:cs="Times New Roman" w:eastAsia="Times New Roman" w:hAnsi="Times New Roman"/>
                <w:sz w:val="14"/>
                <w:szCs w:val="14"/>
                <w:color w:val="auto"/>
              </w:rPr>
              <w:t>II-83</w:t>
            </w:r>
          </w:p>
        </w:tc>
        <w:tc>
          <w:tcPr>
            <w:tcW w:w="1480" w:type="dxa"/>
            <w:vAlign w:val="bottom"/>
          </w:tcPr>
          <w:p>
            <w:pPr>
              <w:spacing w:after="0"/>
              <w:rPr>
                <w:sz w:val="24"/>
                <w:szCs w:val="24"/>
                <w:color w:val="auto"/>
              </w:rPr>
            </w:pPr>
          </w:p>
        </w:tc>
      </w:tr>
    </w:tbl>
    <w:p>
      <w:pPr>
        <w:sectPr>
          <w:pgSz w:w="11900" w:h="16838" w:orient="portrait"/>
          <w:cols w:equalWidth="0" w:num="1">
            <w:col w:w="9019"/>
          </w:cols>
          <w:pgMar w:left="1440" w:top="243" w:right="1440" w:bottom="1440" w:gutter="0" w:footer="0" w:header="0"/>
        </w:sectPr>
      </w:pPr>
    </w:p>
    <w:bookmarkStart w:id="114" w:name="page115"/>
    <w:bookmarkEnd w:id="114"/>
    <w:p>
      <w:pPr>
        <w:ind w:left="120" w:right="179" w:firstLine="350"/>
        <w:spacing w:after="0" w:line="29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7">
                      <a:extLst>
                        <a:ext uri="{28A0092B-C50C-407E-A947-70E740481C1C}"/>
                      </a:extLst>
                    </a:blip>
                    <a:srcRect/>
                    <a:stretch>
                      <a:fillRect/>
                    </a:stretch>
                  </pic:blipFill>
                  <pic:spPr bwMode="auto">
                    <a:xfrm>
                      <a:off x="0" y="0"/>
                      <a:ext cx="7199630" cy="33020"/>
                    </a:xfrm>
                    <a:prstGeom prst="rect">
                      <a:avLst/>
                    </a:prstGeom>
                    <a:noFill/>
                  </pic:spPr>
                </pic:pic>
              </a:graphicData>
            </a:graphic>
          </wp:anchor>
        </w:drawing>
        <w:t>Pursuant to the requirements of the Securities Act of 1933, the undersigned Registrant has duly caused this Registration Statement to be signed on its behalf by the undersigned, thereunto duly authorized, in the City of Boca Raton, State of Florida, on the 30th day of October, 2026.</w:t>
      </w:r>
    </w:p>
    <w:p>
      <w:pPr>
        <w:spacing w:after="0" w:line="14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b w:val="1"/>
          <w:bCs w:val="1"/>
          <w:color w:val="auto"/>
        </w:rPr>
        <w:t>SECON, Inc.</w:t>
      </w:r>
    </w:p>
    <w:p>
      <w:pPr>
        <w:spacing w:after="0" w:line="18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By: /s/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3606165</wp:posOffset>
            </wp:positionH>
            <wp:positionV relativeFrom="paragraph">
              <wp:posOffset>15875</wp:posOffset>
            </wp:positionV>
            <wp:extent cx="2037080" cy="69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8">
                      <a:extLst>
                        <a:ext uri="{28A0092B-C50C-407E-A947-70E740481C1C}"/>
                      </a:extLst>
                    </a:blip>
                    <a:srcRect/>
                    <a:stretch>
                      <a:fillRect/>
                    </a:stretch>
                  </pic:blipFill>
                  <pic:spPr bwMode="auto">
                    <a:xfrm>
                      <a:off x="0" y="0"/>
                      <a:ext cx="2037080" cy="6985"/>
                    </a:xfrm>
                    <a:prstGeom prst="rect">
                      <a:avLst/>
                    </a:prstGeom>
                    <a:noFill/>
                  </pic:spPr>
                </pic:pic>
              </a:graphicData>
            </a:graphic>
          </wp:anchor>
        </w:drawing>
      </w:r>
    </w:p>
    <w:p>
      <w:pPr>
        <w:spacing w:after="0" w:line="1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Name:  Shayn P. March</w:t>
      </w:r>
    </w:p>
    <w:p>
      <w:pPr>
        <w:spacing w:after="0" w:line="2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Title:    Vice President, Chief Financial Officer,</w:t>
      </w:r>
    </w:p>
    <w:p>
      <w:pPr>
        <w:spacing w:after="0" w:line="1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4"/>
          <w:szCs w:val="14"/>
          <w:color w:val="auto"/>
        </w:rPr>
        <w:t>Treasurer and Director</w:t>
      </w:r>
    </w:p>
    <w:p>
      <w:pPr>
        <w:spacing w:after="0" w:line="167" w:lineRule="exact"/>
        <w:rPr>
          <w:sz w:val="20"/>
          <w:szCs w:val="20"/>
          <w:color w:val="auto"/>
        </w:rPr>
      </w:pPr>
    </w:p>
    <w:p>
      <w:pPr>
        <w:ind w:left="120" w:right="239" w:firstLine="350"/>
        <w:spacing w:after="0" w:line="261" w:lineRule="auto"/>
        <w:rPr>
          <w:sz w:val="20"/>
          <w:szCs w:val="20"/>
          <w:color w:val="auto"/>
        </w:rPr>
      </w:pPr>
      <w:r>
        <w:rPr>
          <w:rFonts w:ascii="Times New Roman" w:cs="Times New Roman" w:eastAsia="Times New Roman" w:hAnsi="Times New Roman"/>
          <w:sz w:val="14"/>
          <w:szCs w:val="14"/>
          <w:b w:val="1"/>
          <w:bCs w:val="1"/>
          <w:color w:val="auto"/>
        </w:rPr>
        <w:t>KNOWN ALL MEN BY THESE PRESENTS</w:t>
      </w:r>
      <w:r>
        <w:rPr>
          <w:rFonts w:ascii="Times New Roman" w:cs="Times New Roman" w:eastAsia="Times New Roman" w:hAnsi="Times New Roman"/>
          <w:sz w:val="14"/>
          <w:szCs w:val="14"/>
          <w:color w:val="auto"/>
        </w:rPr>
        <w:t>, that each person whose signature appears below hereby constitutes and appoints Shayn P.</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March, Vice President, Chief Financial Officer and Treasurer, and Scott A. Schipma, Vice President and Secretary, and each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146" w:lineRule="exact"/>
        <w:rPr>
          <w:sz w:val="20"/>
          <w:szCs w:val="20"/>
          <w:color w:val="auto"/>
        </w:rPr>
      </w:pPr>
    </w:p>
    <w:p>
      <w:pPr>
        <w:ind w:left="120" w:right="239" w:firstLine="350"/>
        <w:spacing w:after="0" w:line="292"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and on the date indicated.</w:t>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254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00" w:type="dxa"/>
            <w:vAlign w:val="bottom"/>
          </w:tcPr>
          <w:p>
            <w:pPr>
              <w:spacing w:after="0"/>
              <w:rPr>
                <w:sz w:val="12"/>
                <w:szCs w:val="12"/>
                <w:color w:val="auto"/>
              </w:rPr>
            </w:pPr>
          </w:p>
        </w:tc>
        <w:tc>
          <w:tcPr>
            <w:tcW w:w="446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60" w:type="dxa"/>
            <w:vAlign w:val="bottom"/>
          </w:tcPr>
          <w:p>
            <w:pPr>
              <w:spacing w:after="0"/>
              <w:rPr>
                <w:sz w:val="12"/>
                <w:szCs w:val="12"/>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Date</w:t>
            </w:r>
          </w:p>
        </w:tc>
      </w:tr>
      <w:tr>
        <w:trPr>
          <w:trHeight w:val="322"/>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George C. Zoley</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Chairman, Chief Executive Officer and 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George C. Zoley</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480" w:type="dxa"/>
            <w:vAlign w:val="bottom"/>
          </w:tcPr>
          <w:p>
            <w:pPr>
              <w:spacing w:after="0"/>
              <w:rPr>
                <w:sz w:val="15"/>
                <w:szCs w:val="15"/>
                <w:color w:val="auto"/>
              </w:rPr>
            </w:pPr>
          </w:p>
        </w:tc>
      </w:tr>
      <w:tr>
        <w:trPr>
          <w:trHeight w:val="339"/>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Chief Financial Officer, Treasurer and 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Financial and Accounting Officer)</w:t>
            </w:r>
          </w:p>
        </w:tc>
        <w:tc>
          <w:tcPr>
            <w:tcW w:w="1480" w:type="dxa"/>
            <w:vAlign w:val="bottom"/>
          </w:tcPr>
          <w:p>
            <w:pPr>
              <w:spacing w:after="0"/>
              <w:rPr>
                <w:sz w:val="15"/>
                <w:szCs w:val="15"/>
                <w:color w:val="auto"/>
              </w:rPr>
            </w:pPr>
          </w:p>
        </w:tc>
      </w:tr>
      <w:tr>
        <w:trPr>
          <w:trHeight w:val="340"/>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Scott A. Schipma</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Secretary and 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Scott A. Schipma</w:t>
            </w:r>
          </w:p>
        </w:tc>
        <w:tc>
          <w:tcPr>
            <w:tcW w:w="10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86"/>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20" w:type="dxa"/>
            <w:vAlign w:val="bottom"/>
            <w:gridSpan w:val="2"/>
          </w:tcPr>
          <w:p>
            <w:pPr>
              <w:ind w:left="1580"/>
              <w:spacing w:after="0"/>
              <w:rPr>
                <w:sz w:val="20"/>
                <w:szCs w:val="20"/>
                <w:color w:val="auto"/>
              </w:rPr>
            </w:pPr>
            <w:r>
              <w:rPr>
                <w:rFonts w:ascii="Times New Roman" w:cs="Times New Roman" w:eastAsia="Times New Roman" w:hAnsi="Times New Roman"/>
                <w:sz w:val="14"/>
                <w:szCs w:val="14"/>
                <w:color w:val="auto"/>
              </w:rPr>
              <w:t>II-84</w:t>
            </w:r>
          </w:p>
        </w:tc>
        <w:tc>
          <w:tcPr>
            <w:tcW w:w="1480" w:type="dxa"/>
            <w:vAlign w:val="bottom"/>
          </w:tcPr>
          <w:p>
            <w:pPr>
              <w:spacing w:after="0"/>
              <w:rPr>
                <w:sz w:val="24"/>
                <w:szCs w:val="24"/>
                <w:color w:val="auto"/>
              </w:rPr>
            </w:pPr>
          </w:p>
        </w:tc>
      </w:tr>
    </w:tbl>
    <w:p>
      <w:pPr>
        <w:sectPr>
          <w:pgSz w:w="11900" w:h="16838" w:orient="portrait"/>
          <w:cols w:equalWidth="0" w:num="1">
            <w:col w:w="9019"/>
          </w:cols>
          <w:pgMar w:left="1440" w:top="243" w:right="1440" w:bottom="1440" w:gutter="0" w:footer="0" w:header="0"/>
        </w:sectPr>
      </w:pPr>
    </w:p>
    <w:bookmarkStart w:id="115" w:name="page116"/>
    <w:bookmarkEnd w:id="115"/>
    <w:p>
      <w:pPr>
        <w:ind w:left="120" w:right="179" w:firstLine="350"/>
        <w:spacing w:after="0" w:line="29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9">
                      <a:extLst>
                        <a:ext uri="{28A0092B-C50C-407E-A947-70E740481C1C}"/>
                      </a:extLst>
                    </a:blip>
                    <a:srcRect/>
                    <a:stretch>
                      <a:fillRect/>
                    </a:stretch>
                  </pic:blipFill>
                  <pic:spPr bwMode="auto">
                    <a:xfrm>
                      <a:off x="0" y="0"/>
                      <a:ext cx="7199630" cy="33020"/>
                    </a:xfrm>
                    <a:prstGeom prst="rect">
                      <a:avLst/>
                    </a:prstGeom>
                    <a:noFill/>
                  </pic:spPr>
                </pic:pic>
              </a:graphicData>
            </a:graphic>
          </wp:anchor>
        </w:drawing>
        <w:t>Pursuant to the requirements of the Securities Act of 1933, the undersigned Registrant has duly caused this Registration Statement to be signed on its behalf by the undersigned, thereunto duly authorized, in the City of Boca Raton, State of Florida, on the 30th day of October, 2026.</w:t>
      </w:r>
    </w:p>
    <w:p>
      <w:pPr>
        <w:spacing w:after="0" w:line="14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b w:val="1"/>
          <w:bCs w:val="1"/>
          <w:color w:val="auto"/>
        </w:rPr>
        <w:t>WBP Leasing, LLC</w:t>
      </w:r>
    </w:p>
    <w:p>
      <w:pPr>
        <w:spacing w:after="0" w:line="18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By: /s/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3606165</wp:posOffset>
            </wp:positionH>
            <wp:positionV relativeFrom="paragraph">
              <wp:posOffset>15875</wp:posOffset>
            </wp:positionV>
            <wp:extent cx="2037080" cy="69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0">
                      <a:extLst>
                        <a:ext uri="{28A0092B-C50C-407E-A947-70E740481C1C}"/>
                      </a:extLst>
                    </a:blip>
                    <a:srcRect/>
                    <a:stretch>
                      <a:fillRect/>
                    </a:stretch>
                  </pic:blipFill>
                  <pic:spPr bwMode="auto">
                    <a:xfrm>
                      <a:off x="0" y="0"/>
                      <a:ext cx="2037080" cy="6985"/>
                    </a:xfrm>
                    <a:prstGeom prst="rect">
                      <a:avLst/>
                    </a:prstGeom>
                    <a:noFill/>
                  </pic:spPr>
                </pic:pic>
              </a:graphicData>
            </a:graphic>
          </wp:anchor>
        </w:drawing>
      </w:r>
    </w:p>
    <w:p>
      <w:pPr>
        <w:spacing w:after="0" w:line="1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Name:  Shayn P. March</w:t>
      </w:r>
    </w:p>
    <w:p>
      <w:pPr>
        <w:spacing w:after="0" w:line="2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Title:    Vice President, Chief Financial Officer,</w:t>
      </w:r>
    </w:p>
    <w:p>
      <w:pPr>
        <w:spacing w:after="0" w:line="1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4"/>
          <w:szCs w:val="14"/>
          <w:color w:val="auto"/>
        </w:rPr>
        <w:t>Treasurer and Manager</w:t>
      </w:r>
    </w:p>
    <w:p>
      <w:pPr>
        <w:spacing w:after="0" w:line="167" w:lineRule="exact"/>
        <w:rPr>
          <w:sz w:val="20"/>
          <w:szCs w:val="20"/>
          <w:color w:val="auto"/>
        </w:rPr>
      </w:pPr>
    </w:p>
    <w:p>
      <w:pPr>
        <w:ind w:left="120" w:right="239" w:firstLine="350"/>
        <w:spacing w:after="0" w:line="261" w:lineRule="auto"/>
        <w:rPr>
          <w:sz w:val="20"/>
          <w:szCs w:val="20"/>
          <w:color w:val="auto"/>
        </w:rPr>
      </w:pPr>
      <w:r>
        <w:rPr>
          <w:rFonts w:ascii="Times New Roman" w:cs="Times New Roman" w:eastAsia="Times New Roman" w:hAnsi="Times New Roman"/>
          <w:sz w:val="14"/>
          <w:szCs w:val="14"/>
          <w:b w:val="1"/>
          <w:bCs w:val="1"/>
          <w:color w:val="auto"/>
        </w:rPr>
        <w:t>KNOWN ALL MEN BY THESE PRESENTS</w:t>
      </w:r>
      <w:r>
        <w:rPr>
          <w:rFonts w:ascii="Times New Roman" w:cs="Times New Roman" w:eastAsia="Times New Roman" w:hAnsi="Times New Roman"/>
          <w:sz w:val="14"/>
          <w:szCs w:val="14"/>
          <w:color w:val="auto"/>
        </w:rPr>
        <w:t>, that each person whose signature appears below hereby constitutes and appoints Shayn P.</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March, Vice President, Chief Financial Officer and Treasurer, and Scott A. Schipma, Vice President and Secretary, and each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146" w:lineRule="exact"/>
        <w:rPr>
          <w:sz w:val="20"/>
          <w:szCs w:val="20"/>
          <w:color w:val="auto"/>
        </w:rPr>
      </w:pPr>
    </w:p>
    <w:p>
      <w:pPr>
        <w:ind w:left="120" w:right="239" w:firstLine="350"/>
        <w:spacing w:after="0" w:line="292"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and on the date indicated.</w:t>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254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00" w:type="dxa"/>
            <w:vAlign w:val="bottom"/>
          </w:tcPr>
          <w:p>
            <w:pPr>
              <w:spacing w:after="0"/>
              <w:rPr>
                <w:sz w:val="12"/>
                <w:szCs w:val="12"/>
                <w:color w:val="auto"/>
              </w:rPr>
            </w:pPr>
          </w:p>
        </w:tc>
        <w:tc>
          <w:tcPr>
            <w:tcW w:w="446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60" w:type="dxa"/>
            <w:vAlign w:val="bottom"/>
          </w:tcPr>
          <w:p>
            <w:pPr>
              <w:spacing w:after="0"/>
              <w:rPr>
                <w:sz w:val="12"/>
                <w:szCs w:val="12"/>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Date</w:t>
            </w:r>
          </w:p>
        </w:tc>
      </w:tr>
      <w:tr>
        <w:trPr>
          <w:trHeight w:val="322"/>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George C. Zoley</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Chairman, Chief Executive Officer and Manager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George C. Zoley</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480" w:type="dxa"/>
            <w:vAlign w:val="bottom"/>
          </w:tcPr>
          <w:p>
            <w:pPr>
              <w:spacing w:after="0"/>
              <w:rPr>
                <w:sz w:val="15"/>
                <w:szCs w:val="15"/>
                <w:color w:val="auto"/>
              </w:rPr>
            </w:pPr>
          </w:p>
        </w:tc>
      </w:tr>
      <w:tr>
        <w:trPr>
          <w:trHeight w:val="339"/>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Chief Financial Officer, Treasurer and Manager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Financial Officer)</w:t>
            </w:r>
          </w:p>
        </w:tc>
        <w:tc>
          <w:tcPr>
            <w:tcW w:w="1480" w:type="dxa"/>
            <w:vAlign w:val="bottom"/>
          </w:tcPr>
          <w:p>
            <w:pPr>
              <w:spacing w:after="0"/>
              <w:rPr>
                <w:sz w:val="15"/>
                <w:szCs w:val="15"/>
                <w:color w:val="auto"/>
              </w:rPr>
            </w:pPr>
          </w:p>
        </w:tc>
      </w:tr>
      <w:tr>
        <w:trPr>
          <w:trHeight w:val="339"/>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Ronald A. Brack</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Accounting</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Ronald A. Brack</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Accounting Officer)</w:t>
            </w:r>
          </w:p>
        </w:tc>
        <w:tc>
          <w:tcPr>
            <w:tcW w:w="1480" w:type="dxa"/>
            <w:vAlign w:val="bottom"/>
          </w:tcPr>
          <w:p>
            <w:pPr>
              <w:spacing w:after="0"/>
              <w:rPr>
                <w:sz w:val="15"/>
                <w:szCs w:val="15"/>
                <w:color w:val="auto"/>
              </w:rPr>
            </w:pPr>
          </w:p>
        </w:tc>
      </w:tr>
      <w:tr>
        <w:trPr>
          <w:trHeight w:val="340"/>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David O. Meehan</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Manager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David O. Meehan</w:t>
            </w:r>
          </w:p>
        </w:tc>
        <w:tc>
          <w:tcPr>
            <w:tcW w:w="10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40"/>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Scott A. Schipma</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Secretary and Manager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Scott A. Schipma</w:t>
            </w:r>
          </w:p>
        </w:tc>
        <w:tc>
          <w:tcPr>
            <w:tcW w:w="10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39"/>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Shayn P. March</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Vice President, Chief Financial Officer, Treasurer and</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38"/>
        </w:trPr>
        <w:tc>
          <w:tcPr>
            <w:tcW w:w="2560" w:type="dxa"/>
            <w:vAlign w:val="bottom"/>
            <w:gridSpan w:val="2"/>
          </w:tcPr>
          <w:p>
            <w:pPr>
              <w:spacing w:after="0" w:line="138" w:lineRule="exact"/>
              <w:rPr>
                <w:sz w:val="20"/>
                <w:szCs w:val="20"/>
                <w:color w:val="auto"/>
              </w:rPr>
            </w:pPr>
            <w:r>
              <w:rPr>
                <w:rFonts w:ascii="Times New Roman" w:cs="Times New Roman" w:eastAsia="Times New Roman" w:hAnsi="Times New Roman"/>
                <w:sz w:val="14"/>
                <w:szCs w:val="14"/>
                <w:color w:val="auto"/>
              </w:rPr>
              <w:t>Shayn P. March</w:t>
            </w:r>
          </w:p>
        </w:tc>
        <w:tc>
          <w:tcPr>
            <w:tcW w:w="4720" w:type="dxa"/>
            <w:vAlign w:val="bottom"/>
            <w:gridSpan w:val="3"/>
          </w:tcPr>
          <w:p>
            <w:pPr>
              <w:ind w:left="80"/>
              <w:spacing w:after="0" w:line="138" w:lineRule="exact"/>
              <w:rPr>
                <w:sz w:val="20"/>
                <w:szCs w:val="20"/>
                <w:color w:val="auto"/>
              </w:rPr>
            </w:pPr>
            <w:r>
              <w:rPr>
                <w:rFonts w:ascii="Times New Roman" w:cs="Times New Roman" w:eastAsia="Times New Roman" w:hAnsi="Times New Roman"/>
                <w:sz w:val="14"/>
                <w:szCs w:val="14"/>
                <w:color w:val="auto"/>
              </w:rPr>
              <w:t>Director of Cornell Companies, Inc., the Sole Member of Cornell Corrections</w:t>
            </w:r>
          </w:p>
        </w:tc>
        <w:tc>
          <w:tcPr>
            <w:tcW w:w="1480" w:type="dxa"/>
            <w:vAlign w:val="bottom"/>
          </w:tcPr>
          <w:p>
            <w:pPr>
              <w:spacing w:after="0"/>
              <w:rPr>
                <w:sz w:val="11"/>
                <w:szCs w:val="11"/>
                <w:color w:val="auto"/>
              </w:rPr>
            </w:pPr>
          </w:p>
        </w:tc>
      </w:tr>
      <w:tr>
        <w:trPr>
          <w:trHeight w:val="185"/>
        </w:trPr>
        <w:tc>
          <w:tcPr>
            <w:tcW w:w="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Management, LLC, the Sole Member of WBP Leasing, LLC</w:t>
            </w:r>
          </w:p>
        </w:tc>
        <w:tc>
          <w:tcPr>
            <w:tcW w:w="1480" w:type="dxa"/>
            <w:vAlign w:val="bottom"/>
          </w:tcPr>
          <w:p>
            <w:pPr>
              <w:spacing w:after="0"/>
              <w:rPr>
                <w:sz w:val="16"/>
                <w:szCs w:val="16"/>
                <w:color w:val="auto"/>
              </w:rPr>
            </w:pPr>
          </w:p>
        </w:tc>
      </w:tr>
      <w:tr>
        <w:trPr>
          <w:trHeight w:val="290"/>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20" w:type="dxa"/>
            <w:vAlign w:val="bottom"/>
            <w:gridSpan w:val="2"/>
          </w:tcPr>
          <w:p>
            <w:pPr>
              <w:ind w:left="1580"/>
              <w:spacing w:after="0"/>
              <w:rPr>
                <w:sz w:val="20"/>
                <w:szCs w:val="20"/>
                <w:color w:val="auto"/>
              </w:rPr>
            </w:pPr>
            <w:r>
              <w:rPr>
                <w:rFonts w:ascii="Times New Roman" w:cs="Times New Roman" w:eastAsia="Times New Roman" w:hAnsi="Times New Roman"/>
                <w:sz w:val="14"/>
                <w:szCs w:val="14"/>
                <w:color w:val="auto"/>
              </w:rPr>
              <w:t>II-85</w:t>
            </w:r>
          </w:p>
        </w:tc>
        <w:tc>
          <w:tcPr>
            <w:tcW w:w="1480" w:type="dxa"/>
            <w:vAlign w:val="bottom"/>
          </w:tcPr>
          <w:p>
            <w:pPr>
              <w:spacing w:after="0"/>
              <w:rPr>
                <w:sz w:val="24"/>
                <w:szCs w:val="24"/>
                <w:color w:val="auto"/>
              </w:rPr>
            </w:pPr>
          </w:p>
        </w:tc>
      </w:tr>
    </w:tbl>
    <w:p>
      <w:pPr>
        <w:sectPr>
          <w:pgSz w:w="11900" w:h="16838" w:orient="portrait"/>
          <w:cols w:equalWidth="0" w:num="1">
            <w:col w:w="9019"/>
          </w:cols>
          <w:pgMar w:left="1440" w:top="243" w:right="1440" w:bottom="1440" w:gutter="0" w:footer="0" w:header="0"/>
        </w:sectPr>
      </w:pPr>
    </w:p>
    <w:bookmarkStart w:id="116" w:name="page117"/>
    <w:bookmarkEnd w:id="116"/>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Exhibit 4.1</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GEO GROUP, INC., AS ISSUER</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AND</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ANKURA TRUST COMPANY, LLC, AS TRUSTEE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INDENTURE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DATED AS OF ,</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PROVIDING FOR THE ISSUANCE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OF</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SENIOR DEBT SECURITIES</w:t>
      </w:r>
    </w:p>
    <w:p>
      <w:pPr>
        <w:sectPr>
          <w:pgSz w:w="11900" w:h="16838" w:orient="portrait"/>
          <w:cols w:equalWidth="0" w:num="1">
            <w:col w:w="9019"/>
          </w:cols>
          <w:pgMar w:left="1440" w:top="123" w:right="1440" w:bottom="1440" w:gutter="0" w:footer="0" w:header="0"/>
        </w:sectPr>
      </w:pPr>
    </w:p>
    <w:bookmarkStart w:id="117" w:name="page118"/>
    <w:bookmarkEnd w:id="117"/>
    <w:tbl>
      <w:tblPr>
        <w:tblLayout w:type="fixed"/>
        <w:tblInd w:w="120" w:type="dxa"/>
        <w:tblCellMar>
          <w:top w:w="0" w:type="dxa"/>
          <w:left w:w="0" w:type="dxa"/>
          <w:bottom w:w="0" w:type="dxa"/>
          <w:right w:w="0" w:type="dxa"/>
        </w:tblCellMar>
      </w:tblPr>
      <w:tr>
        <w:trPr>
          <w:trHeight w:val="187"/>
        </w:trPr>
        <w:tc>
          <w:tcPr>
            <w:tcW w:w="1860" w:type="dxa"/>
            <w:vAlign w:val="bottom"/>
          </w:tcPr>
          <w:p>
            <w:pPr>
              <w:spacing w:after="0"/>
              <w:rPr>
                <w:sz w:val="16"/>
                <w:szCs w:val="16"/>
                <w:color w:val="auto"/>
              </w:rPr>
            </w:pPr>
          </w:p>
        </w:tc>
        <w:tc>
          <w:tcPr>
            <w:tcW w:w="6900" w:type="dxa"/>
            <w:vAlign w:val="bottom"/>
          </w:tcPr>
          <w:p>
            <w:pPr>
              <w:jc w:val="right"/>
              <w:ind w:right="3529"/>
              <w:spacing w:after="0"/>
              <w:rPr>
                <w:sz w:val="20"/>
                <w:szCs w:val="20"/>
                <w:color w:val="auto"/>
              </w:rPr>
            </w:pPr>
            <w:r>
              <w:rPr>
                <w:rFonts w:ascii="Times New Roman" w:cs="Times New Roman" w:eastAsia="Times New Roman" w:hAnsi="Times New Roman"/>
                <w:sz w:val="14"/>
                <w:szCs w:val="14"/>
                <w:b w:val="1"/>
                <w:bCs w:val="1"/>
                <w:color w:val="auto"/>
              </w:rPr>
              <w:t>THE GEO GROUP, INC.</w:t>
            </w:r>
          </w:p>
        </w:tc>
      </w:tr>
      <w:tr>
        <w:trPr>
          <w:trHeight w:val="257"/>
        </w:trPr>
        <w:tc>
          <w:tcPr>
            <w:tcW w:w="1860" w:type="dxa"/>
            <w:vAlign w:val="bottom"/>
          </w:tcPr>
          <w:p>
            <w:pPr>
              <w:spacing w:after="0"/>
              <w:rPr>
                <w:sz w:val="22"/>
                <w:szCs w:val="22"/>
                <w:color w:val="auto"/>
              </w:rPr>
            </w:pPr>
          </w:p>
        </w:tc>
        <w:tc>
          <w:tcPr>
            <w:tcW w:w="6900" w:type="dxa"/>
            <w:vAlign w:val="bottom"/>
          </w:tcPr>
          <w:p>
            <w:pPr>
              <w:jc w:val="right"/>
              <w:ind w:right="1809"/>
              <w:spacing w:after="0"/>
              <w:rPr>
                <w:sz w:val="20"/>
                <w:szCs w:val="20"/>
                <w:color w:val="auto"/>
              </w:rPr>
            </w:pPr>
            <w:r>
              <w:rPr>
                <w:rFonts w:ascii="Times New Roman" w:cs="Times New Roman" w:eastAsia="Times New Roman" w:hAnsi="Times New Roman"/>
                <w:sz w:val="14"/>
                <w:szCs w:val="14"/>
                <w:b w:val="1"/>
                <w:bCs w:val="1"/>
                <w:color w:val="auto"/>
              </w:rPr>
              <w:t>RECONCILIATION AND TIE WITH THE TRUST INDENTURE ACT OF 1939</w:t>
            </w:r>
          </w:p>
        </w:tc>
      </w:tr>
      <w:tr>
        <w:trPr>
          <w:trHeight w:val="297"/>
        </w:trPr>
        <w:tc>
          <w:tcPr>
            <w:tcW w:w="1860" w:type="dxa"/>
            <w:vAlign w:val="bottom"/>
          </w:tcPr>
          <w:p>
            <w:pPr>
              <w:spacing w:after="0"/>
              <w:rPr>
                <w:sz w:val="20"/>
                <w:szCs w:val="20"/>
                <w:color w:val="auto"/>
              </w:rPr>
            </w:pPr>
            <w:r>
              <w:rPr>
                <w:rFonts w:ascii="Times New Roman" w:cs="Times New Roman" w:eastAsia="Times New Roman" w:hAnsi="Times New Roman"/>
                <w:sz w:val="11"/>
                <w:szCs w:val="11"/>
                <w:color w:val="auto"/>
              </w:rPr>
              <w:t>TRUST INDENTURE ACT SECTION</w:t>
            </w:r>
          </w:p>
        </w:tc>
        <w:tc>
          <w:tcPr>
            <w:tcW w:w="6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INDENTURE SECTION</w:t>
            </w:r>
          </w:p>
        </w:tc>
      </w:tr>
      <w:tr>
        <w:trPr>
          <w:trHeight w:val="172"/>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Section 310</w:t>
            </w:r>
          </w:p>
        </w:tc>
        <w:tc>
          <w:tcPr>
            <w:tcW w:w="6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w:t>
            </w:r>
          </w:p>
        </w:tc>
      </w:tr>
      <w:tr>
        <w:trPr>
          <w:trHeight w:val="172"/>
        </w:trPr>
        <w:tc>
          <w:tcPr>
            <w:tcW w:w="18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(a)(1)</w:t>
            </w:r>
          </w:p>
        </w:tc>
        <w:tc>
          <w:tcPr>
            <w:tcW w:w="6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6.09, 6.12</w:t>
            </w:r>
          </w:p>
        </w:tc>
      </w:tr>
      <w:tr>
        <w:trPr>
          <w:trHeight w:val="172"/>
        </w:trPr>
        <w:tc>
          <w:tcPr>
            <w:tcW w:w="18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(a)(2)</w:t>
            </w:r>
          </w:p>
        </w:tc>
        <w:tc>
          <w:tcPr>
            <w:tcW w:w="6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w:t>
            </w:r>
          </w:p>
        </w:tc>
      </w:tr>
      <w:tr>
        <w:trPr>
          <w:trHeight w:val="172"/>
        </w:trPr>
        <w:tc>
          <w:tcPr>
            <w:tcW w:w="18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(a)(3)</w:t>
            </w:r>
          </w:p>
        </w:tc>
        <w:tc>
          <w:tcPr>
            <w:tcW w:w="6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w:t>
            </w:r>
          </w:p>
        </w:tc>
      </w:tr>
      <w:tr>
        <w:trPr>
          <w:trHeight w:val="172"/>
        </w:trPr>
        <w:tc>
          <w:tcPr>
            <w:tcW w:w="18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(b)</w:t>
            </w:r>
          </w:p>
        </w:tc>
        <w:tc>
          <w:tcPr>
            <w:tcW w:w="6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6.08, 6.10</w:t>
            </w:r>
          </w:p>
        </w:tc>
      </w:tr>
      <w:tr>
        <w:trPr>
          <w:trHeight w:val="172"/>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Section 311</w:t>
            </w:r>
          </w:p>
        </w:tc>
        <w:tc>
          <w:tcPr>
            <w:tcW w:w="6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w:t>
            </w:r>
          </w:p>
        </w:tc>
      </w:tr>
      <w:tr>
        <w:trPr>
          <w:trHeight w:val="172"/>
        </w:trPr>
        <w:tc>
          <w:tcPr>
            <w:tcW w:w="18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w:t>
            </w:r>
          </w:p>
        </w:tc>
        <w:tc>
          <w:tcPr>
            <w:tcW w:w="6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6.13</w:t>
            </w:r>
          </w:p>
        </w:tc>
      </w:tr>
      <w:tr>
        <w:trPr>
          <w:trHeight w:val="172"/>
        </w:trPr>
        <w:tc>
          <w:tcPr>
            <w:tcW w:w="18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(b)</w:t>
            </w:r>
          </w:p>
        </w:tc>
        <w:tc>
          <w:tcPr>
            <w:tcW w:w="6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6.13</w:t>
            </w:r>
          </w:p>
        </w:tc>
      </w:tr>
      <w:tr>
        <w:trPr>
          <w:trHeight w:val="172"/>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Section 312(a)</w:t>
            </w:r>
          </w:p>
        </w:tc>
        <w:tc>
          <w:tcPr>
            <w:tcW w:w="6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7.01</w:t>
            </w:r>
          </w:p>
        </w:tc>
      </w:tr>
      <w:tr>
        <w:trPr>
          <w:trHeight w:val="172"/>
        </w:trPr>
        <w:tc>
          <w:tcPr>
            <w:tcW w:w="18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(b)</w:t>
            </w:r>
          </w:p>
        </w:tc>
        <w:tc>
          <w:tcPr>
            <w:tcW w:w="6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7.02</w:t>
            </w:r>
          </w:p>
        </w:tc>
      </w:tr>
      <w:tr>
        <w:trPr>
          <w:trHeight w:val="172"/>
        </w:trPr>
        <w:tc>
          <w:tcPr>
            <w:tcW w:w="18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w:t>
            </w:r>
          </w:p>
        </w:tc>
        <w:tc>
          <w:tcPr>
            <w:tcW w:w="6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7.02</w:t>
            </w:r>
          </w:p>
        </w:tc>
      </w:tr>
      <w:tr>
        <w:trPr>
          <w:trHeight w:val="172"/>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Section 313(a)</w:t>
            </w:r>
          </w:p>
        </w:tc>
        <w:tc>
          <w:tcPr>
            <w:tcW w:w="6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7.03(a)</w:t>
            </w:r>
          </w:p>
        </w:tc>
      </w:tr>
      <w:tr>
        <w:trPr>
          <w:trHeight w:val="172"/>
        </w:trPr>
        <w:tc>
          <w:tcPr>
            <w:tcW w:w="18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(b)</w:t>
            </w:r>
          </w:p>
        </w:tc>
        <w:tc>
          <w:tcPr>
            <w:tcW w:w="6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7.03(a)</w:t>
            </w:r>
          </w:p>
        </w:tc>
      </w:tr>
      <w:tr>
        <w:trPr>
          <w:trHeight w:val="172"/>
        </w:trPr>
        <w:tc>
          <w:tcPr>
            <w:tcW w:w="18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w:t>
            </w:r>
          </w:p>
        </w:tc>
        <w:tc>
          <w:tcPr>
            <w:tcW w:w="6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 7.03(a)</w:t>
            </w:r>
          </w:p>
        </w:tc>
      </w:tr>
      <w:tr>
        <w:trPr>
          <w:trHeight w:val="172"/>
        </w:trPr>
        <w:tc>
          <w:tcPr>
            <w:tcW w:w="18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(d)</w:t>
            </w:r>
          </w:p>
        </w:tc>
        <w:tc>
          <w:tcPr>
            <w:tcW w:w="6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7.03(b)</w:t>
            </w:r>
          </w:p>
        </w:tc>
      </w:tr>
      <w:tr>
        <w:trPr>
          <w:trHeight w:val="172"/>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Section 314(a)</w:t>
            </w:r>
          </w:p>
        </w:tc>
        <w:tc>
          <w:tcPr>
            <w:tcW w:w="6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10.04</w:t>
            </w:r>
          </w:p>
        </w:tc>
      </w:tr>
      <w:tr>
        <w:trPr>
          <w:trHeight w:val="172"/>
        </w:trPr>
        <w:tc>
          <w:tcPr>
            <w:tcW w:w="18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(a)(4)</w:t>
            </w:r>
          </w:p>
        </w:tc>
        <w:tc>
          <w:tcPr>
            <w:tcW w:w="6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10.04(e)</w:t>
            </w:r>
          </w:p>
        </w:tc>
      </w:tr>
      <w:tr>
        <w:trPr>
          <w:trHeight w:val="172"/>
        </w:trPr>
        <w:tc>
          <w:tcPr>
            <w:tcW w:w="18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(c)(1)</w:t>
            </w:r>
          </w:p>
        </w:tc>
        <w:tc>
          <w:tcPr>
            <w:tcW w:w="6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r>
      <w:tr>
        <w:trPr>
          <w:trHeight w:val="172"/>
        </w:trPr>
        <w:tc>
          <w:tcPr>
            <w:tcW w:w="18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(c)(2)</w:t>
            </w:r>
          </w:p>
        </w:tc>
        <w:tc>
          <w:tcPr>
            <w:tcW w:w="6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r>
      <w:tr>
        <w:trPr>
          <w:trHeight w:val="172"/>
        </w:trPr>
        <w:tc>
          <w:tcPr>
            <w:tcW w:w="18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(e)</w:t>
            </w:r>
          </w:p>
        </w:tc>
        <w:tc>
          <w:tcPr>
            <w:tcW w:w="6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r>
      <w:tr>
        <w:trPr>
          <w:trHeight w:val="172"/>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Section 315</w:t>
            </w:r>
          </w:p>
        </w:tc>
        <w:tc>
          <w:tcPr>
            <w:tcW w:w="6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5.12, 6.01, 6.03, 9.03</w:t>
            </w:r>
          </w:p>
        </w:tc>
      </w:tr>
      <w:tr>
        <w:trPr>
          <w:trHeight w:val="172"/>
        </w:trPr>
        <w:tc>
          <w:tcPr>
            <w:tcW w:w="18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w:t>
            </w:r>
          </w:p>
        </w:tc>
        <w:tc>
          <w:tcPr>
            <w:tcW w:w="6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w:t>
            </w:r>
          </w:p>
        </w:tc>
      </w:tr>
      <w:tr>
        <w:trPr>
          <w:trHeight w:val="172"/>
        </w:trPr>
        <w:tc>
          <w:tcPr>
            <w:tcW w:w="18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(b)</w:t>
            </w:r>
          </w:p>
        </w:tc>
        <w:tc>
          <w:tcPr>
            <w:tcW w:w="6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w:t>
            </w:r>
          </w:p>
        </w:tc>
      </w:tr>
      <w:tr>
        <w:trPr>
          <w:trHeight w:val="172"/>
        </w:trPr>
        <w:tc>
          <w:tcPr>
            <w:tcW w:w="18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w:t>
            </w:r>
          </w:p>
        </w:tc>
        <w:tc>
          <w:tcPr>
            <w:tcW w:w="6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6.01(a)</w:t>
            </w:r>
          </w:p>
        </w:tc>
      </w:tr>
      <w:tr>
        <w:trPr>
          <w:trHeight w:val="172"/>
        </w:trPr>
        <w:tc>
          <w:tcPr>
            <w:tcW w:w="18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(d)</w:t>
            </w:r>
          </w:p>
        </w:tc>
        <w:tc>
          <w:tcPr>
            <w:tcW w:w="6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6.01, 6.03</w:t>
            </w:r>
          </w:p>
        </w:tc>
      </w:tr>
      <w:tr>
        <w:trPr>
          <w:trHeight w:val="172"/>
        </w:trPr>
        <w:tc>
          <w:tcPr>
            <w:tcW w:w="18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(e)</w:t>
            </w:r>
          </w:p>
        </w:tc>
        <w:tc>
          <w:tcPr>
            <w:tcW w:w="6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w:t>
            </w:r>
          </w:p>
        </w:tc>
      </w:tr>
      <w:tr>
        <w:trPr>
          <w:trHeight w:val="172"/>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Section 316(a) (last sentence)</w:t>
            </w:r>
          </w:p>
        </w:tc>
        <w:tc>
          <w:tcPr>
            <w:tcW w:w="6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 (“Outstanding”)</w:t>
            </w:r>
          </w:p>
        </w:tc>
      </w:tr>
      <w:tr>
        <w:trPr>
          <w:trHeight w:val="172"/>
        </w:trPr>
        <w:tc>
          <w:tcPr>
            <w:tcW w:w="18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(a)(1)(A)</w:t>
            </w:r>
          </w:p>
        </w:tc>
        <w:tc>
          <w:tcPr>
            <w:tcW w:w="6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5.02, 5.12</w:t>
            </w:r>
          </w:p>
        </w:tc>
      </w:tr>
      <w:tr>
        <w:trPr>
          <w:trHeight w:val="172"/>
        </w:trPr>
        <w:tc>
          <w:tcPr>
            <w:tcW w:w="18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(a)(1)(B)</w:t>
            </w:r>
          </w:p>
        </w:tc>
        <w:tc>
          <w:tcPr>
            <w:tcW w:w="6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5.13, 9.02</w:t>
            </w:r>
          </w:p>
        </w:tc>
      </w:tr>
      <w:tr>
        <w:trPr>
          <w:trHeight w:val="172"/>
        </w:trPr>
        <w:tc>
          <w:tcPr>
            <w:tcW w:w="18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(b)</w:t>
            </w:r>
          </w:p>
        </w:tc>
        <w:tc>
          <w:tcPr>
            <w:tcW w:w="6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w:t>
            </w:r>
          </w:p>
        </w:tc>
      </w:tr>
      <w:tr>
        <w:trPr>
          <w:trHeight w:val="172"/>
        </w:trPr>
        <w:tc>
          <w:tcPr>
            <w:tcW w:w="18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w:t>
            </w:r>
          </w:p>
        </w:tc>
        <w:tc>
          <w:tcPr>
            <w:tcW w:w="6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r>
      <w:tr>
        <w:trPr>
          <w:trHeight w:val="172"/>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Section 317(a)(1)</w:t>
            </w:r>
          </w:p>
        </w:tc>
        <w:tc>
          <w:tcPr>
            <w:tcW w:w="6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w:t>
            </w:r>
          </w:p>
        </w:tc>
      </w:tr>
      <w:tr>
        <w:trPr>
          <w:trHeight w:val="172"/>
        </w:trPr>
        <w:tc>
          <w:tcPr>
            <w:tcW w:w="18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(a)(2)</w:t>
            </w:r>
          </w:p>
        </w:tc>
        <w:tc>
          <w:tcPr>
            <w:tcW w:w="6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w:t>
            </w:r>
          </w:p>
        </w:tc>
      </w:tr>
      <w:tr>
        <w:trPr>
          <w:trHeight w:val="172"/>
        </w:trPr>
        <w:tc>
          <w:tcPr>
            <w:tcW w:w="18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(b)</w:t>
            </w:r>
          </w:p>
        </w:tc>
        <w:tc>
          <w:tcPr>
            <w:tcW w:w="6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10.03</w:t>
            </w:r>
          </w:p>
        </w:tc>
      </w:tr>
      <w:tr>
        <w:trPr>
          <w:trHeight w:val="185"/>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Section 318(a)</w:t>
            </w:r>
          </w:p>
        </w:tc>
        <w:tc>
          <w:tcPr>
            <w:tcW w:w="6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r>
    </w:tbl>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1">
                      <a:extLst>
                        <a:ext uri="{28A0092B-C50C-407E-A947-70E740481C1C}"/>
                      </a:extLst>
                    </a:blip>
                    <a:srcRect/>
                    <a:stretch>
                      <a:fillRect/>
                    </a:stretch>
                  </pic:blipFill>
                  <pic:spPr bwMode="auto">
                    <a:xfrm>
                      <a:off x="0" y="0"/>
                      <a:ext cx="7199630" cy="3302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4"/>
          <w:szCs w:val="14"/>
          <w:color w:val="auto"/>
        </w:rPr>
        <w:t>Note: This reconciliation and tie shall not, for any purpose, be deemed to be a part of the Indenture.</w:t>
      </w:r>
    </w:p>
    <w:p>
      <w:pPr>
        <w:sectPr>
          <w:pgSz w:w="11900" w:h="16838" w:orient="portrait"/>
          <w:cols w:equalWidth="0" w:num="1">
            <w:col w:w="9019"/>
          </w:cols>
          <w:pgMar w:left="1440" w:top="241" w:right="1440" w:bottom="1440" w:gutter="0" w:footer="0" w:header="0"/>
        </w:sectPr>
      </w:pPr>
    </w:p>
    <w:bookmarkStart w:id="118" w:name="page119"/>
    <w:bookmarkEnd w:id="118"/>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2">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150"/>
        </w:trPr>
        <w:tc>
          <w:tcPr>
            <w:tcW w:w="6920" w:type="dxa"/>
            <w:vAlign w:val="bottom"/>
          </w:tcPr>
          <w:p>
            <w:pPr>
              <w:spacing w:after="0"/>
              <w:rPr>
                <w:sz w:val="13"/>
                <w:szCs w:val="1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244"/>
        </w:trPr>
        <w:tc>
          <w:tcPr>
            <w:tcW w:w="6920" w:type="dxa"/>
            <w:vAlign w:val="bottom"/>
          </w:tcPr>
          <w:p>
            <w:pPr>
              <w:spacing w:after="0"/>
              <w:rPr>
                <w:sz w:val="20"/>
                <w:szCs w:val="20"/>
                <w:color w:val="auto"/>
              </w:rPr>
            </w:pPr>
            <w:r>
              <w:rPr>
                <w:rFonts w:ascii="Times New Roman" w:cs="Times New Roman" w:eastAsia="Times New Roman" w:hAnsi="Times New Roman"/>
                <w:sz w:val="14"/>
                <w:szCs w:val="14"/>
                <w:color w:val="auto"/>
              </w:rPr>
              <w:t>ARTICLE I DEFINITIONS AND OTHER PROVISIONS OF GENERAL APPLICATION</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44"/>
        </w:trPr>
        <w:tc>
          <w:tcPr>
            <w:tcW w:w="69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1.01 DEFINITIONS</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72"/>
        </w:trPr>
        <w:tc>
          <w:tcPr>
            <w:tcW w:w="69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1.02 OTHER DEFINITIONS</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72"/>
        </w:trPr>
        <w:tc>
          <w:tcPr>
            <w:tcW w:w="69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1.03 COMPLIANCE CERTIFICATES AND OPINIONS</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72"/>
        </w:trPr>
        <w:tc>
          <w:tcPr>
            <w:tcW w:w="69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1.04 FORM OF DOCUMENTS DELIVERED TO TRUSTEE</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72"/>
        </w:trPr>
        <w:tc>
          <w:tcPr>
            <w:tcW w:w="69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1.05 ACTS OF HOLDERS</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72"/>
        </w:trPr>
        <w:tc>
          <w:tcPr>
            <w:tcW w:w="69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1.06 NOTICES, ETC., TO THE TRUSTEE, THE COMPANY</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72"/>
        </w:trPr>
        <w:tc>
          <w:tcPr>
            <w:tcW w:w="69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1.07 NOTICE TO HOLDERS; WAIVER</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72"/>
        </w:trPr>
        <w:tc>
          <w:tcPr>
            <w:tcW w:w="69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1.08 CONFLICT WITH TRUST INDENTURE ACT</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72"/>
        </w:trPr>
        <w:tc>
          <w:tcPr>
            <w:tcW w:w="69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1.09 EFFECT OF HEADINGS AND TABLE OF CONTENTS</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72"/>
        </w:trPr>
        <w:tc>
          <w:tcPr>
            <w:tcW w:w="69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1.10 SUCCESSORS AND ASSIGNS</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72"/>
        </w:trPr>
        <w:tc>
          <w:tcPr>
            <w:tcW w:w="69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1.11 SEPARABILITY CLAUSE</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72"/>
        </w:trPr>
        <w:tc>
          <w:tcPr>
            <w:tcW w:w="69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1.12 BENEFITS OF INDENTURE</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72"/>
        </w:trPr>
        <w:tc>
          <w:tcPr>
            <w:tcW w:w="69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1.13 GOVERNING LAW</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72"/>
        </w:trPr>
        <w:tc>
          <w:tcPr>
            <w:tcW w:w="69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1.14 LEGAL HOLIDAYS</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72"/>
        </w:trPr>
        <w:tc>
          <w:tcPr>
            <w:tcW w:w="69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1.15 INDEPENDENCE OF COVENANTS</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72"/>
        </w:trPr>
        <w:tc>
          <w:tcPr>
            <w:tcW w:w="69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1.16 SCHEDULES AND EXHIBITS</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72"/>
        </w:trPr>
        <w:tc>
          <w:tcPr>
            <w:tcW w:w="69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1.17 COUNTERPARTS</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72"/>
        </w:trPr>
        <w:tc>
          <w:tcPr>
            <w:tcW w:w="69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1.18 CONSENT TO JURISDICTION</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72"/>
        </w:trPr>
        <w:tc>
          <w:tcPr>
            <w:tcW w:w="69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1.19 WAIVER OF JURY TRIAL</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85"/>
        </w:trPr>
        <w:tc>
          <w:tcPr>
            <w:tcW w:w="69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1.20 FORCE MAJEURE</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257"/>
        </w:trPr>
        <w:tc>
          <w:tcPr>
            <w:tcW w:w="6920" w:type="dxa"/>
            <w:vAlign w:val="bottom"/>
          </w:tcPr>
          <w:p>
            <w:pPr>
              <w:spacing w:after="0"/>
              <w:rPr>
                <w:sz w:val="20"/>
                <w:szCs w:val="20"/>
                <w:color w:val="auto"/>
              </w:rPr>
            </w:pPr>
            <w:r>
              <w:rPr>
                <w:rFonts w:ascii="Times New Roman" w:cs="Times New Roman" w:eastAsia="Times New Roman" w:hAnsi="Times New Roman"/>
                <w:sz w:val="14"/>
                <w:szCs w:val="14"/>
                <w:color w:val="auto"/>
              </w:rPr>
              <w:t>ARTICLE II SECURITY FORMS</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244"/>
        </w:trPr>
        <w:tc>
          <w:tcPr>
            <w:tcW w:w="69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2.01 FORMS OF SECURITIES</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85"/>
        </w:trPr>
        <w:tc>
          <w:tcPr>
            <w:tcW w:w="69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2.02 FORM OF TRUSTEE’S CERTIFICATE OF AUTHENTICATION</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258"/>
        </w:trPr>
        <w:tc>
          <w:tcPr>
            <w:tcW w:w="6920" w:type="dxa"/>
            <w:vAlign w:val="bottom"/>
          </w:tcPr>
          <w:p>
            <w:pPr>
              <w:spacing w:after="0"/>
              <w:rPr>
                <w:sz w:val="20"/>
                <w:szCs w:val="20"/>
                <w:color w:val="auto"/>
              </w:rPr>
            </w:pPr>
            <w:r>
              <w:rPr>
                <w:rFonts w:ascii="Times New Roman" w:cs="Times New Roman" w:eastAsia="Times New Roman" w:hAnsi="Times New Roman"/>
                <w:sz w:val="14"/>
                <w:szCs w:val="14"/>
                <w:color w:val="auto"/>
              </w:rPr>
              <w:t>ARTICLE III THE SECURITIES</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244"/>
        </w:trPr>
        <w:tc>
          <w:tcPr>
            <w:tcW w:w="69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3.01 AMOUNT UNLIMITED; ISSUABLE IN SERIES</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72"/>
        </w:trPr>
        <w:tc>
          <w:tcPr>
            <w:tcW w:w="69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3.02 DENOMINATIONS</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72"/>
        </w:trPr>
        <w:tc>
          <w:tcPr>
            <w:tcW w:w="69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3.03 EXECUTION, AUTHENTICATION, DELIVERY AND DATING</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72"/>
        </w:trPr>
        <w:tc>
          <w:tcPr>
            <w:tcW w:w="69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3.04 TEMPORARY SECURITIES</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72"/>
        </w:trPr>
        <w:tc>
          <w:tcPr>
            <w:tcW w:w="69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3.05 REGISTRATION, REGISTRATION OF TRANSFER AND EXCHANGE</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72"/>
        </w:trPr>
        <w:tc>
          <w:tcPr>
            <w:tcW w:w="69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3.06 BOOK ENTRY PROVISIONS FOR GLOBAL SECURITIES</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72"/>
        </w:trPr>
        <w:tc>
          <w:tcPr>
            <w:tcW w:w="69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3.07 MUTILATED, DESTROYED, LOST AND STOLEN SECURITIES</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72"/>
        </w:trPr>
        <w:tc>
          <w:tcPr>
            <w:tcW w:w="69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3.08 PAYMENT OF INTEREST; INTEREST RIGHTS PRESERVED</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72"/>
        </w:trPr>
        <w:tc>
          <w:tcPr>
            <w:tcW w:w="69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3.09 CUSIP NUMBERS</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72"/>
        </w:trPr>
        <w:tc>
          <w:tcPr>
            <w:tcW w:w="69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3.10 PERSONS DEEMED OWNERS</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72"/>
        </w:trPr>
        <w:tc>
          <w:tcPr>
            <w:tcW w:w="69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3.11 CANCELLATION</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85"/>
        </w:trPr>
        <w:tc>
          <w:tcPr>
            <w:tcW w:w="69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3.12 COMPUTATION OF INTEREST</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r>
    </w:tbl>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9019"/>
          </w:cols>
          <w:pgMar w:left="1440" w:top="241" w:right="1440" w:bottom="1440" w:gutter="0" w:footer="0" w:header="0"/>
        </w:sectPr>
      </w:pPr>
    </w:p>
    <w:bookmarkStart w:id="119" w:name="page120"/>
    <w:bookmarkEnd w:id="119"/>
    <w:tbl>
      <w:tblPr>
        <w:tblLayout w:type="fixed"/>
        <w:tblInd w:w="120" w:type="dxa"/>
        <w:tblCellMar>
          <w:top w:w="0" w:type="dxa"/>
          <w:left w:w="0" w:type="dxa"/>
          <w:bottom w:w="0" w:type="dxa"/>
          <w:right w:w="0" w:type="dxa"/>
        </w:tblCellMar>
      </w:tblPr>
      <w:tr>
        <w:trPr>
          <w:trHeight w:val="150"/>
        </w:trPr>
        <w:tc>
          <w:tcPr>
            <w:tcW w:w="844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244"/>
        </w:trPr>
        <w:tc>
          <w:tcPr>
            <w:tcW w:w="8440" w:type="dxa"/>
            <w:vAlign w:val="bottom"/>
          </w:tcPr>
          <w:p>
            <w:pPr>
              <w:spacing w:after="0"/>
              <w:rPr>
                <w:sz w:val="20"/>
                <w:szCs w:val="20"/>
                <w:color w:val="auto"/>
              </w:rPr>
            </w:pPr>
            <w:r>
              <w:rPr>
                <w:rFonts w:ascii="Times New Roman" w:cs="Times New Roman" w:eastAsia="Times New Roman" w:hAnsi="Times New Roman"/>
                <w:sz w:val="14"/>
                <w:szCs w:val="14"/>
                <w:color w:val="auto"/>
              </w:rPr>
              <w:t>ARTICLE IV DEFEASANCE AND COVENANT DEFEASANCE</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244"/>
        </w:trPr>
        <w:tc>
          <w:tcPr>
            <w:tcW w:w="84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4.01 APPLICABILITY OF ARTICLE; COMPANY’S OPTION TO EFFECT DEFEASANCE OR COVENANT DEFEASANCE</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172"/>
        </w:trPr>
        <w:tc>
          <w:tcPr>
            <w:tcW w:w="84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4.02 DEFEASANCE AND DISCHARGE</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172"/>
        </w:trPr>
        <w:tc>
          <w:tcPr>
            <w:tcW w:w="84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4.03 COVENANT DEFEASANCE</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172"/>
        </w:trPr>
        <w:tc>
          <w:tcPr>
            <w:tcW w:w="84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4.04 CONDITIONS TO DEFEASANCE OR COVENANT DEFEASANCE</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172"/>
        </w:trPr>
        <w:tc>
          <w:tcPr>
            <w:tcW w:w="84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4.05 DEPOSITED MONEY AND U.S. GOVERNMENT OBLIGATIONS TO BE HELD IN TRUST; OTHER MISCELLANEOUS</w:t>
            </w:r>
          </w:p>
        </w:tc>
        <w:tc>
          <w:tcPr>
            <w:tcW w:w="280" w:type="dxa"/>
            <w:vAlign w:val="bottom"/>
          </w:tcPr>
          <w:p>
            <w:pPr>
              <w:spacing w:after="0"/>
              <w:rPr>
                <w:sz w:val="14"/>
                <w:szCs w:val="14"/>
                <w:color w:val="auto"/>
              </w:rPr>
            </w:pPr>
          </w:p>
        </w:tc>
      </w:tr>
      <w:tr>
        <w:trPr>
          <w:trHeight w:val="172"/>
        </w:trPr>
        <w:tc>
          <w:tcPr>
            <w:tcW w:w="8440" w:type="dxa"/>
            <w:vAlign w:val="bottom"/>
          </w:tcPr>
          <w:p>
            <w:pPr>
              <w:ind w:left="1240"/>
              <w:spacing w:after="0"/>
              <w:rPr>
                <w:sz w:val="20"/>
                <w:szCs w:val="20"/>
                <w:color w:val="auto"/>
              </w:rPr>
            </w:pPr>
            <w:r>
              <w:rPr>
                <w:rFonts w:ascii="Times New Roman" w:cs="Times New Roman" w:eastAsia="Times New Roman" w:hAnsi="Times New Roman"/>
                <w:sz w:val="14"/>
                <w:szCs w:val="14"/>
                <w:color w:val="auto"/>
              </w:rPr>
              <w:t>PROVISIONS</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185"/>
        </w:trPr>
        <w:tc>
          <w:tcPr>
            <w:tcW w:w="84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4.06 REINSTATEMENT</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257"/>
        </w:trPr>
        <w:tc>
          <w:tcPr>
            <w:tcW w:w="8440" w:type="dxa"/>
            <w:vAlign w:val="bottom"/>
          </w:tcPr>
          <w:p>
            <w:pPr>
              <w:spacing w:after="0"/>
              <w:rPr>
                <w:sz w:val="20"/>
                <w:szCs w:val="20"/>
                <w:color w:val="auto"/>
              </w:rPr>
            </w:pPr>
            <w:r>
              <w:rPr>
                <w:rFonts w:ascii="Times New Roman" w:cs="Times New Roman" w:eastAsia="Times New Roman" w:hAnsi="Times New Roman"/>
                <w:sz w:val="14"/>
                <w:szCs w:val="14"/>
                <w:color w:val="auto"/>
              </w:rPr>
              <w:t>ARTICLE V REMEDIES</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244"/>
        </w:trPr>
        <w:tc>
          <w:tcPr>
            <w:tcW w:w="84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5.01 EVENTS OF DEFAULT</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72"/>
        </w:trPr>
        <w:tc>
          <w:tcPr>
            <w:tcW w:w="84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5.02 ACCELERATION OF MATURITY; RESCISSION AND ANNULMENT</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72"/>
        </w:trPr>
        <w:tc>
          <w:tcPr>
            <w:tcW w:w="84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5.03 COLLECTION OF INDEBTEDNESS AND SUITS FOR ENFORCEMENT BY TRUSTEE</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72"/>
        </w:trPr>
        <w:tc>
          <w:tcPr>
            <w:tcW w:w="84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5.04 TRUSTEE MAY FILE PROOFS OF CLAIM</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72"/>
        </w:trPr>
        <w:tc>
          <w:tcPr>
            <w:tcW w:w="84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5.05 TRUSTEE MAY ENFORCE CLAIMS WITHOUT POSSESSION OF SECURITIES</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72"/>
        </w:trPr>
        <w:tc>
          <w:tcPr>
            <w:tcW w:w="84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5.06 APPLICATION OF MONEY COLLECTED</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72"/>
        </w:trPr>
        <w:tc>
          <w:tcPr>
            <w:tcW w:w="84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5.07 LIMITATION ON SUITS</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72"/>
        </w:trPr>
        <w:tc>
          <w:tcPr>
            <w:tcW w:w="84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5.08 UNCONDITIONAL RIGHT OF HOLDERS TO RECEIVE PRINCIPAL, PREMIUM AND INTEREST</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72"/>
        </w:trPr>
        <w:tc>
          <w:tcPr>
            <w:tcW w:w="84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5.09 RESTORATION OF RIGHTS AND REMEDIES</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172"/>
        </w:trPr>
        <w:tc>
          <w:tcPr>
            <w:tcW w:w="84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5.10 RIGHTS AND REMEDIES CUMULATIVE</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172"/>
        </w:trPr>
        <w:tc>
          <w:tcPr>
            <w:tcW w:w="84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5.11 DELAY OR OMISSION NOT WAIVER</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172"/>
        </w:trPr>
        <w:tc>
          <w:tcPr>
            <w:tcW w:w="84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5.12 CONTROL BY HOLDERS</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172"/>
        </w:trPr>
        <w:tc>
          <w:tcPr>
            <w:tcW w:w="84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5.13 WAIVER OF PAST DEFAULTS</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172"/>
        </w:trPr>
        <w:tc>
          <w:tcPr>
            <w:tcW w:w="84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5.14 UNDERTAKING FOR COSTS</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172"/>
        </w:trPr>
        <w:tc>
          <w:tcPr>
            <w:tcW w:w="84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5.15 WAIVER OF STAY, EXTENSION OR USURY LAWS</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185"/>
        </w:trPr>
        <w:tc>
          <w:tcPr>
            <w:tcW w:w="84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5.16 REMEDIES SUBJECT TO APPLICABLE LAW</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257"/>
        </w:trPr>
        <w:tc>
          <w:tcPr>
            <w:tcW w:w="8440" w:type="dxa"/>
            <w:vAlign w:val="bottom"/>
          </w:tcPr>
          <w:p>
            <w:pPr>
              <w:spacing w:after="0"/>
              <w:rPr>
                <w:sz w:val="20"/>
                <w:szCs w:val="20"/>
                <w:color w:val="auto"/>
              </w:rPr>
            </w:pPr>
            <w:r>
              <w:rPr>
                <w:rFonts w:ascii="Times New Roman" w:cs="Times New Roman" w:eastAsia="Times New Roman" w:hAnsi="Times New Roman"/>
                <w:sz w:val="14"/>
                <w:szCs w:val="14"/>
                <w:color w:val="auto"/>
              </w:rPr>
              <w:t>ARTICLE VI THE TRUSTEE</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244"/>
        </w:trPr>
        <w:tc>
          <w:tcPr>
            <w:tcW w:w="84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6.01 DUTIES OF TRUSTEE</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172"/>
        </w:trPr>
        <w:tc>
          <w:tcPr>
            <w:tcW w:w="84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6.02 NOTICE OF DEFAULTS</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172"/>
        </w:trPr>
        <w:tc>
          <w:tcPr>
            <w:tcW w:w="84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6.03 CERTAIN RIGHTS OF TRUSTEE</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172"/>
        </w:trPr>
        <w:tc>
          <w:tcPr>
            <w:tcW w:w="84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6.04 TRUSTEE NOT RESPONSIBLE FOR RECITALS, DISPOSITIONS OF SECURITIES OR APPLICATION OF PROCEEDS</w:t>
            </w:r>
          </w:p>
        </w:tc>
        <w:tc>
          <w:tcPr>
            <w:tcW w:w="280" w:type="dxa"/>
            <w:vAlign w:val="bottom"/>
          </w:tcPr>
          <w:p>
            <w:pPr>
              <w:spacing w:after="0"/>
              <w:rPr>
                <w:sz w:val="14"/>
                <w:szCs w:val="14"/>
                <w:color w:val="auto"/>
              </w:rPr>
            </w:pPr>
          </w:p>
        </w:tc>
      </w:tr>
      <w:tr>
        <w:trPr>
          <w:trHeight w:val="172"/>
        </w:trPr>
        <w:tc>
          <w:tcPr>
            <w:tcW w:w="8440" w:type="dxa"/>
            <w:vAlign w:val="bottom"/>
          </w:tcPr>
          <w:p>
            <w:pPr>
              <w:ind w:left="1240"/>
              <w:spacing w:after="0"/>
              <w:rPr>
                <w:sz w:val="20"/>
                <w:szCs w:val="20"/>
                <w:color w:val="auto"/>
              </w:rPr>
            </w:pPr>
            <w:r>
              <w:rPr>
                <w:rFonts w:ascii="Times New Roman" w:cs="Times New Roman" w:eastAsia="Times New Roman" w:hAnsi="Times New Roman"/>
                <w:sz w:val="14"/>
                <w:szCs w:val="14"/>
                <w:color w:val="auto"/>
              </w:rPr>
              <w:t>THEREOF</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172"/>
        </w:trPr>
        <w:tc>
          <w:tcPr>
            <w:tcW w:w="84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6.05 TRUSTEE AND AGENTS MAY HOLD SECURITIES; COLLECTIONS; ETC.</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172"/>
        </w:trPr>
        <w:tc>
          <w:tcPr>
            <w:tcW w:w="84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6.06 MONEY HELD IN TRUST</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172"/>
        </w:trPr>
        <w:tc>
          <w:tcPr>
            <w:tcW w:w="84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6.07 COMPENSATION AND INDEMNIFICATION OF TRUSTEE AND ITS PRIOR CLAIM</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172"/>
        </w:trPr>
        <w:tc>
          <w:tcPr>
            <w:tcW w:w="84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6.08 CONFLICTING INTERESTS</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185"/>
        </w:trPr>
        <w:tc>
          <w:tcPr>
            <w:tcW w:w="84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6.09 TRUSTEE ELIGIBILITY</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r>
    </w:tbl>
    <w:p>
      <w:pPr>
        <w:spacing w:after="0" w:line="10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3">
                      <a:extLst>
                        <a:ext uri="{28A0092B-C50C-407E-A947-70E740481C1C}"/>
                      </a:extLst>
                    </a:blip>
                    <a:srcRect/>
                    <a:stretch>
                      <a:fillRect/>
                    </a:stretch>
                  </pic:blipFill>
                  <pic:spPr bwMode="auto">
                    <a:xfrm>
                      <a:off x="0" y="0"/>
                      <a:ext cx="7199630" cy="3302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4"/>
          <w:szCs w:val="14"/>
          <w:color w:val="auto"/>
        </w:rPr>
        <w:t>ii</w:t>
      </w:r>
    </w:p>
    <w:p>
      <w:pPr>
        <w:sectPr>
          <w:pgSz w:w="11900" w:h="16838" w:orient="portrait"/>
          <w:cols w:equalWidth="0" w:num="1">
            <w:col w:w="9019"/>
          </w:cols>
          <w:pgMar w:left="1440" w:top="238" w:right="1440" w:bottom="1440" w:gutter="0" w:footer="0" w:header="0"/>
        </w:sectPr>
      </w:pPr>
    </w:p>
    <w:bookmarkStart w:id="120" w:name="page121"/>
    <w:bookmarkEnd w:id="120"/>
    <w:tbl>
      <w:tblPr>
        <w:tblLayout w:type="fixed"/>
        <w:tblInd w:w="120" w:type="dxa"/>
        <w:tblCellMar>
          <w:top w:w="0" w:type="dxa"/>
          <w:left w:w="0" w:type="dxa"/>
          <w:bottom w:w="0" w:type="dxa"/>
          <w:right w:w="0" w:type="dxa"/>
        </w:tblCellMar>
      </w:tblPr>
      <w:tr>
        <w:trPr>
          <w:trHeight w:val="126"/>
        </w:trPr>
        <w:tc>
          <w:tcPr>
            <w:tcW w:w="1120" w:type="dxa"/>
            <w:vAlign w:val="bottom"/>
          </w:tcPr>
          <w:p>
            <w:pPr>
              <w:spacing w:after="0"/>
              <w:rPr>
                <w:sz w:val="11"/>
                <w:szCs w:val="11"/>
                <w:color w:val="auto"/>
              </w:rPr>
            </w:pPr>
          </w:p>
        </w:tc>
        <w:tc>
          <w:tcPr>
            <w:tcW w:w="654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172"/>
        </w:trPr>
        <w:tc>
          <w:tcPr>
            <w:tcW w:w="11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6.10</w:t>
            </w:r>
          </w:p>
        </w:tc>
        <w:tc>
          <w:tcPr>
            <w:tcW w:w="65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RESIGNATION AND REMOVAL; APPOINTMENT OF SUCCESSOR TRUSTEE</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172"/>
        </w:trPr>
        <w:tc>
          <w:tcPr>
            <w:tcW w:w="11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6.11</w:t>
            </w:r>
          </w:p>
        </w:tc>
        <w:tc>
          <w:tcPr>
            <w:tcW w:w="65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ACCEPTANCE OF APPOINTMENT BY SUCCESSOR</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172"/>
        </w:trPr>
        <w:tc>
          <w:tcPr>
            <w:tcW w:w="11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6.12</w:t>
            </w:r>
          </w:p>
        </w:tc>
        <w:tc>
          <w:tcPr>
            <w:tcW w:w="65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MERGER, CONVERSION, CONSOLIDATION OR SUCCESSION TO BUSINESS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172"/>
        </w:trPr>
        <w:tc>
          <w:tcPr>
            <w:tcW w:w="11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6.13</w:t>
            </w:r>
          </w:p>
        </w:tc>
        <w:tc>
          <w:tcPr>
            <w:tcW w:w="65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PREFERENTIAL COLLECTION OF CLAIMS AGAINST COMPANY</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172"/>
        </w:trPr>
        <w:tc>
          <w:tcPr>
            <w:tcW w:w="11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6.14</w:t>
            </w:r>
          </w:p>
        </w:tc>
        <w:tc>
          <w:tcPr>
            <w:tcW w:w="65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APPOINTMENT OF AUTHENTICATING AGENT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185"/>
        </w:trPr>
        <w:tc>
          <w:tcPr>
            <w:tcW w:w="11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6.15</w:t>
            </w:r>
          </w:p>
        </w:tc>
        <w:tc>
          <w:tcPr>
            <w:tcW w:w="65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APPOINTMENT OF CO-TRUSTEE</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258"/>
        </w:trPr>
        <w:tc>
          <w:tcPr>
            <w:tcW w:w="7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VII HOLDERS’ LISTS AND REPORTS BY TRUSTEE</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244"/>
        </w:trPr>
        <w:tc>
          <w:tcPr>
            <w:tcW w:w="11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7.01</w:t>
            </w:r>
          </w:p>
        </w:tc>
        <w:tc>
          <w:tcPr>
            <w:tcW w:w="65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COMPANY TO FURNISH TRUSTEE NAMES AND ADDRESSES OF HOLDERS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72"/>
        </w:trPr>
        <w:tc>
          <w:tcPr>
            <w:tcW w:w="11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7.02</w:t>
            </w:r>
          </w:p>
        </w:tc>
        <w:tc>
          <w:tcPr>
            <w:tcW w:w="65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DISCLOSURE OF NAMES AND ADDRESSES OF HOLDERS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72"/>
        </w:trPr>
        <w:tc>
          <w:tcPr>
            <w:tcW w:w="11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7.03</w:t>
            </w:r>
          </w:p>
        </w:tc>
        <w:tc>
          <w:tcPr>
            <w:tcW w:w="65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REPORTS BY TRUSTEE</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85"/>
        </w:trPr>
        <w:tc>
          <w:tcPr>
            <w:tcW w:w="11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7.04</w:t>
            </w:r>
          </w:p>
        </w:tc>
        <w:tc>
          <w:tcPr>
            <w:tcW w:w="65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CALCULATION OF ORIGINAL ISSUE DISCOUNT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258"/>
        </w:trPr>
        <w:tc>
          <w:tcPr>
            <w:tcW w:w="7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VIII CONSOLIDATION, MERGER, SALE OF ASSETS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258"/>
        </w:trPr>
        <w:tc>
          <w:tcPr>
            <w:tcW w:w="11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8.01</w:t>
            </w:r>
          </w:p>
        </w:tc>
        <w:tc>
          <w:tcPr>
            <w:tcW w:w="65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COMPANY MAY CONSOLIDATE, ETC., ONLY ON CERTAIN TERMS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257"/>
        </w:trPr>
        <w:tc>
          <w:tcPr>
            <w:tcW w:w="7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IX SUPPLEMENTAL INDENTURES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244"/>
        </w:trPr>
        <w:tc>
          <w:tcPr>
            <w:tcW w:w="11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9.01</w:t>
            </w:r>
          </w:p>
        </w:tc>
        <w:tc>
          <w:tcPr>
            <w:tcW w:w="65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SUPPLEMENTAL INDENTURES AND AGREEMENTS WITHOUT CONSENT OF HOLDERS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172"/>
        </w:trPr>
        <w:tc>
          <w:tcPr>
            <w:tcW w:w="11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9.02</w:t>
            </w:r>
          </w:p>
        </w:tc>
        <w:tc>
          <w:tcPr>
            <w:tcW w:w="65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SUPPLEMENTAL INDENTURES AND AGREEMENTS WITH CONSENT OF HOLDERS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72"/>
        </w:trPr>
        <w:tc>
          <w:tcPr>
            <w:tcW w:w="11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9.03</w:t>
            </w:r>
          </w:p>
        </w:tc>
        <w:tc>
          <w:tcPr>
            <w:tcW w:w="65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EXECUTION OF SUPPLEMENTAL INDENTURES AND AGREEMENTS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172"/>
        </w:trPr>
        <w:tc>
          <w:tcPr>
            <w:tcW w:w="11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9.04</w:t>
            </w:r>
          </w:p>
        </w:tc>
        <w:tc>
          <w:tcPr>
            <w:tcW w:w="65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EFFECT OF SUPPLEMENTAL INDENTURES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172"/>
        </w:trPr>
        <w:tc>
          <w:tcPr>
            <w:tcW w:w="11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9.05</w:t>
            </w:r>
          </w:p>
        </w:tc>
        <w:tc>
          <w:tcPr>
            <w:tcW w:w="65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CONFORMITY WITH TRUST INDENTURE ACT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172"/>
        </w:trPr>
        <w:tc>
          <w:tcPr>
            <w:tcW w:w="11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9.06</w:t>
            </w:r>
          </w:p>
        </w:tc>
        <w:tc>
          <w:tcPr>
            <w:tcW w:w="65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REFERENCE IN SECURITIES TO SUPPLEMENTAL INDENTURES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185"/>
        </w:trPr>
        <w:tc>
          <w:tcPr>
            <w:tcW w:w="11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9.07</w:t>
            </w:r>
          </w:p>
        </w:tc>
        <w:tc>
          <w:tcPr>
            <w:tcW w:w="65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NOTICE OF SUPPLEMENTAL INDENTURES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258"/>
        </w:trPr>
        <w:tc>
          <w:tcPr>
            <w:tcW w:w="7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X COVENANTS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244"/>
        </w:trPr>
        <w:tc>
          <w:tcPr>
            <w:tcW w:w="11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10.01</w:t>
            </w:r>
          </w:p>
        </w:tc>
        <w:tc>
          <w:tcPr>
            <w:tcW w:w="65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PAYMENT OF PRINCIPAL, PREMIUM AND INTEREST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172"/>
        </w:trPr>
        <w:tc>
          <w:tcPr>
            <w:tcW w:w="11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10.02</w:t>
            </w:r>
          </w:p>
        </w:tc>
        <w:tc>
          <w:tcPr>
            <w:tcW w:w="65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MAINTENANCE OF OFFICE OR AGENCY</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172"/>
        </w:trPr>
        <w:tc>
          <w:tcPr>
            <w:tcW w:w="11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10.03</w:t>
            </w:r>
          </w:p>
        </w:tc>
        <w:tc>
          <w:tcPr>
            <w:tcW w:w="65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MONEY FOR SECURITY PAYMENTS TO BE HELD IN TRUST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185"/>
        </w:trPr>
        <w:tc>
          <w:tcPr>
            <w:tcW w:w="11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10.04</w:t>
            </w:r>
          </w:p>
        </w:tc>
        <w:tc>
          <w:tcPr>
            <w:tcW w:w="65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REPORTS OF THE COMPANY AND PROVISION OF FINANCIAL STATEMENTS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257"/>
        </w:trPr>
        <w:tc>
          <w:tcPr>
            <w:tcW w:w="7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XI REDEMPTION OF SECURITIES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244"/>
        </w:trPr>
        <w:tc>
          <w:tcPr>
            <w:tcW w:w="11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11.01</w:t>
            </w:r>
          </w:p>
        </w:tc>
        <w:tc>
          <w:tcPr>
            <w:tcW w:w="65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RIGHTS OF REDEMPTION</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172"/>
        </w:trPr>
        <w:tc>
          <w:tcPr>
            <w:tcW w:w="11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11.02</w:t>
            </w:r>
          </w:p>
        </w:tc>
        <w:tc>
          <w:tcPr>
            <w:tcW w:w="65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APPLICABILITY OF ARTICLE</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172"/>
        </w:trPr>
        <w:tc>
          <w:tcPr>
            <w:tcW w:w="11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11.03</w:t>
            </w:r>
          </w:p>
        </w:tc>
        <w:tc>
          <w:tcPr>
            <w:tcW w:w="65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ELECTION TO REDEEM; NOTICE TO TRUSTEE</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172"/>
        </w:trPr>
        <w:tc>
          <w:tcPr>
            <w:tcW w:w="11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11.04</w:t>
            </w:r>
          </w:p>
        </w:tc>
        <w:tc>
          <w:tcPr>
            <w:tcW w:w="65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SELECTION BY TRUSTEE OF SECURITIES TO BE REDEEMED</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172"/>
        </w:trPr>
        <w:tc>
          <w:tcPr>
            <w:tcW w:w="11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11.05</w:t>
            </w:r>
          </w:p>
        </w:tc>
        <w:tc>
          <w:tcPr>
            <w:tcW w:w="65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NOTICE OF REDEMPTION</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172"/>
        </w:trPr>
        <w:tc>
          <w:tcPr>
            <w:tcW w:w="11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11.06</w:t>
            </w:r>
          </w:p>
        </w:tc>
        <w:tc>
          <w:tcPr>
            <w:tcW w:w="65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DEPOSIT OF REDEMPTION PRICE</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172"/>
        </w:trPr>
        <w:tc>
          <w:tcPr>
            <w:tcW w:w="11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11.07</w:t>
            </w:r>
          </w:p>
        </w:tc>
        <w:tc>
          <w:tcPr>
            <w:tcW w:w="65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SECURITIES PAYABLE ON REDEMPTION DATE</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185"/>
        </w:trPr>
        <w:tc>
          <w:tcPr>
            <w:tcW w:w="11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11.08</w:t>
            </w:r>
          </w:p>
        </w:tc>
        <w:tc>
          <w:tcPr>
            <w:tcW w:w="65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SECURITIES REDEEMED OR PURCHASED IN PART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r>
    </w:tbl>
    <w:p>
      <w:pPr>
        <w:spacing w:after="0" w:line="10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4">
                      <a:extLst>
                        <a:ext uri="{28A0092B-C50C-407E-A947-70E740481C1C}"/>
                      </a:extLst>
                    </a:blip>
                    <a:srcRect/>
                    <a:stretch>
                      <a:fillRect/>
                    </a:stretch>
                  </pic:blipFill>
                  <pic:spPr bwMode="auto">
                    <a:xfrm>
                      <a:off x="0" y="0"/>
                      <a:ext cx="7199630" cy="3302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4"/>
          <w:szCs w:val="14"/>
          <w:color w:val="auto"/>
        </w:rPr>
        <w:t>iii</w:t>
      </w:r>
    </w:p>
    <w:p>
      <w:pPr>
        <w:sectPr>
          <w:pgSz w:w="11900" w:h="16838" w:orient="portrait"/>
          <w:cols w:equalWidth="0" w:num="1">
            <w:col w:w="9019"/>
          </w:cols>
          <w:pgMar w:left="1440" w:top="234" w:right="1440" w:bottom="1440" w:gutter="0" w:footer="0" w:header="0"/>
        </w:sectPr>
      </w:pPr>
    </w:p>
    <w:bookmarkStart w:id="121" w:name="page122"/>
    <w:bookmarkEnd w:id="121"/>
    <w:tbl>
      <w:tblPr>
        <w:tblLayout w:type="fixed"/>
        <w:tblInd w:w="120" w:type="dxa"/>
        <w:tblCellMar>
          <w:top w:w="0" w:type="dxa"/>
          <w:left w:w="0" w:type="dxa"/>
          <w:bottom w:w="0" w:type="dxa"/>
          <w:right w:w="0" w:type="dxa"/>
        </w:tblCellMar>
      </w:tblPr>
      <w:tr>
        <w:trPr>
          <w:trHeight w:val="150"/>
        </w:trPr>
        <w:tc>
          <w:tcPr>
            <w:tcW w:w="1120" w:type="dxa"/>
            <w:vAlign w:val="bottom"/>
          </w:tcPr>
          <w:p>
            <w:pPr>
              <w:spacing w:after="0"/>
              <w:rPr>
                <w:sz w:val="13"/>
                <w:szCs w:val="13"/>
                <w:color w:val="auto"/>
              </w:rPr>
            </w:pPr>
          </w:p>
        </w:tc>
        <w:tc>
          <w:tcPr>
            <w:tcW w:w="5100" w:type="dxa"/>
            <w:vAlign w:val="bottom"/>
          </w:tcPr>
          <w:p>
            <w:pPr>
              <w:spacing w:after="0"/>
              <w:rPr>
                <w:sz w:val="13"/>
                <w:szCs w:val="13"/>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244"/>
        </w:trPr>
        <w:tc>
          <w:tcPr>
            <w:tcW w:w="6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XII SATISFACTION AND DISCHARGE</w:t>
            </w:r>
          </w:p>
        </w:tc>
        <w:tc>
          <w:tcPr>
            <w:tcW w:w="2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244"/>
        </w:trPr>
        <w:tc>
          <w:tcPr>
            <w:tcW w:w="1120" w:type="dxa"/>
            <w:vAlign w:val="bottom"/>
          </w:tcPr>
          <w:p>
            <w:pPr>
              <w:jc w:val="center"/>
              <w:ind w:left="188"/>
              <w:spacing w:after="0"/>
              <w:rPr>
                <w:sz w:val="20"/>
                <w:szCs w:val="20"/>
                <w:color w:val="auto"/>
              </w:rPr>
            </w:pPr>
            <w:r>
              <w:rPr>
                <w:rFonts w:ascii="Times New Roman" w:cs="Times New Roman" w:eastAsia="Times New Roman" w:hAnsi="Times New Roman"/>
                <w:sz w:val="14"/>
                <w:szCs w:val="14"/>
                <w:color w:val="auto"/>
              </w:rPr>
              <w:t>Section 12.01</w:t>
            </w:r>
          </w:p>
        </w:tc>
        <w:tc>
          <w:tcPr>
            <w:tcW w:w="5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SATISFACTION AND DISCHARGE OF INDENTURE</w:t>
            </w:r>
          </w:p>
        </w:tc>
        <w:tc>
          <w:tcPr>
            <w:tcW w:w="2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172"/>
        </w:trPr>
        <w:tc>
          <w:tcPr>
            <w:tcW w:w="1120" w:type="dxa"/>
            <w:vAlign w:val="bottom"/>
          </w:tcPr>
          <w:p>
            <w:pPr>
              <w:jc w:val="center"/>
              <w:ind w:left="188"/>
              <w:spacing w:after="0"/>
              <w:rPr>
                <w:sz w:val="20"/>
                <w:szCs w:val="20"/>
                <w:color w:val="auto"/>
              </w:rPr>
            </w:pPr>
            <w:r>
              <w:rPr>
                <w:rFonts w:ascii="Times New Roman" w:cs="Times New Roman" w:eastAsia="Times New Roman" w:hAnsi="Times New Roman"/>
                <w:sz w:val="14"/>
                <w:szCs w:val="14"/>
                <w:color w:val="auto"/>
              </w:rPr>
              <w:t>Section 12.02</w:t>
            </w:r>
          </w:p>
        </w:tc>
        <w:tc>
          <w:tcPr>
            <w:tcW w:w="5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APPLICATION OF TRUST MONEY</w:t>
            </w:r>
          </w:p>
        </w:tc>
        <w:tc>
          <w:tcPr>
            <w:tcW w:w="2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185"/>
        </w:trPr>
        <w:tc>
          <w:tcPr>
            <w:tcW w:w="1120" w:type="dxa"/>
            <w:vAlign w:val="bottom"/>
          </w:tcPr>
          <w:p>
            <w:pPr>
              <w:jc w:val="center"/>
              <w:ind w:left="188"/>
              <w:spacing w:after="0"/>
              <w:rPr>
                <w:sz w:val="20"/>
                <w:szCs w:val="20"/>
                <w:color w:val="auto"/>
              </w:rPr>
            </w:pPr>
            <w:r>
              <w:rPr>
                <w:rFonts w:ascii="Times New Roman" w:cs="Times New Roman" w:eastAsia="Times New Roman" w:hAnsi="Times New Roman"/>
                <w:sz w:val="14"/>
                <w:szCs w:val="14"/>
                <w:color w:val="auto"/>
              </w:rPr>
              <w:t>Section 12.03</w:t>
            </w:r>
          </w:p>
        </w:tc>
        <w:tc>
          <w:tcPr>
            <w:tcW w:w="5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REPAYMENT TO THE COMPANY</w:t>
            </w:r>
          </w:p>
        </w:tc>
        <w:tc>
          <w:tcPr>
            <w:tcW w:w="2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257"/>
        </w:trPr>
        <w:tc>
          <w:tcPr>
            <w:tcW w:w="6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XIII GUARANTEES</w:t>
            </w:r>
          </w:p>
        </w:tc>
        <w:tc>
          <w:tcPr>
            <w:tcW w:w="2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258"/>
        </w:trPr>
        <w:tc>
          <w:tcPr>
            <w:tcW w:w="1120" w:type="dxa"/>
            <w:vAlign w:val="bottom"/>
          </w:tcPr>
          <w:p>
            <w:pPr>
              <w:jc w:val="center"/>
              <w:ind w:left="188"/>
              <w:spacing w:after="0"/>
              <w:rPr>
                <w:sz w:val="20"/>
                <w:szCs w:val="20"/>
                <w:color w:val="auto"/>
              </w:rPr>
            </w:pPr>
            <w:r>
              <w:rPr>
                <w:rFonts w:ascii="Times New Roman" w:cs="Times New Roman" w:eastAsia="Times New Roman" w:hAnsi="Times New Roman"/>
                <w:sz w:val="14"/>
                <w:szCs w:val="14"/>
                <w:color w:val="auto"/>
              </w:rPr>
              <w:t>Section 13.01</w:t>
            </w:r>
          </w:p>
        </w:tc>
        <w:tc>
          <w:tcPr>
            <w:tcW w:w="5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SECURITIES GUARANTEE</w:t>
            </w:r>
          </w:p>
        </w:tc>
        <w:tc>
          <w:tcPr>
            <w:tcW w:w="2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258"/>
        </w:trPr>
        <w:tc>
          <w:tcPr>
            <w:tcW w:w="6220" w:type="dxa"/>
            <w:vAlign w:val="bottom"/>
            <w:gridSpan w:val="2"/>
          </w:tcPr>
          <w:p>
            <w:pPr>
              <w:jc w:val="center"/>
              <w:ind w:right="4788"/>
              <w:spacing w:after="0"/>
              <w:rPr>
                <w:sz w:val="20"/>
                <w:szCs w:val="20"/>
                <w:color w:val="auto"/>
              </w:rPr>
            </w:pPr>
            <w:r>
              <w:rPr>
                <w:rFonts w:ascii="Times New Roman" w:cs="Times New Roman" w:eastAsia="Times New Roman" w:hAnsi="Times New Roman"/>
                <w:sz w:val="14"/>
                <w:szCs w:val="14"/>
                <w:color w:val="auto"/>
              </w:rPr>
              <w:t>FORM OF SECURITY</w:t>
            </w:r>
          </w:p>
        </w:tc>
        <w:tc>
          <w:tcPr>
            <w:tcW w:w="2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EXHIBIT A</w:t>
            </w:r>
          </w:p>
        </w:tc>
      </w:tr>
      <w:tr>
        <w:trPr>
          <w:trHeight w:val="290"/>
        </w:trPr>
        <w:tc>
          <w:tcPr>
            <w:tcW w:w="1120" w:type="dxa"/>
            <w:vAlign w:val="bottom"/>
          </w:tcPr>
          <w:p>
            <w:pPr>
              <w:spacing w:after="0"/>
              <w:rPr>
                <w:sz w:val="24"/>
                <w:szCs w:val="24"/>
                <w:color w:val="auto"/>
              </w:rPr>
            </w:pPr>
          </w:p>
        </w:tc>
        <w:tc>
          <w:tcPr>
            <w:tcW w:w="5100" w:type="dxa"/>
            <w:vAlign w:val="bottom"/>
          </w:tcPr>
          <w:p>
            <w:pPr>
              <w:ind w:left="3200"/>
              <w:spacing w:after="0"/>
              <w:rPr>
                <w:sz w:val="20"/>
                <w:szCs w:val="20"/>
                <w:color w:val="auto"/>
              </w:rPr>
            </w:pPr>
            <w:r>
              <w:rPr>
                <w:rFonts w:ascii="Times New Roman" w:cs="Times New Roman" w:eastAsia="Times New Roman" w:hAnsi="Times New Roman"/>
                <w:sz w:val="14"/>
                <w:szCs w:val="14"/>
                <w:color w:val="auto"/>
              </w:rPr>
              <w:t>iv</w:t>
            </w:r>
          </w:p>
        </w:tc>
        <w:tc>
          <w:tcPr>
            <w:tcW w:w="25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9019"/>
          </w:cols>
          <w:pgMar w:left="1440" w:top="238" w:right="1440" w:bottom="1440" w:gutter="0" w:footer="0" w:header="0"/>
        </w:sect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5">
                      <a:extLst>
                        <a:ext uri="{28A0092B-C50C-407E-A947-70E740481C1C}"/>
                      </a:extLst>
                    </a:blip>
                    <a:srcRect/>
                    <a:stretch>
                      <a:fillRect/>
                    </a:stretch>
                  </pic:blipFill>
                  <pic:spPr bwMode="auto">
                    <a:xfrm>
                      <a:off x="0" y="0"/>
                      <a:ext cx="7199630" cy="33020"/>
                    </a:xfrm>
                    <a:prstGeom prst="rect">
                      <a:avLst/>
                    </a:prstGeom>
                    <a:noFill/>
                  </pic:spPr>
                </pic:pic>
              </a:graphicData>
            </a:graphic>
          </wp:anchor>
        </w:drawing>
      </w:r>
    </w:p>
    <w:bookmarkStart w:id="122" w:name="page123"/>
    <w:bookmarkEnd w:id="122"/>
    <w:p>
      <w:pPr>
        <w:ind w:left="48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6">
                      <a:extLst>
                        <a:ext uri="{28A0092B-C50C-407E-A947-70E740481C1C}"/>
                      </a:extLst>
                    </a:blip>
                    <a:srcRect/>
                    <a:stretch>
                      <a:fillRect/>
                    </a:stretch>
                  </pic:blipFill>
                  <pic:spPr bwMode="auto">
                    <a:xfrm>
                      <a:off x="0" y="0"/>
                      <a:ext cx="7199630" cy="33020"/>
                    </a:xfrm>
                    <a:prstGeom prst="rect">
                      <a:avLst/>
                    </a:prstGeom>
                    <a:noFill/>
                  </pic:spPr>
                </pic:pic>
              </a:graphicData>
            </a:graphic>
          </wp:anchor>
        </w:drawing>
        <w:t>INDENTURE, dated as of , , between The GEO Group, Inc. and Ankura Trust Company, LLC, as trustee (the “</w:t>
      </w:r>
      <w:r>
        <w:rPr>
          <w:rFonts w:ascii="Times New Roman" w:cs="Times New Roman" w:eastAsia="Times New Roman" w:hAnsi="Times New Roman"/>
          <w:sz w:val="14"/>
          <w:szCs w:val="14"/>
          <w:u w:val="single" w:color="auto"/>
          <w:color w:val="auto"/>
        </w:rPr>
        <w:t>Trustee</w:t>
      </w:r>
      <w:r>
        <w:rPr>
          <w:rFonts w:ascii="Times New Roman" w:cs="Times New Roman" w:eastAsia="Times New Roman" w:hAnsi="Times New Roman"/>
          <w:sz w:val="14"/>
          <w:szCs w:val="14"/>
          <w:color w:val="auto"/>
        </w:rPr>
        <w:t>”).</w:t>
      </w: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RECITALS OF THE COMPANY</w:t>
      </w:r>
    </w:p>
    <w:p>
      <w:pPr>
        <w:spacing w:after="0" w:line="184" w:lineRule="exact"/>
        <w:rPr>
          <w:sz w:val="20"/>
          <w:szCs w:val="20"/>
          <w:color w:val="auto"/>
        </w:rPr>
      </w:pPr>
    </w:p>
    <w:p>
      <w:pPr>
        <w:ind w:left="120" w:right="139" w:firstLine="350"/>
        <w:spacing w:after="0" w:line="268" w:lineRule="auto"/>
        <w:rPr>
          <w:sz w:val="20"/>
          <w:szCs w:val="20"/>
          <w:color w:val="auto"/>
        </w:rPr>
      </w:pPr>
      <w:r>
        <w:rPr>
          <w:rFonts w:ascii="Times New Roman" w:cs="Times New Roman" w:eastAsia="Times New Roman" w:hAnsi="Times New Roman"/>
          <w:sz w:val="14"/>
          <w:szCs w:val="14"/>
          <w:color w:val="auto"/>
        </w:rPr>
        <w:t>WHEREAS, the Company deems it necessary to issue from time to time for its lawful purposes senior debt securities (the “</w:t>
      </w:r>
      <w:r>
        <w:rPr>
          <w:rFonts w:ascii="Times New Roman" w:cs="Times New Roman" w:eastAsia="Times New Roman" w:hAnsi="Times New Roman"/>
          <w:sz w:val="14"/>
          <w:szCs w:val="14"/>
          <w:u w:val="single" w:color="auto"/>
          <w:color w:val="auto"/>
        </w:rPr>
        <w:t>Securities</w:t>
      </w:r>
      <w:r>
        <w:rPr>
          <w:rFonts w:ascii="Times New Roman" w:cs="Times New Roman" w:eastAsia="Times New Roman" w:hAnsi="Times New Roman"/>
          <w:sz w:val="14"/>
          <w:szCs w:val="14"/>
          <w:color w:val="auto"/>
        </w:rPr>
        <w:t>”) evidencing its unsecured and unsubordinated indebtedness, and has duly authorized the execution and delivery of this Indenture to provide for the issuance from time to time of the Securities, unlimited as to principal amount, to bear such rates of interest, to mature at such times and to have such other provisions as shall be fixed as hereinafter provided;</w:t>
      </w:r>
    </w:p>
    <w:p>
      <w:pPr>
        <w:spacing w:after="0" w:line="139" w:lineRule="exact"/>
        <w:rPr>
          <w:sz w:val="20"/>
          <w:szCs w:val="20"/>
          <w:color w:val="auto"/>
        </w:rPr>
      </w:pPr>
    </w:p>
    <w:p>
      <w:pPr>
        <w:ind w:left="120" w:right="279" w:firstLine="350"/>
        <w:spacing w:after="0" w:line="292" w:lineRule="auto"/>
        <w:rPr>
          <w:sz w:val="20"/>
          <w:szCs w:val="20"/>
          <w:color w:val="auto"/>
        </w:rPr>
      </w:pPr>
      <w:r>
        <w:rPr>
          <w:rFonts w:ascii="Times New Roman" w:cs="Times New Roman" w:eastAsia="Times New Roman" w:hAnsi="Times New Roman"/>
          <w:sz w:val="14"/>
          <w:szCs w:val="14"/>
          <w:color w:val="auto"/>
        </w:rPr>
        <w:t>WHEREAS, this Indenture is subject to, and shall be governed by, the provisions of the Trust Indenture Act that are required to be part of and to govern indentures qualified under the Trust Indenture Act; and</w:t>
      </w:r>
    </w:p>
    <w:p>
      <w:pPr>
        <w:spacing w:after="0" w:line="123" w:lineRule="exact"/>
        <w:rPr>
          <w:sz w:val="20"/>
          <w:szCs w:val="20"/>
          <w:color w:val="auto"/>
        </w:rPr>
      </w:pPr>
    </w:p>
    <w:p>
      <w:pPr>
        <w:ind w:left="120" w:right="679" w:firstLine="350"/>
        <w:spacing w:after="0" w:line="292" w:lineRule="auto"/>
        <w:rPr>
          <w:sz w:val="20"/>
          <w:szCs w:val="20"/>
          <w:color w:val="auto"/>
        </w:rPr>
      </w:pPr>
      <w:r>
        <w:rPr>
          <w:rFonts w:ascii="Times New Roman" w:cs="Times New Roman" w:eastAsia="Times New Roman" w:hAnsi="Times New Roman"/>
          <w:sz w:val="14"/>
          <w:szCs w:val="14"/>
          <w:color w:val="auto"/>
        </w:rPr>
        <w:t>WHEREAS, all acts and things necessary have been done to make (i) the Securities, when duly issued and executed by the Company and authenticated and delivered hereunder, the valid obligations of the Company and (ii) this Indenture a valid agreement of the Company;</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NOW, THEREFORE, THIS INDENTURE WITNESSETH:</w:t>
      </w:r>
    </w:p>
    <w:p>
      <w:pPr>
        <w:spacing w:after="0" w:line="184" w:lineRule="exact"/>
        <w:rPr>
          <w:sz w:val="20"/>
          <w:szCs w:val="20"/>
          <w:color w:val="auto"/>
        </w:rPr>
      </w:pPr>
    </w:p>
    <w:p>
      <w:pPr>
        <w:ind w:left="120" w:right="339" w:firstLine="350"/>
        <w:spacing w:after="0" w:line="292" w:lineRule="auto"/>
        <w:rPr>
          <w:sz w:val="20"/>
          <w:szCs w:val="20"/>
          <w:color w:val="auto"/>
        </w:rPr>
      </w:pPr>
      <w:r>
        <w:rPr>
          <w:rFonts w:ascii="Times New Roman" w:cs="Times New Roman" w:eastAsia="Times New Roman" w:hAnsi="Times New Roman"/>
          <w:sz w:val="14"/>
          <w:szCs w:val="14"/>
          <w:color w:val="auto"/>
        </w:rPr>
        <w:t>For and in consideration of the premises and the purchase of the Securities by the Holders thereof, it is mutually covenanted and agreed, for the equal and proportionate benefit of all Holders of the Securities, as follows:</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I</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DEFINITIONS AND OTHER PROVISIONS OF GENERAL APPLICATION</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1.01 </w:t>
      </w:r>
      <w:r>
        <w:rPr>
          <w:rFonts w:ascii="Times New Roman" w:cs="Times New Roman" w:eastAsia="Times New Roman" w:hAnsi="Times New Roman"/>
          <w:sz w:val="14"/>
          <w:szCs w:val="14"/>
          <w:u w:val="single" w:color="auto"/>
          <w:color w:val="auto"/>
        </w:rPr>
        <w:t>DEFINITIONS.</w:t>
      </w:r>
    </w:p>
    <w:p>
      <w:pPr>
        <w:spacing w:after="0" w:line="182" w:lineRule="exact"/>
        <w:rPr>
          <w:sz w:val="20"/>
          <w:szCs w:val="20"/>
          <w:color w:val="auto"/>
        </w:rPr>
      </w:pPr>
    </w:p>
    <w:p>
      <w:pPr>
        <w:ind w:left="120" w:right="459" w:firstLine="350"/>
        <w:spacing w:after="0" w:line="292" w:lineRule="auto"/>
        <w:rPr>
          <w:sz w:val="20"/>
          <w:szCs w:val="20"/>
          <w:color w:val="auto"/>
        </w:rPr>
      </w:pPr>
      <w:r>
        <w:rPr>
          <w:rFonts w:ascii="Times New Roman" w:cs="Times New Roman" w:eastAsia="Times New Roman" w:hAnsi="Times New Roman"/>
          <w:sz w:val="14"/>
          <w:szCs w:val="14"/>
          <w:color w:val="auto"/>
        </w:rPr>
        <w:t>For all purposes of this Indenture, except as otherwise expressly provided or unless the context otherwise requires or unless such definition is changed or amended in a supplement or amendment to this Indenture:</w:t>
      </w:r>
    </w:p>
    <w:p>
      <w:pPr>
        <w:spacing w:after="0" w:line="37" w:lineRule="exact"/>
        <w:rPr>
          <w:sz w:val="20"/>
          <w:szCs w:val="20"/>
          <w:color w:val="auto"/>
        </w:rPr>
      </w:pPr>
    </w:p>
    <w:p>
      <w:pPr>
        <w:ind w:left="680" w:hanging="203"/>
        <w:spacing w:after="0"/>
        <w:tabs>
          <w:tab w:leader="none" w:pos="68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defined in this Article have the meanings assigned to them in this Article, and include the plural as well as the singular;</w:t>
      </w:r>
    </w:p>
    <w:p>
      <w:pPr>
        <w:spacing w:after="0" w:line="182" w:lineRule="exact"/>
        <w:rPr>
          <w:rFonts w:ascii="Times New Roman" w:cs="Times New Roman" w:eastAsia="Times New Roman" w:hAnsi="Times New Roman"/>
          <w:sz w:val="14"/>
          <w:szCs w:val="14"/>
          <w:color w:val="auto"/>
        </w:rPr>
      </w:pPr>
    </w:p>
    <w:p>
      <w:pPr>
        <w:ind w:left="120" w:right="239" w:firstLine="357"/>
        <w:spacing w:after="0" w:line="292" w:lineRule="auto"/>
        <w:tabs>
          <w:tab w:leader="none" w:pos="672"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other terms used herein which are defined in the Trust Indenture Act, either directly or by reference therein, have the meanings assigned to them therein;</w:t>
      </w:r>
    </w:p>
    <w:p>
      <w:pPr>
        <w:spacing w:after="0" w:line="123" w:lineRule="exact"/>
        <w:rPr>
          <w:rFonts w:ascii="Times New Roman" w:cs="Times New Roman" w:eastAsia="Times New Roman" w:hAnsi="Times New Roman"/>
          <w:sz w:val="14"/>
          <w:szCs w:val="14"/>
          <w:color w:val="auto"/>
        </w:rPr>
      </w:pPr>
    </w:p>
    <w:p>
      <w:pPr>
        <w:ind w:left="680" w:hanging="203"/>
        <w:spacing w:after="0"/>
        <w:tabs>
          <w:tab w:leader="none" w:pos="68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accounting terms not otherwise defined herein have the meanings assigned to them in accordance with GAAP;</w:t>
      </w:r>
    </w:p>
    <w:p>
      <w:pPr>
        <w:spacing w:after="0" w:line="182" w:lineRule="exact"/>
        <w:rPr>
          <w:rFonts w:ascii="Times New Roman" w:cs="Times New Roman" w:eastAsia="Times New Roman" w:hAnsi="Times New Roman"/>
          <w:sz w:val="14"/>
          <w:szCs w:val="14"/>
          <w:color w:val="auto"/>
        </w:rPr>
      </w:pPr>
    </w:p>
    <w:p>
      <w:pPr>
        <w:ind w:left="120" w:right="399" w:firstLine="357"/>
        <w:spacing w:after="0" w:line="292" w:lineRule="auto"/>
        <w:tabs>
          <w:tab w:leader="none" w:pos="672"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words “herein,” “hereof” and “hereunder” and other words of similar import refer to this Indenture as a whole and not to any particular Article, Section or other subdivision;</w:t>
      </w:r>
    </w:p>
    <w:p>
      <w:pPr>
        <w:spacing w:after="0" w:line="123" w:lineRule="exact"/>
        <w:rPr>
          <w:rFonts w:ascii="Times New Roman" w:cs="Times New Roman" w:eastAsia="Times New Roman" w:hAnsi="Times New Roman"/>
          <w:sz w:val="14"/>
          <w:szCs w:val="14"/>
          <w:color w:val="auto"/>
        </w:rPr>
      </w:pPr>
    </w:p>
    <w:p>
      <w:pPr>
        <w:ind w:left="680" w:hanging="203"/>
        <w:spacing w:after="0"/>
        <w:tabs>
          <w:tab w:leader="none" w:pos="68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references to $, US$, dollars or United States dollars shall refer to the lawful currency of the United States of America; and</w:t>
      </w:r>
    </w:p>
    <w:p>
      <w:pPr>
        <w:spacing w:after="0" w:line="182" w:lineRule="exact"/>
        <w:rPr>
          <w:rFonts w:ascii="Times New Roman" w:cs="Times New Roman" w:eastAsia="Times New Roman" w:hAnsi="Times New Roman"/>
          <w:sz w:val="14"/>
          <w:szCs w:val="14"/>
          <w:color w:val="auto"/>
        </w:rPr>
      </w:pPr>
    </w:p>
    <w:p>
      <w:pPr>
        <w:ind w:left="660" w:hanging="183"/>
        <w:spacing w:after="0"/>
        <w:tabs>
          <w:tab w:leader="none" w:pos="6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references herein to particular Sections or Articles refer to this Indenture unless otherwise so indicated.</w:t>
      </w:r>
    </w:p>
    <w:p>
      <w:pPr>
        <w:spacing w:after="0" w:line="1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Certain terms used principally in various articles herein are defined in those articles.</w:t>
      </w:r>
    </w:p>
    <w:p>
      <w:pPr>
        <w:spacing w:after="0" w:line="1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Act</w:t>
      </w:r>
      <w:r>
        <w:rPr>
          <w:rFonts w:ascii="Times New Roman" w:cs="Times New Roman" w:eastAsia="Times New Roman" w:hAnsi="Times New Roman"/>
          <w:sz w:val="14"/>
          <w:szCs w:val="14"/>
          <w:color w:val="auto"/>
        </w:rPr>
        <w:t xml:space="preserve">”, when used with respect to any Holder, has the meaning specified in </w:t>
      </w:r>
      <w:r>
        <w:rPr>
          <w:rFonts w:ascii="Times New Roman" w:cs="Times New Roman" w:eastAsia="Times New Roman" w:hAnsi="Times New Roman"/>
          <w:sz w:val="14"/>
          <w:szCs w:val="14"/>
          <w:u w:val="single" w:color="auto"/>
          <w:color w:val="auto"/>
        </w:rPr>
        <w:t>Section 1.05</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120" w:right="199" w:firstLine="350"/>
        <w:spacing w:after="0" w:line="26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Affiliate</w:t>
      </w:r>
      <w:r>
        <w:rPr>
          <w:rFonts w:ascii="Times New Roman" w:cs="Times New Roman" w:eastAsia="Times New Roman" w:hAnsi="Times New Roman"/>
          <w:sz w:val="14"/>
          <w:szCs w:val="14"/>
          <w:color w:val="auto"/>
        </w:rPr>
        <w:t xml:space="preserve">” of any specified Person means any other Person directly or indirectly controlling or controlled by or under direct or indirect common control with such specified Person. For purposes of this definition, “control,” as used with respect to any Person, shall mean the possession, directly or indirectly, of the power to direct or cause the direction of the management or policies of such Person, whether through the ownership of voting securities, by agreement or otherwise;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beneficial ownership of 10% or more of the Voting Stock of a Person will be deemed to be control. For purposes of this definition, the terms “controlling,” “controlled by” and “under common control with” shall have correlative meanings.</w:t>
      </w: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9019"/>
          </w:cols>
          <w:pgMar w:left="1440" w:top="243" w:right="1440" w:bottom="1440" w:gutter="0" w:footer="0" w:header="0"/>
        </w:sectPr>
      </w:pPr>
    </w:p>
    <w:bookmarkStart w:id="123" w:name="page124"/>
    <w:bookmarkEnd w:id="123"/>
    <w:p>
      <w:pPr>
        <w:jc w:val="both"/>
        <w:ind w:left="120" w:right="199" w:firstLine="350"/>
        <w:spacing w:after="0" w:line="27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7">
                      <a:extLst>
                        <a:ext uri="{28A0092B-C50C-407E-A947-70E740481C1C}"/>
                      </a:extLst>
                    </a:blip>
                    <a:srcRect/>
                    <a:stretch>
                      <a:fillRect/>
                    </a:stretch>
                  </pic:blipFill>
                  <pic:spPr bwMode="auto">
                    <a:xfrm>
                      <a:off x="0" y="0"/>
                      <a:ext cx="7199630" cy="33020"/>
                    </a:xfrm>
                    <a:prstGeom prst="rect">
                      <a:avLst/>
                    </a:prstGeom>
                    <a:noFill/>
                  </pic:spPr>
                </pic:pic>
              </a:graphicData>
            </a:graphic>
          </wp:anchor>
        </w:drawing>
        <w:t>“</w:t>
      </w:r>
      <w:r>
        <w:rPr>
          <w:rFonts w:ascii="Times New Roman" w:cs="Times New Roman" w:eastAsia="Times New Roman" w:hAnsi="Times New Roman"/>
          <w:sz w:val="14"/>
          <w:szCs w:val="14"/>
          <w:u w:val="single" w:color="auto"/>
          <w:color w:val="auto"/>
        </w:rPr>
        <w:t>Applicable Procedures</w:t>
      </w:r>
      <w:r>
        <w:rPr>
          <w:rFonts w:ascii="Times New Roman" w:cs="Times New Roman" w:eastAsia="Times New Roman" w:hAnsi="Times New Roman"/>
          <w:sz w:val="14"/>
          <w:szCs w:val="14"/>
          <w:color w:val="auto"/>
        </w:rPr>
        <w:t>” means, with respect to any transfer or transaction involving a Global Security or beneficial interest therein, the rules and procedures of the Depositary for such Security and of Euroclear and Clearstream, to the extent applicable to such transfer or transaction and as in effect at the time of such transfer or transaction.</w:t>
      </w:r>
    </w:p>
    <w:p>
      <w:pPr>
        <w:spacing w:after="0" w:line="135" w:lineRule="exact"/>
        <w:rPr>
          <w:sz w:val="20"/>
          <w:szCs w:val="20"/>
          <w:color w:val="auto"/>
        </w:rPr>
      </w:pPr>
    </w:p>
    <w:p>
      <w:pPr>
        <w:ind w:left="120" w:right="179" w:firstLine="350"/>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Attributable Debt</w:t>
      </w:r>
      <w:r>
        <w:rPr>
          <w:rFonts w:ascii="Times New Roman" w:cs="Times New Roman" w:eastAsia="Times New Roman" w:hAnsi="Times New Roman"/>
          <w:sz w:val="14"/>
          <w:szCs w:val="14"/>
          <w:color w:val="auto"/>
        </w:rPr>
        <w:t>” means, when used in connection with a Sale and Leaseback Transaction, at any date of determination, the present value of the obligation of the lessee for net rental payments during the remaining term of the lease included in such Sale and Leaseback Transaction including any period for which such lease has been extended or may, at the option of the lessor, be extended. Such present value shall be calculated using a discount rate equal to the rate of interest implicit in such transaction, determined in accordance with GAAP.</w:t>
      </w:r>
    </w:p>
    <w:p>
      <w:pPr>
        <w:spacing w:after="0" w:line="139" w:lineRule="exact"/>
        <w:rPr>
          <w:sz w:val="20"/>
          <w:szCs w:val="20"/>
          <w:color w:val="auto"/>
        </w:rPr>
      </w:pPr>
    </w:p>
    <w:p>
      <w:pPr>
        <w:ind w:left="120" w:right="239" w:firstLine="350"/>
        <w:spacing w:after="0" w:line="29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Bankruptcy Law</w:t>
      </w:r>
      <w:r>
        <w:rPr>
          <w:rFonts w:ascii="Times New Roman" w:cs="Times New Roman" w:eastAsia="Times New Roman" w:hAnsi="Times New Roman"/>
          <w:sz w:val="14"/>
          <w:szCs w:val="14"/>
          <w:color w:val="auto"/>
        </w:rPr>
        <w:t>” means Title 11, United States Bankruptcy Code of 1978, as amended, or any similar United States Federal or state law for the relief of debtors.</w:t>
      </w:r>
    </w:p>
    <w:p>
      <w:pPr>
        <w:spacing w:after="0" w:line="123" w:lineRule="exact"/>
        <w:rPr>
          <w:sz w:val="20"/>
          <w:szCs w:val="20"/>
          <w:color w:val="auto"/>
        </w:rPr>
      </w:pPr>
    </w:p>
    <w:p>
      <w:pPr>
        <w:ind w:left="120" w:right="199" w:firstLine="350"/>
        <w:spacing w:after="0" w:line="27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Board of Directors</w:t>
      </w:r>
      <w:r>
        <w:rPr>
          <w:rFonts w:ascii="Times New Roman" w:cs="Times New Roman" w:eastAsia="Times New Roman" w:hAnsi="Times New Roman"/>
          <w:sz w:val="14"/>
          <w:szCs w:val="14"/>
          <w:color w:val="auto"/>
        </w:rPr>
        <w:t>” means (1) with respect to a corporation, the board of directors of the corporation; (2) with respect to a partnership, the board of directors of the general partner of the partnership; and (3) with respect to any other Person, the board or committee of such Person serving a similar function.</w:t>
      </w:r>
    </w:p>
    <w:p>
      <w:pPr>
        <w:spacing w:after="0" w:line="135" w:lineRule="exact"/>
        <w:rPr>
          <w:sz w:val="20"/>
          <w:szCs w:val="20"/>
          <w:color w:val="auto"/>
        </w:rPr>
      </w:pPr>
    </w:p>
    <w:p>
      <w:pPr>
        <w:ind w:left="120" w:right="239" w:firstLine="350"/>
        <w:spacing w:after="0" w:line="29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Board Resolution</w:t>
      </w:r>
      <w:r>
        <w:rPr>
          <w:rFonts w:ascii="Times New Roman" w:cs="Times New Roman" w:eastAsia="Times New Roman" w:hAnsi="Times New Roman"/>
          <w:sz w:val="14"/>
          <w:szCs w:val="14"/>
          <w:color w:val="auto"/>
        </w:rPr>
        <w:t>” means as of any date of determination, a resolution duly adopted by the Board of Directors of the Company or, if the context otherwise requires, of the applicable Person and which is in full force and effect as of such date.</w:t>
      </w:r>
    </w:p>
    <w:p>
      <w:pPr>
        <w:spacing w:after="0" w:line="123" w:lineRule="exact"/>
        <w:rPr>
          <w:sz w:val="20"/>
          <w:szCs w:val="20"/>
          <w:color w:val="auto"/>
        </w:rPr>
      </w:pPr>
    </w:p>
    <w:p>
      <w:pPr>
        <w:ind w:left="120" w:right="159" w:firstLine="350"/>
        <w:spacing w:after="0" w:line="27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Book-Entry Security</w:t>
      </w:r>
      <w:r>
        <w:rPr>
          <w:rFonts w:ascii="Times New Roman" w:cs="Times New Roman" w:eastAsia="Times New Roman" w:hAnsi="Times New Roman"/>
          <w:sz w:val="14"/>
          <w:szCs w:val="14"/>
          <w:color w:val="auto"/>
        </w:rPr>
        <w:t xml:space="preserve">” means any Global Security in the form of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or such other form established pursuant to </w:t>
      </w:r>
      <w:r>
        <w:rPr>
          <w:rFonts w:ascii="Times New Roman" w:cs="Times New Roman" w:eastAsia="Times New Roman" w:hAnsi="Times New Roman"/>
          <w:sz w:val="14"/>
          <w:szCs w:val="14"/>
          <w:u w:val="single" w:color="auto"/>
          <w:color w:val="auto"/>
        </w:rPr>
        <w:t>Section 2.01</w:t>
      </w:r>
      <w:r>
        <w:rPr>
          <w:rFonts w:ascii="Times New Roman" w:cs="Times New Roman" w:eastAsia="Times New Roman" w:hAnsi="Times New Roman"/>
          <w:sz w:val="14"/>
          <w:szCs w:val="14"/>
          <w:color w:val="auto"/>
        </w:rPr>
        <w:t>, evidencing all or part of a series of Securities, authenticated and delivered to the Depositary for such series or its nominee, and registered in the name of such Depositary or nominee.</w:t>
      </w:r>
    </w:p>
    <w:p>
      <w:pPr>
        <w:spacing w:after="0" w:line="13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Business Day</w:t>
      </w:r>
      <w:r>
        <w:rPr>
          <w:rFonts w:ascii="Times New Roman" w:cs="Times New Roman" w:eastAsia="Times New Roman" w:hAnsi="Times New Roman"/>
          <w:sz w:val="14"/>
          <w:szCs w:val="14"/>
          <w:color w:val="auto"/>
        </w:rPr>
        <w:t>” means any day which is not a Legal Holiday.</w:t>
      </w:r>
    </w:p>
    <w:p>
      <w:pPr>
        <w:spacing w:after="0" w:line="182" w:lineRule="exact"/>
        <w:rPr>
          <w:sz w:val="20"/>
          <w:szCs w:val="20"/>
          <w:color w:val="auto"/>
        </w:rPr>
      </w:pPr>
    </w:p>
    <w:p>
      <w:pPr>
        <w:ind w:left="120" w:right="139" w:firstLine="350"/>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Capital Stock</w:t>
      </w:r>
      <w:r>
        <w:rPr>
          <w:rFonts w:ascii="Times New Roman" w:cs="Times New Roman" w:eastAsia="Times New Roman" w:hAnsi="Times New Roman"/>
          <w:sz w:val="14"/>
          <w:szCs w:val="14"/>
          <w:color w:val="auto"/>
        </w:rPr>
        <w:t>” means, (1) in the case of a corporation, corporate stock; (2) in the case of an association or business entity, any and all shares, interests, participations, rights or other equivalents (however designated) of corporate stock; (3) in the case of a partnership or limited liability company, partnership or membership interests (whether general or limited); and (4) any other interest or participation that confers on a Person the right to receive a share of the profits and losses of, or distributions of assets of, the issuing Person.</w:t>
      </w:r>
    </w:p>
    <w:p>
      <w:pPr>
        <w:spacing w:after="0" w:line="13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Clearstream</w:t>
      </w:r>
      <w:r>
        <w:rPr>
          <w:rFonts w:ascii="Times New Roman" w:cs="Times New Roman" w:eastAsia="Times New Roman" w:hAnsi="Times New Roman"/>
          <w:sz w:val="14"/>
          <w:szCs w:val="14"/>
          <w:color w:val="auto"/>
        </w:rPr>
        <w:t>” means Clearstream Banking, société anonyme, or its successor.</w:t>
      </w:r>
    </w:p>
    <w:p>
      <w:pPr>
        <w:spacing w:after="0" w:line="182" w:lineRule="exact"/>
        <w:rPr>
          <w:sz w:val="20"/>
          <w:szCs w:val="20"/>
          <w:color w:val="auto"/>
        </w:rPr>
      </w:pPr>
    </w:p>
    <w:p>
      <w:pPr>
        <w:ind w:left="120" w:right="399" w:firstLine="350"/>
        <w:spacing w:after="0" w:line="27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Commission</w:t>
      </w:r>
      <w:r>
        <w:rPr>
          <w:rFonts w:ascii="Times New Roman" w:cs="Times New Roman" w:eastAsia="Times New Roman" w:hAnsi="Times New Roman"/>
          <w:sz w:val="14"/>
          <w:szCs w:val="14"/>
          <w:color w:val="auto"/>
        </w:rPr>
        <w:t>” means the Securities and Exchange Commission, as from time to time constituted, created under the Exchange Act, or if at any time after the execution of this Indenture such Commission is not existing and performing the duties now assigned to it under the Securities Act, Exchange Act and Trust Indenture Act, then the body performing such duties at such time.</w:t>
      </w:r>
    </w:p>
    <w:p>
      <w:pPr>
        <w:spacing w:after="0" w:line="135" w:lineRule="exact"/>
        <w:rPr>
          <w:sz w:val="20"/>
          <w:szCs w:val="20"/>
          <w:color w:val="auto"/>
        </w:rPr>
      </w:pPr>
    </w:p>
    <w:p>
      <w:pPr>
        <w:ind w:left="120" w:right="199" w:firstLine="350"/>
        <w:spacing w:after="0" w:line="29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means The GEO Group, Inc., until a successor Person shall have become such pursuant to the applicable provisions of this Indenture, and thereafter “Company” shall mean such successor Person.</w:t>
      </w:r>
    </w:p>
    <w:p>
      <w:pPr>
        <w:spacing w:after="0" w:line="123" w:lineRule="exact"/>
        <w:rPr>
          <w:sz w:val="20"/>
          <w:szCs w:val="20"/>
          <w:color w:val="auto"/>
        </w:rPr>
      </w:pPr>
    </w:p>
    <w:p>
      <w:pPr>
        <w:ind w:left="120" w:right="179" w:firstLine="350"/>
        <w:spacing w:after="0" w:line="29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Request</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u w:val="single" w:color="auto"/>
          <w:color w:val="auto"/>
        </w:rPr>
        <w:t>Company Order</w:t>
      </w:r>
      <w:r>
        <w:rPr>
          <w:rFonts w:ascii="Times New Roman" w:cs="Times New Roman" w:eastAsia="Times New Roman" w:hAnsi="Times New Roman"/>
          <w:sz w:val="14"/>
          <w:szCs w:val="14"/>
          <w:color w:val="auto"/>
        </w:rPr>
        <w:t>” means a written request or order signed in the name of the Company by an Officer of the Company and delivered to the Trustee.</w:t>
      </w:r>
    </w:p>
    <w:p>
      <w:pPr>
        <w:spacing w:after="0" w:line="123" w:lineRule="exact"/>
        <w:rPr>
          <w:sz w:val="20"/>
          <w:szCs w:val="20"/>
          <w:color w:val="auto"/>
        </w:rPr>
      </w:pPr>
    </w:p>
    <w:p>
      <w:pPr>
        <w:ind w:left="120" w:right="179" w:firstLine="350"/>
        <w:spacing w:after="0" w:line="27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Consolidation</w:t>
      </w:r>
      <w:r>
        <w:rPr>
          <w:rFonts w:ascii="Times New Roman" w:cs="Times New Roman" w:eastAsia="Times New Roman" w:hAnsi="Times New Roman"/>
          <w:sz w:val="14"/>
          <w:szCs w:val="14"/>
          <w:color w:val="auto"/>
        </w:rPr>
        <w:t>” means, with respect to any Person, the consolidation of the accounts of such Person and each of its subsidiaries if and to the extent the accounts of such Person and each of its subsidiaries would normally be consolidated with those of such Person, all in accordance with GAAP. The term “Consolidated” shall have a similar meaning.</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43" w:right="1440" w:bottom="1440" w:gutter="0" w:footer="0" w:header="0"/>
        </w:sectPr>
      </w:pPr>
    </w:p>
    <w:bookmarkStart w:id="124" w:name="page125"/>
    <w:bookmarkEnd w:id="124"/>
    <w:p>
      <w:pPr>
        <w:ind w:left="120" w:right="139" w:firstLine="350"/>
        <w:spacing w:after="0" w:line="26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8">
                      <a:extLst>
                        <a:ext uri="{28A0092B-C50C-407E-A947-70E740481C1C}"/>
                      </a:extLst>
                    </a:blip>
                    <a:srcRect/>
                    <a:stretch>
                      <a:fillRect/>
                    </a:stretch>
                  </pic:blipFill>
                  <pic:spPr bwMode="auto">
                    <a:xfrm>
                      <a:off x="0" y="0"/>
                      <a:ext cx="7199630" cy="33020"/>
                    </a:xfrm>
                    <a:prstGeom prst="rect">
                      <a:avLst/>
                    </a:prstGeom>
                    <a:noFill/>
                  </pic:spPr>
                </pic:pic>
              </a:graphicData>
            </a:graphic>
          </wp:anchor>
        </w:drawing>
        <w:t>“</w:t>
      </w:r>
      <w:r>
        <w:rPr>
          <w:rFonts w:ascii="Times New Roman" w:cs="Times New Roman" w:eastAsia="Times New Roman" w:hAnsi="Times New Roman"/>
          <w:sz w:val="14"/>
          <w:szCs w:val="14"/>
          <w:u w:val="single" w:color="auto"/>
          <w:color w:val="auto"/>
        </w:rPr>
        <w:t>Corporate Trust Office</w:t>
      </w:r>
      <w:r>
        <w:rPr>
          <w:rFonts w:ascii="Times New Roman" w:cs="Times New Roman" w:eastAsia="Times New Roman" w:hAnsi="Times New Roman"/>
          <w:sz w:val="14"/>
          <w:szCs w:val="14"/>
          <w:color w:val="auto"/>
        </w:rPr>
        <w:t>” means the designated office of the Trustee at which at any time its corporate trust business shall be administered, which office at the date of execution of this Indenture is located at, or such other address as the Trustee may designate from time to time by notice to the Holders and the Company, or the principal corporate trust office of any successor Trustee (or such other address as such successor Trustee may designate from time to time by notice to the Holders and the Company).</w:t>
      </w:r>
    </w:p>
    <w:p>
      <w:pPr>
        <w:spacing w:after="0" w:line="139" w:lineRule="exact"/>
        <w:rPr>
          <w:sz w:val="20"/>
          <w:szCs w:val="20"/>
          <w:color w:val="auto"/>
        </w:rPr>
      </w:pPr>
    </w:p>
    <w:p>
      <w:pPr>
        <w:ind w:left="120" w:right="139" w:firstLine="350"/>
        <w:spacing w:after="0" w:line="26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Credit Facilities</w:t>
      </w:r>
      <w:r>
        <w:rPr>
          <w:rFonts w:ascii="Times New Roman" w:cs="Times New Roman" w:eastAsia="Times New Roman" w:hAnsi="Times New Roman"/>
          <w:sz w:val="14"/>
          <w:szCs w:val="14"/>
          <w:color w:val="auto"/>
        </w:rPr>
        <w:t>” means one or more debt facilities or commercial paper facilities, in each case with banks or other institutional lenders providing for revolving credit loans, term loans, project financings, receivables financing (including through the sale of receivables to such lenders or to special purpose entities formed to borrow from such lenders against such receivables) or letters of credit, in each case, as amended (and/or amended and restated), restated, modified, renewed, refunded, replaced or refinanced in whole or in part from time to time, but excluding, in each case any debt securities.</w:t>
      </w:r>
    </w:p>
    <w:p>
      <w:pPr>
        <w:spacing w:after="0" w:line="3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Default</w:t>
      </w:r>
      <w:r>
        <w:rPr>
          <w:rFonts w:ascii="Times New Roman" w:cs="Times New Roman" w:eastAsia="Times New Roman" w:hAnsi="Times New Roman"/>
          <w:sz w:val="14"/>
          <w:szCs w:val="14"/>
          <w:color w:val="auto"/>
        </w:rPr>
        <w:t>” means any event that is, or with the passage of time or the giving of notice or both would be, an Event of Default.</w:t>
      </w:r>
    </w:p>
    <w:p>
      <w:pPr>
        <w:spacing w:after="0" w:line="182" w:lineRule="exact"/>
        <w:rPr>
          <w:sz w:val="20"/>
          <w:szCs w:val="20"/>
          <w:color w:val="auto"/>
        </w:rPr>
      </w:pPr>
    </w:p>
    <w:p>
      <w:pPr>
        <w:ind w:left="120" w:right="379" w:firstLine="350"/>
        <w:spacing w:after="0" w:line="27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Depositary</w:t>
      </w:r>
      <w:r>
        <w:rPr>
          <w:rFonts w:ascii="Times New Roman" w:cs="Times New Roman" w:eastAsia="Times New Roman" w:hAnsi="Times New Roman"/>
          <w:sz w:val="14"/>
          <w:szCs w:val="14"/>
          <w:color w:val="auto"/>
        </w:rPr>
        <w:t>” means, with respect to the Securities issuable or issued in whole or in part in the form of one or more Book-Entry Securities, The Depository Trust Company (“</w:t>
      </w:r>
      <w:r>
        <w:rPr>
          <w:rFonts w:ascii="Times New Roman" w:cs="Times New Roman" w:eastAsia="Times New Roman" w:hAnsi="Times New Roman"/>
          <w:sz w:val="14"/>
          <w:szCs w:val="14"/>
          <w:u w:val="single" w:color="auto"/>
          <w:color w:val="auto"/>
        </w:rPr>
        <w:t>DTC</w:t>
      </w:r>
      <w:r>
        <w:rPr>
          <w:rFonts w:ascii="Times New Roman" w:cs="Times New Roman" w:eastAsia="Times New Roman" w:hAnsi="Times New Roman"/>
          <w:sz w:val="14"/>
          <w:szCs w:val="14"/>
          <w:color w:val="auto"/>
        </w:rPr>
        <w:t>”), its nominees and successors, or another Person designated as Depositary by the Company, pursuant to the applicable provisions of this Indenture which must be a clearing agency registered under the Exchange Act.</w:t>
      </w:r>
    </w:p>
    <w:p>
      <w:pPr>
        <w:spacing w:after="0" w:line="135" w:lineRule="exact"/>
        <w:rPr>
          <w:sz w:val="20"/>
          <w:szCs w:val="20"/>
          <w:color w:val="auto"/>
        </w:rPr>
      </w:pPr>
    </w:p>
    <w:p>
      <w:pPr>
        <w:ind w:left="120" w:right="339" w:firstLine="350"/>
        <w:spacing w:after="0" w:line="29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Equity Interests</w:t>
      </w:r>
      <w:r>
        <w:rPr>
          <w:rFonts w:ascii="Times New Roman" w:cs="Times New Roman" w:eastAsia="Times New Roman" w:hAnsi="Times New Roman"/>
          <w:sz w:val="14"/>
          <w:szCs w:val="14"/>
          <w:color w:val="auto"/>
        </w:rPr>
        <w:t>” means Capital Stock and all warrants, options or other rights to acquire Capital Stock (but excluding any debt security that is convertible into, or exchangeable for, Capital Stock).</w:t>
      </w:r>
    </w:p>
    <w:p>
      <w:pPr>
        <w:spacing w:after="0" w:line="1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Euroclear</w:t>
      </w:r>
      <w:r>
        <w:rPr>
          <w:rFonts w:ascii="Times New Roman" w:cs="Times New Roman" w:eastAsia="Times New Roman" w:hAnsi="Times New Roman"/>
          <w:sz w:val="14"/>
          <w:szCs w:val="14"/>
          <w:color w:val="auto"/>
        </w:rPr>
        <w:t>” means Euroclear Bank S.A./N.V., as operator of Euroclear System, and any successor thereto.</w:t>
      </w:r>
    </w:p>
    <w:p>
      <w:pPr>
        <w:spacing w:after="0" w:line="1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Event of Default</w:t>
      </w:r>
      <w:r>
        <w:rPr>
          <w:rFonts w:ascii="Times New Roman" w:cs="Times New Roman" w:eastAsia="Times New Roman" w:hAnsi="Times New Roman"/>
          <w:sz w:val="14"/>
          <w:szCs w:val="14"/>
          <w:color w:val="auto"/>
        </w:rPr>
        <w:t xml:space="preserve">” has the meaning specified in </w:t>
      </w:r>
      <w:r>
        <w:rPr>
          <w:rFonts w:ascii="Times New Roman" w:cs="Times New Roman" w:eastAsia="Times New Roman" w:hAnsi="Times New Roman"/>
          <w:sz w:val="14"/>
          <w:szCs w:val="14"/>
          <w:u w:val="single" w:color="auto"/>
          <w:color w:val="auto"/>
        </w:rPr>
        <w:t>Section 5.01</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Exchange Act</w:t>
      </w:r>
      <w:r>
        <w:rPr>
          <w:rFonts w:ascii="Times New Roman" w:cs="Times New Roman" w:eastAsia="Times New Roman" w:hAnsi="Times New Roman"/>
          <w:sz w:val="14"/>
          <w:szCs w:val="14"/>
          <w:color w:val="auto"/>
        </w:rPr>
        <w:t>” means the Securities Exchange Act of 1934, as amended.</w:t>
      </w:r>
    </w:p>
    <w:p>
      <w:pPr>
        <w:spacing w:after="0" w:line="182" w:lineRule="exact"/>
        <w:rPr>
          <w:sz w:val="20"/>
          <w:szCs w:val="20"/>
          <w:color w:val="auto"/>
        </w:rPr>
      </w:pPr>
    </w:p>
    <w:p>
      <w:pPr>
        <w:ind w:left="120" w:right="179" w:firstLine="350"/>
        <w:spacing w:after="0" w:line="29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Finance Lease Obligation</w:t>
      </w:r>
      <w:r>
        <w:rPr>
          <w:rFonts w:ascii="Times New Roman" w:cs="Times New Roman" w:eastAsia="Times New Roman" w:hAnsi="Times New Roman"/>
          <w:sz w:val="14"/>
          <w:szCs w:val="14"/>
          <w:color w:val="auto"/>
        </w:rPr>
        <w:t>” means, at the time any determination thereof is to be made, the amount of the liability in respect of a capital lease that would at that time be required to be capitalized on a balance sheet in accordance with GAAP.</w:t>
      </w:r>
    </w:p>
    <w:p>
      <w:pPr>
        <w:spacing w:after="0" w:line="123" w:lineRule="exact"/>
        <w:rPr>
          <w:sz w:val="20"/>
          <w:szCs w:val="20"/>
          <w:color w:val="auto"/>
        </w:rPr>
      </w:pPr>
    </w:p>
    <w:p>
      <w:pPr>
        <w:ind w:left="120" w:right="279" w:firstLine="350"/>
        <w:spacing w:after="0" w:line="26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Generally Accepted Accounting Principles</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u w:val="single" w:color="auto"/>
          <w:color w:val="auto"/>
        </w:rPr>
        <w:t>GAAP</w:t>
      </w:r>
      <w:r>
        <w:rPr>
          <w:rFonts w:ascii="Times New Roman" w:cs="Times New Roman" w:eastAsia="Times New Roman" w:hAnsi="Times New Roman"/>
          <w:sz w:val="14"/>
          <w:szCs w:val="14"/>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as amended and/or modified from time to time. All ratios and computations contained or referred to herein shall be computed in conformity with GAAP applied on a consistent basis.</w:t>
      </w:r>
    </w:p>
    <w:p>
      <w:pPr>
        <w:spacing w:after="0" w:line="1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Global Securities</w:t>
      </w:r>
      <w:r>
        <w:rPr>
          <w:rFonts w:ascii="Times New Roman" w:cs="Times New Roman" w:eastAsia="Times New Roman" w:hAnsi="Times New Roman"/>
          <w:sz w:val="14"/>
          <w:szCs w:val="14"/>
          <w:color w:val="auto"/>
        </w:rPr>
        <w:t xml:space="preserve">” means global Securities to be issued as Book-Entry Securities issued to the Depositary in accordance with </w:t>
      </w:r>
      <w:r>
        <w:rPr>
          <w:rFonts w:ascii="Times New Roman" w:cs="Times New Roman" w:eastAsia="Times New Roman" w:hAnsi="Times New Roman"/>
          <w:sz w:val="14"/>
          <w:szCs w:val="14"/>
          <w:u w:val="single" w:color="auto"/>
          <w:color w:val="auto"/>
        </w:rPr>
        <w:t>Section 3.06</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120" w:right="299" w:firstLine="350"/>
        <w:spacing w:after="0" w:line="29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Government Operating Agreement</w:t>
      </w:r>
      <w:r>
        <w:rPr>
          <w:rFonts w:ascii="Times New Roman" w:cs="Times New Roman" w:eastAsia="Times New Roman" w:hAnsi="Times New Roman"/>
          <w:sz w:val="14"/>
          <w:szCs w:val="14"/>
          <w:color w:val="auto"/>
        </w:rPr>
        <w:t>” means any management services contract, operating agreement, use agreement, lease or similar agreement with a Governmental Authority relating to a facility in a Permitted Business.</w:t>
      </w:r>
    </w:p>
    <w:p>
      <w:pPr>
        <w:spacing w:after="0" w:line="123" w:lineRule="exact"/>
        <w:rPr>
          <w:sz w:val="20"/>
          <w:szCs w:val="20"/>
          <w:color w:val="auto"/>
        </w:rPr>
      </w:pPr>
    </w:p>
    <w:p>
      <w:pPr>
        <w:ind w:left="120" w:right="379" w:firstLine="350"/>
        <w:spacing w:after="0" w:line="29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Government Securities</w:t>
      </w:r>
      <w:r>
        <w:rPr>
          <w:rFonts w:ascii="Times New Roman" w:cs="Times New Roman" w:eastAsia="Times New Roman" w:hAnsi="Times New Roman"/>
          <w:sz w:val="14"/>
          <w:szCs w:val="14"/>
          <w:color w:val="auto"/>
        </w:rPr>
        <w:t xml:space="preserve">” means securities issued or directly and fully guaranteed or insured by the United States government or any agency or instrumentality of the United States government;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the full faith and credit of the United States is pledged in support of those securities.</w:t>
      </w:r>
    </w:p>
    <w:p>
      <w:pPr>
        <w:spacing w:after="0" w:line="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43" w:right="1440" w:bottom="1440" w:gutter="0" w:footer="0" w:header="0"/>
        </w:sectPr>
      </w:pPr>
    </w:p>
    <w:bookmarkStart w:id="125" w:name="page126"/>
    <w:bookmarkEnd w:id="125"/>
    <w:p>
      <w:pPr>
        <w:ind w:left="120" w:right="239" w:firstLine="350"/>
        <w:spacing w:after="0" w:line="27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9">
                      <a:extLst>
                        <a:ext uri="{28A0092B-C50C-407E-A947-70E740481C1C}"/>
                      </a:extLst>
                    </a:blip>
                    <a:srcRect/>
                    <a:stretch>
                      <a:fillRect/>
                    </a:stretch>
                  </pic:blipFill>
                  <pic:spPr bwMode="auto">
                    <a:xfrm>
                      <a:off x="0" y="0"/>
                      <a:ext cx="7199630" cy="33020"/>
                    </a:xfrm>
                    <a:prstGeom prst="rect">
                      <a:avLst/>
                    </a:prstGeom>
                    <a:noFill/>
                  </pic:spPr>
                </pic:pic>
              </a:graphicData>
            </a:graphic>
          </wp:anchor>
        </w:drawing>
        <w:t>“</w:t>
      </w:r>
      <w:r>
        <w:rPr>
          <w:rFonts w:ascii="Times New Roman" w:cs="Times New Roman" w:eastAsia="Times New Roman" w:hAnsi="Times New Roman"/>
          <w:sz w:val="14"/>
          <w:szCs w:val="14"/>
          <w:u w:val="single" w:color="auto"/>
          <w:color w:val="auto"/>
        </w:rPr>
        <w:t>Governmental Authority</w:t>
      </w:r>
      <w:r>
        <w:rPr>
          <w:rFonts w:ascii="Times New Roman" w:cs="Times New Roman" w:eastAsia="Times New Roman" w:hAnsi="Times New Roman"/>
          <w:sz w:val="14"/>
          <w:szCs w:val="14"/>
          <w:color w:val="auto"/>
        </w:rPr>
        <w:t>” means any nation, province, state, municipality or political subdivision thereof, and any government or any agency or instrumentality thereof exercising executive, legislative, regulatory or administrative functions of or pertaining to government, and any corporation or other entity owned or controlled, through stock or capital ownership or otherwise, by any of the foregoing.</w:t>
      </w:r>
    </w:p>
    <w:p>
      <w:pPr>
        <w:spacing w:after="0" w:line="135" w:lineRule="exact"/>
        <w:rPr>
          <w:sz w:val="20"/>
          <w:szCs w:val="20"/>
          <w:color w:val="auto"/>
        </w:rPr>
      </w:pPr>
    </w:p>
    <w:p>
      <w:pPr>
        <w:jc w:val="both"/>
        <w:ind w:left="120" w:right="259" w:firstLine="350"/>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Guarantee</w:t>
      </w:r>
      <w:r>
        <w:rPr>
          <w:rFonts w:ascii="Times New Roman" w:cs="Times New Roman" w:eastAsia="Times New Roman" w:hAnsi="Times New Roman"/>
          <w:sz w:val="14"/>
          <w:szCs w:val="14"/>
          <w:color w:val="auto"/>
        </w:rPr>
        <w:t xml:space="preserve">” means a guarantee other than by endorsement of negotiable instruments for collection or deposit in the ordinary course of business, direct or indirect, in any manner including, without limitation, by way of a pledge of assets or through letters of credit or reimbursement agreements in respect thereof, of all or any part of any Indebtedness,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the pledge of any Government Operating Agreement with respect to any facility to secure Non-Recourse Project Financing Indebtedness related to such facility shall not be deemed a Guarantee.</w:t>
      </w:r>
    </w:p>
    <w:p>
      <w:pPr>
        <w:spacing w:after="0" w:line="13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Hedging Obligations</w:t>
      </w:r>
      <w:r>
        <w:rPr>
          <w:rFonts w:ascii="Times New Roman" w:cs="Times New Roman" w:eastAsia="Times New Roman" w:hAnsi="Times New Roman"/>
          <w:sz w:val="14"/>
          <w:szCs w:val="14"/>
          <w:color w:val="auto"/>
        </w:rPr>
        <w:t>” means, with respect to any specified Person, the obligations of such Person under:</w:t>
      </w:r>
    </w:p>
    <w:p>
      <w:pPr>
        <w:spacing w:after="0" w:line="97" w:lineRule="exact"/>
        <w:rPr>
          <w:sz w:val="20"/>
          <w:szCs w:val="20"/>
          <w:color w:val="auto"/>
        </w:rPr>
      </w:pPr>
    </w:p>
    <w:p>
      <w:pPr>
        <w:ind w:left="680" w:hanging="203"/>
        <w:spacing w:after="0"/>
        <w:tabs>
          <w:tab w:leader="none" w:pos="6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rate swap agreements, interest rate cap agreements and interest rate collar agreements;</w:t>
      </w:r>
    </w:p>
    <w:p>
      <w:pPr>
        <w:spacing w:after="0" w:line="182" w:lineRule="exact"/>
        <w:rPr>
          <w:rFonts w:ascii="Times New Roman" w:cs="Times New Roman" w:eastAsia="Times New Roman" w:hAnsi="Times New Roman"/>
          <w:sz w:val="14"/>
          <w:szCs w:val="14"/>
          <w:color w:val="auto"/>
        </w:rPr>
      </w:pPr>
    </w:p>
    <w:p>
      <w:pPr>
        <w:ind w:left="680" w:hanging="203"/>
        <w:spacing w:after="0"/>
        <w:tabs>
          <w:tab w:leader="none" w:pos="6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agreements or arrangements designed to protect such Person against fluctuations in interest rates; and</w:t>
      </w:r>
    </w:p>
    <w:p>
      <w:pPr>
        <w:spacing w:after="0" w:line="182" w:lineRule="exact"/>
        <w:rPr>
          <w:rFonts w:ascii="Times New Roman" w:cs="Times New Roman" w:eastAsia="Times New Roman" w:hAnsi="Times New Roman"/>
          <w:sz w:val="14"/>
          <w:szCs w:val="14"/>
          <w:color w:val="auto"/>
        </w:rPr>
      </w:pPr>
    </w:p>
    <w:p>
      <w:pPr>
        <w:ind w:left="120" w:right="459" w:firstLine="357"/>
        <w:spacing w:after="0" w:line="292" w:lineRule="auto"/>
        <w:tabs>
          <w:tab w:leader="none" w:pos="672"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foreign exchange contracts, currency swap agreements, currency option agreements and other agreements or arrangements with respect to foreign currency exchange rates.</w:t>
      </w:r>
    </w:p>
    <w:p>
      <w:pPr>
        <w:spacing w:after="0" w:line="1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Holder</w:t>
      </w:r>
      <w:r>
        <w:rPr>
          <w:rFonts w:ascii="Times New Roman" w:cs="Times New Roman" w:eastAsia="Times New Roman" w:hAnsi="Times New Roman"/>
          <w:sz w:val="14"/>
          <w:szCs w:val="14"/>
          <w:color w:val="auto"/>
        </w:rPr>
        <w:t>” means a Person in whose name a Security is registered.</w:t>
      </w:r>
    </w:p>
    <w:p>
      <w:pPr>
        <w:spacing w:after="0" w:line="1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Indebtedness</w:t>
      </w:r>
      <w:r>
        <w:rPr>
          <w:rFonts w:ascii="Times New Roman" w:cs="Times New Roman" w:eastAsia="Times New Roman" w:hAnsi="Times New Roman"/>
          <w:sz w:val="14"/>
          <w:szCs w:val="14"/>
          <w:color w:val="auto"/>
        </w:rPr>
        <w:t>” means, with respect to any specified Person, any indebtedness of such Person, whether or not contingent:</w:t>
      </w:r>
    </w:p>
    <w:p>
      <w:pPr>
        <w:spacing w:after="0" w:line="182" w:lineRule="exact"/>
        <w:rPr>
          <w:sz w:val="20"/>
          <w:szCs w:val="20"/>
          <w:color w:val="auto"/>
        </w:rPr>
      </w:pPr>
    </w:p>
    <w:p>
      <w:pPr>
        <w:ind w:left="680" w:hanging="203"/>
        <w:spacing w:after="0"/>
        <w:tabs>
          <w:tab w:leader="none" w:pos="68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respect of borrowed money;</w:t>
      </w:r>
    </w:p>
    <w:p>
      <w:pPr>
        <w:spacing w:after="0" w:line="182" w:lineRule="exact"/>
        <w:rPr>
          <w:rFonts w:ascii="Times New Roman" w:cs="Times New Roman" w:eastAsia="Times New Roman" w:hAnsi="Times New Roman"/>
          <w:sz w:val="14"/>
          <w:szCs w:val="14"/>
          <w:color w:val="auto"/>
        </w:rPr>
      </w:pPr>
    </w:p>
    <w:p>
      <w:pPr>
        <w:ind w:left="680" w:hanging="203"/>
        <w:spacing w:after="0"/>
        <w:tabs>
          <w:tab w:leader="none" w:pos="68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evidenced by bonds, notes, debentures or similar instruments or letters of credit (or reimbursement agreements in respect thereof);</w:t>
      </w:r>
    </w:p>
    <w:p>
      <w:pPr>
        <w:spacing w:after="0" w:line="182" w:lineRule="exact"/>
        <w:rPr>
          <w:rFonts w:ascii="Times New Roman" w:cs="Times New Roman" w:eastAsia="Times New Roman" w:hAnsi="Times New Roman"/>
          <w:sz w:val="14"/>
          <w:szCs w:val="14"/>
          <w:color w:val="auto"/>
        </w:rPr>
      </w:pPr>
    </w:p>
    <w:p>
      <w:pPr>
        <w:ind w:left="680" w:hanging="203"/>
        <w:spacing w:after="0"/>
        <w:tabs>
          <w:tab w:leader="none" w:pos="68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respect of banker’s acceptances;</w:t>
      </w:r>
    </w:p>
    <w:p>
      <w:pPr>
        <w:spacing w:after="0" w:line="182" w:lineRule="exact"/>
        <w:rPr>
          <w:rFonts w:ascii="Times New Roman" w:cs="Times New Roman" w:eastAsia="Times New Roman" w:hAnsi="Times New Roman"/>
          <w:sz w:val="14"/>
          <w:szCs w:val="14"/>
          <w:color w:val="auto"/>
        </w:rPr>
      </w:pPr>
    </w:p>
    <w:p>
      <w:pPr>
        <w:ind w:left="680" w:hanging="203"/>
        <w:spacing w:after="0"/>
        <w:tabs>
          <w:tab w:leader="none" w:pos="68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representing Finance Lease Obligations;</w:t>
      </w:r>
    </w:p>
    <w:p>
      <w:pPr>
        <w:spacing w:after="0" w:line="182" w:lineRule="exact"/>
        <w:rPr>
          <w:rFonts w:ascii="Times New Roman" w:cs="Times New Roman" w:eastAsia="Times New Roman" w:hAnsi="Times New Roman"/>
          <w:sz w:val="14"/>
          <w:szCs w:val="14"/>
          <w:color w:val="auto"/>
        </w:rPr>
      </w:pPr>
    </w:p>
    <w:p>
      <w:pPr>
        <w:ind w:left="120" w:right="619" w:firstLine="357"/>
        <w:spacing w:after="0" w:line="292" w:lineRule="auto"/>
        <w:tabs>
          <w:tab w:leader="none" w:pos="672"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representing the balance deferred and unpaid of the purchase price of any property, except any such balance that constitutes an accrued expense or trade payable; or</w:t>
      </w:r>
    </w:p>
    <w:p>
      <w:pPr>
        <w:spacing w:after="0" w:line="123" w:lineRule="exact"/>
        <w:rPr>
          <w:rFonts w:ascii="Times New Roman" w:cs="Times New Roman" w:eastAsia="Times New Roman" w:hAnsi="Times New Roman"/>
          <w:sz w:val="14"/>
          <w:szCs w:val="14"/>
          <w:color w:val="auto"/>
        </w:rPr>
      </w:pPr>
    </w:p>
    <w:p>
      <w:pPr>
        <w:ind w:left="680" w:hanging="203"/>
        <w:spacing w:after="0"/>
        <w:tabs>
          <w:tab w:leader="none" w:pos="68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representing any Hedging Obligations,</w:t>
      </w:r>
    </w:p>
    <w:p>
      <w:pPr>
        <w:spacing w:after="0" w:line="182" w:lineRule="exact"/>
        <w:rPr>
          <w:sz w:val="20"/>
          <w:szCs w:val="20"/>
          <w:color w:val="auto"/>
        </w:rPr>
      </w:pPr>
    </w:p>
    <w:p>
      <w:pPr>
        <w:ind w:left="120" w:right="259"/>
        <w:spacing w:after="0" w:line="263" w:lineRule="auto"/>
        <w:rPr>
          <w:sz w:val="20"/>
          <w:szCs w:val="20"/>
          <w:color w:val="auto"/>
        </w:rPr>
      </w:pPr>
      <w:r>
        <w:rPr>
          <w:rFonts w:ascii="Times New Roman" w:cs="Times New Roman" w:eastAsia="Times New Roman" w:hAnsi="Times New Roman"/>
          <w:sz w:val="14"/>
          <w:szCs w:val="14"/>
          <w:color w:val="auto"/>
        </w:rPr>
        <w:t xml:space="preserve">if and to the extent any of the preceding items (other than letters of credit and Hedging Obligations) would appear as a liability upon a balance sheet of the specified Person prepared in accordance with GAAP. In addition, the term “Indebtedness” includes all Indebtedness of others secured by a Lien on any asset of the specified Person (whether or not such Indebtedness is assumed by the specified Person;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the pledge of any Government Operating Agreement to secure Non-Recourse Project Financing Indebtedness related to the facility that is the subject of such Government Operating Agreement shall not be deemed Indebtedness) and, to the extent not otherwise included, the Guarantee by the specified Person of any Indebtedness of any other Person.</w:t>
      </w:r>
    </w:p>
    <w:p>
      <w:pPr>
        <w:spacing w:after="0" w:line="1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The amount of any Indebtedness outstanding as of any date will be:</w:t>
      </w:r>
    </w:p>
    <w:p>
      <w:pPr>
        <w:spacing w:after="0" w:line="97" w:lineRule="exact"/>
        <w:rPr>
          <w:sz w:val="20"/>
          <w:szCs w:val="20"/>
          <w:color w:val="auto"/>
        </w:rPr>
      </w:pPr>
    </w:p>
    <w:p>
      <w:pPr>
        <w:ind w:left="680" w:hanging="203"/>
        <w:spacing w:after="0"/>
        <w:tabs>
          <w:tab w:leader="none" w:pos="6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accreted value of the Indebtedness, in the case of any Indebtedness issued with original issue discount; and</w:t>
      </w:r>
    </w:p>
    <w:p>
      <w:pPr>
        <w:spacing w:after="0" w:line="182" w:lineRule="exact"/>
        <w:rPr>
          <w:rFonts w:ascii="Times New Roman" w:cs="Times New Roman" w:eastAsia="Times New Roman" w:hAnsi="Times New Roman"/>
          <w:sz w:val="14"/>
          <w:szCs w:val="14"/>
          <w:color w:val="auto"/>
        </w:rPr>
      </w:pPr>
    </w:p>
    <w:p>
      <w:pPr>
        <w:ind w:left="120" w:right="259" w:firstLine="357"/>
        <w:spacing w:after="0" w:line="292" w:lineRule="auto"/>
        <w:tabs>
          <w:tab w:leader="none" w:pos="672"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principal amount of the Indebtedness, together with any interest on the Indebtedness that is more than 30 days past due, in the case of any other Indebtedness.</w:t>
      </w:r>
    </w:p>
    <w:p>
      <w:pPr>
        <w:spacing w:after="0" w:line="123" w:lineRule="exact"/>
        <w:rPr>
          <w:sz w:val="20"/>
          <w:szCs w:val="20"/>
          <w:color w:val="auto"/>
        </w:rPr>
      </w:pPr>
    </w:p>
    <w:p>
      <w:pPr>
        <w:ind w:left="120" w:right="679" w:firstLine="350"/>
        <w:spacing w:after="0" w:line="29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Indenture</w:t>
      </w:r>
      <w:r>
        <w:rPr>
          <w:rFonts w:ascii="Times New Roman" w:cs="Times New Roman" w:eastAsia="Times New Roman" w:hAnsi="Times New Roman"/>
          <w:sz w:val="14"/>
          <w:szCs w:val="14"/>
          <w:color w:val="auto"/>
        </w:rPr>
        <w:t>” means this instrument as originally executed (including all exhibits and schedules thereto) and as it may from time to time be supplemented or amended by one or more indentures supplemental hereto entered into pursuant to the applicable provisions hereof.</w:t>
      </w:r>
    </w:p>
    <w:p>
      <w:pPr>
        <w:spacing w:after="0" w:line="123" w:lineRule="exact"/>
        <w:rPr>
          <w:sz w:val="20"/>
          <w:szCs w:val="20"/>
          <w:color w:val="auto"/>
        </w:rPr>
      </w:pPr>
    </w:p>
    <w:p>
      <w:pPr>
        <w:ind w:left="120" w:right="179" w:firstLine="350"/>
        <w:spacing w:after="0" w:line="29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Interest Payment Date</w:t>
      </w:r>
      <w:r>
        <w:rPr>
          <w:rFonts w:ascii="Times New Roman" w:cs="Times New Roman" w:eastAsia="Times New Roman" w:hAnsi="Times New Roman"/>
          <w:sz w:val="14"/>
          <w:szCs w:val="14"/>
          <w:color w:val="auto"/>
        </w:rPr>
        <w:t>” means, with respect to any Security, the Stated Maturity of an installment of interest on such Security, as set forth in such Security.</w:t>
      </w:r>
    </w:p>
    <w:p>
      <w:pPr>
        <w:spacing w:after="0" w:line="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243" w:right="1440" w:bottom="1440" w:gutter="0" w:footer="0" w:header="0"/>
        </w:sectPr>
      </w:pPr>
    </w:p>
    <w:bookmarkStart w:id="126" w:name="page127"/>
    <w:bookmarkEnd w:id="126"/>
    <w:p>
      <w:pPr>
        <w:ind w:left="120" w:right="159" w:firstLine="350"/>
        <w:spacing w:after="0" w:line="25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0">
                      <a:extLst>
                        <a:ext uri="{28A0092B-C50C-407E-A947-70E740481C1C}"/>
                      </a:extLst>
                    </a:blip>
                    <a:srcRect/>
                    <a:stretch>
                      <a:fillRect/>
                    </a:stretch>
                  </pic:blipFill>
                  <pic:spPr bwMode="auto">
                    <a:xfrm>
                      <a:off x="0" y="0"/>
                      <a:ext cx="7199630" cy="33020"/>
                    </a:xfrm>
                    <a:prstGeom prst="rect">
                      <a:avLst/>
                    </a:prstGeom>
                    <a:noFill/>
                  </pic:spPr>
                </pic:pic>
              </a:graphicData>
            </a:graphic>
          </wp:anchor>
        </w:drawing>
        <w:t>“</w:t>
      </w:r>
      <w:r>
        <w:rPr>
          <w:rFonts w:ascii="Times New Roman" w:cs="Times New Roman" w:eastAsia="Times New Roman" w:hAnsi="Times New Roman"/>
          <w:sz w:val="14"/>
          <w:szCs w:val="14"/>
          <w:u w:val="single" w:color="auto"/>
          <w:color w:val="auto"/>
        </w:rPr>
        <w:t>Investments</w:t>
      </w:r>
      <w:r>
        <w:rPr>
          <w:rFonts w:ascii="Times New Roman" w:cs="Times New Roman" w:eastAsia="Times New Roman" w:hAnsi="Times New Roman"/>
          <w:sz w:val="14"/>
          <w:szCs w:val="14"/>
          <w:color w:val="auto"/>
        </w:rPr>
        <w:t xml:space="preserve">” means, with respect to any Person, all direct or indirect investments by such Person in other Persons (including Affiliates) in the forms of loans (including Guarantees or other obligations), advances or capital contributions (excluding commission, travel and similar advances to officers and employees made in the ordinary course of business), purchases or other acquisitions for consideration of Indebtedness, Equity Interests or other securities, together with all items that are or would be classified as investments on a balance sheet prepared in accordance with GAAP and including the designation of a Restricted Subsidiary as an Unrestricted Subsidiary. If the Company or any Restricted Subsidiary of the Company sells or otherwise disposes of any Equity Interests of any direct or indirect Restricted Subsidiary of the Company such that, after giving effect to any such sale or disposition, such Person is no longer a Restricted Subsidiary of the Company, the Company will be deemed to have made an Investment on the date of any such sale or disposition equal to the fair market value of all Investments in such Restricted Subsidiary not sold or disposed of in an amount determined as may be provided pursuant to </w:t>
      </w:r>
      <w:r>
        <w:rPr>
          <w:rFonts w:ascii="Times New Roman" w:cs="Times New Roman" w:eastAsia="Times New Roman" w:hAnsi="Times New Roman"/>
          <w:sz w:val="14"/>
          <w:szCs w:val="14"/>
          <w:u w:val="single" w:color="auto"/>
          <w:color w:val="auto"/>
        </w:rPr>
        <w:t>Section 3.01</w:t>
      </w:r>
      <w:r>
        <w:rPr>
          <w:rFonts w:ascii="Times New Roman" w:cs="Times New Roman" w:eastAsia="Times New Roman" w:hAnsi="Times New Roman"/>
          <w:sz w:val="14"/>
          <w:szCs w:val="14"/>
          <w:color w:val="auto"/>
        </w:rPr>
        <w:t xml:space="preserve"> or in any amendment or supplemental indenture hereto. The acquisition by the Company or any Restricted Subsidiary of the Company of a Person that holds an Investment in a third Person will be deemed to be an Investment by the Company or such Restricted Subsidiary in such third Person in an amount equal to the fair market value of the Investment held by the acquired Person in such third Person in an amount determined as may be provided pursuant to </w:t>
      </w:r>
      <w:r>
        <w:rPr>
          <w:rFonts w:ascii="Times New Roman" w:cs="Times New Roman" w:eastAsia="Times New Roman" w:hAnsi="Times New Roman"/>
          <w:sz w:val="14"/>
          <w:szCs w:val="14"/>
          <w:u w:val="single" w:color="auto"/>
          <w:color w:val="auto"/>
        </w:rPr>
        <w:t>Section 3.01</w:t>
      </w:r>
      <w:r>
        <w:rPr>
          <w:rFonts w:ascii="Times New Roman" w:cs="Times New Roman" w:eastAsia="Times New Roman" w:hAnsi="Times New Roman"/>
          <w:sz w:val="14"/>
          <w:szCs w:val="14"/>
          <w:color w:val="auto"/>
        </w:rPr>
        <w:t xml:space="preserve"> or in any amendment or supplemental indenture hereto.</w:t>
      </w:r>
    </w:p>
    <w:p>
      <w:pPr>
        <w:spacing w:after="0" w:line="147" w:lineRule="exact"/>
        <w:rPr>
          <w:sz w:val="20"/>
          <w:szCs w:val="20"/>
          <w:color w:val="auto"/>
        </w:rPr>
      </w:pPr>
    </w:p>
    <w:p>
      <w:pPr>
        <w:ind w:left="120" w:right="259" w:firstLine="350"/>
        <w:spacing w:after="0" w:line="27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Legal Holiday</w:t>
      </w:r>
      <w:r>
        <w:rPr>
          <w:rFonts w:ascii="Times New Roman" w:cs="Times New Roman" w:eastAsia="Times New Roman" w:hAnsi="Times New Roman"/>
          <w:sz w:val="14"/>
          <w:szCs w:val="14"/>
          <w:color w:val="auto"/>
        </w:rPr>
        <w:t>” means a Saturday, a Sunday or a day on which banking institutions in The City of New York or at a place of payment are authorized by law, regulation or executive order to remain closed. If a payment date is a Legal Holiday at a place of payment, payment may be made at that place on the next succeeding day that is not a Legal Holiday, and no interest shall accrue on such payment for the intervening period.</w:t>
      </w:r>
    </w:p>
    <w:p>
      <w:pPr>
        <w:spacing w:after="0" w:line="135" w:lineRule="exact"/>
        <w:rPr>
          <w:sz w:val="20"/>
          <w:szCs w:val="20"/>
          <w:color w:val="auto"/>
        </w:rPr>
      </w:pPr>
    </w:p>
    <w:p>
      <w:pPr>
        <w:ind w:left="120" w:right="199" w:firstLine="350"/>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Lien</w:t>
      </w:r>
      <w:r>
        <w:rPr>
          <w:rFonts w:ascii="Times New Roman" w:cs="Times New Roman" w:eastAsia="Times New Roman" w:hAnsi="Times New Roman"/>
          <w:sz w:val="14"/>
          <w:szCs w:val="14"/>
          <w:color w:val="auto"/>
        </w:rPr>
        <w:t>” means, with respect to any asset, any mortgage, lien, pledge, charge, security interest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w:t>
      </w:r>
    </w:p>
    <w:p>
      <w:pPr>
        <w:spacing w:after="0" w:line="139" w:lineRule="exact"/>
        <w:rPr>
          <w:sz w:val="20"/>
          <w:szCs w:val="20"/>
          <w:color w:val="auto"/>
        </w:rPr>
      </w:pPr>
    </w:p>
    <w:p>
      <w:pPr>
        <w:ind w:left="120" w:right="319" w:firstLine="350"/>
        <w:spacing w:after="0" w:line="27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Maturity</w:t>
      </w:r>
      <w:r>
        <w:rPr>
          <w:rFonts w:ascii="Times New Roman" w:cs="Times New Roman" w:eastAsia="Times New Roman" w:hAnsi="Times New Roman"/>
          <w:sz w:val="14"/>
          <w:szCs w:val="14"/>
          <w:color w:val="auto"/>
        </w:rPr>
        <w:t>” means, when used with respect to any Security, the date on which the principal of such Security becomes due and payable as therein provided or as provided in this Indenture or any supplement or amendment hereto, whether at Stated Maturity by declaration of acceleration, call for redemption or otherwise.</w:t>
      </w:r>
    </w:p>
    <w:p>
      <w:pPr>
        <w:spacing w:after="0" w:line="13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Moody’s</w:t>
      </w:r>
      <w:r>
        <w:rPr>
          <w:rFonts w:ascii="Times New Roman" w:cs="Times New Roman" w:eastAsia="Times New Roman" w:hAnsi="Times New Roman"/>
          <w:sz w:val="14"/>
          <w:szCs w:val="14"/>
          <w:color w:val="auto"/>
        </w:rPr>
        <w:t>” means Moody’s Investors Service, Inc.</w:t>
      </w:r>
    </w:p>
    <w:p>
      <w:pPr>
        <w:spacing w:after="0" w:line="182" w:lineRule="exact"/>
        <w:rPr>
          <w:sz w:val="20"/>
          <w:szCs w:val="20"/>
          <w:color w:val="auto"/>
        </w:rPr>
      </w:pPr>
    </w:p>
    <w:p>
      <w:pPr>
        <w:ind w:left="120" w:right="279" w:firstLine="350"/>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Non-Recourse Project Financing Indebtedness</w:t>
      </w:r>
      <w:r>
        <w:rPr>
          <w:rFonts w:ascii="Times New Roman" w:cs="Times New Roman" w:eastAsia="Times New Roman" w:hAnsi="Times New Roman"/>
          <w:sz w:val="14"/>
          <w:szCs w:val="14"/>
          <w:color w:val="auto"/>
        </w:rPr>
        <w:t>” means any Indebtedness of a Subsidiary (the “</w:t>
      </w:r>
      <w:r>
        <w:rPr>
          <w:rFonts w:ascii="Times New Roman" w:cs="Times New Roman" w:eastAsia="Times New Roman" w:hAnsi="Times New Roman"/>
          <w:sz w:val="14"/>
          <w:szCs w:val="14"/>
          <w:u w:val="single" w:color="auto"/>
          <w:color w:val="auto"/>
        </w:rPr>
        <w:t>Project Financing Subsidiary</w:t>
      </w:r>
      <w:r>
        <w:rPr>
          <w:rFonts w:ascii="Times New Roman" w:cs="Times New Roman" w:eastAsia="Times New Roman" w:hAnsi="Times New Roman"/>
          <w:sz w:val="14"/>
          <w:szCs w:val="14"/>
          <w:color w:val="auto"/>
        </w:rPr>
        <w:t>”) incurred in connection with the acquisition, construction or development of any facility (and any Attributable Debt in respect of a Sale and Leaseback Transaction entered into in connection with (i) the acquisition, construction or development of any facility by the Company and its Restricted Subsidiaries after the date of this Indenture or (ii) any vacant land upon which a facility related to any Permitted Business is to be built):</w:t>
      </w:r>
    </w:p>
    <w:p>
      <w:pPr>
        <w:spacing w:after="0" w:line="53" w:lineRule="exact"/>
        <w:rPr>
          <w:sz w:val="20"/>
          <w:szCs w:val="20"/>
          <w:color w:val="auto"/>
        </w:rPr>
      </w:pPr>
    </w:p>
    <w:p>
      <w:pPr>
        <w:ind w:left="120" w:right="459" w:firstLine="357"/>
        <w:spacing w:after="0" w:line="292" w:lineRule="auto"/>
        <w:tabs>
          <w:tab w:leader="none" w:pos="672"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either the Company, a Restricted Subsidiary or such Project Financing Subsidiary operates or is responsible for the operation of the facility pursuant to a Government Operating Agreement;</w:t>
      </w:r>
    </w:p>
    <w:p>
      <w:pPr>
        <w:spacing w:after="0" w:line="123" w:lineRule="exact"/>
        <w:rPr>
          <w:rFonts w:ascii="Times New Roman" w:cs="Times New Roman" w:eastAsia="Times New Roman" w:hAnsi="Times New Roman"/>
          <w:sz w:val="14"/>
          <w:szCs w:val="14"/>
          <w:color w:val="auto"/>
        </w:rPr>
      </w:pPr>
    </w:p>
    <w:p>
      <w:pPr>
        <w:ind w:left="120" w:right="159" w:firstLine="357"/>
        <w:spacing w:after="0" w:line="265" w:lineRule="auto"/>
        <w:tabs>
          <w:tab w:leader="none" w:pos="672"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to which neither the Company nor any of its Restricted Subsidiaries, other than such Project Financing Subsidiary, (a) provides credit support of any kind (including any undertaking, agreement or instrument that would constitute Indebtedness or Attributable Debt), it being understood that neither (i) equity Investments funded at the time of or prior to the incurrence of such Indebtedness or Attributable Debt, nor (ii) the pledge by the Company or any Restricted Subsidiary of the Government Operating Agreement relating to such facility shall be deemed credit support or an Investment or (b) is directly or indirectly liable as a guarantor or otherwise;</w:t>
      </w:r>
    </w:p>
    <w:p>
      <w:pPr>
        <w:spacing w:after="0" w:line="141" w:lineRule="exact"/>
        <w:rPr>
          <w:rFonts w:ascii="Times New Roman" w:cs="Times New Roman" w:eastAsia="Times New Roman" w:hAnsi="Times New Roman"/>
          <w:sz w:val="14"/>
          <w:szCs w:val="14"/>
          <w:color w:val="auto"/>
        </w:rPr>
      </w:pPr>
    </w:p>
    <w:p>
      <w:pPr>
        <w:jc w:val="both"/>
        <w:ind w:left="120" w:right="279" w:firstLine="357"/>
        <w:spacing w:after="0" w:line="274" w:lineRule="auto"/>
        <w:tabs>
          <w:tab w:leader="none" w:pos="672"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upon the termination of the management services contract with respect to such facility, neither the Company nor any of its Restricted Subsidiaries, other than the Project Financing Subsidiary, will be liable, directly or indirectly, to make any payments with respect to such Indebtedness or Attributable Debt (or, in each case, any portion thereof);</w:t>
      </w:r>
    </w:p>
    <w:p>
      <w:pPr>
        <w:spacing w:after="0" w:line="135" w:lineRule="exact"/>
        <w:rPr>
          <w:rFonts w:ascii="Times New Roman" w:cs="Times New Roman" w:eastAsia="Times New Roman" w:hAnsi="Times New Roman"/>
          <w:sz w:val="14"/>
          <w:szCs w:val="14"/>
          <w:color w:val="auto"/>
        </w:rPr>
      </w:pPr>
    </w:p>
    <w:p>
      <w:pPr>
        <w:ind w:left="120" w:right="479" w:firstLine="357"/>
        <w:spacing w:after="0" w:line="292" w:lineRule="auto"/>
        <w:tabs>
          <w:tab w:leader="none" w:pos="672"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expense related to such Indebtedness or Attributable Debt is fully serviced by a payment pursuant to a Government Operating Agreement with respect to such facility (the “</w:t>
      </w:r>
      <w:r>
        <w:rPr>
          <w:rFonts w:ascii="Times New Roman" w:cs="Times New Roman" w:eastAsia="Times New Roman" w:hAnsi="Times New Roman"/>
          <w:sz w:val="14"/>
          <w:szCs w:val="14"/>
          <w:u w:val="single" w:color="auto"/>
          <w:color w:val="auto"/>
        </w:rPr>
        <w:t>Non-Recourse Interest Payment</w:t>
      </w:r>
      <w:r>
        <w:rPr>
          <w:rFonts w:ascii="Times New Roman" w:cs="Times New Roman" w:eastAsia="Times New Roman" w:hAnsi="Times New Roman"/>
          <w:sz w:val="14"/>
          <w:szCs w:val="14"/>
          <w:color w:val="auto"/>
        </w:rPr>
        <w:t>”); and</w:t>
      </w:r>
    </w:p>
    <w:p>
      <w:pPr>
        <w:spacing w:after="0" w:line="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243" w:right="1440" w:bottom="1440" w:gutter="0" w:footer="0" w:header="0"/>
        </w:sectPr>
      </w:pPr>
    </w:p>
    <w:bookmarkStart w:id="127" w:name="page128"/>
    <w:bookmarkEnd w:id="127"/>
    <w:p>
      <w:pPr>
        <w:ind w:left="120" w:right="319" w:firstLine="357"/>
        <w:spacing w:after="0" w:line="292" w:lineRule="auto"/>
        <w:tabs>
          <w:tab w:leader="none" w:pos="672"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1">
                      <a:extLst>
                        <a:ext uri="{28A0092B-C50C-407E-A947-70E740481C1C}"/>
                      </a:extLst>
                    </a:blip>
                    <a:srcRect/>
                    <a:stretch>
                      <a:fillRect/>
                    </a:stretch>
                  </pic:blipFill>
                  <pic:spPr bwMode="auto">
                    <a:xfrm>
                      <a:off x="0" y="0"/>
                      <a:ext cx="7199630" cy="33020"/>
                    </a:xfrm>
                    <a:prstGeom prst="rect">
                      <a:avLst/>
                    </a:prstGeom>
                    <a:noFill/>
                  </pic:spPr>
                </pic:pic>
              </a:graphicData>
            </a:graphic>
          </wp:anchor>
        </w:drawing>
        <w:t>such Project Financing Subsidiary has no assets other than the assets, including any ownership or leasehold interests in such facility and any working capital, reasonably related to the design, construction, management and financing of the facility.</w:t>
      </w:r>
    </w:p>
    <w:p>
      <w:pPr>
        <w:spacing w:after="0" w:line="123" w:lineRule="exact"/>
        <w:rPr>
          <w:sz w:val="20"/>
          <w:szCs w:val="20"/>
          <w:color w:val="auto"/>
        </w:rPr>
      </w:pPr>
    </w:p>
    <w:p>
      <w:pPr>
        <w:ind w:left="120" w:right="279" w:firstLine="350"/>
        <w:spacing w:after="0" w:line="27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Officer</w:t>
      </w:r>
      <w:r>
        <w:rPr>
          <w:rFonts w:ascii="Times New Roman" w:cs="Times New Roman" w:eastAsia="Times New Roman" w:hAnsi="Times New Roman"/>
          <w:sz w:val="14"/>
          <w:szCs w:val="14"/>
          <w:color w:val="auto"/>
        </w:rPr>
        <w:t>” means, with respect to any Person, the Chairman of the Board of Directors, the Chief Executive Officer, the President, the Chief Operating Officer, the Chief Financial Officer, the Treasurer, any Assistant Treasurer, the Controller, the Secretary, an Assistant Secretary or any Vice-President (whether or not designated by a number or numbers or word or words added before or after the title “Vice President”) of such Person.</w:t>
      </w:r>
    </w:p>
    <w:p>
      <w:pPr>
        <w:spacing w:after="0" w:line="135" w:lineRule="exact"/>
        <w:rPr>
          <w:sz w:val="20"/>
          <w:szCs w:val="20"/>
          <w:color w:val="auto"/>
        </w:rPr>
      </w:pPr>
    </w:p>
    <w:p>
      <w:pPr>
        <w:ind w:left="120" w:right="159" w:firstLine="350"/>
        <w:spacing w:after="0" w:line="27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Officers’ Certificate</w:t>
      </w:r>
      <w:r>
        <w:rPr>
          <w:rFonts w:ascii="Times New Roman" w:cs="Times New Roman" w:eastAsia="Times New Roman" w:hAnsi="Times New Roman"/>
          <w:sz w:val="14"/>
          <w:szCs w:val="14"/>
          <w:color w:val="auto"/>
        </w:rPr>
        <w:t xml:space="preserve">” means a certificate signed on behalf of the Company by at least two Officers of the Company, one of whom must be the principal executive officer, the principal financial officer or the principal accounting officer of the Company, that meets the requirements of </w:t>
      </w:r>
      <w:r>
        <w:rPr>
          <w:rFonts w:ascii="Times New Roman" w:cs="Times New Roman" w:eastAsia="Times New Roman" w:hAnsi="Times New Roman"/>
          <w:sz w:val="14"/>
          <w:szCs w:val="14"/>
          <w:u w:val="single" w:color="auto"/>
          <w:color w:val="auto"/>
        </w:rPr>
        <w:t>Section 1.03</w:t>
      </w:r>
      <w:r>
        <w:rPr>
          <w:rFonts w:ascii="Times New Roman" w:cs="Times New Roman" w:eastAsia="Times New Roman" w:hAnsi="Times New Roman"/>
          <w:sz w:val="14"/>
          <w:szCs w:val="14"/>
          <w:color w:val="auto"/>
        </w:rPr>
        <w:t xml:space="preserve"> hereof.</w:t>
      </w:r>
    </w:p>
    <w:p>
      <w:pPr>
        <w:spacing w:after="0" w:line="135" w:lineRule="exact"/>
        <w:rPr>
          <w:sz w:val="20"/>
          <w:szCs w:val="20"/>
          <w:color w:val="auto"/>
        </w:rPr>
      </w:pPr>
    </w:p>
    <w:p>
      <w:pPr>
        <w:ind w:left="120" w:right="819" w:firstLine="350"/>
        <w:spacing w:after="0" w:line="29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Opinion of Counsel</w:t>
      </w:r>
      <w:r>
        <w:rPr>
          <w:rFonts w:ascii="Times New Roman" w:cs="Times New Roman" w:eastAsia="Times New Roman" w:hAnsi="Times New Roman"/>
          <w:sz w:val="14"/>
          <w:szCs w:val="14"/>
          <w:color w:val="auto"/>
        </w:rPr>
        <w:t xml:space="preserve">” means an opinion from legal counsel who is reasonably acceptable to the Trustee, that meets the requirements of </w:t>
      </w:r>
      <w:r>
        <w:rPr>
          <w:rFonts w:ascii="Times New Roman" w:cs="Times New Roman" w:eastAsia="Times New Roman" w:hAnsi="Times New Roman"/>
          <w:sz w:val="14"/>
          <w:szCs w:val="14"/>
          <w:u w:val="single" w:color="auto"/>
          <w:color w:val="auto"/>
        </w:rPr>
        <w:t>Section 1.03</w:t>
      </w:r>
      <w:r>
        <w:rPr>
          <w:rFonts w:ascii="Times New Roman" w:cs="Times New Roman" w:eastAsia="Times New Roman" w:hAnsi="Times New Roman"/>
          <w:sz w:val="14"/>
          <w:szCs w:val="14"/>
          <w:color w:val="auto"/>
        </w:rPr>
        <w:t xml:space="preserve"> hereof. The counsel may be an employee of or counsel to the Company or any Subsidiary of the Company.</w:t>
      </w:r>
    </w:p>
    <w:p>
      <w:pPr>
        <w:spacing w:after="0" w:line="123" w:lineRule="exact"/>
        <w:rPr>
          <w:sz w:val="20"/>
          <w:szCs w:val="20"/>
          <w:color w:val="auto"/>
        </w:rPr>
      </w:pPr>
    </w:p>
    <w:p>
      <w:pPr>
        <w:ind w:left="120" w:right="839" w:firstLine="350"/>
        <w:spacing w:after="0" w:line="29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Outstanding</w:t>
      </w:r>
      <w:r>
        <w:rPr>
          <w:rFonts w:ascii="Times New Roman" w:cs="Times New Roman" w:eastAsia="Times New Roman" w:hAnsi="Times New Roman"/>
          <w:sz w:val="14"/>
          <w:szCs w:val="14"/>
          <w:color w:val="auto"/>
        </w:rPr>
        <w:t>” when used with respect to any series of Securities means, as of the date of determination, all such Securities theretofore authenticated and delivered under this Indenture, except:</w:t>
      </w:r>
    </w:p>
    <w:p>
      <w:pPr>
        <w:spacing w:after="0" w:line="37" w:lineRule="exact"/>
        <w:rPr>
          <w:sz w:val="20"/>
          <w:szCs w:val="20"/>
          <w:color w:val="auto"/>
        </w:rPr>
      </w:pPr>
    </w:p>
    <w:p>
      <w:pPr>
        <w:ind w:left="680" w:hanging="203"/>
        <w:spacing w:after="0"/>
        <w:tabs>
          <w:tab w:leader="none" w:pos="68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Securities theretofore canceled by the Trustee or delivered to the Trustee for cancellation;</w:t>
      </w:r>
    </w:p>
    <w:p>
      <w:pPr>
        <w:spacing w:after="0" w:line="182" w:lineRule="exact"/>
        <w:rPr>
          <w:rFonts w:ascii="Times New Roman" w:cs="Times New Roman" w:eastAsia="Times New Roman" w:hAnsi="Times New Roman"/>
          <w:sz w:val="14"/>
          <w:szCs w:val="14"/>
          <w:color w:val="auto"/>
        </w:rPr>
      </w:pPr>
    </w:p>
    <w:p>
      <w:pPr>
        <w:ind w:left="120" w:right="159" w:firstLine="357"/>
        <w:spacing w:after="0" w:line="292" w:lineRule="auto"/>
        <w:tabs>
          <w:tab w:leader="none" w:pos="672"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reduction in principal amount of a Global Security, which has been reduced by the Trustee pursuant to </w:t>
      </w:r>
      <w:r>
        <w:rPr>
          <w:rFonts w:ascii="Times New Roman" w:cs="Times New Roman" w:eastAsia="Times New Roman" w:hAnsi="Times New Roman"/>
          <w:sz w:val="14"/>
          <w:szCs w:val="14"/>
          <w:u w:val="single" w:color="auto"/>
          <w:color w:val="auto"/>
        </w:rPr>
        <w:t>Section 3.06</w:t>
      </w:r>
      <w:r>
        <w:rPr>
          <w:rFonts w:ascii="Times New Roman" w:cs="Times New Roman" w:eastAsia="Times New Roman" w:hAnsi="Times New Roman"/>
          <w:sz w:val="14"/>
          <w:szCs w:val="14"/>
          <w:color w:val="auto"/>
        </w:rPr>
        <w:t xml:space="preserve"> or any other applicable provision of this Indenture or any indenture supplemental hereto;</w:t>
      </w:r>
    </w:p>
    <w:p>
      <w:pPr>
        <w:spacing w:after="0" w:line="123" w:lineRule="exact"/>
        <w:rPr>
          <w:rFonts w:ascii="Times New Roman" w:cs="Times New Roman" w:eastAsia="Times New Roman" w:hAnsi="Times New Roman"/>
          <w:sz w:val="14"/>
          <w:szCs w:val="14"/>
          <w:color w:val="auto"/>
        </w:rPr>
      </w:pPr>
    </w:p>
    <w:p>
      <w:pPr>
        <w:ind w:left="120" w:right="139" w:firstLine="357"/>
        <w:spacing w:after="0" w:line="268" w:lineRule="auto"/>
        <w:tabs>
          <w:tab w:leader="none" w:pos="664"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Securities, or portions thereof, for whose payment or redemption money in the necessary amount has been theretofore deposited with the Trustee or any Paying Agent (other than the Company or any Affiliate thereof) in trust for the Holders of such Securities; provided that if such Securities are to be redeemed, notice of such redemption has been duly given pursuant to this Indenture or provision therefor reasonably satisfactory to the Trustee has been made;</w:t>
      </w:r>
    </w:p>
    <w:p>
      <w:pPr>
        <w:spacing w:after="0" w:line="139" w:lineRule="exact"/>
        <w:rPr>
          <w:rFonts w:ascii="Times New Roman" w:cs="Times New Roman" w:eastAsia="Times New Roman" w:hAnsi="Times New Roman"/>
          <w:sz w:val="14"/>
          <w:szCs w:val="14"/>
          <w:color w:val="auto"/>
        </w:rPr>
      </w:pPr>
    </w:p>
    <w:p>
      <w:pPr>
        <w:ind w:left="120" w:right="779" w:firstLine="357"/>
        <w:spacing w:after="0" w:line="292" w:lineRule="auto"/>
        <w:tabs>
          <w:tab w:leader="none" w:pos="672"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Securities, to the extent provided in </w:t>
      </w:r>
      <w:r>
        <w:rPr>
          <w:rFonts w:ascii="Times New Roman" w:cs="Times New Roman" w:eastAsia="Times New Roman" w:hAnsi="Times New Roman"/>
          <w:sz w:val="14"/>
          <w:szCs w:val="14"/>
          <w:u w:val="single" w:color="auto"/>
          <w:color w:val="auto"/>
        </w:rPr>
        <w:t>Sections 4.02</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4.03</w:t>
      </w:r>
      <w:r>
        <w:rPr>
          <w:rFonts w:ascii="Times New Roman" w:cs="Times New Roman" w:eastAsia="Times New Roman" w:hAnsi="Times New Roman"/>
          <w:sz w:val="14"/>
          <w:szCs w:val="14"/>
          <w:color w:val="auto"/>
        </w:rPr>
        <w:t xml:space="preserve">, with respect to which the Company has effected defeasance or covenant defeasance as provided in </w:t>
      </w:r>
      <w:r>
        <w:rPr>
          <w:rFonts w:ascii="Times New Roman" w:cs="Times New Roman" w:eastAsia="Times New Roman" w:hAnsi="Times New Roman"/>
          <w:sz w:val="14"/>
          <w:szCs w:val="14"/>
          <w:u w:val="single" w:color="auto"/>
          <w:color w:val="auto"/>
        </w:rPr>
        <w:t>Article IV</w:t>
      </w:r>
      <w:r>
        <w:rPr>
          <w:rFonts w:ascii="Times New Roman" w:cs="Times New Roman" w:eastAsia="Times New Roman" w:hAnsi="Times New Roman"/>
          <w:sz w:val="14"/>
          <w:szCs w:val="14"/>
          <w:color w:val="auto"/>
        </w:rPr>
        <w:t>; and</w:t>
      </w:r>
    </w:p>
    <w:p>
      <w:pPr>
        <w:spacing w:after="0" w:line="123" w:lineRule="exact"/>
        <w:rPr>
          <w:rFonts w:ascii="Times New Roman" w:cs="Times New Roman" w:eastAsia="Times New Roman" w:hAnsi="Times New Roman"/>
          <w:sz w:val="14"/>
          <w:szCs w:val="14"/>
          <w:color w:val="auto"/>
        </w:rPr>
      </w:pPr>
    </w:p>
    <w:p>
      <w:pPr>
        <w:ind w:left="120" w:right="139" w:firstLine="357"/>
        <w:spacing w:after="0" w:line="259" w:lineRule="auto"/>
        <w:tabs>
          <w:tab w:leader="none" w:pos="664"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Securities paid pursuant to </w:t>
      </w:r>
      <w:r>
        <w:rPr>
          <w:rFonts w:ascii="Times New Roman" w:cs="Times New Roman" w:eastAsia="Times New Roman" w:hAnsi="Times New Roman"/>
          <w:sz w:val="14"/>
          <w:szCs w:val="14"/>
          <w:u w:val="single" w:color="auto"/>
          <w:color w:val="auto"/>
        </w:rPr>
        <w:t>Section 3.07</w:t>
      </w:r>
      <w:r>
        <w:rPr>
          <w:rFonts w:ascii="Times New Roman" w:cs="Times New Roman" w:eastAsia="Times New Roman" w:hAnsi="Times New Roman"/>
          <w:sz w:val="14"/>
          <w:szCs w:val="14"/>
          <w:color w:val="auto"/>
        </w:rPr>
        <w:t xml:space="preserve"> or Securities in exchange for or in lieu of which other Securities have been authenticated and delivered pursuant to this Indenture, other than any such Securities in respect of which there shall have been presented to the Trustee and the Company proof reasonably satisfactory to each of them that such Securities are held by a bona fide purchaser in whose hands the Securities are valid obligations of the Company; provided, however, that in determining whether the Holders of the requisite principal amount of Outstanding Securities have given any request, demand, authorization, direction, notice, consent or waiver hereunder, Securities owned by the Company or any Affiliate of the Company shall be disregarded and deemed not to be Outstanding, except that, in determining whether the Trustee shall be protected in relying upon any such request, demand, authorization, direction, notice, consent or waiver, only Securities which a Responsible Officer of the Trustee actually knows to be so owned shall be so disregarded. Securities so owned which have been pledged in good faith may be regarded as Outstanding if the pledgee establishes to the reasonable satisfaction of the Trustee the pledgee’s right so to act with respect to such Securities and that the pledgee is not the Company or any Affiliate of the Company.</w:t>
      </w:r>
    </w:p>
    <w:p>
      <w:pPr>
        <w:spacing w:after="0" w:line="151" w:lineRule="exact"/>
        <w:rPr>
          <w:sz w:val="20"/>
          <w:szCs w:val="20"/>
          <w:color w:val="auto"/>
        </w:rPr>
      </w:pPr>
    </w:p>
    <w:p>
      <w:pPr>
        <w:ind w:left="120" w:right="339" w:firstLine="350"/>
        <w:spacing w:after="0" w:line="29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Paying Agent</w:t>
      </w:r>
      <w:r>
        <w:rPr>
          <w:rFonts w:ascii="Times New Roman" w:cs="Times New Roman" w:eastAsia="Times New Roman" w:hAnsi="Times New Roman"/>
          <w:sz w:val="14"/>
          <w:szCs w:val="14"/>
          <w:color w:val="auto"/>
        </w:rPr>
        <w:t>” means any Person (including the Company) authorized by the Company to pay the principal of, premium, if any, or interest on, any Securities on behalf of the Company, and at the offices of which any Securities may be presented or surrendered for payment.</w:t>
      </w:r>
    </w:p>
    <w:p>
      <w:pPr>
        <w:spacing w:after="0" w:line="123" w:lineRule="exact"/>
        <w:rPr>
          <w:sz w:val="20"/>
          <w:szCs w:val="20"/>
          <w:color w:val="auto"/>
        </w:rPr>
      </w:pPr>
    </w:p>
    <w:p>
      <w:pPr>
        <w:ind w:left="120" w:right="539" w:firstLine="350"/>
        <w:spacing w:after="0" w:line="29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Person</w:t>
      </w:r>
      <w:r>
        <w:rPr>
          <w:rFonts w:ascii="Times New Roman" w:cs="Times New Roman" w:eastAsia="Times New Roman" w:hAnsi="Times New Roman"/>
          <w:sz w:val="14"/>
          <w:szCs w:val="14"/>
          <w:color w:val="auto"/>
        </w:rPr>
        <w:t>” means any individual, corporation, partnership, joint venture, association, joint-stock company, trust, unincorporated organization, limited liability company, or government or other entity.</w:t>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243" w:right="1440" w:bottom="1440" w:gutter="0" w:footer="0" w:header="0"/>
        </w:sectPr>
      </w:pPr>
    </w:p>
    <w:bookmarkStart w:id="128" w:name="page129"/>
    <w:bookmarkEnd w:id="128"/>
    <w:p>
      <w:pPr>
        <w:jc w:val="both"/>
        <w:ind w:left="120" w:right="159" w:firstLine="350"/>
        <w:spacing w:after="0" w:line="27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2">
                      <a:extLst>
                        <a:ext uri="{28A0092B-C50C-407E-A947-70E740481C1C}"/>
                      </a:extLst>
                    </a:blip>
                    <a:srcRect/>
                    <a:stretch>
                      <a:fillRect/>
                    </a:stretch>
                  </pic:blipFill>
                  <pic:spPr bwMode="auto">
                    <a:xfrm>
                      <a:off x="0" y="0"/>
                      <a:ext cx="7199630" cy="33020"/>
                    </a:xfrm>
                    <a:prstGeom prst="rect">
                      <a:avLst/>
                    </a:prstGeom>
                    <a:noFill/>
                  </pic:spPr>
                </pic:pic>
              </a:graphicData>
            </a:graphic>
          </wp:anchor>
        </w:drawing>
        <w:t>“</w:t>
      </w:r>
      <w:r>
        <w:rPr>
          <w:rFonts w:ascii="Times New Roman" w:cs="Times New Roman" w:eastAsia="Times New Roman" w:hAnsi="Times New Roman"/>
          <w:sz w:val="14"/>
          <w:szCs w:val="14"/>
          <w:u w:val="single" w:color="auto"/>
          <w:color w:val="auto"/>
        </w:rPr>
        <w:t>Predecessor Security</w:t>
      </w:r>
      <w:r>
        <w:rPr>
          <w:rFonts w:ascii="Times New Roman" w:cs="Times New Roman" w:eastAsia="Times New Roman" w:hAnsi="Times New Roman"/>
          <w:sz w:val="14"/>
          <w:szCs w:val="14"/>
          <w:color w:val="auto"/>
        </w:rPr>
        <w:t xml:space="preserve">” of any particular Security means every previous Security evidencing all or a portion of the same debt as that evidenced by such particular Security; and, for the purposes of this definition, any Security authenticated and delivered under </w:t>
      </w:r>
      <w:r>
        <w:rPr>
          <w:rFonts w:ascii="Times New Roman" w:cs="Times New Roman" w:eastAsia="Times New Roman" w:hAnsi="Times New Roman"/>
          <w:sz w:val="14"/>
          <w:szCs w:val="14"/>
          <w:u w:val="single" w:color="auto"/>
          <w:color w:val="auto"/>
        </w:rPr>
        <w:t>Section 3.07</w:t>
      </w:r>
      <w:r>
        <w:rPr>
          <w:rFonts w:ascii="Times New Roman" w:cs="Times New Roman" w:eastAsia="Times New Roman" w:hAnsi="Times New Roman"/>
          <w:sz w:val="14"/>
          <w:szCs w:val="14"/>
          <w:color w:val="auto"/>
        </w:rPr>
        <w:t xml:space="preserve"> in exchange for a mutilated Security or in lieu of a lost, destroyed or stolen Security shall be deemed to evidence the same debt as the mutilated, lost, destroyed or stolen Security.</w:t>
      </w:r>
    </w:p>
    <w:p>
      <w:pPr>
        <w:spacing w:after="0" w:line="135" w:lineRule="exact"/>
        <w:rPr>
          <w:sz w:val="20"/>
          <w:szCs w:val="20"/>
          <w:color w:val="auto"/>
        </w:rPr>
      </w:pPr>
    </w:p>
    <w:p>
      <w:pPr>
        <w:ind w:left="120" w:right="519" w:firstLine="350"/>
        <w:spacing w:after="0" w:line="29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Redemption Date</w:t>
      </w:r>
      <w:r>
        <w:rPr>
          <w:rFonts w:ascii="Times New Roman" w:cs="Times New Roman" w:eastAsia="Times New Roman" w:hAnsi="Times New Roman"/>
          <w:sz w:val="14"/>
          <w:szCs w:val="14"/>
          <w:color w:val="auto"/>
        </w:rPr>
        <w:t>” when used with respect to any Security to be redeemed pursuant to any provision in this Indenture or any supplement or amendment hereto means the date fixed for such redemption by or pursuant to this Indenture or any supplement or amendment hereto.</w:t>
      </w:r>
    </w:p>
    <w:p>
      <w:pPr>
        <w:spacing w:after="0" w:line="123" w:lineRule="exact"/>
        <w:rPr>
          <w:sz w:val="20"/>
          <w:szCs w:val="20"/>
          <w:color w:val="auto"/>
        </w:rPr>
      </w:pPr>
    </w:p>
    <w:p>
      <w:pPr>
        <w:ind w:left="120" w:right="479" w:firstLine="350"/>
        <w:spacing w:after="0" w:line="29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Redemption Price</w:t>
      </w:r>
      <w:r>
        <w:rPr>
          <w:rFonts w:ascii="Times New Roman" w:cs="Times New Roman" w:eastAsia="Times New Roman" w:hAnsi="Times New Roman"/>
          <w:sz w:val="14"/>
          <w:szCs w:val="14"/>
          <w:color w:val="auto"/>
        </w:rPr>
        <w:t>” when used with respect to any Security to be redeemed pursuant to any provision in this Indenture or any supplement or amendment hereto means the price at which it is to be redeemed pursuant to this Indenture or any supplement or amendment hereto.</w:t>
      </w:r>
    </w:p>
    <w:p>
      <w:pPr>
        <w:spacing w:after="0" w:line="123" w:lineRule="exact"/>
        <w:rPr>
          <w:sz w:val="20"/>
          <w:szCs w:val="20"/>
          <w:color w:val="auto"/>
        </w:rPr>
      </w:pPr>
    </w:p>
    <w:p>
      <w:pPr>
        <w:ind w:left="120" w:right="379" w:firstLine="350"/>
        <w:spacing w:after="0" w:line="29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Regular Record Date</w:t>
      </w:r>
      <w:r>
        <w:rPr>
          <w:rFonts w:ascii="Times New Roman" w:cs="Times New Roman" w:eastAsia="Times New Roman" w:hAnsi="Times New Roman"/>
          <w:sz w:val="14"/>
          <w:szCs w:val="14"/>
          <w:color w:val="auto"/>
        </w:rPr>
        <w:t xml:space="preserve">” for the interest payable on any Interest Payment Date on any Security means the date specified for that purpose in such Security or as contemplated by </w:t>
      </w:r>
      <w:r>
        <w:rPr>
          <w:rFonts w:ascii="Times New Roman" w:cs="Times New Roman" w:eastAsia="Times New Roman" w:hAnsi="Times New Roman"/>
          <w:sz w:val="14"/>
          <w:szCs w:val="14"/>
          <w:u w:val="single" w:color="auto"/>
          <w:color w:val="auto"/>
        </w:rPr>
        <w:t>Section 3.01</w:t>
      </w:r>
      <w:r>
        <w:rPr>
          <w:rFonts w:ascii="Times New Roman" w:cs="Times New Roman" w:eastAsia="Times New Roman" w:hAnsi="Times New Roman"/>
          <w:sz w:val="14"/>
          <w:szCs w:val="14"/>
          <w:color w:val="auto"/>
        </w:rPr>
        <w:t xml:space="preserve"> (whether or not a Business Day) next preceding such Interest Payment Date.</w:t>
      </w:r>
    </w:p>
    <w:p>
      <w:pPr>
        <w:spacing w:after="0" w:line="123" w:lineRule="exact"/>
        <w:rPr>
          <w:sz w:val="20"/>
          <w:szCs w:val="20"/>
          <w:color w:val="auto"/>
        </w:rPr>
      </w:pPr>
    </w:p>
    <w:p>
      <w:pPr>
        <w:ind w:left="120" w:right="139" w:firstLine="350"/>
        <w:spacing w:after="0" w:line="26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Responsible Officer</w:t>
      </w:r>
      <w:r>
        <w:rPr>
          <w:rFonts w:ascii="Times New Roman" w:cs="Times New Roman" w:eastAsia="Times New Roman" w:hAnsi="Times New Roman"/>
          <w:sz w:val="14"/>
          <w:szCs w:val="14"/>
          <w:color w:val="auto"/>
        </w:rPr>
        <w:t>” when used with respect to the Trustee, means any vice president, assistant vice president or other trust officer within the Corporate Trust Office of the Trustee (or any successor group of the Trustee) or any other officer of the Trustee customarily performing functions similar to those performed by any of the above designated officers and also means, with respect to a particular corporate trust matter, any other officer to whom such matter is referred because of his or her knowledge of and familiarity with the particular subject and, in each case, who shall have direct responsibility for the administration of this Indenture.</w:t>
      </w:r>
    </w:p>
    <w:p>
      <w:pPr>
        <w:spacing w:after="0" w:line="1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Restricted Subsidiary</w:t>
      </w:r>
      <w:r>
        <w:rPr>
          <w:rFonts w:ascii="Times New Roman" w:cs="Times New Roman" w:eastAsia="Times New Roman" w:hAnsi="Times New Roman"/>
          <w:sz w:val="14"/>
          <w:szCs w:val="14"/>
          <w:color w:val="auto"/>
        </w:rPr>
        <w:t>” means any Subsidiary of the Company that is not an Unrestricted Subsidiary.</w:t>
      </w:r>
    </w:p>
    <w:p>
      <w:pPr>
        <w:spacing w:after="0" w:line="182" w:lineRule="exact"/>
        <w:rPr>
          <w:sz w:val="20"/>
          <w:szCs w:val="20"/>
          <w:color w:val="auto"/>
        </w:rPr>
      </w:pPr>
    </w:p>
    <w:p>
      <w:pPr>
        <w:ind w:left="120" w:right="219" w:firstLine="350"/>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Sale and Leaseback Transaction</w:t>
      </w:r>
      <w:r>
        <w:rPr>
          <w:rFonts w:ascii="Times New Roman" w:cs="Times New Roman" w:eastAsia="Times New Roman" w:hAnsi="Times New Roman"/>
          <w:sz w:val="14"/>
          <w:szCs w:val="14"/>
          <w:color w:val="auto"/>
        </w:rPr>
        <w:t>” means any direct or indirect arrangement relating to property now owned or hereafter acquired whereby the Company or a Restricted Subsidiary transfers such property to another Person and the Company or a Restricted Subsidiary leases it from such Person other than a lease properly characterized pursuant to GAAP as a Finance Lease Obligation, other than transfers and leases among the Company and any Restricted Subsidiaries or among Restricted Subsidiaries.</w:t>
      </w:r>
    </w:p>
    <w:p>
      <w:pPr>
        <w:spacing w:after="0" w:line="139" w:lineRule="exact"/>
        <w:rPr>
          <w:sz w:val="20"/>
          <w:szCs w:val="20"/>
          <w:color w:val="auto"/>
        </w:rPr>
      </w:pPr>
    </w:p>
    <w:p>
      <w:pPr>
        <w:ind w:left="120" w:right="199" w:firstLine="350"/>
        <w:spacing w:after="0" w:line="26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Security</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u w:val="single" w:color="auto"/>
          <w:color w:val="auto"/>
        </w:rPr>
        <w:t>Securities</w:t>
      </w:r>
      <w:r>
        <w:rPr>
          <w:rFonts w:ascii="Times New Roman" w:cs="Times New Roman" w:eastAsia="Times New Roman" w:hAnsi="Times New Roman"/>
          <w:sz w:val="14"/>
          <w:szCs w:val="14"/>
          <w:color w:val="auto"/>
        </w:rPr>
        <w:t>” has the meaning stated in the first recital of this Indenture and, more particularly, means any Security or Securities duly authenticated and delivered under this Indenture; provided, however, that, if at any time there is more than one Person acting as Trustee under this Indenture, “Securities” with respect to the Indenture as to which such Person is Trustee shall have the meaning stated in the first recital of this Indenture and shall more particularly mean Securities authenticated and delivered under this Indenture, exclusive, however, of Securities of any series as to which such Person is not Trustee.</w:t>
      </w:r>
    </w:p>
    <w:p>
      <w:pPr>
        <w:spacing w:after="0" w:line="1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Securities Act</w:t>
      </w:r>
      <w:r>
        <w:rPr>
          <w:rFonts w:ascii="Times New Roman" w:cs="Times New Roman" w:eastAsia="Times New Roman" w:hAnsi="Times New Roman"/>
          <w:sz w:val="14"/>
          <w:szCs w:val="14"/>
          <w:color w:val="auto"/>
        </w:rPr>
        <w:t>” means the Securities Act of 1933, as amended.</w:t>
      </w:r>
    </w:p>
    <w:p>
      <w:pPr>
        <w:spacing w:after="0" w:line="182" w:lineRule="exact"/>
        <w:rPr>
          <w:sz w:val="20"/>
          <w:szCs w:val="20"/>
          <w:color w:val="auto"/>
        </w:rPr>
      </w:pPr>
    </w:p>
    <w:p>
      <w:pPr>
        <w:ind w:left="120" w:right="479" w:firstLine="350"/>
        <w:spacing w:after="0" w:line="29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Significant Subsidiary</w:t>
      </w:r>
      <w:r>
        <w:rPr>
          <w:rFonts w:ascii="Times New Roman" w:cs="Times New Roman" w:eastAsia="Times New Roman" w:hAnsi="Times New Roman"/>
          <w:sz w:val="14"/>
          <w:szCs w:val="14"/>
          <w:color w:val="auto"/>
        </w:rPr>
        <w:t>” means any Subsidiary that would be a “significant subsidiary” as defined in Article 1, Rule 1-02 of Regulation S-X, promulgated pursuant to the Securities Act, as such Regulation is in effect on the date hereof.</w:t>
      </w:r>
    </w:p>
    <w:p>
      <w:pPr>
        <w:spacing w:after="0" w:line="1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Special Record Date</w:t>
      </w:r>
      <w:r>
        <w:rPr>
          <w:rFonts w:ascii="Times New Roman" w:cs="Times New Roman" w:eastAsia="Times New Roman" w:hAnsi="Times New Roman"/>
          <w:sz w:val="14"/>
          <w:szCs w:val="14"/>
          <w:color w:val="auto"/>
        </w:rPr>
        <w:t xml:space="preserve">” for the payment of any Defaulted Interest means a date fixed by the Trustee pursuant to </w:t>
      </w:r>
      <w:r>
        <w:rPr>
          <w:rFonts w:ascii="Times New Roman" w:cs="Times New Roman" w:eastAsia="Times New Roman" w:hAnsi="Times New Roman"/>
          <w:sz w:val="14"/>
          <w:szCs w:val="14"/>
          <w:u w:val="single" w:color="auto"/>
          <w:color w:val="auto"/>
        </w:rPr>
        <w:t>Section 3.08</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Standard &amp; P</w:t>
      </w:r>
      <w:r>
        <w:rPr>
          <w:rFonts w:ascii="Times New Roman" w:cs="Times New Roman" w:eastAsia="Times New Roman" w:hAnsi="Times New Roman"/>
          <w:sz w:val="14"/>
          <w:szCs w:val="14"/>
          <w:color w:val="auto"/>
        </w:rPr>
        <w:t>oor’s” means Standard &amp; Poor’s Ratings Services, a division of McGraw-Hill Financial, Inc.</w:t>
      </w:r>
    </w:p>
    <w:p>
      <w:pPr>
        <w:spacing w:after="0" w:line="182" w:lineRule="exact"/>
        <w:rPr>
          <w:sz w:val="20"/>
          <w:szCs w:val="20"/>
          <w:color w:val="auto"/>
        </w:rPr>
      </w:pPr>
    </w:p>
    <w:p>
      <w:pPr>
        <w:ind w:left="120" w:right="199" w:firstLine="350"/>
        <w:spacing w:after="0" w:line="27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Stated Maturity</w:t>
      </w:r>
      <w:r>
        <w:rPr>
          <w:rFonts w:ascii="Times New Roman" w:cs="Times New Roman" w:eastAsia="Times New Roman" w:hAnsi="Times New Roman"/>
          <w:sz w:val="14"/>
          <w:szCs w:val="14"/>
          <w:color w:val="auto"/>
        </w:rPr>
        <w:t>” means, with respect to any installment of interest or principal on any series of Indebtedness, the date on which such payment of interest or principal was scheduled to be paid in the original documentation governing such Indebtedness, and shall not include any contingent obligations to repay, redeem or repurchase any such interest or principal prior to the date originally scheduled for the payment thereof.</w:t>
      </w:r>
    </w:p>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243" w:right="1440" w:bottom="1440" w:gutter="0" w:footer="0" w:header="0"/>
        </w:sectPr>
      </w:pPr>
    </w:p>
    <w:bookmarkStart w:id="129" w:name="page130"/>
    <w:bookmarkEnd w:id="129"/>
    <w:p>
      <w:pPr>
        <w:ind w:left="120" w:right="159" w:firstLine="350"/>
        <w:spacing w:after="0" w:line="26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3">
                      <a:extLst>
                        <a:ext uri="{28A0092B-C50C-407E-A947-70E740481C1C}"/>
                      </a:extLst>
                    </a:blip>
                    <a:srcRect/>
                    <a:stretch>
                      <a:fillRect/>
                    </a:stretch>
                  </pic:blipFill>
                  <pic:spPr bwMode="auto">
                    <a:xfrm>
                      <a:off x="0" y="0"/>
                      <a:ext cx="7199630" cy="33020"/>
                    </a:xfrm>
                    <a:prstGeom prst="rect">
                      <a:avLst/>
                    </a:prstGeom>
                    <a:noFill/>
                  </pic:spPr>
                </pic:pic>
              </a:graphicData>
            </a:graphic>
          </wp:anchor>
        </w:drawing>
        <w:t>“</w:t>
      </w:r>
      <w:r>
        <w:rPr>
          <w:rFonts w:ascii="Times New Roman" w:cs="Times New Roman" w:eastAsia="Times New Roman" w:hAnsi="Times New Roman"/>
          <w:sz w:val="14"/>
          <w:szCs w:val="14"/>
          <w:u w:val="single" w:color="auto"/>
          <w:color w:val="auto"/>
        </w:rPr>
        <w:t>Subsidiary</w:t>
      </w:r>
      <w:r>
        <w:rPr>
          <w:rFonts w:ascii="Times New Roman" w:cs="Times New Roman" w:eastAsia="Times New Roman" w:hAnsi="Times New Roman"/>
          <w:sz w:val="14"/>
          <w:szCs w:val="14"/>
          <w:color w:val="auto"/>
        </w:rPr>
        <w:t>” means, with respect to any specified Person: (1) any corporation,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 and (2) any partnership (a) the sole general partner or the managing general partner of which is such Person or a Subsidiary of such Person or (b) the only general partners of which are such Person or one or more Subsidiaries of such Person (or any combination thereof).</w:t>
      </w:r>
    </w:p>
    <w:p>
      <w:pPr>
        <w:spacing w:after="0" w:line="141" w:lineRule="exact"/>
        <w:rPr>
          <w:sz w:val="20"/>
          <w:szCs w:val="20"/>
          <w:color w:val="auto"/>
        </w:rPr>
      </w:pPr>
    </w:p>
    <w:p>
      <w:pPr>
        <w:ind w:left="120" w:right="559" w:firstLine="350"/>
        <w:spacing w:after="0" w:line="29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Trustee</w:t>
      </w:r>
      <w:r>
        <w:rPr>
          <w:rFonts w:ascii="Times New Roman" w:cs="Times New Roman" w:eastAsia="Times New Roman" w:hAnsi="Times New Roman"/>
          <w:sz w:val="14"/>
          <w:szCs w:val="14"/>
          <w:color w:val="auto"/>
        </w:rPr>
        <w:t>” means the Person named as the “Trustee” in the first paragraph of this Indenture, until a successor trustee shall have become such pursuant to the applicable provisions of this Indenture, and thereafter “Trustee” shall mean such successor trustee.</w:t>
      </w:r>
    </w:p>
    <w:p>
      <w:pPr>
        <w:spacing w:after="0" w:line="1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Trust Indenture Act</w:t>
      </w:r>
      <w:r>
        <w:rPr>
          <w:rFonts w:ascii="Times New Roman" w:cs="Times New Roman" w:eastAsia="Times New Roman" w:hAnsi="Times New Roman"/>
          <w:sz w:val="14"/>
          <w:szCs w:val="14"/>
          <w:color w:val="auto"/>
        </w:rPr>
        <w:t>” means the Trust Indenture Act of 1939, as amended, or any successor statute.</w:t>
      </w:r>
    </w:p>
    <w:p>
      <w:pPr>
        <w:spacing w:after="0" w:line="182" w:lineRule="exact"/>
        <w:rPr>
          <w:sz w:val="20"/>
          <w:szCs w:val="20"/>
          <w:color w:val="auto"/>
        </w:rPr>
      </w:pPr>
    </w:p>
    <w:p>
      <w:pPr>
        <w:ind w:left="120" w:right="179" w:firstLine="350"/>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Unrestricted Subsidiary</w:t>
      </w:r>
      <w:r>
        <w:rPr>
          <w:rFonts w:ascii="Times New Roman" w:cs="Times New Roman" w:eastAsia="Times New Roman" w:hAnsi="Times New Roman"/>
          <w:sz w:val="14"/>
          <w:szCs w:val="14"/>
          <w:color w:val="auto"/>
        </w:rPr>
        <w:t>” means (a) CSC of Tacoma, LLC, GEO International Holdings, LLC, Florina Insurance Company, Inc., GEO Design Services, Inc., WCC Financial, Inc., WCC Development, Inc., GEO/FL/01, Inc., GEO/FL/02, Inc., GEO/FL/03, Inc., The GEO Group UK Ltd., The GEO Group Ltd., South African Custodial Holdings Pty. Ltd., The GEO Group Australasia Pty, Ltd., GEO Australasia Pty, Ltd., The GEO Group Australia Pty, Ltd., Australasian Correctional Investment, Ltd., Pacific Rim Employment Pty, Ltd., Canadian Correctional Management, Inc., South African Custodial Services (Louis Trichardt) Pty, Ltd., South African Custodial Management Pty, Ltd., GEO Australia Management Services Pty, Ltd., Australasian Correctional Services Pty, Ltd., Sentencing Concepts, Inc., BI Puerto Rico, Inc., BI of Australia Pty Ltd., Clearstream Development Courthouse Commons, LLC, Cypress-Spring Investments, LLC, Four Streams Investment, LLC, GEO Amey Ltd., GEO-CDR Baker, LLC, GEO FIC Holdings, LLC, GEO Healthcare Plus Pty Ltd., GEO Secure Baker, LLC, GEO/DE/MC/03 LLC, Park 19 Holdings, LLC, Patriotic Partners Inc., LLC, Premier Custodial Group Ltd., Premier Custodial Services Group Ltd., Premier Custodial Services Ltd, Premier Prison Services Ltd., Strategic Portfolio Solutions, LLC, and Strategic Portfolio Solutions San Diego, LLC; and (b) any other Subsidiary of the Company that is designated by the Board of Directors of the Company as an Unrestricted Subsidiary pursuant to a Board Resolution; and (c) any direct or indirect Subsidiary of any Subsidiary described in clauses (a) or (b).</w:t>
      </w:r>
    </w:p>
    <w:p>
      <w:pPr>
        <w:spacing w:after="0" w:line="321" w:lineRule="exact"/>
        <w:rPr>
          <w:sz w:val="20"/>
          <w:szCs w:val="20"/>
          <w:color w:val="auto"/>
        </w:rPr>
      </w:pPr>
    </w:p>
    <w:p>
      <w:pPr>
        <w:ind w:left="120" w:right="259" w:firstLine="350"/>
        <w:spacing w:after="0" w:line="274" w:lineRule="auto"/>
        <w:rPr>
          <w:sz w:val="20"/>
          <w:szCs w:val="20"/>
          <w:color w:val="auto"/>
        </w:rPr>
      </w:pPr>
      <w:r>
        <w:rPr>
          <w:rFonts w:ascii="Times New Roman" w:cs="Times New Roman" w:eastAsia="Times New Roman" w:hAnsi="Times New Roman"/>
          <w:sz w:val="14"/>
          <w:szCs w:val="14"/>
          <w:color w:val="auto"/>
        </w:rPr>
        <w:t>The Board of Directors of the Company may designate any Subsidiary of the Company (including any newly acquired or newly formed Subsidiary or a Person becoming a Subsidiary through merger, consolidation or other business combination transaction, or Investment therein) to be an Unrestricted Subsidiary only if:</w:t>
      </w:r>
    </w:p>
    <w:p>
      <w:pPr>
        <w:spacing w:after="0" w:line="49" w:lineRule="exact"/>
        <w:rPr>
          <w:sz w:val="20"/>
          <w:szCs w:val="20"/>
          <w:color w:val="auto"/>
        </w:rPr>
      </w:pPr>
    </w:p>
    <w:p>
      <w:pPr>
        <w:ind w:left="120" w:right="239" w:firstLine="357"/>
        <w:spacing w:after="0" w:line="274" w:lineRule="auto"/>
        <w:tabs>
          <w:tab w:leader="none" w:pos="672"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Subsidiary or any of its Subsidiaries does not own any Capital Stock or Indebtedness of, or own or hold any Lien on any property of, the Company or any other Subsidiary of the Company which is not a Subsidiary of the Subsidiary to be so designated or otherwise an Unrestricted Subsidiary; and</w:t>
      </w:r>
    </w:p>
    <w:p>
      <w:pPr>
        <w:spacing w:after="0" w:line="135" w:lineRule="exact"/>
        <w:rPr>
          <w:rFonts w:ascii="Times New Roman" w:cs="Times New Roman" w:eastAsia="Times New Roman" w:hAnsi="Times New Roman"/>
          <w:sz w:val="14"/>
          <w:szCs w:val="14"/>
          <w:color w:val="auto"/>
        </w:rPr>
      </w:pPr>
    </w:p>
    <w:p>
      <w:pPr>
        <w:ind w:left="120" w:right="879" w:firstLine="357"/>
        <w:spacing w:after="0" w:line="292" w:lineRule="auto"/>
        <w:tabs>
          <w:tab w:leader="none" w:pos="672"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designation and the Investment of the Company in such Subsidiary complies with the applicable provisions, if any, under any supplemental indenture hereto governing Investments.</w:t>
      </w:r>
    </w:p>
    <w:p>
      <w:pPr>
        <w:spacing w:after="0" w:line="123" w:lineRule="exact"/>
        <w:rPr>
          <w:sz w:val="20"/>
          <w:szCs w:val="20"/>
          <w:color w:val="auto"/>
        </w:rPr>
      </w:pPr>
    </w:p>
    <w:p>
      <w:pPr>
        <w:ind w:left="120" w:right="199" w:firstLine="350"/>
        <w:spacing w:after="0" w:line="259" w:lineRule="auto"/>
        <w:rPr>
          <w:sz w:val="20"/>
          <w:szCs w:val="20"/>
          <w:color w:val="auto"/>
        </w:rPr>
      </w:pPr>
      <w:r>
        <w:rPr>
          <w:rFonts w:ascii="Times New Roman" w:cs="Times New Roman" w:eastAsia="Times New Roman" w:hAnsi="Times New Roman"/>
          <w:sz w:val="14"/>
          <w:szCs w:val="14"/>
          <w:color w:val="auto"/>
        </w:rPr>
        <w:t xml:space="preserve">Any designation of a Subsidiary of the Company as an Unrestricted Subsidiary will be evidenced to the Trustee by filing with the Trustee a certified copy of the Board Resolution giving effect to such designation and an Officers’ Certificate certifying that such designation complied with the preceding conditions and was permitted hereunder, including pursuant to any applicable provisions, if any, under any supplemental indenture hereto governing Investments. If, at any time, any Unrestricted Subsidiary would fail to meet the preceding requirements as an Unrestricted Subsidiary, it shall thereafter cease to be an Unrestricted Subsidiary for purposes of this Indenture and any Indebtedness of such Subsidiary shall be deemed to be incurred by a Restricted Subsidiary of the Company as of such date and, if such Indebtedness is not permitted to be incurred as of such date under the applicable provisions, if any, under any supplemental indenture hereto, the Company will be in default of such provisions, if any. The Board of Directors of the Company may at any time designate any Unrestricted Subsidiary to be a Restricted Subsidiary;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such designation will be deemed to be an incurrence of Indebtedness by a Restricted Subsidiary of the Company of any outstanding Indebtedness of such Unrestricted Subsidiary and such designation will only be permitted if (1) such Indebtedness is permitted under any applicable provisions of any supplemental indenture hereto, calculated on a pro forma basis as if such designation had occurred at the beginning of the four-quarter reference period; and (2) no Default or Event of Default would be in existence following such designation.</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243" w:right="1440" w:bottom="1440" w:gutter="0" w:footer="0" w:header="0"/>
        </w:sectPr>
      </w:pPr>
    </w:p>
    <w:bookmarkStart w:id="130" w:name="page131"/>
    <w:bookmarkEnd w:id="130"/>
    <w:p>
      <w:pPr>
        <w:ind w:left="120" w:right="219" w:firstLine="350"/>
        <w:spacing w:after="0" w:line="29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4">
                      <a:extLst>
                        <a:ext uri="{28A0092B-C50C-407E-A947-70E740481C1C}"/>
                      </a:extLst>
                    </a:blip>
                    <a:srcRect/>
                    <a:stretch>
                      <a:fillRect/>
                    </a:stretch>
                  </pic:blipFill>
                  <pic:spPr bwMode="auto">
                    <a:xfrm>
                      <a:off x="0" y="0"/>
                      <a:ext cx="7199630" cy="33020"/>
                    </a:xfrm>
                    <a:prstGeom prst="rect">
                      <a:avLst/>
                    </a:prstGeom>
                    <a:noFill/>
                  </pic:spPr>
                </pic:pic>
              </a:graphicData>
            </a:graphic>
          </wp:anchor>
        </w:drawing>
        <w:t>“</w:t>
      </w:r>
      <w:r>
        <w:rPr>
          <w:rFonts w:ascii="Times New Roman" w:cs="Times New Roman" w:eastAsia="Times New Roman" w:hAnsi="Times New Roman"/>
          <w:sz w:val="14"/>
          <w:szCs w:val="14"/>
          <w:u w:val="single" w:color="auto"/>
          <w:color w:val="auto"/>
        </w:rPr>
        <w:t>Voting Stock</w:t>
      </w:r>
      <w:r>
        <w:rPr>
          <w:rFonts w:ascii="Times New Roman" w:cs="Times New Roman" w:eastAsia="Times New Roman" w:hAnsi="Times New Roman"/>
          <w:sz w:val="14"/>
          <w:szCs w:val="14"/>
          <w:color w:val="auto"/>
        </w:rPr>
        <w:t>” of any Person as of any date means the Capital Stock of such Person that is at the time entitled to vote in the election of the Board of Directors of such Person.</w:t>
      </w:r>
    </w:p>
    <w:p>
      <w:pPr>
        <w:spacing w:after="0" w:line="1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1.02 </w:t>
      </w:r>
      <w:r>
        <w:rPr>
          <w:rFonts w:ascii="Times New Roman" w:cs="Times New Roman" w:eastAsia="Times New Roman" w:hAnsi="Times New Roman"/>
          <w:sz w:val="14"/>
          <w:szCs w:val="14"/>
          <w:u w:val="single" w:color="auto"/>
          <w:color w:val="auto"/>
        </w:rPr>
        <w:t>OTHER DEFINITIONS.</w:t>
      </w:r>
    </w:p>
    <w:p>
      <w:pPr>
        <w:spacing w:after="0" w:line="193" w:lineRule="exact"/>
        <w:rPr>
          <w:sz w:val="20"/>
          <w:szCs w:val="20"/>
          <w:color w:val="auto"/>
        </w:rPr>
      </w:pPr>
    </w:p>
    <w:tbl>
      <w:tblPr>
        <w:tblLayout w:type="fixed"/>
        <w:tblInd w:w="1540" w:type="dxa"/>
        <w:tblCellMar>
          <w:top w:w="0" w:type="dxa"/>
          <w:left w:w="0" w:type="dxa"/>
          <w:bottom w:w="0" w:type="dxa"/>
          <w:right w:w="0" w:type="dxa"/>
        </w:tblCellMar>
      </w:tblPr>
      <w:tr>
        <w:trPr>
          <w:trHeight w:val="126"/>
        </w:trPr>
        <w:tc>
          <w:tcPr>
            <w:tcW w:w="32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w w:val="98"/>
              </w:rPr>
              <w:t>TERM</w:t>
            </w:r>
          </w:p>
        </w:tc>
        <w:tc>
          <w:tcPr>
            <w:tcW w:w="3220" w:type="dxa"/>
            <w:vAlign w:val="bottom"/>
            <w:vMerge w:val="restart"/>
          </w:tcPr>
          <w:p>
            <w:pPr>
              <w:spacing w:after="0"/>
              <w:rPr>
                <w:sz w:val="11"/>
                <w:szCs w:val="11"/>
                <w:color w:val="auto"/>
              </w:rPr>
            </w:pPr>
          </w:p>
        </w:tc>
        <w:tc>
          <w:tcPr>
            <w:tcW w:w="2400" w:type="dxa"/>
            <w:vAlign w:val="bottom"/>
            <w:gridSpan w:val="3"/>
          </w:tcPr>
          <w:p>
            <w:pPr>
              <w:jc w:val="center"/>
              <w:ind w:left="1610"/>
              <w:spacing w:after="0"/>
              <w:rPr>
                <w:sz w:val="20"/>
                <w:szCs w:val="20"/>
                <w:color w:val="auto"/>
              </w:rPr>
            </w:pPr>
            <w:r>
              <w:rPr>
                <w:rFonts w:ascii="Times New Roman" w:cs="Times New Roman" w:eastAsia="Times New Roman" w:hAnsi="Times New Roman"/>
                <w:sz w:val="11"/>
                <w:szCs w:val="11"/>
                <w:color w:val="auto"/>
              </w:rPr>
              <w:t>DEFINED IN</w:t>
            </w:r>
          </w:p>
        </w:tc>
        <w:tc>
          <w:tcPr>
            <w:tcW w:w="0" w:type="dxa"/>
            <w:vAlign w:val="bottom"/>
          </w:tcPr>
          <w:p>
            <w:pPr>
              <w:spacing w:after="0"/>
              <w:rPr>
                <w:sz w:val="1"/>
                <w:szCs w:val="1"/>
                <w:color w:val="auto"/>
              </w:rPr>
            </w:pPr>
          </w:p>
        </w:tc>
      </w:tr>
      <w:tr>
        <w:trPr>
          <w:trHeight w:val="145"/>
        </w:trPr>
        <w:tc>
          <w:tcPr>
            <w:tcW w:w="320" w:type="dxa"/>
            <w:vAlign w:val="bottom"/>
            <w:tcBorders>
              <w:bottom w:val="single" w:sz="8" w:color="auto"/>
            </w:tcBorders>
            <w:vMerge w:val="continue"/>
          </w:tcPr>
          <w:p>
            <w:pPr>
              <w:spacing w:after="0"/>
              <w:rPr>
                <w:sz w:val="12"/>
                <w:szCs w:val="12"/>
                <w:color w:val="auto"/>
              </w:rPr>
            </w:pPr>
          </w:p>
        </w:tc>
        <w:tc>
          <w:tcPr>
            <w:tcW w:w="3220" w:type="dxa"/>
            <w:vAlign w:val="bottom"/>
            <w:vMerge w:val="continue"/>
          </w:tcPr>
          <w:p>
            <w:pPr>
              <w:spacing w:after="0"/>
              <w:rPr>
                <w:sz w:val="12"/>
                <w:szCs w:val="12"/>
                <w:color w:val="auto"/>
              </w:rPr>
            </w:pPr>
          </w:p>
        </w:tc>
        <w:tc>
          <w:tcPr>
            <w:tcW w:w="1720" w:type="dxa"/>
            <w:vAlign w:val="bottom"/>
          </w:tcPr>
          <w:p>
            <w:pPr>
              <w:spacing w:after="0"/>
              <w:rPr>
                <w:sz w:val="12"/>
                <w:szCs w:val="12"/>
                <w:color w:val="auto"/>
              </w:rPr>
            </w:pPr>
          </w:p>
        </w:tc>
        <w:tc>
          <w:tcPr>
            <w:tcW w:w="680" w:type="dxa"/>
            <w:vAlign w:val="bottom"/>
            <w:gridSpan w:val="2"/>
          </w:tcPr>
          <w:p>
            <w:pPr>
              <w:jc w:val="center"/>
              <w:ind w:right="60"/>
              <w:spacing w:after="0" w:line="125" w:lineRule="exact"/>
              <w:rPr>
                <w:sz w:val="20"/>
                <w:szCs w:val="20"/>
                <w:color w:val="auto"/>
              </w:rPr>
            </w:pPr>
            <w:r>
              <w:rPr>
                <w:rFonts w:ascii="Times New Roman" w:cs="Times New Roman" w:eastAsia="Times New Roman" w:hAnsi="Times New Roman"/>
                <w:sz w:val="11"/>
                <w:szCs w:val="11"/>
                <w:color w:val="auto"/>
              </w:rPr>
              <w:t>SECTION</w:t>
            </w:r>
          </w:p>
        </w:tc>
        <w:tc>
          <w:tcPr>
            <w:tcW w:w="0" w:type="dxa"/>
            <w:vAlign w:val="bottom"/>
          </w:tcPr>
          <w:p>
            <w:pPr>
              <w:spacing w:after="0"/>
              <w:rPr>
                <w:sz w:val="1"/>
                <w:szCs w:val="1"/>
                <w:color w:val="auto"/>
              </w:rPr>
            </w:pPr>
          </w:p>
        </w:tc>
      </w:tr>
      <w:tr>
        <w:trPr>
          <w:trHeight w:val="153"/>
        </w:trPr>
        <w:tc>
          <w:tcPr>
            <w:tcW w:w="3540" w:type="dxa"/>
            <w:vAlign w:val="bottom"/>
            <w:tcBorders>
              <w:top w:val="single" w:sz="8" w:color="CCEEFF"/>
            </w:tcBorders>
            <w:gridSpan w:val="2"/>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“Act”</w:t>
            </w:r>
          </w:p>
        </w:tc>
        <w:tc>
          <w:tcPr>
            <w:tcW w:w="172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spacing w:after="0" w:line="153" w:lineRule="exact"/>
              <w:rPr>
                <w:sz w:val="20"/>
                <w:szCs w:val="20"/>
                <w:color w:val="auto"/>
              </w:rPr>
            </w:pPr>
            <w:r>
              <w:rPr>
                <w:rFonts w:ascii="Times New Roman" w:cs="Times New Roman" w:eastAsia="Times New Roman" w:hAnsi="Times New Roman"/>
                <w:sz w:val="14"/>
                <w:szCs w:val="14"/>
                <w:color w:val="auto"/>
              </w:rPr>
              <w:t>1.05</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“Agent Members”</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“Authenticating Agent”</w:t>
            </w:r>
          </w:p>
        </w:tc>
        <w:tc>
          <w:tcPr>
            <w:tcW w:w="2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“CUSIP”</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“Defaulted Interest”</w:t>
            </w:r>
          </w:p>
        </w:tc>
        <w:tc>
          <w:tcPr>
            <w:tcW w:w="2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“Defeased Securities”</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“Guarantor”</w:t>
            </w:r>
          </w:p>
        </w:tc>
        <w:tc>
          <w:tcPr>
            <w:tcW w:w="2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13.01</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“Indemnitees”</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6.07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“Security Register”</w:t>
            </w:r>
          </w:p>
        </w:tc>
        <w:tc>
          <w:tcPr>
            <w:tcW w:w="2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“Security Registrar”</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“Special Payment Date”</w:t>
            </w:r>
          </w:p>
        </w:tc>
        <w:tc>
          <w:tcPr>
            <w:tcW w:w="2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“Successor Company”</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8.01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“U.S. Government Obligations”</w:t>
            </w:r>
          </w:p>
        </w:tc>
        <w:tc>
          <w:tcPr>
            <w:tcW w:w="2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1.03 </w:t>
      </w:r>
      <w:r>
        <w:rPr>
          <w:rFonts w:ascii="Times New Roman" w:cs="Times New Roman" w:eastAsia="Times New Roman" w:hAnsi="Times New Roman"/>
          <w:sz w:val="14"/>
          <w:szCs w:val="14"/>
          <w:u w:val="single" w:color="auto"/>
          <w:color w:val="auto"/>
        </w:rPr>
        <w:t>COMPLIANCE CERTIFICATES AND OPINIONS.</w:t>
      </w:r>
    </w:p>
    <w:p>
      <w:pPr>
        <w:spacing w:after="0" w:line="182" w:lineRule="exact"/>
        <w:rPr>
          <w:sz w:val="20"/>
          <w:szCs w:val="20"/>
          <w:color w:val="auto"/>
        </w:rPr>
      </w:pPr>
    </w:p>
    <w:p>
      <w:pPr>
        <w:ind w:left="120" w:right="179" w:firstLine="350"/>
        <w:spacing w:after="0" w:line="263" w:lineRule="auto"/>
        <w:rPr>
          <w:sz w:val="20"/>
          <w:szCs w:val="20"/>
          <w:color w:val="auto"/>
        </w:rPr>
      </w:pPr>
      <w:r>
        <w:rPr>
          <w:rFonts w:ascii="Times New Roman" w:cs="Times New Roman" w:eastAsia="Times New Roman" w:hAnsi="Times New Roman"/>
          <w:sz w:val="14"/>
          <w:szCs w:val="14"/>
          <w:color w:val="auto"/>
        </w:rPr>
        <w:t>Upon any application or request by the Company to the Trustee to take any action under any provision of this Indenture, the Trustee shall be entitled to receive an Officers’ Certificate and an Opinion of Counsel in a form and substance reasonably acceptable to the Trustee, each stating that all conditions precedent, if any, provided for in this Indenture (including any covenant compliance with which constitutes a condition precedent) relating to the proposed action have been complied with, except that, in the case of any such application or request as to which the furnishing of such certificates or opinions is specifically required by any provision of this Indenture relating to such particular application or request, no additional certificate or opinion need be furnished.</w:t>
      </w:r>
    </w:p>
    <w:p>
      <w:pPr>
        <w:spacing w:after="0" w:line="1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Every certificate or opinion with respect to compliance with a condition or covenant provided for in this Indenture shall include:</w:t>
      </w:r>
    </w:p>
    <w:p>
      <w:pPr>
        <w:spacing w:after="0" w:line="97" w:lineRule="exact"/>
        <w:rPr>
          <w:sz w:val="20"/>
          <w:szCs w:val="20"/>
          <w:color w:val="auto"/>
        </w:rPr>
      </w:pPr>
    </w:p>
    <w:p>
      <w:pPr>
        <w:ind w:left="120" w:right="199" w:firstLine="357"/>
        <w:spacing w:after="0" w:line="292" w:lineRule="auto"/>
        <w:tabs>
          <w:tab w:leader="none" w:pos="664"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statement that each individual signing such certificate or individual or firm signing such opinion has read such covenant or condition and the definitions herein relating thereto;</w:t>
      </w:r>
    </w:p>
    <w:p>
      <w:pPr>
        <w:spacing w:after="0" w:line="123" w:lineRule="exact"/>
        <w:rPr>
          <w:rFonts w:ascii="Times New Roman" w:cs="Times New Roman" w:eastAsia="Times New Roman" w:hAnsi="Times New Roman"/>
          <w:sz w:val="14"/>
          <w:szCs w:val="14"/>
          <w:color w:val="auto"/>
        </w:rPr>
      </w:pPr>
    </w:p>
    <w:p>
      <w:pPr>
        <w:ind w:left="120" w:right="559" w:firstLine="357"/>
        <w:spacing w:after="0" w:line="292" w:lineRule="auto"/>
        <w:tabs>
          <w:tab w:leader="none" w:pos="672"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brief statement as to the nature and scope of the examination or investigation upon which the statements or opinions contained in such certificate or opinion are based;</w:t>
      </w:r>
    </w:p>
    <w:p>
      <w:pPr>
        <w:spacing w:after="0" w:line="123" w:lineRule="exact"/>
        <w:rPr>
          <w:rFonts w:ascii="Times New Roman" w:cs="Times New Roman" w:eastAsia="Times New Roman" w:hAnsi="Times New Roman"/>
          <w:sz w:val="14"/>
          <w:szCs w:val="14"/>
          <w:color w:val="auto"/>
        </w:rPr>
      </w:pPr>
    </w:p>
    <w:p>
      <w:pPr>
        <w:ind w:left="120" w:right="439" w:firstLine="357"/>
        <w:spacing w:after="0" w:line="292" w:lineRule="auto"/>
        <w:tabs>
          <w:tab w:leader="none" w:pos="664"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statement that, in the opinion of each such individual or such firm, he or it has made such examination or investigation as is necessary to enable him or it to express an informed opinion as to whether or not such covenant or condition has been complied with; and</w:t>
      </w:r>
    </w:p>
    <w:p>
      <w:pPr>
        <w:spacing w:after="0" w:line="123" w:lineRule="exact"/>
        <w:rPr>
          <w:rFonts w:ascii="Times New Roman" w:cs="Times New Roman" w:eastAsia="Times New Roman" w:hAnsi="Times New Roman"/>
          <w:sz w:val="14"/>
          <w:szCs w:val="14"/>
          <w:color w:val="auto"/>
        </w:rPr>
      </w:pPr>
    </w:p>
    <w:p>
      <w:pPr>
        <w:ind w:left="680" w:hanging="203"/>
        <w:spacing w:after="0"/>
        <w:tabs>
          <w:tab w:leader="none" w:pos="68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statement as to whether, in the opinion of each such individual or such firm, such condition or covenant has been complied with.</w:t>
      </w:r>
    </w:p>
    <w:p>
      <w:pPr>
        <w:spacing w:after="0" w:line="1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1.04 </w:t>
      </w:r>
      <w:r>
        <w:rPr>
          <w:rFonts w:ascii="Times New Roman" w:cs="Times New Roman" w:eastAsia="Times New Roman" w:hAnsi="Times New Roman"/>
          <w:sz w:val="14"/>
          <w:szCs w:val="14"/>
          <w:u w:val="single" w:color="auto"/>
          <w:color w:val="auto"/>
        </w:rPr>
        <w:t>FORM OF DOCUMENTS DELIVERED TO TRUSTEE.</w:t>
      </w:r>
    </w:p>
    <w:p>
      <w:pPr>
        <w:spacing w:after="0" w:line="182" w:lineRule="exact"/>
        <w:rPr>
          <w:sz w:val="20"/>
          <w:szCs w:val="20"/>
          <w:color w:val="auto"/>
        </w:rPr>
      </w:pPr>
    </w:p>
    <w:p>
      <w:pPr>
        <w:ind w:left="120" w:right="159" w:firstLine="350"/>
        <w:spacing w:after="0" w:line="268" w:lineRule="auto"/>
        <w:rPr>
          <w:sz w:val="20"/>
          <w:szCs w:val="20"/>
          <w:color w:val="auto"/>
        </w:rPr>
      </w:pPr>
      <w:r>
        <w:rPr>
          <w:rFonts w:ascii="Times New Roman" w:cs="Times New Roman" w:eastAsia="Times New Roman" w:hAnsi="Times New Roman"/>
          <w:sz w:val="14"/>
          <w:szCs w:val="14"/>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9019"/>
          </w:cols>
          <w:pgMar w:left="1440" w:top="243" w:right="1440" w:bottom="1440" w:gutter="0" w:footer="0" w:header="0"/>
        </w:sectPr>
      </w:pPr>
    </w:p>
    <w:bookmarkStart w:id="131" w:name="page132"/>
    <w:bookmarkEnd w:id="131"/>
    <w:p>
      <w:pPr>
        <w:ind w:left="120" w:right="199" w:firstLine="350"/>
        <w:spacing w:after="0" w:line="26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5">
                      <a:extLst>
                        <a:ext uri="{28A0092B-C50C-407E-A947-70E740481C1C}"/>
                      </a:extLst>
                    </a:blip>
                    <a:srcRect/>
                    <a:stretch>
                      <a:fillRect/>
                    </a:stretch>
                  </pic:blipFill>
                  <pic:spPr bwMode="auto">
                    <a:xfrm>
                      <a:off x="0" y="0"/>
                      <a:ext cx="7199630" cy="33020"/>
                    </a:xfrm>
                    <a:prstGeom prst="rect">
                      <a:avLst/>
                    </a:prstGeom>
                    <a:noFill/>
                  </pic:spPr>
                </pic:pic>
              </a:graphicData>
            </a:graphic>
          </wp:anchor>
        </w:drawing>
        <w:t>Any certificate of an Officer of the Company or other obligor on the Securities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certificate or opinion is based are erroneous. Any such certificate or opinion may be based, insofar as it relates to factual matters, upon a certificate or opinion of, or representations by, an Officer or Officers of the Company or other obligor on the Securities stating that the information with respect to such factual matters is in the possession of the Company or other obligor on the Securities, unless such Officer or counsel knows, or in the exercise of reasonable care should know, that the certificate or opinion or representations with respect to such matters are erroneous. Opinions of Counsel required to be delivered to the Trustee may have qualifications customary for opinions of the type required and counsel delivering such Opinions of Counsel may rely on certificates of the Company or government or other officials customary for opinions of the type required, including certificates certifying as to matters of fact, including that various financial covenants have been complied with.</w:t>
      </w:r>
    </w:p>
    <w:p>
      <w:pPr>
        <w:spacing w:after="0" w:line="319" w:lineRule="exact"/>
        <w:rPr>
          <w:sz w:val="20"/>
          <w:szCs w:val="20"/>
          <w:color w:val="auto"/>
        </w:rPr>
      </w:pPr>
    </w:p>
    <w:p>
      <w:pPr>
        <w:ind w:left="120" w:right="139" w:firstLine="350"/>
        <w:spacing w:after="0" w:line="265" w:lineRule="auto"/>
        <w:rPr>
          <w:sz w:val="20"/>
          <w:szCs w:val="20"/>
          <w:color w:val="auto"/>
        </w:rPr>
      </w:pPr>
      <w:r>
        <w:rPr>
          <w:rFonts w:ascii="Times New Roman" w:cs="Times New Roman" w:eastAsia="Times New Roman" w:hAnsi="Times New Roman"/>
          <w:sz w:val="14"/>
          <w:szCs w:val="14"/>
          <w:color w:val="auto"/>
        </w:rPr>
        <w:t>Any certificate or opinion of an Officer of the Company or other obligor on the Securities may be based, insofar as it relates to accounting matters, upon a certificate or opinion of, or representations by, an accountant or firm of accountants in the employ of the Company, unless such Officer knows, or in the exercise of reasonable care should know, that the certificate or opinion or representations with respect to the accounting matters upon which his certificate or opinion may be based are erroneous. Any certificate or opinion of any independent firm of public accountants filed with the Trustee shall contain a statement that such firm is independent with respect to the Company.</w:t>
      </w:r>
    </w:p>
    <w:p>
      <w:pPr>
        <w:spacing w:after="0" w:line="141" w:lineRule="exact"/>
        <w:rPr>
          <w:sz w:val="20"/>
          <w:szCs w:val="20"/>
          <w:color w:val="auto"/>
        </w:rPr>
      </w:pPr>
    </w:p>
    <w:p>
      <w:pPr>
        <w:ind w:left="120" w:right="419" w:firstLine="350"/>
        <w:spacing w:after="0" w:line="292" w:lineRule="auto"/>
        <w:rPr>
          <w:sz w:val="20"/>
          <w:szCs w:val="20"/>
          <w:color w:val="auto"/>
        </w:rPr>
      </w:pPr>
      <w:r>
        <w:rPr>
          <w:rFonts w:ascii="Times New Roman" w:cs="Times New Roman" w:eastAsia="Times New Roman" w:hAnsi="Times New Roman"/>
          <w:sz w:val="14"/>
          <w:szCs w:val="14"/>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1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1.05 </w:t>
      </w:r>
      <w:r>
        <w:rPr>
          <w:rFonts w:ascii="Times New Roman" w:cs="Times New Roman" w:eastAsia="Times New Roman" w:hAnsi="Times New Roman"/>
          <w:sz w:val="14"/>
          <w:szCs w:val="14"/>
          <w:u w:val="single" w:color="auto"/>
          <w:color w:val="auto"/>
        </w:rPr>
        <w:t>ACTS OF HOLDERS.</w:t>
      </w:r>
    </w:p>
    <w:p>
      <w:pPr>
        <w:spacing w:after="0" w:line="182" w:lineRule="exact"/>
        <w:rPr>
          <w:sz w:val="20"/>
          <w:szCs w:val="20"/>
          <w:color w:val="auto"/>
        </w:rPr>
      </w:pPr>
    </w:p>
    <w:p>
      <w:pPr>
        <w:ind w:left="120" w:right="219" w:firstLine="357"/>
        <w:spacing w:after="0" w:line="261" w:lineRule="auto"/>
        <w:tabs>
          <w:tab w:leader="none" w:pos="657"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request, demand, authorization, direction, notice, consent, waiver or other action provided by this Indenture to be given or taken by Holders of the Outstanding Securities of all series or one or more series, as the case may be, may be embodied in and evidenced by one or more instruments of substantially similar tenor signed by such Holders in person or by an agent duly appointed in writing; and, except as herein otherwise expressly provided, such action shall become effective when such instrument or instruments are delivered to the Trustee and, where it is hereby expressly required, to the Company. Such instrument or instruments (and the action embodied therein and evidenced thereby) are herein sometimes referred to as the “</w:t>
      </w:r>
      <w:r>
        <w:rPr>
          <w:rFonts w:ascii="Times New Roman" w:cs="Times New Roman" w:eastAsia="Times New Roman" w:hAnsi="Times New Roman"/>
          <w:sz w:val="14"/>
          <w:szCs w:val="14"/>
          <w:u w:val="single" w:color="auto"/>
          <w:color w:val="auto"/>
        </w:rPr>
        <w:t>Act</w:t>
      </w:r>
      <w:r>
        <w:rPr>
          <w:rFonts w:ascii="Times New Roman" w:cs="Times New Roman" w:eastAsia="Times New Roman" w:hAnsi="Times New Roman"/>
          <w:sz w:val="14"/>
          <w:szCs w:val="14"/>
          <w:color w:val="auto"/>
        </w:rPr>
        <w:t xml:space="preserve">” of the Holders signing such instrument or instruments. Proof of execution of any such instrument or of a writing appointing any such agent shall be sufficient for any purpose of this Indenture and conclusive in favor of the Trustee and the Company, if made in the manner provided in this </w:t>
      </w:r>
      <w:r>
        <w:rPr>
          <w:rFonts w:ascii="Times New Roman" w:cs="Times New Roman" w:eastAsia="Times New Roman" w:hAnsi="Times New Roman"/>
          <w:sz w:val="14"/>
          <w:szCs w:val="14"/>
          <w:u w:val="single" w:color="auto"/>
          <w:color w:val="auto"/>
        </w:rPr>
        <w:t>Section 1.05</w:t>
      </w:r>
      <w:r>
        <w:rPr>
          <w:rFonts w:ascii="Times New Roman" w:cs="Times New Roman" w:eastAsia="Times New Roman" w:hAnsi="Times New Roman"/>
          <w:sz w:val="14"/>
          <w:szCs w:val="14"/>
          <w:color w:val="auto"/>
        </w:rPr>
        <w:t>.</w:t>
      </w:r>
    </w:p>
    <w:p>
      <w:pPr>
        <w:spacing w:after="0" w:line="319" w:lineRule="exact"/>
        <w:rPr>
          <w:rFonts w:ascii="Times New Roman" w:cs="Times New Roman" w:eastAsia="Times New Roman" w:hAnsi="Times New Roman"/>
          <w:sz w:val="14"/>
          <w:szCs w:val="14"/>
          <w:color w:val="auto"/>
        </w:rPr>
      </w:pPr>
    </w:p>
    <w:p>
      <w:pPr>
        <w:ind w:left="680" w:hanging="203"/>
        <w:spacing w:after="0"/>
        <w:tabs>
          <w:tab w:leader="none" w:pos="68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ownership of Securities shall be proved by the Security Register.</w:t>
      </w:r>
    </w:p>
    <w:p>
      <w:pPr>
        <w:spacing w:after="0" w:line="182" w:lineRule="exact"/>
        <w:rPr>
          <w:rFonts w:ascii="Times New Roman" w:cs="Times New Roman" w:eastAsia="Times New Roman" w:hAnsi="Times New Roman"/>
          <w:sz w:val="14"/>
          <w:szCs w:val="14"/>
          <w:color w:val="auto"/>
        </w:rPr>
      </w:pPr>
    </w:p>
    <w:p>
      <w:pPr>
        <w:ind w:left="120" w:right="399" w:firstLine="357"/>
        <w:spacing w:after="0" w:line="268" w:lineRule="auto"/>
        <w:tabs>
          <w:tab w:leader="none" w:pos="664"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request, demand, authorization, direction, notice, consent, waiver or other Act by the Holder of any Security shall bind every future Holder of the same Security and the Holder of every Security issued upon the transfer thereof or in exchange therefor or in lieu thereof, in respect of anything done, suffered or omitted to be done by the Trustee, any Paying Agent or the Company or any other obligor of the Securities in reliance thereon, whether or not notation of such action is made upon such Security.</w:t>
      </w:r>
    </w:p>
    <w:p>
      <w:pPr>
        <w:spacing w:after="0" w:line="139" w:lineRule="exact"/>
        <w:rPr>
          <w:rFonts w:ascii="Times New Roman" w:cs="Times New Roman" w:eastAsia="Times New Roman" w:hAnsi="Times New Roman"/>
          <w:sz w:val="14"/>
          <w:szCs w:val="14"/>
          <w:color w:val="auto"/>
        </w:rPr>
      </w:pPr>
    </w:p>
    <w:p>
      <w:pPr>
        <w:ind w:left="120" w:right="319" w:firstLine="357"/>
        <w:spacing w:after="0" w:line="265" w:lineRule="auto"/>
        <w:tabs>
          <w:tab w:leader="none" w:pos="672"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the execution thereof. Where such execution is by a signer acting in a capacity other than his individual capacity, such certificate or affidavit shall also constitute sufficient proof of his authority. The fact and date of the execution of any such instrument or writing, or the authority of the Person executing the same, may also be proved in any other manner which the Trustee deems sufficient.</w:t>
      </w:r>
    </w:p>
    <w:p>
      <w:pPr>
        <w:spacing w:after="0" w:line="141" w:lineRule="exact"/>
        <w:rPr>
          <w:rFonts w:ascii="Times New Roman" w:cs="Times New Roman" w:eastAsia="Times New Roman" w:hAnsi="Times New Roman"/>
          <w:sz w:val="14"/>
          <w:szCs w:val="14"/>
          <w:color w:val="auto"/>
        </w:rPr>
      </w:pPr>
    </w:p>
    <w:p>
      <w:pPr>
        <w:ind w:left="120" w:right="179" w:firstLine="357"/>
        <w:spacing w:after="0" w:line="264" w:lineRule="auto"/>
        <w:tabs>
          <w:tab w:leader="none" w:pos="664"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Company shall solicit from the Holders any request, demand, authorization, direction, notice, consent, waiver or other Act, the Company may, at its option, by or pursuant to a Board Resolution, fix in advance a record date for the determination of such Holders entitled to give such request, demand, authorization, direction, notice, consent, waiver or other Act, but the Company shall have no obligation to do so. Notwithstanding Trust Indenture Act Section 316(c), any such record date shall be the record date specified in or pursuant to such Board Resolution, which shall be a date not more than 30 days prior to the first solicitation of Holders generally in connection therewith and no later than the date such first solicitation is completed.</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9019"/>
          </w:cols>
          <w:pgMar w:left="1440" w:top="243" w:right="1440" w:bottom="1440" w:gutter="0" w:footer="0" w:header="0"/>
        </w:sectPr>
      </w:pPr>
    </w:p>
    <w:bookmarkStart w:id="132" w:name="page133"/>
    <w:bookmarkEnd w:id="132"/>
    <w:p>
      <w:pPr>
        <w:ind w:left="120" w:right="259" w:firstLine="350"/>
        <w:spacing w:after="0" w:line="26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6">
                      <a:extLst>
                        <a:ext uri="{28A0092B-C50C-407E-A947-70E740481C1C}"/>
                      </a:extLst>
                    </a:blip>
                    <a:srcRect/>
                    <a:stretch>
                      <a:fillRect/>
                    </a:stretch>
                  </pic:blipFill>
                  <pic:spPr bwMode="auto">
                    <a:xfrm>
                      <a:off x="0" y="0"/>
                      <a:ext cx="7199630" cy="33020"/>
                    </a:xfrm>
                    <a:prstGeom prst="rect">
                      <a:avLst/>
                    </a:prstGeom>
                    <a:noFill/>
                  </pic:spPr>
                </pic:pic>
              </a:graphicData>
            </a:graphic>
          </wp:anchor>
        </w:drawing>
        <w:t>If such a record date is fixed, such request, demand, authorization, direction, notice, consent, waiver or other Act may be given before or after such record date, but only the Holders of record at the close of business on such record date shall be deemed to be Holders for purposes of determining whether Holders of the requisite proportion of Securities then Outstanding have authorized or agreed or consented to such request, demand, authorization, direction, notice, consent, waiver or other Act, and for this purpose the Securities then Outstanding shall be computed as of such record date; provided that no such request, demand, authorization, direction, notice, consent, waiver or other Act by the Holders on such record date shall be deemed effective unless it shall become effective pursuant to the provisions of this Indenture not later than ninety (90) days after such record date.</w:t>
      </w:r>
    </w:p>
    <w:p>
      <w:pPr>
        <w:spacing w:after="0" w:line="143" w:lineRule="exact"/>
        <w:rPr>
          <w:sz w:val="20"/>
          <w:szCs w:val="20"/>
          <w:color w:val="auto"/>
        </w:rPr>
      </w:pPr>
    </w:p>
    <w:p>
      <w:pPr>
        <w:ind w:left="120" w:right="439" w:firstLine="357"/>
        <w:spacing w:after="0" w:line="292" w:lineRule="auto"/>
        <w:tabs>
          <w:tab w:leader="none" w:pos="649"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this Indenture, any action by the Holders which may be taken in writing may be taken by electronic means or as otherwise reasonably acceptable to the Trustee.</w:t>
      </w:r>
    </w:p>
    <w:p>
      <w:pPr>
        <w:spacing w:after="0" w:line="1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1.06 </w:t>
      </w:r>
      <w:r>
        <w:rPr>
          <w:rFonts w:ascii="Times New Roman" w:cs="Times New Roman" w:eastAsia="Times New Roman" w:hAnsi="Times New Roman"/>
          <w:sz w:val="14"/>
          <w:szCs w:val="14"/>
          <w:u w:val="single" w:color="auto"/>
          <w:color w:val="auto"/>
        </w:rPr>
        <w:t>NOTICES, ETC., TO THE TRUSTEE, THE COMPANY.</w:t>
      </w:r>
    </w:p>
    <w:p>
      <w:pPr>
        <w:spacing w:after="0" w:line="1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Any request, demand, authorization, direction, notice, consent, waiver or Act of Holders or other document provided or permitted by this</w:t>
      </w:r>
    </w:p>
    <w:p>
      <w:pPr>
        <w:spacing w:after="0" w:line="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Indenture to be made upon, given or furnished to, or filed with:</w:t>
      </w:r>
    </w:p>
    <w:p>
      <w:pPr>
        <w:spacing w:after="0" w:line="83" w:lineRule="exact"/>
        <w:rPr>
          <w:sz w:val="20"/>
          <w:szCs w:val="20"/>
          <w:color w:val="auto"/>
        </w:rPr>
      </w:pPr>
    </w:p>
    <w:p>
      <w:pPr>
        <w:ind w:left="120" w:right="159" w:firstLine="357"/>
        <w:spacing w:after="0" w:line="265" w:lineRule="auto"/>
        <w:tabs>
          <w:tab w:leader="none" w:pos="664"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Trustee by any Holder or by the Company or any other obligor on the Securities shall be sufficient for every purpose (except as provided in </w:t>
      </w:r>
      <w:r>
        <w:rPr>
          <w:rFonts w:ascii="Times New Roman" w:cs="Times New Roman" w:eastAsia="Times New Roman" w:hAnsi="Times New Roman"/>
          <w:sz w:val="14"/>
          <w:szCs w:val="14"/>
          <w:u w:val="single" w:color="auto"/>
          <w:color w:val="auto"/>
        </w:rPr>
        <w:t>Section 5.01(c)</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(d)</w:t>
      </w:r>
      <w:r>
        <w:rPr>
          <w:rFonts w:ascii="Times New Roman" w:cs="Times New Roman" w:eastAsia="Times New Roman" w:hAnsi="Times New Roman"/>
          <w:sz w:val="14"/>
          <w:szCs w:val="14"/>
          <w:color w:val="auto"/>
        </w:rPr>
        <w:t>, in which case, the notice shall be delivered by certified mail) hereunder if in writing and mailed, first-class postage prepaid, or delivered by recognized overnight courier, to or with the Trustee at its Corporate Trust Office, Attention: Corporate Trust Services, or at any other address previously furnished in writing to the Holders or the Company, or any other obligor on the Securities by the Trustee and shall be deemed given upon actual receipt by the Trustee; or</w:t>
      </w:r>
    </w:p>
    <w:p>
      <w:pPr>
        <w:spacing w:after="0" w:line="141" w:lineRule="exact"/>
        <w:rPr>
          <w:rFonts w:ascii="Times New Roman" w:cs="Times New Roman" w:eastAsia="Times New Roman" w:hAnsi="Times New Roman"/>
          <w:sz w:val="14"/>
          <w:szCs w:val="14"/>
          <w:color w:val="auto"/>
        </w:rPr>
      </w:pPr>
    </w:p>
    <w:p>
      <w:pPr>
        <w:ind w:left="120" w:right="259" w:firstLine="357"/>
        <w:spacing w:after="0" w:line="268" w:lineRule="auto"/>
        <w:tabs>
          <w:tab w:leader="none" w:pos="672"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Company by the Trustee or any Holder shall be sufficient for every purpose (except as provided in </w:t>
      </w:r>
      <w:r>
        <w:rPr>
          <w:rFonts w:ascii="Times New Roman" w:cs="Times New Roman" w:eastAsia="Times New Roman" w:hAnsi="Times New Roman"/>
          <w:sz w:val="14"/>
          <w:szCs w:val="14"/>
          <w:u w:val="single" w:color="auto"/>
          <w:color w:val="auto"/>
        </w:rPr>
        <w:t>Section 5.01(c)</w:t>
      </w:r>
      <w:r>
        <w:rPr>
          <w:rFonts w:ascii="Times New Roman" w:cs="Times New Roman" w:eastAsia="Times New Roman" w:hAnsi="Times New Roman"/>
          <w:sz w:val="14"/>
          <w:szCs w:val="14"/>
          <w:color w:val="auto"/>
        </w:rPr>
        <w:t>, in which case, the notice shall be delivered by certified mail) hereunder if in writing and mailed, first-class postage prepaid, or delivered by recognized overnight courier, to the Company addressed to The GEO Group, Inc., 4955 Technology Way, Boca Raton, Florida, 33431 Attention: Chief Financial Officer, or at any other address previously furnished in writing to the Trustee by the Company.</w:t>
      </w:r>
    </w:p>
    <w:p>
      <w:pPr>
        <w:spacing w:after="0" w:line="139" w:lineRule="exact"/>
        <w:rPr>
          <w:sz w:val="20"/>
          <w:szCs w:val="20"/>
          <w:color w:val="auto"/>
        </w:rPr>
      </w:pPr>
    </w:p>
    <w:p>
      <w:pPr>
        <w:ind w:left="120" w:right="199" w:firstLine="350"/>
        <w:spacing w:after="0" w:line="259" w:lineRule="auto"/>
        <w:rPr>
          <w:sz w:val="20"/>
          <w:szCs w:val="20"/>
          <w:color w:val="auto"/>
        </w:rPr>
      </w:pPr>
      <w:r>
        <w:rPr>
          <w:rFonts w:ascii="Times New Roman" w:cs="Times New Roman" w:eastAsia="Times New Roman" w:hAnsi="Times New Roman"/>
          <w:sz w:val="14"/>
          <w:szCs w:val="14"/>
          <w:color w:val="auto"/>
        </w:rPr>
        <w:t>The Trustee agrees to accept and act upon instructions or directions pursuant to this Indenture sent by unsecured e-mail or other similar unsecured electronic methods; provided, however, that (a) the party providing such written instructions, subsequent to such transmission of written instructions, shall provide the originally executed instructions or directions to the Trustee in a timely manner, and (b) such originally executed instructions or directions shall be signed by an authorized representative of the party providing such instructions or directions. If the party elects to give the Trustee e-mail instructions (or instructions by a similar electronic method) and the Trustee in its discretion elects to act upon such instructions, the Trustee’s understanding of such instructions shall be deemed controlling. The Trustee shall not be liable for any losses, costs or expenses arising directly or indirectly from the Trustee’s reliance upon and compliance with such instructions notwithstanding such instructions conflict or are inconsistent with a subsequent written instruction. The party providing electronic instructions agrees to assume all risks arising out of the use of such electronic methods to submit instructions and directions to the Trustee, including without limitation the risk of the Trustee acting on unauthorized instructions, and the risk or interception and misuse by third parties.</w:t>
      </w:r>
    </w:p>
    <w:p>
      <w:pPr>
        <w:spacing w:after="0" w:line="15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1.07 </w:t>
      </w:r>
      <w:r>
        <w:rPr>
          <w:rFonts w:ascii="Times New Roman" w:cs="Times New Roman" w:eastAsia="Times New Roman" w:hAnsi="Times New Roman"/>
          <w:sz w:val="14"/>
          <w:szCs w:val="14"/>
          <w:u w:val="single" w:color="auto"/>
          <w:color w:val="auto"/>
        </w:rPr>
        <w:t>NOTICE TO HOLDERS; WAIVER.</w:t>
      </w:r>
    </w:p>
    <w:p>
      <w:pPr>
        <w:spacing w:after="0" w:line="182" w:lineRule="exact"/>
        <w:rPr>
          <w:sz w:val="20"/>
          <w:szCs w:val="20"/>
          <w:color w:val="auto"/>
        </w:rPr>
      </w:pPr>
    </w:p>
    <w:p>
      <w:pPr>
        <w:ind w:left="120" w:right="179" w:firstLine="350"/>
        <w:spacing w:after="0" w:line="260" w:lineRule="auto"/>
        <w:rPr>
          <w:sz w:val="20"/>
          <w:szCs w:val="20"/>
          <w:color w:val="auto"/>
        </w:rPr>
      </w:pPr>
      <w:r>
        <w:rPr>
          <w:rFonts w:ascii="Times New Roman" w:cs="Times New Roman" w:eastAsia="Times New Roman" w:hAnsi="Times New Roman"/>
          <w:sz w:val="14"/>
          <w:szCs w:val="14"/>
          <w:color w:val="auto"/>
        </w:rPr>
        <w:t>Where this Indenture provides for notice to Holders of any event, such notice shall be sufficiently given (unless otherwise herein expressly provided) if in writing and mailed, first-class postage prepaid, or delivered by recognized overnight courier, to each Holder affected by such event, at its address as it appears in the Security Register, not later than the latest date, and not earlier than the earliest date, prescribed for the giving of such notice. In any case where notice to Holders is given by mail, neither the failure to mail such notice, nor any defect in any notice so mailed, to any particular Holder shall affect the sufficiency of such notice with respect to other Holders. Any notice when mailed to a Holder in the aforesaid manner shall be conclusively deemed to have been received by such Holder whether or not actually received by such Holder. 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9019"/>
          </w:cols>
          <w:pgMar w:left="1440" w:top="243" w:right="1440" w:bottom="1440" w:gutter="0" w:footer="0" w:header="0"/>
        </w:sectPr>
      </w:pPr>
    </w:p>
    <w:bookmarkStart w:id="133" w:name="page134"/>
    <w:bookmarkEnd w:id="133"/>
    <w:p>
      <w:pPr>
        <w:ind w:left="120" w:right="219" w:firstLine="350"/>
        <w:spacing w:after="0" w:line="27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7">
                      <a:extLst>
                        <a:ext uri="{28A0092B-C50C-407E-A947-70E740481C1C}"/>
                      </a:extLst>
                    </a:blip>
                    <a:srcRect/>
                    <a:stretch>
                      <a:fillRect/>
                    </a:stretch>
                  </pic:blipFill>
                  <pic:spPr bwMode="auto">
                    <a:xfrm>
                      <a:off x="0" y="0"/>
                      <a:ext cx="7199630" cy="33020"/>
                    </a:xfrm>
                    <a:prstGeom prst="rect">
                      <a:avLst/>
                    </a:prstGeom>
                    <a:noFill/>
                  </pic:spPr>
                </pic:pic>
              </a:graphicData>
            </a:graphic>
          </wp:anchor>
        </w:drawing>
        <w:t>In case by reason of the suspension of regular mail service or by reason of any other cause, it shall be impracticable to mail notice of any event as required by any provision of this Indenture, then any method of giving such notice as shall be reasonably satisfactory to the Trustee and reasonably calculated to reach its destination shall be deemed to be a sufficient giving of such notice.</w:t>
      </w:r>
    </w:p>
    <w:p>
      <w:pPr>
        <w:spacing w:after="0" w:line="135" w:lineRule="exact"/>
        <w:rPr>
          <w:sz w:val="20"/>
          <w:szCs w:val="20"/>
          <w:color w:val="auto"/>
        </w:rPr>
      </w:pPr>
    </w:p>
    <w:p>
      <w:pPr>
        <w:ind w:left="120" w:right="259" w:firstLine="350"/>
        <w:spacing w:after="0" w:line="292" w:lineRule="auto"/>
        <w:rPr>
          <w:sz w:val="20"/>
          <w:szCs w:val="20"/>
          <w:color w:val="auto"/>
        </w:rPr>
      </w:pPr>
      <w:r>
        <w:rPr>
          <w:rFonts w:ascii="Times New Roman" w:cs="Times New Roman" w:eastAsia="Times New Roman" w:hAnsi="Times New Roman"/>
          <w:sz w:val="14"/>
          <w:szCs w:val="14"/>
          <w:color w:val="auto"/>
        </w:rPr>
        <w:t>Notwithstanding anything to the contrary contained herein, including references to delivery of any notice by mail, as long as the Securities are in the form of a Global Security, notice to the Holders may be made electronically in accordance with the Applicable Procedures.</w:t>
      </w:r>
    </w:p>
    <w:p>
      <w:pPr>
        <w:spacing w:after="0" w:line="1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1.08 </w:t>
      </w:r>
      <w:r>
        <w:rPr>
          <w:rFonts w:ascii="Times New Roman" w:cs="Times New Roman" w:eastAsia="Times New Roman" w:hAnsi="Times New Roman"/>
          <w:sz w:val="14"/>
          <w:szCs w:val="14"/>
          <w:u w:val="single" w:color="auto"/>
          <w:color w:val="auto"/>
        </w:rPr>
        <w:t>CONFLICT WITH TRUST INDENTURE ACT.</w:t>
      </w:r>
    </w:p>
    <w:p>
      <w:pPr>
        <w:spacing w:after="0" w:line="182" w:lineRule="exact"/>
        <w:rPr>
          <w:sz w:val="20"/>
          <w:szCs w:val="20"/>
          <w:color w:val="auto"/>
        </w:rPr>
      </w:pPr>
    </w:p>
    <w:p>
      <w:pPr>
        <w:ind w:left="120" w:right="159" w:firstLine="350"/>
        <w:spacing w:after="0" w:line="268" w:lineRule="auto"/>
        <w:rPr>
          <w:sz w:val="20"/>
          <w:szCs w:val="20"/>
          <w:color w:val="auto"/>
        </w:rPr>
      </w:pPr>
      <w:r>
        <w:rPr>
          <w:rFonts w:ascii="Times New Roman" w:cs="Times New Roman" w:eastAsia="Times New Roman" w:hAnsi="Times New Roman"/>
          <w:sz w:val="14"/>
          <w:szCs w:val="14"/>
          <w:color w:val="auto"/>
        </w:rPr>
        <w:t>If any provision hereof limits, qualifies or conflicts with any provision of the Trust Indenture Act or another provision which is required or deemed to be included in this Indenture by any of the provisions of the Trust Indenture Act, the provision or requirement of the Trust Indenture Act shall control. If any provision of this Indenture modifies or excludes any provision of the Trust Indenture Act that may be so modified or excluded, the latter provision shall be deemed to apply to this Indenture as so modified or to be excluded, as the case may be.</w:t>
      </w:r>
    </w:p>
    <w:p>
      <w:pPr>
        <w:spacing w:after="0" w:line="13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The following terms defined in the Trust Indenture Act used in this Indenture have the following meanings:</w:t>
      </w:r>
    </w:p>
    <w:p>
      <w:pPr>
        <w:spacing w:after="0" w:line="9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“Commission” means the SEC.</w:t>
      </w:r>
    </w:p>
    <w:p>
      <w:pPr>
        <w:spacing w:after="0" w:line="1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“indenture securities” means the Securities.</w:t>
      </w:r>
    </w:p>
    <w:p>
      <w:pPr>
        <w:spacing w:after="0" w:line="1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“indenture security holder” means a Securityholder.</w:t>
      </w:r>
    </w:p>
    <w:p>
      <w:pPr>
        <w:spacing w:after="0" w:line="1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“indenture to be qualified” means this Indenture.</w:t>
      </w:r>
    </w:p>
    <w:p>
      <w:pPr>
        <w:spacing w:after="0" w:line="1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“indenture trustee” or “institutional trustee” means the Trustee.</w:t>
      </w:r>
    </w:p>
    <w:p>
      <w:pPr>
        <w:spacing w:after="0" w:line="1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“obligor” on the indenture securities means the Company and any successor obligor upon the Securities.</w:t>
      </w:r>
    </w:p>
    <w:p>
      <w:pPr>
        <w:spacing w:after="0" w:line="1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1.09 </w:t>
      </w:r>
      <w:r>
        <w:rPr>
          <w:rFonts w:ascii="Times New Roman" w:cs="Times New Roman" w:eastAsia="Times New Roman" w:hAnsi="Times New Roman"/>
          <w:sz w:val="14"/>
          <w:szCs w:val="14"/>
          <w:u w:val="single" w:color="auto"/>
          <w:color w:val="auto"/>
        </w:rPr>
        <w:t>EFFECT OF HEADINGS AND TABLE OF CONTENTS.</w:t>
      </w:r>
    </w:p>
    <w:p>
      <w:pPr>
        <w:spacing w:after="0" w:line="1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The Article and Section headings herein and the Table of Contents are for convenience only and shall not affect the construction hereof.</w:t>
      </w:r>
    </w:p>
    <w:p>
      <w:pPr>
        <w:spacing w:after="0" w:line="1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1.10 </w:t>
      </w:r>
      <w:r>
        <w:rPr>
          <w:rFonts w:ascii="Times New Roman" w:cs="Times New Roman" w:eastAsia="Times New Roman" w:hAnsi="Times New Roman"/>
          <w:sz w:val="14"/>
          <w:szCs w:val="14"/>
          <w:u w:val="single" w:color="auto"/>
          <w:color w:val="auto"/>
        </w:rPr>
        <w:t>SUCCESSORS AND ASSIGNS.</w:t>
      </w:r>
    </w:p>
    <w:p>
      <w:pPr>
        <w:spacing w:after="0" w:line="182" w:lineRule="exact"/>
        <w:rPr>
          <w:sz w:val="20"/>
          <w:szCs w:val="20"/>
          <w:color w:val="auto"/>
        </w:rPr>
      </w:pPr>
    </w:p>
    <w:p>
      <w:pPr>
        <w:ind w:left="120" w:right="419" w:firstLine="350"/>
        <w:spacing w:after="0" w:line="292" w:lineRule="auto"/>
        <w:rPr>
          <w:sz w:val="20"/>
          <w:szCs w:val="20"/>
          <w:color w:val="auto"/>
        </w:rPr>
      </w:pPr>
      <w:r>
        <w:rPr>
          <w:rFonts w:ascii="Times New Roman" w:cs="Times New Roman" w:eastAsia="Times New Roman" w:hAnsi="Times New Roman"/>
          <w:sz w:val="14"/>
          <w:szCs w:val="14"/>
          <w:color w:val="auto"/>
        </w:rPr>
        <w:t>All covenants and agreements in this Indenture by the Company and the Trustee shall bind their respective successors and assigns, whether so expressed or not.</w:t>
      </w:r>
    </w:p>
    <w:p>
      <w:pPr>
        <w:spacing w:after="0" w:line="1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1.11 </w:t>
      </w:r>
      <w:r>
        <w:rPr>
          <w:rFonts w:ascii="Times New Roman" w:cs="Times New Roman" w:eastAsia="Times New Roman" w:hAnsi="Times New Roman"/>
          <w:sz w:val="14"/>
          <w:szCs w:val="14"/>
          <w:u w:val="single" w:color="auto"/>
          <w:color w:val="auto"/>
        </w:rPr>
        <w:t>SEPARABILITY CLAUSE.</w:t>
      </w:r>
    </w:p>
    <w:p>
      <w:pPr>
        <w:spacing w:after="0" w:line="182" w:lineRule="exact"/>
        <w:rPr>
          <w:sz w:val="20"/>
          <w:szCs w:val="20"/>
          <w:color w:val="auto"/>
        </w:rPr>
      </w:pPr>
    </w:p>
    <w:p>
      <w:pPr>
        <w:ind w:left="120" w:right="259" w:firstLine="350"/>
        <w:spacing w:after="0" w:line="292" w:lineRule="auto"/>
        <w:rPr>
          <w:sz w:val="20"/>
          <w:szCs w:val="20"/>
          <w:color w:val="auto"/>
        </w:rPr>
      </w:pPr>
      <w:r>
        <w:rPr>
          <w:rFonts w:ascii="Times New Roman" w:cs="Times New Roman" w:eastAsia="Times New Roman" w:hAnsi="Times New Roman"/>
          <w:sz w:val="14"/>
          <w:szCs w:val="14"/>
          <w:color w:val="auto"/>
        </w:rPr>
        <w:t>In case any provision in this Indenture or in the Securities shall be invalid, illegal or unenforceable, the validity, legality and enforceability of the remaining provisions shall not in any way be affected or impaired thereby.</w:t>
      </w:r>
    </w:p>
    <w:p>
      <w:pPr>
        <w:spacing w:after="0" w:line="1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1.12 </w:t>
      </w:r>
      <w:r>
        <w:rPr>
          <w:rFonts w:ascii="Times New Roman" w:cs="Times New Roman" w:eastAsia="Times New Roman" w:hAnsi="Times New Roman"/>
          <w:sz w:val="14"/>
          <w:szCs w:val="14"/>
          <w:u w:val="single" w:color="auto"/>
          <w:color w:val="auto"/>
        </w:rPr>
        <w:t>BENEFITS OF INDENTURE.</w:t>
      </w:r>
    </w:p>
    <w:p>
      <w:pPr>
        <w:spacing w:after="0" w:line="182" w:lineRule="exact"/>
        <w:rPr>
          <w:sz w:val="20"/>
          <w:szCs w:val="20"/>
          <w:color w:val="auto"/>
        </w:rPr>
      </w:pPr>
    </w:p>
    <w:p>
      <w:pPr>
        <w:ind w:left="120" w:right="259" w:firstLine="350"/>
        <w:spacing w:after="0" w:line="292" w:lineRule="auto"/>
        <w:rPr>
          <w:sz w:val="20"/>
          <w:szCs w:val="20"/>
          <w:color w:val="auto"/>
        </w:rPr>
      </w:pPr>
      <w:r>
        <w:rPr>
          <w:rFonts w:ascii="Times New Roman" w:cs="Times New Roman" w:eastAsia="Times New Roman" w:hAnsi="Times New Roman"/>
          <w:sz w:val="14"/>
          <w:szCs w:val="14"/>
          <w:color w:val="auto"/>
        </w:rPr>
        <w:t>Nothing in this Indenture or in the Securities, express or implied, shall give to any Person (other than the parties hereto and their successors hereunder, any Paying Agent, any Security Registrar and the Holders) any benefit or any legal or equitable right, remedy or claim under this Indenture.</w:t>
      </w:r>
    </w:p>
    <w:p>
      <w:pPr>
        <w:spacing w:after="0" w:line="1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1.13 </w:t>
      </w:r>
      <w:r>
        <w:rPr>
          <w:rFonts w:ascii="Times New Roman" w:cs="Times New Roman" w:eastAsia="Times New Roman" w:hAnsi="Times New Roman"/>
          <w:sz w:val="14"/>
          <w:szCs w:val="14"/>
          <w:u w:val="single" w:color="auto"/>
          <w:color w:val="auto"/>
        </w:rPr>
        <w:t>GOVERNING LAW.</w:t>
      </w:r>
    </w:p>
    <w:p>
      <w:pPr>
        <w:spacing w:after="0" w:line="182" w:lineRule="exact"/>
        <w:rPr>
          <w:sz w:val="20"/>
          <w:szCs w:val="20"/>
          <w:color w:val="auto"/>
        </w:rPr>
      </w:pPr>
    </w:p>
    <w:p>
      <w:pPr>
        <w:ind w:left="120" w:right="219" w:firstLine="350"/>
        <w:spacing w:after="0" w:line="292" w:lineRule="auto"/>
        <w:rPr>
          <w:sz w:val="20"/>
          <w:szCs w:val="20"/>
          <w:color w:val="auto"/>
        </w:rPr>
      </w:pPr>
      <w:r>
        <w:rPr>
          <w:rFonts w:ascii="Times New Roman" w:cs="Times New Roman" w:eastAsia="Times New Roman" w:hAnsi="Times New Roman"/>
          <w:sz w:val="14"/>
          <w:szCs w:val="14"/>
          <w:color w:val="auto"/>
        </w:rPr>
        <w:t>THIS INDENTURE AND THE SECURITIES SHALL BE GOVERNED BY, AND CONSTRUED IN ACCORDANCE WITH, THE LAWS OF THE STATE OF NEW YORK.</w:t>
      </w:r>
    </w:p>
    <w:p>
      <w:pPr>
        <w:spacing w:after="0" w:line="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9019"/>
          </w:cols>
          <w:pgMar w:left="1440" w:top="243" w:right="1440" w:bottom="1440" w:gutter="0" w:footer="0" w:header="0"/>
        </w:sectPr>
      </w:pPr>
    </w:p>
    <w:bookmarkStart w:id="134" w:name="page135"/>
    <w:bookmarkEnd w:id="134"/>
    <w:p>
      <w:pPr>
        <w:ind w:left="1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8">
                      <a:extLst>
                        <a:ext uri="{28A0092B-C50C-407E-A947-70E740481C1C}"/>
                      </a:extLst>
                    </a:blip>
                    <a:srcRect/>
                    <a:stretch>
                      <a:fillRect/>
                    </a:stretch>
                  </pic:blipFill>
                  <pic:spPr bwMode="auto">
                    <a:xfrm>
                      <a:off x="0" y="0"/>
                      <a:ext cx="7199630" cy="33020"/>
                    </a:xfrm>
                    <a:prstGeom prst="rect">
                      <a:avLst/>
                    </a:prstGeom>
                    <a:noFill/>
                  </pic:spPr>
                </pic:pic>
              </a:graphicData>
            </a:graphic>
          </wp:anchor>
        </w:drawing>
        <w:t xml:space="preserve">Section 1.14 </w:t>
      </w:r>
      <w:r>
        <w:rPr>
          <w:rFonts w:ascii="Times New Roman" w:cs="Times New Roman" w:eastAsia="Times New Roman" w:hAnsi="Times New Roman"/>
          <w:sz w:val="14"/>
          <w:szCs w:val="14"/>
          <w:u w:val="single" w:color="auto"/>
          <w:color w:val="auto"/>
        </w:rPr>
        <w:t>LEGAL HOLIDAYS.</w:t>
      </w:r>
    </w:p>
    <w:p>
      <w:pPr>
        <w:spacing w:after="0" w:line="182" w:lineRule="exact"/>
        <w:rPr>
          <w:sz w:val="20"/>
          <w:szCs w:val="20"/>
          <w:color w:val="auto"/>
        </w:rPr>
      </w:pPr>
    </w:p>
    <w:p>
      <w:pPr>
        <w:ind w:left="120" w:right="199" w:firstLine="350"/>
        <w:spacing w:after="0" w:line="265" w:lineRule="auto"/>
        <w:rPr>
          <w:sz w:val="20"/>
          <w:szCs w:val="20"/>
          <w:color w:val="auto"/>
        </w:rPr>
      </w:pPr>
      <w:r>
        <w:rPr>
          <w:rFonts w:ascii="Times New Roman" w:cs="Times New Roman" w:eastAsia="Times New Roman" w:hAnsi="Times New Roman"/>
          <w:sz w:val="14"/>
          <w:szCs w:val="14"/>
          <w:color w:val="auto"/>
        </w:rPr>
        <w:t>In any case where any Interest Payment Date, Redemption Date, Maturity or Stated Maturity of any Security shall not be a Business Day, then (notwithstanding any other provision of this Indenture or of any Security) payment of interest or principal or premium, if any, need not be made on such date, but may be made on the next succeeding Business Day with the same force and effect as if made on such Interest Payment Date or Redemption Date, or at the Maturity or Stated Maturity and no interest shall accrue with respect to such payment for the period from and after such Interest Payment Date, Redemption Date, Maturity or Stated Maturity, as the case may be, to the next succeeding Business Day.</w:t>
      </w:r>
    </w:p>
    <w:p>
      <w:pPr>
        <w:spacing w:after="0" w:line="1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1.15 </w:t>
      </w:r>
      <w:r>
        <w:rPr>
          <w:rFonts w:ascii="Times New Roman" w:cs="Times New Roman" w:eastAsia="Times New Roman" w:hAnsi="Times New Roman"/>
          <w:sz w:val="14"/>
          <w:szCs w:val="14"/>
          <w:u w:val="single" w:color="auto"/>
          <w:color w:val="auto"/>
        </w:rPr>
        <w:t>INDEPENDENCE OF COVENANTS.</w:t>
      </w:r>
    </w:p>
    <w:p>
      <w:pPr>
        <w:spacing w:after="0" w:line="182" w:lineRule="exact"/>
        <w:rPr>
          <w:sz w:val="20"/>
          <w:szCs w:val="20"/>
          <w:color w:val="auto"/>
        </w:rPr>
      </w:pPr>
    </w:p>
    <w:p>
      <w:pPr>
        <w:ind w:left="120" w:right="239" w:firstLine="350"/>
        <w:spacing w:after="0" w:line="274" w:lineRule="auto"/>
        <w:rPr>
          <w:sz w:val="20"/>
          <w:szCs w:val="20"/>
          <w:color w:val="auto"/>
        </w:rPr>
      </w:pPr>
      <w:r>
        <w:rPr>
          <w:rFonts w:ascii="Times New Roman" w:cs="Times New Roman" w:eastAsia="Times New Roman" w:hAnsi="Times New Roman"/>
          <w:sz w:val="14"/>
          <w:szCs w:val="14"/>
          <w:color w:val="auto"/>
        </w:rPr>
        <w:t>All covenants and agreements in this Indenture shall be given independent effect so that if a particular action or condition is not permitted by any such covenants, the fact that it would be permitted by an exception to, or be otherwise within the limitations of, another covenant shall not avoid the occurrence of a Default or an Event of Default if such action is taken or condition exists.</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1.16 </w:t>
      </w:r>
      <w:r>
        <w:rPr>
          <w:rFonts w:ascii="Times New Roman" w:cs="Times New Roman" w:eastAsia="Times New Roman" w:hAnsi="Times New Roman"/>
          <w:sz w:val="14"/>
          <w:szCs w:val="14"/>
          <w:u w:val="single" w:color="auto"/>
          <w:color w:val="auto"/>
        </w:rPr>
        <w:t>SCHEDULES AND EXHIBITS.</w:t>
      </w:r>
    </w:p>
    <w:p>
      <w:pPr>
        <w:spacing w:after="0" w:line="1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All schedules and exhibits attached hereto are by this reference made a part hereof with the same effect as if herein set forth in full.</w:t>
      </w:r>
    </w:p>
    <w:p>
      <w:pPr>
        <w:spacing w:after="0" w:line="1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1.17 </w:t>
      </w:r>
      <w:r>
        <w:rPr>
          <w:rFonts w:ascii="Times New Roman" w:cs="Times New Roman" w:eastAsia="Times New Roman" w:hAnsi="Times New Roman"/>
          <w:sz w:val="14"/>
          <w:szCs w:val="14"/>
          <w:u w:val="single" w:color="auto"/>
          <w:color w:val="auto"/>
        </w:rPr>
        <w:t>COUNTERPARTS.</w:t>
      </w:r>
    </w:p>
    <w:p>
      <w:pPr>
        <w:spacing w:after="0" w:line="182" w:lineRule="exact"/>
        <w:rPr>
          <w:sz w:val="20"/>
          <w:szCs w:val="20"/>
          <w:color w:val="auto"/>
        </w:rPr>
      </w:pPr>
    </w:p>
    <w:p>
      <w:pPr>
        <w:ind w:left="120" w:right="159" w:firstLine="350"/>
        <w:spacing w:after="0" w:line="259" w:lineRule="auto"/>
        <w:rPr>
          <w:sz w:val="20"/>
          <w:szCs w:val="20"/>
          <w:color w:val="auto"/>
        </w:rPr>
      </w:pPr>
      <w:r>
        <w:rPr>
          <w:rFonts w:ascii="Times New Roman" w:cs="Times New Roman" w:eastAsia="Times New Roman" w:hAnsi="Times New Roman"/>
          <w:sz w:val="14"/>
          <w:szCs w:val="14"/>
          <w:color w:val="auto"/>
        </w:rPr>
        <w:t>This Indenture may be executed in any number of counterparts, each of which shall be deemed an original; but all such counterparts shall together constitute but one and the same instrument. The exchange of copies of this Indenture and of signature pages by facsimile or PDF transmission shall constitute effective execution and delivery of this Indenture as to the parties hereto and may be used in lieu of the original Indenture and signature pages for all purposes. The words “execution,” “signed,” “signature,” and words of similar import in this Indenture and the Securities shall be deemed to include electronic or digital signatures or the keeping of records in electronic form, each of which shall be of the same effect, validity, and enforceability as manually executed signatures or a paper-based recordkeeping system, as the case may be, to the extent and as provided for under applicable law, including the Electronic Signatures in Global and National Commerce Act of 2000 (15 U.S.C. §§ 7001-7006), the Electronic Signatures and Records Act of 1999 (N.Y. State Tech. §§ 301-309), or any other similar state laws based on the Uniform Electronic Transactions Act; provided that, notwithstanding anything herein to the contrary, the Trustee is not under any obligation to agree to accept electronic signatures in any form or in any format unless expressly agreed to by such Trustee pursuant to procedures approved by such Trustee.</w:t>
      </w:r>
    </w:p>
    <w:p>
      <w:pPr>
        <w:spacing w:after="0" w:line="15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1.18 </w:t>
      </w:r>
      <w:r>
        <w:rPr>
          <w:rFonts w:ascii="Times New Roman" w:cs="Times New Roman" w:eastAsia="Times New Roman" w:hAnsi="Times New Roman"/>
          <w:sz w:val="14"/>
          <w:szCs w:val="14"/>
          <w:u w:val="single" w:color="auto"/>
          <w:color w:val="auto"/>
        </w:rPr>
        <w:t>CONSENT TO JURISDICTION.</w:t>
      </w:r>
    </w:p>
    <w:p>
      <w:pPr>
        <w:spacing w:after="0" w:line="182" w:lineRule="exact"/>
        <w:rPr>
          <w:sz w:val="20"/>
          <w:szCs w:val="20"/>
          <w:color w:val="auto"/>
        </w:rPr>
      </w:pPr>
    </w:p>
    <w:p>
      <w:pPr>
        <w:ind w:left="120" w:right="159" w:firstLine="350"/>
        <w:spacing w:after="0" w:line="260" w:lineRule="auto"/>
        <w:rPr>
          <w:sz w:val="20"/>
          <w:szCs w:val="20"/>
          <w:color w:val="auto"/>
        </w:rPr>
      </w:pPr>
      <w:r>
        <w:rPr>
          <w:rFonts w:ascii="Times New Roman" w:cs="Times New Roman" w:eastAsia="Times New Roman" w:hAnsi="Times New Roman"/>
          <w:sz w:val="14"/>
          <w:szCs w:val="14"/>
          <w:color w:val="auto"/>
        </w:rPr>
        <w:t xml:space="preserve">Any legal suit, action or proceeding arising out of or based upon this Indenture or the transactions contemplated hereby (“Related Proceedings”) may be instituted in the federal courts of the United States of America located in The City of New York or the courts of the State of New York in each case located in The City of New York (collectively, the “Specified Courts”), and each party irrevocably submits to the non-exclusive jurisdiction (except for proceedings instituted in regard to the enforcement of a judgment of any such court, as to which such jurisdiction is non-exclusive) of such courts in any such suit, action or proceeding. Service of any process, summons, notice or document by mail to such party’s (other than the Trustee) address specified pursuant to </w:t>
      </w:r>
      <w:r>
        <w:rPr>
          <w:rFonts w:ascii="Times New Roman" w:cs="Times New Roman" w:eastAsia="Times New Roman" w:hAnsi="Times New Roman"/>
          <w:sz w:val="14"/>
          <w:szCs w:val="14"/>
          <w:u w:val="single" w:color="auto"/>
          <w:color w:val="auto"/>
        </w:rPr>
        <w:t>Sections 1.06</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1.07</w:t>
      </w:r>
      <w:r>
        <w:rPr>
          <w:rFonts w:ascii="Times New Roman" w:cs="Times New Roman" w:eastAsia="Times New Roman" w:hAnsi="Times New Roman"/>
          <w:sz w:val="14"/>
          <w:szCs w:val="14"/>
          <w:color w:val="auto"/>
        </w:rPr>
        <w:t>, as applicable,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has been brought in an inconvenient forum.</w:t>
      </w:r>
    </w:p>
    <w:p>
      <w:pPr>
        <w:spacing w:after="0" w:line="3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1.19 </w:t>
      </w:r>
      <w:r>
        <w:rPr>
          <w:rFonts w:ascii="Times New Roman" w:cs="Times New Roman" w:eastAsia="Times New Roman" w:hAnsi="Times New Roman"/>
          <w:sz w:val="14"/>
          <w:szCs w:val="14"/>
          <w:u w:val="single" w:color="auto"/>
          <w:color w:val="auto"/>
        </w:rPr>
        <w:t>WAIVER OF JURY TRIAL.</w:t>
      </w:r>
    </w:p>
    <w:p>
      <w:pPr>
        <w:spacing w:after="0" w:line="182" w:lineRule="exact"/>
        <w:rPr>
          <w:sz w:val="20"/>
          <w:szCs w:val="20"/>
          <w:color w:val="auto"/>
        </w:rPr>
      </w:pPr>
    </w:p>
    <w:p>
      <w:pPr>
        <w:ind w:left="120" w:right="239" w:firstLine="350"/>
        <w:spacing w:after="0" w:line="274" w:lineRule="auto"/>
        <w:rPr>
          <w:sz w:val="20"/>
          <w:szCs w:val="20"/>
          <w:color w:val="auto"/>
        </w:rPr>
      </w:pPr>
      <w:r>
        <w:rPr>
          <w:rFonts w:ascii="Times New Roman" w:cs="Times New Roman" w:eastAsia="Times New Roman" w:hAnsi="Times New Roman"/>
          <w:sz w:val="14"/>
          <w:szCs w:val="14"/>
          <w:color w:val="auto"/>
        </w:rPr>
        <w:t>EACH OF THE COMPANY, ANY GUARANTOR AND THE TRUSTEE HEREBY IRREVOCABLY WAIVES, TO THE FULLEST EXTENT PERMITTED BY APPLICABLE LAW, ANY AND ALL RIGHT TO TRIAL BY JURY IN ANY LEGAL PROCEEDING ARISING OUT OF OR RELATING TO THIS INDENTURE, THE SECURITIES OR THE TRANSACTIONS CONTEMPLATED HEREBY.</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9019"/>
          </w:cols>
          <w:pgMar w:left="1440" w:top="243" w:right="1440" w:bottom="1440" w:gutter="0" w:footer="0" w:header="0"/>
        </w:sectPr>
      </w:pPr>
    </w:p>
    <w:bookmarkStart w:id="135" w:name="page136"/>
    <w:bookmarkEnd w:id="135"/>
    <w:p>
      <w:pPr>
        <w:ind w:left="1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9">
                      <a:extLst>
                        <a:ext uri="{28A0092B-C50C-407E-A947-70E740481C1C}"/>
                      </a:extLst>
                    </a:blip>
                    <a:srcRect/>
                    <a:stretch>
                      <a:fillRect/>
                    </a:stretch>
                  </pic:blipFill>
                  <pic:spPr bwMode="auto">
                    <a:xfrm>
                      <a:off x="0" y="0"/>
                      <a:ext cx="7199630" cy="33020"/>
                    </a:xfrm>
                    <a:prstGeom prst="rect">
                      <a:avLst/>
                    </a:prstGeom>
                    <a:noFill/>
                  </pic:spPr>
                </pic:pic>
              </a:graphicData>
            </a:graphic>
          </wp:anchor>
        </w:drawing>
        <w:t xml:space="preserve">Section 1.20 </w:t>
      </w:r>
      <w:r>
        <w:rPr>
          <w:rFonts w:ascii="Times New Roman" w:cs="Times New Roman" w:eastAsia="Times New Roman" w:hAnsi="Times New Roman"/>
          <w:sz w:val="14"/>
          <w:szCs w:val="14"/>
          <w:u w:val="single" w:color="auto"/>
          <w:color w:val="auto"/>
        </w:rPr>
        <w:t>FORCE MAJEURE.</w:t>
      </w:r>
    </w:p>
    <w:p>
      <w:pPr>
        <w:spacing w:after="0" w:line="182" w:lineRule="exact"/>
        <w:rPr>
          <w:sz w:val="20"/>
          <w:szCs w:val="20"/>
          <w:color w:val="auto"/>
        </w:rPr>
      </w:pPr>
    </w:p>
    <w:p>
      <w:pPr>
        <w:ind w:left="120" w:right="139" w:firstLine="350"/>
        <w:spacing w:after="0" w:line="263" w:lineRule="auto"/>
        <w:rPr>
          <w:sz w:val="20"/>
          <w:szCs w:val="20"/>
          <w:color w:val="auto"/>
        </w:rPr>
      </w:pPr>
      <w:r>
        <w:rPr>
          <w:rFonts w:ascii="Times New Roman" w:cs="Times New Roman" w:eastAsia="Times New Roman" w:hAnsi="Times New Roman"/>
          <w:sz w:val="14"/>
          <w:szCs w:val="14"/>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pandemics, epidemics and interruptions, loss or malfunctions of utilities, communications or computer (software and hardware) services or the unavailability of the Federal Reserve Bank wire or telex or other wire or communication facility; it being understood that the Trustee shall use reasonable efforts which are consistent with accepted practices in the banking industry to resume performance as soon as practicable under the circumstances.</w:t>
      </w:r>
    </w:p>
    <w:p>
      <w:pPr>
        <w:spacing w:after="0" w:line="1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 xml:space="preserve">Section 1.21 </w:t>
      </w:r>
      <w:r>
        <w:rPr>
          <w:rFonts w:ascii="Times New Roman" w:cs="Times New Roman" w:eastAsia="Times New Roman" w:hAnsi="Times New Roman"/>
          <w:sz w:val="14"/>
          <w:szCs w:val="14"/>
          <w:u w:val="single" w:color="auto"/>
          <w:color w:val="auto"/>
        </w:rPr>
        <w:t>U.S.A. PATRIOT ACT</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120" w:right="159" w:firstLine="350"/>
        <w:spacing w:after="0" w:line="268" w:lineRule="auto"/>
        <w:rPr>
          <w:sz w:val="20"/>
          <w:szCs w:val="20"/>
          <w:color w:val="auto"/>
        </w:rPr>
      </w:pPr>
      <w:r>
        <w:rPr>
          <w:rFonts w:ascii="Times New Roman" w:cs="Times New Roman" w:eastAsia="Times New Roman" w:hAnsi="Times New Roman"/>
          <w:sz w:val="14"/>
          <w:szCs w:val="14"/>
          <w:color w:val="auto"/>
        </w:rPr>
        <w:t>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II</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SECURITY FORMS</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2.01 </w:t>
      </w:r>
      <w:r>
        <w:rPr>
          <w:rFonts w:ascii="Times New Roman" w:cs="Times New Roman" w:eastAsia="Times New Roman" w:hAnsi="Times New Roman"/>
          <w:sz w:val="14"/>
          <w:szCs w:val="14"/>
          <w:u w:val="single" w:color="auto"/>
          <w:color w:val="auto"/>
        </w:rPr>
        <w:t>FORMS OF SECURITIES.</w:t>
      </w:r>
    </w:p>
    <w:p>
      <w:pPr>
        <w:spacing w:after="0" w:line="182" w:lineRule="exact"/>
        <w:rPr>
          <w:sz w:val="20"/>
          <w:szCs w:val="20"/>
          <w:color w:val="auto"/>
        </w:rPr>
      </w:pPr>
    </w:p>
    <w:p>
      <w:pPr>
        <w:ind w:left="120" w:right="159" w:firstLine="350"/>
        <w:spacing w:after="0" w:line="263" w:lineRule="auto"/>
        <w:rPr>
          <w:sz w:val="20"/>
          <w:szCs w:val="20"/>
          <w:color w:val="auto"/>
        </w:rPr>
      </w:pPr>
      <w:r>
        <w:rPr>
          <w:rFonts w:ascii="Times New Roman" w:cs="Times New Roman" w:eastAsia="Times New Roman" w:hAnsi="Times New Roman"/>
          <w:sz w:val="14"/>
          <w:szCs w:val="14"/>
          <w:color w:val="auto"/>
        </w:rPr>
        <w:t xml:space="preserve">The Securities of each series shall be in substantially the form of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hereto or in such form as shall otherwise be established in one or more indentures supplemental hereto or approved from time to time by or pursuant to a Board Resolution in accordance with </w:t>
      </w:r>
      <w:r>
        <w:rPr>
          <w:rFonts w:ascii="Times New Roman" w:cs="Times New Roman" w:eastAsia="Times New Roman" w:hAnsi="Times New Roman"/>
          <w:sz w:val="14"/>
          <w:szCs w:val="14"/>
          <w:u w:val="single" w:color="auto"/>
          <w:color w:val="auto"/>
        </w:rPr>
        <w:t>Section 3.01</w:t>
      </w:r>
      <w:r>
        <w:rPr>
          <w:rFonts w:ascii="Times New Roman" w:cs="Times New Roman" w:eastAsia="Times New Roman" w:hAnsi="Times New Roman"/>
          <w:sz w:val="14"/>
          <w:szCs w:val="14"/>
          <w:color w:val="auto"/>
        </w:rPr>
        <w:t>, shall have such appropriate insertions, omissions, substitutions and other variations as are required or permitted by this Indenture or any indenture supplemental hereto, and may have such letters, numbers or other marks of identification or designation and such legends or endorsements placed thereon as the Company may deem appropriate and as are not inconsistent with the provisions of this Indenture, or as may be required to comply with any law or with any rule or regulation made pursuant thereto or with any rule or regulation of any stock exchange on which the Securities may be listed, or to conform to usage.</w:t>
      </w:r>
    </w:p>
    <w:p>
      <w:pPr>
        <w:spacing w:after="0" w:line="143" w:lineRule="exact"/>
        <w:rPr>
          <w:sz w:val="20"/>
          <w:szCs w:val="20"/>
          <w:color w:val="auto"/>
        </w:rPr>
      </w:pPr>
    </w:p>
    <w:p>
      <w:pPr>
        <w:jc w:val="both"/>
        <w:ind w:left="120" w:right="259" w:firstLine="350"/>
        <w:spacing w:after="0" w:line="274" w:lineRule="auto"/>
        <w:rPr>
          <w:sz w:val="20"/>
          <w:szCs w:val="20"/>
          <w:color w:val="auto"/>
        </w:rPr>
      </w:pPr>
      <w:r>
        <w:rPr>
          <w:rFonts w:ascii="Times New Roman" w:cs="Times New Roman" w:eastAsia="Times New Roman" w:hAnsi="Times New Roman"/>
          <w:sz w:val="14"/>
          <w:szCs w:val="14"/>
          <w:color w:val="auto"/>
        </w:rPr>
        <w:t>The definitive Securities shall be printed, lithographed or engraved or produced by any combination of these methods on a steel engraved border or steel engraved borders, or may be produced in any other manner, all as determined by the officer or officers executing such Securities, as evidenced by their execution of such Securities.</w:t>
      </w:r>
    </w:p>
    <w:p>
      <w:pPr>
        <w:spacing w:after="0" w:line="135" w:lineRule="exact"/>
        <w:rPr>
          <w:sz w:val="20"/>
          <w:szCs w:val="20"/>
          <w:color w:val="auto"/>
        </w:rPr>
      </w:pPr>
    </w:p>
    <w:p>
      <w:pPr>
        <w:ind w:left="120" w:right="259" w:firstLine="350"/>
        <w:spacing w:after="0" w:line="268" w:lineRule="auto"/>
        <w:rPr>
          <w:sz w:val="20"/>
          <w:szCs w:val="20"/>
          <w:color w:val="auto"/>
        </w:rPr>
      </w:pPr>
      <w:r>
        <w:rPr>
          <w:rFonts w:ascii="Times New Roman" w:cs="Times New Roman" w:eastAsia="Times New Roman" w:hAnsi="Times New Roman"/>
          <w:sz w:val="14"/>
          <w:szCs w:val="14"/>
          <w:color w:val="auto"/>
        </w:rPr>
        <w:t>The terms and provisions set forth in any Security shall constitute, and are hereby made a part of this Indenture and, to the extent applicable, the Company and the Trustee, by their execution and delivery of this Indenture, expressly agree to such terms and provisions and to be bound thereby. Notwithstanding the foregoing, to the extent any provision of any Security conflicts with the express provisions of this Indenture, the provisions of this Indenture shall govern and be controlling.</w:t>
      </w:r>
    </w:p>
    <w:p>
      <w:pPr>
        <w:spacing w:after="0" w:line="1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2.02 </w:t>
      </w:r>
      <w:r>
        <w:rPr>
          <w:rFonts w:ascii="Times New Roman" w:cs="Times New Roman" w:eastAsia="Times New Roman" w:hAnsi="Times New Roman"/>
          <w:sz w:val="14"/>
          <w:szCs w:val="14"/>
          <w:u w:val="single" w:color="auto"/>
          <w:color w:val="auto"/>
        </w:rPr>
        <w:t>FORM OF TRUSTEE’S CERTIFICATE OF AUTHENTICATION.</w:t>
      </w:r>
    </w:p>
    <w:p>
      <w:pPr>
        <w:spacing w:after="0" w:line="1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 xml:space="preserve">Subject to </w:t>
      </w:r>
      <w:r>
        <w:rPr>
          <w:rFonts w:ascii="Times New Roman" w:cs="Times New Roman" w:eastAsia="Times New Roman" w:hAnsi="Times New Roman"/>
          <w:sz w:val="14"/>
          <w:szCs w:val="14"/>
          <w:u w:val="single" w:color="auto"/>
          <w:color w:val="auto"/>
        </w:rPr>
        <w:t>Section 6.12</w:t>
      </w:r>
      <w:r>
        <w:rPr>
          <w:rFonts w:ascii="Times New Roman" w:cs="Times New Roman" w:eastAsia="Times New Roman" w:hAnsi="Times New Roman"/>
          <w:sz w:val="14"/>
          <w:szCs w:val="14"/>
          <w:color w:val="auto"/>
        </w:rPr>
        <w:t>, the Trustee’s certificate of authentication shall be in substantially the following form:</w:t>
      </w:r>
    </w:p>
    <w:p>
      <w:pPr>
        <w:spacing w:after="0" w:line="97" w:lineRule="exact"/>
        <w:rPr>
          <w:sz w:val="20"/>
          <w:szCs w:val="20"/>
          <w:color w:val="auto"/>
        </w:rPr>
      </w:pPr>
    </w:p>
    <w:p>
      <w:pPr>
        <w:ind w:left="120" w:right="139" w:firstLine="350"/>
        <w:spacing w:after="0" w:line="292" w:lineRule="auto"/>
        <w:rPr>
          <w:sz w:val="20"/>
          <w:szCs w:val="20"/>
          <w:color w:val="auto"/>
        </w:rPr>
      </w:pPr>
      <w:r>
        <w:rPr>
          <w:rFonts w:ascii="Times New Roman" w:cs="Times New Roman" w:eastAsia="Times New Roman" w:hAnsi="Times New Roman"/>
          <w:sz w:val="14"/>
          <w:szCs w:val="14"/>
          <w:color w:val="auto"/>
        </w:rPr>
        <w:t>This is one of the Securities of the series designated therein referred to in the within-mentioned Indenture (as such Indenture may be supplemented or amended).</w:t>
      </w:r>
    </w:p>
    <w:p>
      <w:pPr>
        <w:spacing w:after="0" w:line="1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Dated:</w:t>
      </w:r>
    </w:p>
    <w:p>
      <w:pPr>
        <w:spacing w:after="0" w:line="1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ANKURA TRUST COMPANY, LLC, 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125095</wp:posOffset>
            </wp:positionV>
            <wp:extent cx="5559425" cy="698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0">
                      <a:extLst>
                        <a:ext uri="{28A0092B-C50C-407E-A947-70E740481C1C}"/>
                      </a:extLst>
                    </a:blip>
                    <a:srcRect/>
                    <a:stretch>
                      <a:fillRect/>
                    </a:stretch>
                  </pic:blipFill>
                  <pic:spPr bwMode="auto">
                    <a:xfrm>
                      <a:off x="0" y="0"/>
                      <a:ext cx="5559425" cy="6985"/>
                    </a:xfrm>
                    <a:prstGeom prst="rect">
                      <a:avLst/>
                    </a:prstGeom>
                    <a:noFill/>
                  </pic:spPr>
                </pic:pic>
              </a:graphicData>
            </a:graphic>
          </wp:anchor>
        </w:drawing>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AUTHORIZED SIGNATORY</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9019"/>
          </w:cols>
          <w:pgMar w:left="1440" w:top="243" w:right="1440" w:bottom="1440" w:gutter="0" w:footer="0" w:header="0"/>
        </w:sectPr>
      </w:pPr>
    </w:p>
    <w:bookmarkStart w:id="136" w:name="page137"/>
    <w:bookmarkEnd w:id="136"/>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1">
                      <a:extLst>
                        <a:ext uri="{28A0092B-C50C-407E-A947-70E740481C1C}"/>
                      </a:extLst>
                    </a:blip>
                    <a:srcRect/>
                    <a:stretch>
                      <a:fillRect/>
                    </a:stretch>
                  </pic:blipFill>
                  <pic:spPr bwMode="auto">
                    <a:xfrm>
                      <a:off x="0" y="0"/>
                      <a:ext cx="7199630" cy="33020"/>
                    </a:xfrm>
                    <a:prstGeom prst="rect">
                      <a:avLst/>
                    </a:prstGeom>
                    <a:noFill/>
                  </pic:spPr>
                </pic:pic>
              </a:graphicData>
            </a:graphic>
          </wp:anchor>
        </w:drawing>
        <w:t>ARTICLE III</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SECURITIES</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3.01 </w:t>
      </w:r>
      <w:r>
        <w:rPr>
          <w:rFonts w:ascii="Times New Roman" w:cs="Times New Roman" w:eastAsia="Times New Roman" w:hAnsi="Times New Roman"/>
          <w:sz w:val="14"/>
          <w:szCs w:val="14"/>
          <w:u w:val="single" w:color="auto"/>
          <w:color w:val="auto"/>
        </w:rPr>
        <w:t>AMOUNT UNLIMITED; ISSUABLE IN SERIES.</w:t>
      </w:r>
    </w:p>
    <w:p>
      <w:pPr>
        <w:spacing w:after="0" w:line="1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The aggregate principal amount of Securities which may be authenticated and delivered under this Indenture is unlimited.</w:t>
      </w:r>
    </w:p>
    <w:p>
      <w:pPr>
        <w:spacing w:after="0" w:line="182" w:lineRule="exact"/>
        <w:rPr>
          <w:sz w:val="20"/>
          <w:szCs w:val="20"/>
          <w:color w:val="auto"/>
        </w:rPr>
      </w:pPr>
    </w:p>
    <w:p>
      <w:pPr>
        <w:ind w:left="120" w:right="139" w:firstLine="350"/>
        <w:spacing w:after="0" w:line="265" w:lineRule="auto"/>
        <w:rPr>
          <w:sz w:val="20"/>
          <w:szCs w:val="20"/>
          <w:color w:val="auto"/>
        </w:rPr>
      </w:pPr>
      <w:r>
        <w:rPr>
          <w:rFonts w:ascii="Times New Roman" w:cs="Times New Roman" w:eastAsia="Times New Roman" w:hAnsi="Times New Roman"/>
          <w:sz w:val="14"/>
          <w:szCs w:val="14"/>
          <w:color w:val="auto"/>
        </w:rPr>
        <w:t>The Securities shall rank equally and pari passu in right of payment and may be issued in one or more series. There shall be established in one or more Board Resolutions or pursuant to authority granted by one or more Board Resolutions and set forth, or determined in the manner provided, in an Officers’ Certificate, or established in one or more indentures supplemental hereto which may amend the terms of this Indenture unless prohibited by the Trust Indenture Act, prior to the issuances of Securities of any series, any or all of the following, as applicable (each of which, if so provided, may be determined from time to time by the Company with respect to unissued Securities of the series when issued from time to time):</w:t>
      </w:r>
    </w:p>
    <w:p>
      <w:pPr>
        <w:spacing w:after="0" w:line="55" w:lineRule="exact"/>
        <w:rPr>
          <w:sz w:val="20"/>
          <w:szCs w:val="20"/>
          <w:color w:val="auto"/>
        </w:rPr>
      </w:pPr>
    </w:p>
    <w:p>
      <w:pPr>
        <w:ind w:left="680" w:hanging="203"/>
        <w:spacing w:after="0"/>
        <w:tabs>
          <w:tab w:leader="none" w:pos="68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the Securities of the series (which shall distinguish the Securities of such series from all other series of Securities);</w:t>
      </w:r>
    </w:p>
    <w:p>
      <w:pPr>
        <w:spacing w:after="0" w:line="182" w:lineRule="exact"/>
        <w:rPr>
          <w:rFonts w:ascii="Times New Roman" w:cs="Times New Roman" w:eastAsia="Times New Roman" w:hAnsi="Times New Roman"/>
          <w:sz w:val="14"/>
          <w:szCs w:val="14"/>
          <w:color w:val="auto"/>
        </w:rPr>
      </w:pPr>
    </w:p>
    <w:p>
      <w:pPr>
        <w:ind w:left="120" w:right="199" w:firstLine="357"/>
        <w:spacing w:after="0" w:line="263" w:lineRule="auto"/>
        <w:tabs>
          <w:tab w:leader="none" w:pos="672"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limit upon the aggregate principal amount of the Securities of the series that may be authenticated and delivered under this Indenture (except for Securities authenticated and delivered upon registration of transfer of, or in exchange for, or in lieu of, other Securities of the series pursuant to </w:t>
      </w:r>
      <w:r>
        <w:rPr>
          <w:rFonts w:ascii="Times New Roman" w:cs="Times New Roman" w:eastAsia="Times New Roman" w:hAnsi="Times New Roman"/>
          <w:sz w:val="14"/>
          <w:szCs w:val="14"/>
          <w:u w:val="single" w:color="auto"/>
          <w:color w:val="auto"/>
        </w:rPr>
        <w:t>Sections 3.04</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3.05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3.06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3.07</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9.06</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11.08</w:t>
      </w:r>
      <w:r>
        <w:rPr>
          <w:rFonts w:ascii="Times New Roman" w:cs="Times New Roman" w:eastAsia="Times New Roman" w:hAnsi="Times New Roman"/>
          <w:sz w:val="14"/>
          <w:szCs w:val="14"/>
          <w:color w:val="auto"/>
        </w:rPr>
        <w:t>) and whether any series may be reopened for additional Securities of that series; in the event that such series of Securities may be reopened from time to time for issuances of additional Securities of such series, the terms thereof shall indicate whether any such additional Securities shall have the same terms as the prior Securities of such series or whether the Company may establish additional or different terms with respect to such additional Securities;</w:t>
      </w:r>
    </w:p>
    <w:p>
      <w:pPr>
        <w:spacing w:after="0" w:line="143" w:lineRule="exact"/>
        <w:rPr>
          <w:rFonts w:ascii="Times New Roman" w:cs="Times New Roman" w:eastAsia="Times New Roman" w:hAnsi="Times New Roman"/>
          <w:sz w:val="14"/>
          <w:szCs w:val="14"/>
          <w:color w:val="auto"/>
        </w:rPr>
      </w:pPr>
    </w:p>
    <w:p>
      <w:pPr>
        <w:ind w:left="120" w:right="299" w:firstLine="357"/>
        <w:spacing w:after="0" w:line="292" w:lineRule="auto"/>
        <w:tabs>
          <w:tab w:leader="none" w:pos="672"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or the method by which such date or dates will be determined or extended, on which the principal (and premium, if any) of the Securities of the series shall be payable;</w:t>
      </w:r>
    </w:p>
    <w:p>
      <w:pPr>
        <w:spacing w:after="0" w:line="123" w:lineRule="exact"/>
        <w:rPr>
          <w:rFonts w:ascii="Times New Roman" w:cs="Times New Roman" w:eastAsia="Times New Roman" w:hAnsi="Times New Roman"/>
          <w:sz w:val="14"/>
          <w:szCs w:val="14"/>
          <w:color w:val="auto"/>
        </w:rPr>
      </w:pPr>
    </w:p>
    <w:p>
      <w:pPr>
        <w:ind w:left="120" w:right="279" w:firstLine="357"/>
        <w:spacing w:after="0" w:line="265" w:lineRule="auto"/>
        <w:tabs>
          <w:tab w:leader="none" w:pos="672"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rate or rates at which the Securities of the series shall bear interest, if any, or the method by which such rate or rates shall be determined, the date or dates from which such interest shall accrue or the method by which such date or dates shall be determined, whether such Securities shall be issued with original issue discount or at a percentage of their principal amount, the Interest Payment Dates on which such interest will be payable and the Regular Record Date, if any, for the interest payable on any Security on any Interest Payment Date, or the method by which such date shall be determined, and the basis upon which such interest shall be calculated if other than that of a 360-day year of twelve 30-day months;</w:t>
      </w:r>
    </w:p>
    <w:p>
      <w:pPr>
        <w:spacing w:after="0" w:line="141" w:lineRule="exact"/>
        <w:rPr>
          <w:rFonts w:ascii="Times New Roman" w:cs="Times New Roman" w:eastAsia="Times New Roman" w:hAnsi="Times New Roman"/>
          <w:sz w:val="14"/>
          <w:szCs w:val="14"/>
          <w:color w:val="auto"/>
        </w:rPr>
      </w:pPr>
    </w:p>
    <w:p>
      <w:pPr>
        <w:jc w:val="both"/>
        <w:ind w:left="120" w:right="179" w:firstLine="357"/>
        <w:spacing w:after="0" w:line="268" w:lineRule="auto"/>
        <w:tabs>
          <w:tab w:leader="none" w:pos="672"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place or places, if any, other than or in addition to the Borough of Manhattan, The City of New York, where the principal of (and premium, if any) and interest, if any, on Securities of the series shall be payable, Securities of the series may be surrendered for exchange, where Securities of that series that are convertible or exchangeable may be surrendered for the conversion or exchange, as applicable, and where notices or demands to or upon the Company in respect of the Securities of the series and this Indenture may be served;</w:t>
      </w:r>
    </w:p>
    <w:p>
      <w:pPr>
        <w:spacing w:after="0" w:line="139" w:lineRule="exact"/>
        <w:rPr>
          <w:rFonts w:ascii="Times New Roman" w:cs="Times New Roman" w:eastAsia="Times New Roman" w:hAnsi="Times New Roman"/>
          <w:sz w:val="14"/>
          <w:szCs w:val="14"/>
          <w:color w:val="auto"/>
        </w:rPr>
      </w:pPr>
    </w:p>
    <w:p>
      <w:pPr>
        <w:ind w:left="120" w:right="239" w:firstLine="357"/>
        <w:spacing w:after="0" w:line="274" w:lineRule="auto"/>
        <w:tabs>
          <w:tab w:leader="none" w:pos="672"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additions or changes (including to the provisions of Article XI) with respect to the redemption of such series of Securities, including with respect to the period or periods within which, or the date or dates on which, the price or prices at which, and other terms and conditions upon which Securities of the series may be redeemed, in whole or in part, at the option of the Company, if the Company is to have the option;</w:t>
      </w:r>
    </w:p>
    <w:p>
      <w:pPr>
        <w:spacing w:after="0" w:line="135" w:lineRule="exact"/>
        <w:rPr>
          <w:rFonts w:ascii="Times New Roman" w:cs="Times New Roman" w:eastAsia="Times New Roman" w:hAnsi="Times New Roman"/>
          <w:sz w:val="14"/>
          <w:szCs w:val="14"/>
          <w:color w:val="auto"/>
        </w:rPr>
      </w:pPr>
    </w:p>
    <w:p>
      <w:pPr>
        <w:ind w:left="120" w:right="279" w:firstLine="357"/>
        <w:spacing w:after="0" w:line="274" w:lineRule="auto"/>
        <w:tabs>
          <w:tab w:leader="none" w:pos="672"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obligation, if any, of the Company to redeem, repay or purchase Securities or the series pursuant to any sinking fund or analogous provision or at the option of a Holder thereof, and the period or periods within which or the date or dates on which, the price or prices at which, and other terms and conditions upon which Securities of the series shall be redeemed, repaid or purchased, in whole or in part, pursuant to such obligation;</w:t>
      </w:r>
    </w:p>
    <w:p>
      <w:pPr>
        <w:spacing w:after="0" w:line="135" w:lineRule="exact"/>
        <w:rPr>
          <w:rFonts w:ascii="Times New Roman" w:cs="Times New Roman" w:eastAsia="Times New Roman" w:hAnsi="Times New Roman"/>
          <w:sz w:val="14"/>
          <w:szCs w:val="14"/>
          <w:color w:val="auto"/>
        </w:rPr>
      </w:pPr>
    </w:p>
    <w:p>
      <w:pPr>
        <w:ind w:left="680" w:hanging="203"/>
        <w:spacing w:after="0"/>
        <w:tabs>
          <w:tab w:leader="none" w:pos="68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other than the Trustee, the identity of each Security Registrar and/or Paying Agent;</w:t>
      </w:r>
    </w:p>
    <w:p>
      <w:pPr>
        <w:spacing w:after="0" w:line="182" w:lineRule="exact"/>
        <w:rPr>
          <w:rFonts w:ascii="Times New Roman" w:cs="Times New Roman" w:eastAsia="Times New Roman" w:hAnsi="Times New Roman"/>
          <w:sz w:val="14"/>
          <w:szCs w:val="14"/>
          <w:color w:val="auto"/>
        </w:rPr>
      </w:pPr>
    </w:p>
    <w:p>
      <w:pPr>
        <w:ind w:left="120" w:right="139" w:firstLine="357"/>
        <w:spacing w:after="0" w:line="292" w:lineRule="auto"/>
        <w:tabs>
          <w:tab w:leader="none" w:pos="672"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other than denominations of $2,000 and any integral multiple of $1,000 in excess thereof, the denominations in which Securities of the series shall be issuable;</w:t>
      </w:r>
    </w:p>
    <w:p>
      <w:pPr>
        <w:spacing w:after="0" w:line="123" w:lineRule="exact"/>
        <w:rPr>
          <w:rFonts w:ascii="Times New Roman" w:cs="Times New Roman" w:eastAsia="Times New Roman" w:hAnsi="Times New Roman"/>
          <w:sz w:val="14"/>
          <w:szCs w:val="14"/>
          <w:color w:val="auto"/>
        </w:rPr>
      </w:pPr>
    </w:p>
    <w:p>
      <w:pPr>
        <w:ind w:left="120" w:right="159" w:firstLine="357"/>
        <w:spacing w:after="0" w:line="292" w:lineRule="auto"/>
        <w:tabs>
          <w:tab w:leader="none" w:pos="744"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other than the principal amount thereof, the portion of the principal amount of Securities of the series that shall be payable upon declaration of acceleration of the Maturity thereof pursuant to </w:t>
      </w:r>
      <w:r>
        <w:rPr>
          <w:rFonts w:ascii="Times New Roman" w:cs="Times New Roman" w:eastAsia="Times New Roman" w:hAnsi="Times New Roman"/>
          <w:sz w:val="14"/>
          <w:szCs w:val="14"/>
          <w:u w:val="single" w:color="auto"/>
          <w:color w:val="auto"/>
        </w:rPr>
        <w:t>Section 5.02</w:t>
      </w:r>
      <w:r>
        <w:rPr>
          <w:rFonts w:ascii="Times New Roman" w:cs="Times New Roman" w:eastAsia="Times New Roman" w:hAnsi="Times New Roman"/>
          <w:sz w:val="14"/>
          <w:szCs w:val="14"/>
          <w:color w:val="auto"/>
        </w:rPr>
        <w:t xml:space="preserve"> or the method by which such portion shall be determined;</w:t>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9019"/>
          </w:cols>
          <w:pgMar w:left="1440" w:top="241" w:right="1440" w:bottom="1440" w:gutter="0" w:footer="0" w:header="0"/>
        </w:sectPr>
      </w:pPr>
    </w:p>
    <w:bookmarkStart w:id="137" w:name="page138"/>
    <w:bookmarkEnd w:id="137"/>
    <w:p>
      <w:pPr>
        <w:ind w:left="120" w:right="399" w:firstLine="357"/>
        <w:spacing w:after="0" w:line="292" w:lineRule="auto"/>
        <w:tabs>
          <w:tab w:leader="none" w:pos="739"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2">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the Guarantors, if any, of the Securities of the series, and the extent of the Guarantees of the Securities (including provisions relating to seniority, subordination, and the release of the Guarantors), if any, and any additions or changes to permit or facilitate Guarantees of such Securities;</w:t>
      </w:r>
    </w:p>
    <w:p>
      <w:pPr>
        <w:spacing w:after="0" w:line="123" w:lineRule="exact"/>
        <w:rPr>
          <w:rFonts w:ascii="Times New Roman" w:cs="Times New Roman" w:eastAsia="Times New Roman" w:hAnsi="Times New Roman"/>
          <w:sz w:val="14"/>
          <w:szCs w:val="14"/>
          <w:color w:val="auto"/>
        </w:rPr>
      </w:pPr>
    </w:p>
    <w:p>
      <w:pPr>
        <w:ind w:left="120" w:right="159" w:firstLine="357"/>
        <w:spacing w:after="0" w:line="292" w:lineRule="auto"/>
        <w:tabs>
          <w:tab w:leader="none" w:pos="744"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amount of payments of principal of (or premium, if any) or interest, if any, on the Securities of the series may be determined with reference to any index, formula or other method, and the manner in which such amounts shall be determined;</w:t>
      </w:r>
    </w:p>
    <w:p>
      <w:pPr>
        <w:spacing w:after="0" w:line="123" w:lineRule="exact"/>
        <w:rPr>
          <w:rFonts w:ascii="Times New Roman" w:cs="Times New Roman" w:eastAsia="Times New Roman" w:hAnsi="Times New Roman"/>
          <w:sz w:val="14"/>
          <w:szCs w:val="14"/>
          <w:color w:val="auto"/>
        </w:rPr>
      </w:pPr>
    </w:p>
    <w:p>
      <w:pPr>
        <w:ind w:left="760" w:hanging="283"/>
        <w:spacing w:after="0"/>
        <w:tabs>
          <w:tab w:leader="none" w:pos="76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if any, granting special rights to the Holders of Securities of the series upon the occurrence of such events as may be specified;</w:t>
      </w:r>
    </w:p>
    <w:p>
      <w:pPr>
        <w:spacing w:after="0" w:line="182" w:lineRule="exact"/>
        <w:rPr>
          <w:rFonts w:ascii="Times New Roman" w:cs="Times New Roman" w:eastAsia="Times New Roman" w:hAnsi="Times New Roman"/>
          <w:sz w:val="14"/>
          <w:szCs w:val="14"/>
          <w:color w:val="auto"/>
        </w:rPr>
      </w:pPr>
    </w:p>
    <w:p>
      <w:pPr>
        <w:ind w:left="120" w:right="419" w:firstLine="357"/>
        <w:spacing w:after="0" w:line="274" w:lineRule="auto"/>
        <w:tabs>
          <w:tab w:leader="none" w:pos="744"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deletions from, modifications of or additions to the Events of Default or covenants or other provisions (including any deletions from, modifications of or additions to any of the provisions of </w:t>
      </w:r>
      <w:r>
        <w:rPr>
          <w:rFonts w:ascii="Times New Roman" w:cs="Times New Roman" w:eastAsia="Times New Roman" w:hAnsi="Times New Roman"/>
          <w:sz w:val="14"/>
          <w:szCs w:val="14"/>
          <w:u w:val="single" w:color="auto"/>
          <w:color w:val="auto"/>
        </w:rPr>
        <w:t>Section 5.01</w:t>
      </w:r>
      <w:r>
        <w:rPr>
          <w:rFonts w:ascii="Times New Roman" w:cs="Times New Roman" w:eastAsia="Times New Roman" w:hAnsi="Times New Roman"/>
          <w:sz w:val="14"/>
          <w:szCs w:val="14"/>
          <w:color w:val="auto"/>
        </w:rPr>
        <w:t>) of the Company with respect to Securities of the series, whether or not such Events of Default or covenants or other provisions are consistent with the Events of Default or covenants or other provisions set forth herein;</w:t>
      </w:r>
    </w:p>
    <w:p>
      <w:pPr>
        <w:spacing w:after="0" w:line="135" w:lineRule="exact"/>
        <w:rPr>
          <w:rFonts w:ascii="Times New Roman" w:cs="Times New Roman" w:eastAsia="Times New Roman" w:hAnsi="Times New Roman"/>
          <w:sz w:val="14"/>
          <w:szCs w:val="14"/>
          <w:color w:val="auto"/>
        </w:rPr>
      </w:pPr>
    </w:p>
    <w:p>
      <w:pPr>
        <w:ind w:left="120" w:right="219" w:firstLine="357"/>
        <w:spacing w:after="0" w:line="292" w:lineRule="auto"/>
        <w:tabs>
          <w:tab w:leader="none" w:pos="744"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applicability, if any, of </w:t>
      </w:r>
      <w:r>
        <w:rPr>
          <w:rFonts w:ascii="Times New Roman" w:cs="Times New Roman" w:eastAsia="Times New Roman" w:hAnsi="Times New Roman"/>
          <w:sz w:val="14"/>
          <w:szCs w:val="14"/>
          <w:u w:val="single" w:color="auto"/>
          <w:color w:val="auto"/>
        </w:rPr>
        <w:t>Sections 4.02</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4.03</w:t>
      </w:r>
      <w:r>
        <w:rPr>
          <w:rFonts w:ascii="Times New Roman" w:cs="Times New Roman" w:eastAsia="Times New Roman" w:hAnsi="Times New Roman"/>
          <w:sz w:val="14"/>
          <w:szCs w:val="14"/>
          <w:color w:val="auto"/>
        </w:rPr>
        <w:t xml:space="preserve"> to the Securities of the series (and, in the case of </w:t>
      </w:r>
      <w:r>
        <w:rPr>
          <w:rFonts w:ascii="Times New Roman" w:cs="Times New Roman" w:eastAsia="Times New Roman" w:hAnsi="Times New Roman"/>
          <w:sz w:val="14"/>
          <w:szCs w:val="14"/>
          <w:u w:val="single" w:color="auto"/>
          <w:color w:val="auto"/>
        </w:rPr>
        <w:t>Section 4.03</w:t>
      </w:r>
      <w:r>
        <w:rPr>
          <w:rFonts w:ascii="Times New Roman" w:cs="Times New Roman" w:eastAsia="Times New Roman" w:hAnsi="Times New Roman"/>
          <w:sz w:val="14"/>
          <w:szCs w:val="14"/>
          <w:color w:val="auto"/>
        </w:rPr>
        <w:t xml:space="preserve">, if applicable, any additional covenants subject to covenant defeasance) and any provisions in modification of, in addition to or in lieu of any of the provisions of </w:t>
      </w:r>
      <w:r>
        <w:rPr>
          <w:rFonts w:ascii="Times New Roman" w:cs="Times New Roman" w:eastAsia="Times New Roman" w:hAnsi="Times New Roman"/>
          <w:sz w:val="14"/>
          <w:szCs w:val="14"/>
          <w:u w:val="single" w:color="auto"/>
          <w:color w:val="auto"/>
        </w:rPr>
        <w:t>Article IV</w:t>
      </w:r>
      <w:r>
        <w:rPr>
          <w:rFonts w:ascii="Times New Roman" w:cs="Times New Roman" w:eastAsia="Times New Roman" w:hAnsi="Times New Roman"/>
          <w:sz w:val="14"/>
          <w:szCs w:val="14"/>
          <w:color w:val="auto"/>
        </w:rPr>
        <w:t>;</w:t>
      </w:r>
    </w:p>
    <w:p>
      <w:pPr>
        <w:spacing w:after="0" w:line="123" w:lineRule="exact"/>
        <w:rPr>
          <w:rFonts w:ascii="Times New Roman" w:cs="Times New Roman" w:eastAsia="Times New Roman" w:hAnsi="Times New Roman"/>
          <w:sz w:val="14"/>
          <w:szCs w:val="14"/>
          <w:color w:val="auto"/>
        </w:rPr>
      </w:pPr>
    </w:p>
    <w:p>
      <w:pPr>
        <w:ind w:left="120" w:right="219" w:firstLine="357"/>
        <w:spacing w:after="0" w:line="274" w:lineRule="auto"/>
        <w:tabs>
          <w:tab w:leader="none" w:pos="744"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Securities of such series are to be issuable in definitive form (whether upon original issue or upon exchange of a temporary Security of such series) only upon receipt of certain certificates or other documents or satisfaction of other conditions, then the form and/or terms of such certificates, documents or conditions;</w:t>
      </w:r>
    </w:p>
    <w:p>
      <w:pPr>
        <w:spacing w:after="0" w:line="135" w:lineRule="exact"/>
        <w:rPr>
          <w:rFonts w:ascii="Times New Roman" w:cs="Times New Roman" w:eastAsia="Times New Roman" w:hAnsi="Times New Roman"/>
          <w:sz w:val="14"/>
          <w:szCs w:val="14"/>
          <w:color w:val="auto"/>
        </w:rPr>
      </w:pPr>
    </w:p>
    <w:p>
      <w:pPr>
        <w:ind w:left="760" w:hanging="283"/>
        <w:spacing w:after="0"/>
        <w:tabs>
          <w:tab w:leader="none" w:pos="76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any temporary securities, the provisions for deposit and withdrawal from a common depository and terms related thereto;</w:t>
      </w:r>
    </w:p>
    <w:p>
      <w:pPr>
        <w:spacing w:after="0" w:line="182" w:lineRule="exact"/>
        <w:rPr>
          <w:rFonts w:ascii="Times New Roman" w:cs="Times New Roman" w:eastAsia="Times New Roman" w:hAnsi="Times New Roman"/>
          <w:sz w:val="14"/>
          <w:szCs w:val="14"/>
          <w:color w:val="auto"/>
        </w:rPr>
      </w:pPr>
    </w:p>
    <w:p>
      <w:pPr>
        <w:ind w:left="120" w:right="239" w:firstLine="357"/>
        <w:spacing w:after="0" w:line="268" w:lineRule="auto"/>
        <w:tabs>
          <w:tab w:leader="none" w:pos="744"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Securities of the series are to be secured or convertible into or exchangeable for any securities of any Person (including the Company), the terms and conditions upon which such Securities of the series will be so secured or convertible or exchangeable (including, without limitation, the initial conversion price or rate, the conversion period, the conversion agent, if any, adjustments of the applicable conversion price or rate and any requirements with respect to the reservation of shares or Securities for purposes of conversion);</w:t>
      </w:r>
    </w:p>
    <w:p>
      <w:pPr>
        <w:spacing w:after="0" w:line="139" w:lineRule="exact"/>
        <w:rPr>
          <w:rFonts w:ascii="Times New Roman" w:cs="Times New Roman" w:eastAsia="Times New Roman" w:hAnsi="Times New Roman"/>
          <w:sz w:val="14"/>
          <w:szCs w:val="14"/>
          <w:color w:val="auto"/>
        </w:rPr>
      </w:pPr>
    </w:p>
    <w:p>
      <w:pPr>
        <w:ind w:left="120" w:right="319" w:firstLine="357"/>
        <w:spacing w:after="0" w:line="268" w:lineRule="auto"/>
        <w:tabs>
          <w:tab w:leader="none" w:pos="744"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Securities of the series are to be issued in whole or in part in the form of one or more Global Securities and, in such case, the Depositary for such Global Security or Global Securities, and the terms and conditions, if any, upon which interests in such Global Security or Global Securities may be exchanged in whole or in part for the individual securities represented thereby in definitive form registered in the name or names of Persons other than such Depositary or a nominee or nominees thereof (“</w:t>
      </w:r>
      <w:r>
        <w:rPr>
          <w:rFonts w:ascii="Times New Roman" w:cs="Times New Roman" w:eastAsia="Times New Roman" w:hAnsi="Times New Roman"/>
          <w:sz w:val="14"/>
          <w:szCs w:val="14"/>
          <w:u w:val="single" w:color="auto"/>
          <w:color w:val="auto"/>
        </w:rPr>
        <w:t>Individual Securities</w:t>
      </w:r>
      <w:r>
        <w:rPr>
          <w:rFonts w:ascii="Times New Roman" w:cs="Times New Roman" w:eastAsia="Times New Roman" w:hAnsi="Times New Roman"/>
          <w:sz w:val="14"/>
          <w:szCs w:val="14"/>
          <w:color w:val="auto"/>
        </w:rPr>
        <w:t>”);</w:t>
      </w:r>
    </w:p>
    <w:p>
      <w:pPr>
        <w:spacing w:after="0" w:line="139" w:lineRule="exact"/>
        <w:rPr>
          <w:rFonts w:ascii="Times New Roman" w:cs="Times New Roman" w:eastAsia="Times New Roman" w:hAnsi="Times New Roman"/>
          <w:sz w:val="14"/>
          <w:szCs w:val="14"/>
          <w:color w:val="auto"/>
        </w:rPr>
      </w:pPr>
    </w:p>
    <w:p>
      <w:pPr>
        <w:ind w:left="760" w:hanging="283"/>
        <w:spacing w:after="0"/>
        <w:tabs>
          <w:tab w:leader="none" w:pos="76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as of which any Global Security of the series shall be dated if other than the original issuance of the first Security of the series to be</w:t>
      </w:r>
    </w:p>
    <w:p>
      <w:pPr>
        <w:spacing w:after="0" w:line="24" w:lineRule="exact"/>
        <w:rPr>
          <w:rFonts w:ascii="Times New Roman" w:cs="Times New Roman" w:eastAsia="Times New Roman" w:hAnsi="Times New Roman"/>
          <w:sz w:val="14"/>
          <w:szCs w:val="14"/>
          <w:color w:val="auto"/>
        </w:rPr>
      </w:pPr>
    </w:p>
    <w:p>
      <w:pPr>
        <w:ind w:left="1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issued;</w:t>
      </w:r>
    </w:p>
    <w:p>
      <w:pPr>
        <w:spacing w:after="0" w:line="168" w:lineRule="exact"/>
        <w:rPr>
          <w:rFonts w:ascii="Times New Roman" w:cs="Times New Roman" w:eastAsia="Times New Roman" w:hAnsi="Times New Roman"/>
          <w:sz w:val="14"/>
          <w:szCs w:val="14"/>
          <w:color w:val="auto"/>
        </w:rPr>
      </w:pPr>
    </w:p>
    <w:p>
      <w:pPr>
        <w:ind w:left="760" w:hanging="283"/>
        <w:spacing w:after="0"/>
        <w:tabs>
          <w:tab w:leader="none" w:pos="76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form or forms of the Securities of the series including such legends as may be required by applicable law;</w:t>
      </w:r>
    </w:p>
    <w:p>
      <w:pPr>
        <w:spacing w:after="0" w:line="182" w:lineRule="exact"/>
        <w:rPr>
          <w:rFonts w:ascii="Times New Roman" w:cs="Times New Roman" w:eastAsia="Times New Roman" w:hAnsi="Times New Roman"/>
          <w:sz w:val="14"/>
          <w:szCs w:val="14"/>
          <w:color w:val="auto"/>
        </w:rPr>
      </w:pPr>
    </w:p>
    <w:p>
      <w:pPr>
        <w:ind w:left="760" w:hanging="283"/>
        <w:spacing w:after="0"/>
        <w:tabs>
          <w:tab w:leader="none" w:pos="76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 or change in the provisions related to compensation and reimbursement of the Trustee which applies to Securities of such series;</w:t>
      </w:r>
    </w:p>
    <w:p>
      <w:pPr>
        <w:spacing w:after="0" w:line="182" w:lineRule="exact"/>
        <w:rPr>
          <w:rFonts w:ascii="Times New Roman" w:cs="Times New Roman" w:eastAsia="Times New Roman" w:hAnsi="Times New Roman"/>
          <w:sz w:val="14"/>
          <w:szCs w:val="14"/>
          <w:color w:val="auto"/>
        </w:rPr>
      </w:pPr>
    </w:p>
    <w:p>
      <w:pPr>
        <w:ind w:left="120" w:right="679" w:firstLine="357"/>
        <w:spacing w:after="0" w:line="292" w:lineRule="auto"/>
        <w:tabs>
          <w:tab w:leader="none" w:pos="744"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 or change in the provisions related to supplemental indentures set forth in Sections 9.01, 9.02 and 9.04 which applies to Securities of such series;</w:t>
      </w:r>
    </w:p>
    <w:p>
      <w:pPr>
        <w:spacing w:after="0" w:line="123" w:lineRule="exact"/>
        <w:rPr>
          <w:rFonts w:ascii="Times New Roman" w:cs="Times New Roman" w:eastAsia="Times New Roman" w:hAnsi="Times New Roman"/>
          <w:sz w:val="14"/>
          <w:szCs w:val="14"/>
          <w:color w:val="auto"/>
        </w:rPr>
      </w:pPr>
    </w:p>
    <w:p>
      <w:pPr>
        <w:ind w:left="760" w:hanging="283"/>
        <w:spacing w:after="0"/>
        <w:tabs>
          <w:tab w:leader="none" w:pos="76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if any, granting special rights to Holders upon the occurrence of specified events;</w:t>
      </w:r>
    </w:p>
    <w:p>
      <w:pPr>
        <w:spacing w:after="0" w:line="182" w:lineRule="exact"/>
        <w:rPr>
          <w:rFonts w:ascii="Times New Roman" w:cs="Times New Roman" w:eastAsia="Times New Roman" w:hAnsi="Times New Roman"/>
          <w:sz w:val="14"/>
          <w:szCs w:val="14"/>
          <w:color w:val="auto"/>
        </w:rPr>
      </w:pPr>
    </w:p>
    <w:p>
      <w:pPr>
        <w:ind w:left="760" w:hanging="283"/>
        <w:spacing w:after="0"/>
        <w:tabs>
          <w:tab w:leader="none" w:pos="76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 or change in the provisions of Article VIII;</w:t>
      </w:r>
    </w:p>
    <w:p>
      <w:pPr>
        <w:spacing w:after="0" w:line="182" w:lineRule="exact"/>
        <w:rPr>
          <w:rFonts w:ascii="Times New Roman" w:cs="Times New Roman" w:eastAsia="Times New Roman" w:hAnsi="Times New Roman"/>
          <w:sz w:val="14"/>
          <w:szCs w:val="14"/>
          <w:color w:val="auto"/>
        </w:rPr>
      </w:pPr>
    </w:p>
    <w:p>
      <w:pPr>
        <w:ind w:left="760" w:hanging="283"/>
        <w:spacing w:after="0"/>
        <w:tabs>
          <w:tab w:leader="none" w:pos="76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Securities will contain any transfer restrictions; and</w:t>
      </w:r>
    </w:p>
    <w:p>
      <w:pPr>
        <w:spacing w:after="0" w:line="182" w:lineRule="exact"/>
        <w:rPr>
          <w:rFonts w:ascii="Times New Roman" w:cs="Times New Roman" w:eastAsia="Times New Roman" w:hAnsi="Times New Roman"/>
          <w:sz w:val="14"/>
          <w:szCs w:val="14"/>
          <w:color w:val="auto"/>
        </w:rPr>
      </w:pPr>
    </w:p>
    <w:p>
      <w:pPr>
        <w:ind w:left="120" w:right="179" w:firstLine="357"/>
        <w:spacing w:after="0" w:line="292" w:lineRule="auto"/>
        <w:tabs>
          <w:tab w:leader="none" w:pos="744"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series (which terms shall not be inconsistent with the requirements of the Trust Indenture Act, but may modify, amend, supplement or delete any of the terms of this Indenture with respect to such series).</w:t>
      </w:r>
    </w:p>
    <w:p>
      <w:pPr>
        <w:spacing w:after="0" w:line="123" w:lineRule="exact"/>
        <w:rPr>
          <w:sz w:val="20"/>
          <w:szCs w:val="20"/>
          <w:color w:val="auto"/>
        </w:rPr>
      </w:pPr>
    </w:p>
    <w:p>
      <w:pPr>
        <w:ind w:left="120" w:right="239" w:firstLine="350"/>
        <w:spacing w:after="0" w:line="265" w:lineRule="auto"/>
        <w:rPr>
          <w:sz w:val="20"/>
          <w:szCs w:val="20"/>
          <w:color w:val="auto"/>
        </w:rPr>
      </w:pPr>
      <w:r>
        <w:rPr>
          <w:rFonts w:ascii="Times New Roman" w:cs="Times New Roman" w:eastAsia="Times New Roman" w:hAnsi="Times New Roman"/>
          <w:sz w:val="14"/>
          <w:szCs w:val="14"/>
          <w:color w:val="auto"/>
        </w:rPr>
        <w:t>All Securities of any one series shall be substantially identical except as to denomination and except as may otherwise be provided in or pursuant to such Board Resolution and set forth in such Officers’ Certificate or in any such indenture supplemental hereto. All Securities of any one series need not be issued at the same time and, unless otherwise provided, a series may be reopened, without the consent of the Holders, for issuances of additional Securities of such series or to establish additional terms of such series of Securities (which additional terms shall only be applicable to unissued or additional Securities of such series).</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9019"/>
          </w:cols>
          <w:pgMar w:left="1440" w:top="243" w:right="1440" w:bottom="1440" w:gutter="0" w:footer="0" w:header="0"/>
        </w:sectPr>
      </w:pPr>
    </w:p>
    <w:bookmarkStart w:id="138" w:name="page139"/>
    <w:bookmarkEnd w:id="138"/>
    <w:p>
      <w:pPr>
        <w:ind w:left="120" w:right="239" w:firstLine="350"/>
        <w:spacing w:after="0" w:line="27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3">
                      <a:extLst>
                        <a:ext uri="{28A0092B-C50C-407E-A947-70E740481C1C}"/>
                      </a:extLst>
                    </a:blip>
                    <a:srcRect/>
                    <a:stretch>
                      <a:fillRect/>
                    </a:stretch>
                  </pic:blipFill>
                  <pic:spPr bwMode="auto">
                    <a:xfrm>
                      <a:off x="0" y="0"/>
                      <a:ext cx="7199630" cy="33020"/>
                    </a:xfrm>
                    <a:prstGeom prst="rect">
                      <a:avLst/>
                    </a:prstGeom>
                    <a:noFill/>
                  </pic:spPr>
                </pic:pic>
              </a:graphicData>
            </a:graphic>
          </wp:anchor>
        </w:drawing>
        <w:t>If any of the terms of the Securities of any series are established by action taken pursuant to one or more Board Resolutions, a copy of an appropriate record of such action(s) shall be certified by the Secretary or an Assistant Secretary of the Company and delivered to the Trustee at or prior to the delivery of the Officers’ Certificate setting forth the terms of the Securities of such series.</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3.02 </w:t>
      </w:r>
      <w:r>
        <w:rPr>
          <w:rFonts w:ascii="Times New Roman" w:cs="Times New Roman" w:eastAsia="Times New Roman" w:hAnsi="Times New Roman"/>
          <w:sz w:val="14"/>
          <w:szCs w:val="14"/>
          <w:u w:val="single" w:color="auto"/>
          <w:color w:val="auto"/>
        </w:rPr>
        <w:t>DENOMINATIONS.</w:t>
      </w:r>
    </w:p>
    <w:p>
      <w:pPr>
        <w:spacing w:after="0" w:line="182" w:lineRule="exact"/>
        <w:rPr>
          <w:sz w:val="20"/>
          <w:szCs w:val="20"/>
          <w:color w:val="auto"/>
        </w:rPr>
      </w:pPr>
    </w:p>
    <w:p>
      <w:pPr>
        <w:ind w:left="120" w:right="659" w:firstLine="350"/>
        <w:spacing w:after="0" w:line="292" w:lineRule="auto"/>
        <w:rPr>
          <w:sz w:val="20"/>
          <w:szCs w:val="20"/>
          <w:color w:val="auto"/>
        </w:rPr>
      </w:pPr>
      <w:r>
        <w:rPr>
          <w:rFonts w:ascii="Times New Roman" w:cs="Times New Roman" w:eastAsia="Times New Roman" w:hAnsi="Times New Roman"/>
          <w:sz w:val="14"/>
          <w:szCs w:val="14"/>
          <w:color w:val="auto"/>
        </w:rPr>
        <w:t>The Securities shall be issuable only in fully registered form without coupons and only in minimum denominations of $2,000 and integral multiples of $1,000 in excess thereof, unless provided otherwise in a supplemental indenture with respect to any series of Securities.</w:t>
      </w:r>
    </w:p>
    <w:p>
      <w:pPr>
        <w:spacing w:after="0" w:line="1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3.03 </w:t>
      </w:r>
      <w:r>
        <w:rPr>
          <w:rFonts w:ascii="Times New Roman" w:cs="Times New Roman" w:eastAsia="Times New Roman" w:hAnsi="Times New Roman"/>
          <w:sz w:val="14"/>
          <w:szCs w:val="14"/>
          <w:u w:val="single" w:color="auto"/>
          <w:color w:val="auto"/>
        </w:rPr>
        <w:t>EXECUTION, AUTHENTICATION, DELIVERY AND DATING.</w:t>
      </w:r>
    </w:p>
    <w:p>
      <w:pPr>
        <w:spacing w:after="0" w:line="182" w:lineRule="exact"/>
        <w:rPr>
          <w:sz w:val="20"/>
          <w:szCs w:val="20"/>
          <w:color w:val="auto"/>
        </w:rPr>
      </w:pPr>
    </w:p>
    <w:p>
      <w:pPr>
        <w:ind w:left="120" w:right="319" w:firstLine="350"/>
        <w:spacing w:after="0" w:line="274" w:lineRule="auto"/>
        <w:rPr>
          <w:sz w:val="20"/>
          <w:szCs w:val="20"/>
          <w:color w:val="auto"/>
        </w:rPr>
      </w:pPr>
      <w:r>
        <w:rPr>
          <w:rFonts w:ascii="Times New Roman" w:cs="Times New Roman" w:eastAsia="Times New Roman" w:hAnsi="Times New Roman"/>
          <w:sz w:val="14"/>
          <w:szCs w:val="14"/>
          <w:color w:val="auto"/>
        </w:rPr>
        <w:t>The Securities shall be executed on behalf of the Company by one of its Chairman of the Board of Directors, its President, its Chief Executive Officer, its Chief Financial Officer or one of its Vice Presidents. The signatures of any of these officers on the Securities may be manual, electronic or facsimile.</w:t>
      </w:r>
    </w:p>
    <w:p>
      <w:pPr>
        <w:spacing w:after="0" w:line="135" w:lineRule="exact"/>
        <w:rPr>
          <w:sz w:val="20"/>
          <w:szCs w:val="20"/>
          <w:color w:val="auto"/>
        </w:rPr>
      </w:pPr>
    </w:p>
    <w:p>
      <w:pPr>
        <w:ind w:left="120" w:right="239" w:firstLine="350"/>
        <w:spacing w:after="0" w:line="274" w:lineRule="auto"/>
        <w:rPr>
          <w:sz w:val="20"/>
          <w:szCs w:val="20"/>
          <w:color w:val="auto"/>
        </w:rPr>
      </w:pPr>
      <w:r>
        <w:rPr>
          <w:rFonts w:ascii="Times New Roman" w:cs="Times New Roman" w:eastAsia="Times New Roman" w:hAnsi="Times New Roman"/>
          <w:sz w:val="14"/>
          <w:szCs w:val="14"/>
          <w:color w:val="auto"/>
        </w:rPr>
        <w:t>Securities bearing the manual or facsimile signature of an individual who was at any time the proper officer of the Company shall bind the Company, notwithstanding that such individual has ceased to hold such office prior to the authentication and delivery of such Securities or did not hold such office at the date of such Securities.</w:t>
      </w:r>
    </w:p>
    <w:p>
      <w:pPr>
        <w:spacing w:after="0" w:line="135" w:lineRule="exact"/>
        <w:rPr>
          <w:sz w:val="20"/>
          <w:szCs w:val="20"/>
          <w:color w:val="auto"/>
        </w:rPr>
      </w:pPr>
    </w:p>
    <w:p>
      <w:pPr>
        <w:ind w:left="120" w:right="239" w:firstLine="350"/>
        <w:spacing w:after="0" w:line="265" w:lineRule="auto"/>
        <w:rPr>
          <w:sz w:val="20"/>
          <w:szCs w:val="20"/>
          <w:color w:val="auto"/>
        </w:rPr>
      </w:pPr>
      <w:r>
        <w:rPr>
          <w:rFonts w:ascii="Times New Roman" w:cs="Times New Roman" w:eastAsia="Times New Roman" w:hAnsi="Times New Roman"/>
          <w:sz w:val="14"/>
          <w:szCs w:val="14"/>
          <w:color w:val="auto"/>
        </w:rPr>
        <w:t xml:space="preserve">At any time and from time to time after the execution and delivery of this Indenture, the Company may deliver Securities executed by the Company to the Trustee for authentication, together with a Company Order for the authentication and delivery of such Securities; and the Trustee in accordance with such Company Order shall authenticate and deliver such Securities as provided in this Indenture and not otherwise. In authenticating such Securities, and accepting the additional responsibilities under this Indenture in relation to such Securities, the Trustee shall receive, and, subject to </w:t>
      </w:r>
      <w:r>
        <w:rPr>
          <w:rFonts w:ascii="Times New Roman" w:cs="Times New Roman" w:eastAsia="Times New Roman" w:hAnsi="Times New Roman"/>
          <w:sz w:val="14"/>
          <w:szCs w:val="14"/>
          <w:u w:val="single" w:color="auto"/>
          <w:color w:val="auto"/>
        </w:rPr>
        <w:t>Section 6.01</w:t>
      </w:r>
      <w:r>
        <w:rPr>
          <w:rFonts w:ascii="Times New Roman" w:cs="Times New Roman" w:eastAsia="Times New Roman" w:hAnsi="Times New Roman"/>
          <w:sz w:val="14"/>
          <w:szCs w:val="14"/>
          <w:color w:val="auto"/>
        </w:rPr>
        <w:t>, shall be fully protected in relying upon:</w:t>
      </w:r>
    </w:p>
    <w:p>
      <w:pPr>
        <w:spacing w:after="0" w:line="55" w:lineRule="exact"/>
        <w:rPr>
          <w:sz w:val="20"/>
          <w:szCs w:val="20"/>
          <w:color w:val="auto"/>
        </w:rPr>
      </w:pPr>
    </w:p>
    <w:p>
      <w:pPr>
        <w:ind w:left="120" w:right="159" w:firstLine="357"/>
        <w:spacing w:after="0" w:line="268" w:lineRule="auto"/>
        <w:tabs>
          <w:tab w:leader="none" w:pos="664"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the resolution or resolutions of the Board of Directors in or pursuant to which the terms and form of the Securities were established, certified by the Secretary or an Assistant Secretary of the Company to have been duly adopted by the Board of Directors and to be in full force and effect as of the date of such certificate, and if the terms and form of such Securities were established by an Officers’ Certificate pursuant to authorization of the Board of Directors, such Officers’ Certificate;</w:t>
      </w:r>
    </w:p>
    <w:p>
      <w:pPr>
        <w:spacing w:after="0" w:line="139" w:lineRule="exact"/>
        <w:rPr>
          <w:rFonts w:ascii="Times New Roman" w:cs="Times New Roman" w:eastAsia="Times New Roman" w:hAnsi="Times New Roman"/>
          <w:sz w:val="14"/>
          <w:szCs w:val="14"/>
          <w:color w:val="auto"/>
        </w:rPr>
      </w:pPr>
    </w:p>
    <w:p>
      <w:pPr>
        <w:ind w:left="680" w:hanging="203"/>
        <w:spacing w:after="0"/>
        <w:tabs>
          <w:tab w:leader="none" w:pos="68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executed supplemental indenture, if any;</w:t>
      </w:r>
    </w:p>
    <w:p>
      <w:pPr>
        <w:spacing w:after="0" w:line="182" w:lineRule="exact"/>
        <w:rPr>
          <w:rFonts w:ascii="Times New Roman" w:cs="Times New Roman" w:eastAsia="Times New Roman" w:hAnsi="Times New Roman"/>
          <w:sz w:val="14"/>
          <w:szCs w:val="14"/>
          <w:color w:val="auto"/>
        </w:rPr>
      </w:pPr>
    </w:p>
    <w:p>
      <w:pPr>
        <w:ind w:left="680" w:hanging="203"/>
        <w:spacing w:after="0"/>
        <w:tabs>
          <w:tab w:leader="none" w:pos="68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 Officers’ Certificate delivered in accordance with </w:t>
      </w:r>
      <w:r>
        <w:rPr>
          <w:rFonts w:ascii="Times New Roman" w:cs="Times New Roman" w:eastAsia="Times New Roman" w:hAnsi="Times New Roman"/>
          <w:sz w:val="14"/>
          <w:szCs w:val="14"/>
          <w:u w:val="single" w:color="auto"/>
          <w:color w:val="auto"/>
        </w:rPr>
        <w:t>Section 1.03</w:t>
      </w:r>
      <w:r>
        <w:rPr>
          <w:rFonts w:ascii="Times New Roman" w:cs="Times New Roman" w:eastAsia="Times New Roman" w:hAnsi="Times New Roman"/>
          <w:sz w:val="14"/>
          <w:szCs w:val="14"/>
          <w:color w:val="auto"/>
        </w:rPr>
        <w:t>; and</w:t>
      </w:r>
    </w:p>
    <w:p>
      <w:pPr>
        <w:spacing w:after="0" w:line="182" w:lineRule="exact"/>
        <w:rPr>
          <w:rFonts w:ascii="Times New Roman" w:cs="Times New Roman" w:eastAsia="Times New Roman" w:hAnsi="Times New Roman"/>
          <w:sz w:val="14"/>
          <w:szCs w:val="14"/>
          <w:color w:val="auto"/>
        </w:rPr>
      </w:pPr>
    </w:p>
    <w:p>
      <w:pPr>
        <w:ind w:left="680" w:hanging="203"/>
        <w:spacing w:after="0"/>
        <w:tabs>
          <w:tab w:leader="none" w:pos="68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Opinion of Counsel which shall state:</w:t>
      </w:r>
    </w:p>
    <w:p>
      <w:pPr>
        <w:spacing w:after="0" w:line="97" w:lineRule="exact"/>
        <w:rPr>
          <w:sz w:val="20"/>
          <w:szCs w:val="20"/>
          <w:color w:val="auto"/>
        </w:rPr>
      </w:pPr>
    </w:p>
    <w:p>
      <w:pPr>
        <w:ind w:left="120" w:right="199" w:firstLine="357"/>
        <w:spacing w:after="0" w:line="292" w:lineRule="auto"/>
        <w:tabs>
          <w:tab w:leader="none" w:pos="672"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that the form of such Securities has been established by a supplemental indenture or by or pursuant to a resolution of the Board of Directors in accordance with </w:t>
      </w:r>
      <w:r>
        <w:rPr>
          <w:rFonts w:ascii="Times New Roman" w:cs="Times New Roman" w:eastAsia="Times New Roman" w:hAnsi="Times New Roman"/>
          <w:sz w:val="14"/>
          <w:szCs w:val="14"/>
          <w:u w:val="single" w:color="auto"/>
          <w:color w:val="auto"/>
        </w:rPr>
        <w:t>Section 2.01</w:t>
      </w:r>
      <w:r>
        <w:rPr>
          <w:rFonts w:ascii="Times New Roman" w:cs="Times New Roman" w:eastAsia="Times New Roman" w:hAnsi="Times New Roman"/>
          <w:sz w:val="14"/>
          <w:szCs w:val="14"/>
          <w:color w:val="auto"/>
        </w:rPr>
        <w:t xml:space="preserve"> and in conformity with the provisions of this Indenture;</w:t>
      </w:r>
    </w:p>
    <w:p>
      <w:pPr>
        <w:spacing w:after="0" w:line="123" w:lineRule="exact"/>
        <w:rPr>
          <w:rFonts w:ascii="Times New Roman" w:cs="Times New Roman" w:eastAsia="Times New Roman" w:hAnsi="Times New Roman"/>
          <w:sz w:val="14"/>
          <w:szCs w:val="14"/>
          <w:color w:val="auto"/>
        </w:rPr>
      </w:pPr>
    </w:p>
    <w:p>
      <w:pPr>
        <w:ind w:left="120" w:right="439" w:firstLine="357"/>
        <w:spacing w:after="0" w:line="292" w:lineRule="auto"/>
        <w:tabs>
          <w:tab w:leader="none" w:pos="672"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that the terms of such Securities have been established in accordance with </w:t>
      </w:r>
      <w:r>
        <w:rPr>
          <w:rFonts w:ascii="Times New Roman" w:cs="Times New Roman" w:eastAsia="Times New Roman" w:hAnsi="Times New Roman"/>
          <w:sz w:val="14"/>
          <w:szCs w:val="14"/>
          <w:u w:val="single" w:color="auto"/>
          <w:color w:val="auto"/>
        </w:rPr>
        <w:t>Section 3.01</w:t>
      </w:r>
      <w:r>
        <w:rPr>
          <w:rFonts w:ascii="Times New Roman" w:cs="Times New Roman" w:eastAsia="Times New Roman" w:hAnsi="Times New Roman"/>
          <w:sz w:val="14"/>
          <w:szCs w:val="14"/>
          <w:color w:val="auto"/>
        </w:rPr>
        <w:t xml:space="preserve"> and in conformity with the other provisions of this Indenture; and</w:t>
      </w:r>
    </w:p>
    <w:p>
      <w:pPr>
        <w:spacing w:after="0" w:line="123" w:lineRule="exact"/>
        <w:rPr>
          <w:rFonts w:ascii="Times New Roman" w:cs="Times New Roman" w:eastAsia="Times New Roman" w:hAnsi="Times New Roman"/>
          <w:sz w:val="14"/>
          <w:szCs w:val="14"/>
          <w:color w:val="auto"/>
        </w:rPr>
      </w:pPr>
    </w:p>
    <w:p>
      <w:pPr>
        <w:jc w:val="both"/>
        <w:ind w:left="120" w:right="239" w:firstLine="357"/>
        <w:spacing w:after="0" w:line="268" w:lineRule="auto"/>
        <w:tabs>
          <w:tab w:leader="none" w:pos="672"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such Securities, when authenticated and delivered by the Trustee and issued by the Company in the manner and subject to any conditions specified in such Opinion of Counsel, will constitute valid and legally binding obligations of the Company, enforceable in accordance with their terms, subject to bankruptcy, insolvency, fraudulent transfer, reorganization, moratorium and other laws of general applicability relating to or affecting the enforcement of creditors’ rights and to general equity principles.</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9019"/>
          </w:cols>
          <w:pgMar w:left="1440" w:top="243" w:right="1440" w:bottom="1440" w:gutter="0" w:footer="0" w:header="0"/>
        </w:sectPr>
      </w:pPr>
    </w:p>
    <w:bookmarkStart w:id="139" w:name="page140"/>
    <w:bookmarkEnd w:id="139"/>
    <w:p>
      <w:pPr>
        <w:ind w:left="120" w:right="139" w:firstLine="350"/>
        <w:spacing w:after="0" w:line="26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4">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The Trustee shall have the right to decline to authenticate and deliver any Securities under this Section (a) if the Trustee, being advised by counsel, determines that such action may not lawfully be taken, (b) if the Trustee in good faith shall determine that such action would expose the Trustee to personal liability to existing Holders or (c) if the issue of the Security pursuant to this Indenture will affect the Trustee’s own rights, duties or immunities under the Securities or this Indenture or otherwise in a manner not reasonably acceptable to the Trustee.</w:t>
      </w:r>
    </w:p>
    <w:p>
      <w:pPr>
        <w:spacing w:after="0" w:line="13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Unless otherwise provided for in the form of Security, each Security shall be dated the date of its authentication.</w:t>
      </w:r>
    </w:p>
    <w:p>
      <w:pPr>
        <w:spacing w:after="0" w:line="182" w:lineRule="exact"/>
        <w:rPr>
          <w:sz w:val="20"/>
          <w:szCs w:val="20"/>
          <w:color w:val="auto"/>
        </w:rPr>
      </w:pPr>
    </w:p>
    <w:p>
      <w:pPr>
        <w:ind w:left="120" w:right="179" w:firstLine="350"/>
        <w:spacing w:after="0" w:line="268" w:lineRule="auto"/>
        <w:rPr>
          <w:sz w:val="20"/>
          <w:szCs w:val="20"/>
          <w:color w:val="auto"/>
        </w:rPr>
      </w:pPr>
      <w:r>
        <w:rPr>
          <w:rFonts w:ascii="Times New Roman" w:cs="Times New Roman" w:eastAsia="Times New Roman" w:hAnsi="Times New Roman"/>
          <w:sz w:val="14"/>
          <w:szCs w:val="14"/>
          <w:color w:val="auto"/>
        </w:rPr>
        <w:t>No Security shall be entitled to any benefit under this Indenture or be valid or obligatory for any purpose unless there appears on such Security a certificate of authentication substantially in the form provided for herein duly executed by the Trustee by manual signature of an authorized signatory, and such certificate upon any Security shall be conclusive evidence, and the only evidence, that such Security has been duly authenticated and delivered hereunder and is entitled to the benefits of this Indenture.</w:t>
      </w:r>
    </w:p>
    <w:p>
      <w:pPr>
        <w:spacing w:after="0" w:line="139" w:lineRule="exact"/>
        <w:rPr>
          <w:sz w:val="20"/>
          <w:szCs w:val="20"/>
          <w:color w:val="auto"/>
        </w:rPr>
      </w:pPr>
    </w:p>
    <w:p>
      <w:pPr>
        <w:ind w:left="120" w:right="139" w:firstLine="350"/>
        <w:spacing w:after="0" w:line="260" w:lineRule="auto"/>
        <w:rPr>
          <w:sz w:val="20"/>
          <w:szCs w:val="20"/>
          <w:color w:val="auto"/>
        </w:rPr>
      </w:pPr>
      <w:r>
        <w:rPr>
          <w:rFonts w:ascii="Times New Roman" w:cs="Times New Roman" w:eastAsia="Times New Roman" w:hAnsi="Times New Roman"/>
          <w:sz w:val="14"/>
          <w:szCs w:val="14"/>
          <w:color w:val="auto"/>
        </w:rPr>
        <w:t xml:space="preserve">Except as otherwise specified with respect to a series of Securities in accordance with the provisions of </w:t>
      </w:r>
      <w:r>
        <w:rPr>
          <w:rFonts w:ascii="Times New Roman" w:cs="Times New Roman" w:eastAsia="Times New Roman" w:hAnsi="Times New Roman"/>
          <w:sz w:val="14"/>
          <w:szCs w:val="14"/>
          <w:u w:val="single" w:color="auto"/>
          <w:color w:val="auto"/>
        </w:rPr>
        <w:t>Section 3.01</w:t>
      </w:r>
      <w:r>
        <w:rPr>
          <w:rFonts w:ascii="Times New Roman" w:cs="Times New Roman" w:eastAsia="Times New Roman" w:hAnsi="Times New Roman"/>
          <w:sz w:val="14"/>
          <w:szCs w:val="14"/>
          <w:color w:val="auto"/>
        </w:rPr>
        <w:t xml:space="preserve">, in case the Company, pursuant to </w:t>
      </w:r>
      <w:r>
        <w:rPr>
          <w:rFonts w:ascii="Times New Roman" w:cs="Times New Roman" w:eastAsia="Times New Roman" w:hAnsi="Times New Roman"/>
          <w:sz w:val="14"/>
          <w:szCs w:val="14"/>
          <w:u w:val="single" w:color="auto"/>
          <w:color w:val="auto"/>
        </w:rPr>
        <w:t>Article VIII</w:t>
      </w:r>
      <w:r>
        <w:rPr>
          <w:rFonts w:ascii="Times New Roman" w:cs="Times New Roman" w:eastAsia="Times New Roman" w:hAnsi="Times New Roman"/>
          <w:sz w:val="14"/>
          <w:szCs w:val="14"/>
          <w:color w:val="auto"/>
        </w:rPr>
        <w:t xml:space="preserve">, shall, in a single transaction or through a series of related transactions, be consolidated, amalgamated, combined or merged with or into any other Person or shall sell, assign, convey, transfer, lease or otherwise dispose of all or substantially all of its properties and assets to any Person, and the successor Person resulting from such consolidation, amalgamation, or combination or surviving such merger, or into which the Company shall have been merged, or the successor Person which shall have participated in the sale, assignment, conveyance, transfer, lease or other disposition as aforesaid, shall have executed an indenture supplemental hereto with the Trustee pursuant to </w:t>
      </w:r>
      <w:r>
        <w:rPr>
          <w:rFonts w:ascii="Times New Roman" w:cs="Times New Roman" w:eastAsia="Times New Roman" w:hAnsi="Times New Roman"/>
          <w:sz w:val="14"/>
          <w:szCs w:val="14"/>
          <w:u w:val="single" w:color="auto"/>
          <w:color w:val="auto"/>
        </w:rPr>
        <w:t>Article VIII</w:t>
      </w:r>
      <w:r>
        <w:rPr>
          <w:rFonts w:ascii="Times New Roman" w:cs="Times New Roman" w:eastAsia="Times New Roman" w:hAnsi="Times New Roman"/>
          <w:sz w:val="14"/>
          <w:szCs w:val="14"/>
          <w:color w:val="auto"/>
        </w:rPr>
        <w:t>, any of the Securities authenticated or delivered prior to such consolidation, amalgamation, combination, merger, sale, assignment, conveyance, transfer, lease or other disposition may, from time to time, at the request of the successor Person, be exchanged for other Securities executed in the name of the successor Person with such changes in phraseology and form as may be appropriate, but otherwise in substance of like tenor as the Securities surrendered for such exchange and of like principal amount;</w:t>
      </w:r>
    </w:p>
    <w:p>
      <w:pPr>
        <w:spacing w:after="0" w:line="319" w:lineRule="exact"/>
        <w:rPr>
          <w:sz w:val="20"/>
          <w:szCs w:val="20"/>
          <w:color w:val="auto"/>
        </w:rPr>
      </w:pPr>
    </w:p>
    <w:p>
      <w:pPr>
        <w:ind w:left="120" w:right="179"/>
        <w:spacing w:after="0" w:line="268" w:lineRule="auto"/>
        <w:rPr>
          <w:sz w:val="20"/>
          <w:szCs w:val="20"/>
          <w:color w:val="auto"/>
        </w:rPr>
      </w:pPr>
      <w:r>
        <w:rPr>
          <w:rFonts w:ascii="Times New Roman" w:cs="Times New Roman" w:eastAsia="Times New Roman" w:hAnsi="Times New Roman"/>
          <w:sz w:val="14"/>
          <w:szCs w:val="14"/>
          <w:color w:val="auto"/>
        </w:rPr>
        <w:t xml:space="preserve">and the Trustee, upon Company Request of the successor Person, shall authenticate and deliver Securities as specified in such request for the purpose of such exchange. If Securities shall at any time be authenticated and delivered in any new name of a successor Person pursuant to this </w:t>
      </w:r>
      <w:r>
        <w:rPr>
          <w:rFonts w:ascii="Times New Roman" w:cs="Times New Roman" w:eastAsia="Times New Roman" w:hAnsi="Times New Roman"/>
          <w:sz w:val="14"/>
          <w:szCs w:val="14"/>
          <w:u w:val="single" w:color="auto"/>
          <w:color w:val="auto"/>
        </w:rPr>
        <w:t>Section 3.03</w:t>
      </w:r>
      <w:r>
        <w:rPr>
          <w:rFonts w:ascii="Times New Roman" w:cs="Times New Roman" w:eastAsia="Times New Roman" w:hAnsi="Times New Roman"/>
          <w:sz w:val="14"/>
          <w:szCs w:val="14"/>
          <w:color w:val="auto"/>
        </w:rPr>
        <w:t xml:space="preserve"> in exchange or substitution for or upon registration of transfer of any Securities, such successor Person, at the option of the Holders but without expense to them, shall provide for the exchange of all Securities at the time Outstanding for Securities authenticated and delivered in such new name.</w:t>
      </w:r>
    </w:p>
    <w:p>
      <w:pPr>
        <w:spacing w:after="0" w:line="139" w:lineRule="exact"/>
        <w:rPr>
          <w:sz w:val="20"/>
          <w:szCs w:val="20"/>
          <w:color w:val="auto"/>
        </w:rPr>
      </w:pPr>
    </w:p>
    <w:p>
      <w:pPr>
        <w:ind w:left="120" w:right="239" w:firstLine="350"/>
        <w:spacing w:after="0" w:line="268" w:lineRule="auto"/>
        <w:rPr>
          <w:sz w:val="20"/>
          <w:szCs w:val="20"/>
          <w:color w:val="auto"/>
        </w:rPr>
      </w:pPr>
      <w:r>
        <w:rPr>
          <w:rFonts w:ascii="Times New Roman" w:cs="Times New Roman" w:eastAsia="Times New Roman" w:hAnsi="Times New Roman"/>
          <w:sz w:val="14"/>
          <w:szCs w:val="14"/>
          <w:color w:val="auto"/>
        </w:rPr>
        <w:t>The Trustee may appoint an authenticating agent (“</w:t>
      </w:r>
      <w:r>
        <w:rPr>
          <w:rFonts w:ascii="Times New Roman" w:cs="Times New Roman" w:eastAsia="Times New Roman" w:hAnsi="Times New Roman"/>
          <w:sz w:val="14"/>
          <w:szCs w:val="14"/>
          <w:u w:val="single" w:color="auto"/>
          <w:color w:val="auto"/>
        </w:rPr>
        <w:t>Authenticating Agent</w:t>
      </w:r>
      <w:r>
        <w:rPr>
          <w:rFonts w:ascii="Times New Roman" w:cs="Times New Roman" w:eastAsia="Times New Roman" w:hAnsi="Times New Roman"/>
          <w:sz w:val="14"/>
          <w:szCs w:val="14"/>
          <w:color w:val="auto"/>
        </w:rPr>
        <w:t>”) reasonably acceptable to the Company to authenticate Securities on behalf of the Trustee. Unless limited by the terms of such appointment, an Authenticating Agent may authenticate Securities whenever the Trustee may do so. Each reference in this Indenture to authentication by the Trustee includes authentication by such agent. An Authenticating Agent has the same rights as any Security Registrar or Paying Agent to deal with the Holders, the Company and its Affiliates.</w:t>
      </w:r>
    </w:p>
    <w:p>
      <w:pPr>
        <w:spacing w:after="0" w:line="1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3.04 </w:t>
      </w:r>
      <w:r>
        <w:rPr>
          <w:rFonts w:ascii="Times New Roman" w:cs="Times New Roman" w:eastAsia="Times New Roman" w:hAnsi="Times New Roman"/>
          <w:sz w:val="14"/>
          <w:szCs w:val="14"/>
          <w:u w:val="single" w:color="auto"/>
          <w:color w:val="auto"/>
        </w:rPr>
        <w:t>TEMPORARY SECURITIES.</w:t>
      </w:r>
    </w:p>
    <w:p>
      <w:pPr>
        <w:spacing w:after="0" w:line="182" w:lineRule="exact"/>
        <w:rPr>
          <w:sz w:val="20"/>
          <w:szCs w:val="20"/>
          <w:color w:val="auto"/>
        </w:rPr>
      </w:pPr>
    </w:p>
    <w:p>
      <w:pPr>
        <w:ind w:left="120" w:right="319" w:firstLine="357"/>
        <w:spacing w:after="0" w:line="268" w:lineRule="auto"/>
        <w:tabs>
          <w:tab w:leader="none" w:pos="664"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Pending the preparation of definitive Securities, the Company may execute, and upon receipt of a Company Order the Trustee shall authenticate and deliver, temporary Securities which are printed, lithographed, typewritten or otherwise produced, in any authorized denomination, substantially of the tenor of the definitive Securities in lieu of which they are issued and with such appropriate insertions, omissions, substitutions and other variations as the Officer or Officers executing such Securities may determine, as conclusively evidenced by their execution of such Securities.</w:t>
      </w:r>
    </w:p>
    <w:p>
      <w:pPr>
        <w:spacing w:after="0" w:line="139" w:lineRule="exact"/>
        <w:rPr>
          <w:rFonts w:ascii="Times New Roman" w:cs="Times New Roman" w:eastAsia="Times New Roman" w:hAnsi="Times New Roman"/>
          <w:sz w:val="14"/>
          <w:szCs w:val="14"/>
          <w:color w:val="auto"/>
        </w:rPr>
      </w:pPr>
    </w:p>
    <w:p>
      <w:pPr>
        <w:ind w:left="120" w:right="259" w:firstLine="357"/>
        <w:spacing w:after="0" w:line="263" w:lineRule="auto"/>
        <w:tabs>
          <w:tab w:leader="none" w:pos="672"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temporary Securities are issued, the Company will cause definitive Securities to be prepared without unreasonable delay, except to comply with applicable law. After the preparation of definitive Securities, the temporary Securities shall be exchangeable for definitive Securities upon surrender of the temporary Securities at the office or agency of the Company designated for such purpose pursuant to </w:t>
      </w:r>
      <w:r>
        <w:rPr>
          <w:rFonts w:ascii="Times New Roman" w:cs="Times New Roman" w:eastAsia="Times New Roman" w:hAnsi="Times New Roman"/>
          <w:sz w:val="14"/>
          <w:szCs w:val="14"/>
          <w:u w:val="single" w:color="auto"/>
          <w:color w:val="auto"/>
        </w:rPr>
        <w:t>Section 10.02</w:t>
      </w:r>
      <w:r>
        <w:rPr>
          <w:rFonts w:ascii="Times New Roman" w:cs="Times New Roman" w:eastAsia="Times New Roman" w:hAnsi="Times New Roman"/>
          <w:sz w:val="14"/>
          <w:szCs w:val="14"/>
          <w:color w:val="auto"/>
        </w:rPr>
        <w:t>, without charge to the Holder. Upon surrender for cancellation of any one or more temporary Securities, the Company shall execute and the Trustee shall authenticate and deliver in exchange therefor a like principal amount of definitive Securities of authorized denominations. Until so exchanged, the temporary Securities shall in all respects be entitled to the same benefits under this Indenture as definitive Securities.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9019"/>
          </w:cols>
          <w:pgMar w:left="1440" w:top="243" w:right="1440" w:bottom="1440" w:gutter="0" w:footer="0" w:header="0"/>
        </w:sectPr>
      </w:pPr>
    </w:p>
    <w:bookmarkStart w:id="140" w:name="page141"/>
    <w:bookmarkEnd w:id="140"/>
    <w:p>
      <w:pPr>
        <w:ind w:left="1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5">
                      <a:extLst>
                        <a:ext uri="{28A0092B-C50C-407E-A947-70E740481C1C}"/>
                      </a:extLst>
                    </a:blip>
                    <a:srcRect/>
                    <a:stretch>
                      <a:fillRect/>
                    </a:stretch>
                  </pic:blipFill>
                  <pic:spPr bwMode="auto">
                    <a:xfrm>
                      <a:off x="0" y="0"/>
                      <a:ext cx="7199630" cy="33020"/>
                    </a:xfrm>
                    <a:prstGeom prst="rect">
                      <a:avLst/>
                    </a:prstGeom>
                    <a:noFill/>
                  </pic:spPr>
                </pic:pic>
              </a:graphicData>
            </a:graphic>
          </wp:anchor>
        </w:drawing>
        <w:t xml:space="preserve">Section 3.05 </w:t>
      </w:r>
      <w:r>
        <w:rPr>
          <w:rFonts w:ascii="Times New Roman" w:cs="Times New Roman" w:eastAsia="Times New Roman" w:hAnsi="Times New Roman"/>
          <w:sz w:val="14"/>
          <w:szCs w:val="14"/>
          <w:u w:val="single" w:color="auto"/>
          <w:color w:val="auto"/>
        </w:rPr>
        <w:t>REGISTRATION, REGISTRATION OF TRANSFER AND EXCHANGE.</w:t>
      </w:r>
    </w:p>
    <w:p>
      <w:pPr>
        <w:spacing w:after="0" w:line="182" w:lineRule="exact"/>
        <w:rPr>
          <w:sz w:val="20"/>
          <w:szCs w:val="20"/>
          <w:color w:val="auto"/>
        </w:rPr>
      </w:pPr>
    </w:p>
    <w:p>
      <w:pPr>
        <w:ind w:left="120" w:right="139" w:firstLine="350"/>
        <w:spacing w:after="0" w:line="261" w:lineRule="auto"/>
        <w:rPr>
          <w:sz w:val="20"/>
          <w:szCs w:val="20"/>
          <w:color w:val="auto"/>
        </w:rPr>
      </w:pPr>
      <w:r>
        <w:rPr>
          <w:rFonts w:ascii="Times New Roman" w:cs="Times New Roman" w:eastAsia="Times New Roman" w:hAnsi="Times New Roman"/>
          <w:sz w:val="14"/>
          <w:szCs w:val="14"/>
          <w:color w:val="auto"/>
        </w:rPr>
        <w:t xml:space="preserve">The Company shall cause the Trustee to keep, so long as it is the Security Registrar, at the Corporate Trust Office of the Trustee, or such other office as the Trustee may designate, a register for each series of Securities (the register maintained in such office or in any other office or agency designated pursuant to </w:t>
      </w:r>
      <w:r>
        <w:rPr>
          <w:rFonts w:ascii="Times New Roman" w:cs="Times New Roman" w:eastAsia="Times New Roman" w:hAnsi="Times New Roman"/>
          <w:sz w:val="14"/>
          <w:szCs w:val="14"/>
          <w:u w:val="single" w:color="auto"/>
          <w:color w:val="auto"/>
        </w:rPr>
        <w:t>Section 10.02</w:t>
      </w:r>
      <w:r>
        <w:rPr>
          <w:rFonts w:ascii="Times New Roman" w:cs="Times New Roman" w:eastAsia="Times New Roman" w:hAnsi="Times New Roman"/>
          <w:sz w:val="14"/>
          <w:szCs w:val="14"/>
          <w:color w:val="auto"/>
        </w:rPr>
        <w:t xml:space="preserve"> being herein sometimes referred to as the “</w:t>
      </w:r>
      <w:r>
        <w:rPr>
          <w:rFonts w:ascii="Times New Roman" w:cs="Times New Roman" w:eastAsia="Times New Roman" w:hAnsi="Times New Roman"/>
          <w:sz w:val="14"/>
          <w:szCs w:val="14"/>
          <w:u w:val="single" w:color="auto"/>
          <w:color w:val="auto"/>
        </w:rPr>
        <w:t>Security Register</w:t>
      </w:r>
      <w:r>
        <w:rPr>
          <w:rFonts w:ascii="Times New Roman" w:cs="Times New Roman" w:eastAsia="Times New Roman" w:hAnsi="Times New Roman"/>
          <w:sz w:val="14"/>
          <w:szCs w:val="14"/>
          <w:color w:val="auto"/>
        </w:rPr>
        <w:t>”) in which, subject to such reasonable regulations as the Security Registrar may prescribe, the Company shall provide for the registration of Securities and of transfers of Securities. The Trustee shall initially be the “</w:t>
      </w:r>
      <w:r>
        <w:rPr>
          <w:rFonts w:ascii="Times New Roman" w:cs="Times New Roman" w:eastAsia="Times New Roman" w:hAnsi="Times New Roman"/>
          <w:sz w:val="14"/>
          <w:szCs w:val="14"/>
          <w:u w:val="single" w:color="auto"/>
          <w:color w:val="auto"/>
        </w:rPr>
        <w:t>Security Registrar</w:t>
      </w:r>
      <w:r>
        <w:rPr>
          <w:rFonts w:ascii="Times New Roman" w:cs="Times New Roman" w:eastAsia="Times New Roman" w:hAnsi="Times New Roman"/>
          <w:sz w:val="14"/>
          <w:szCs w:val="14"/>
          <w:color w:val="auto"/>
        </w:rPr>
        <w:t>” for the purpose of registering Securities and transfers of Securities as herein provided. The Company may change the Security Registrar or appoint one or more co-Security Registrars without prior notice; provided that the Company shall promptly notify the Trustee if the Company changes the Security Registrar or appoints a co-Security Registrar.</w:t>
      </w:r>
    </w:p>
    <w:p>
      <w:pPr>
        <w:spacing w:after="0" w:line="148" w:lineRule="exact"/>
        <w:rPr>
          <w:sz w:val="20"/>
          <w:szCs w:val="20"/>
          <w:color w:val="auto"/>
        </w:rPr>
      </w:pPr>
    </w:p>
    <w:p>
      <w:pPr>
        <w:ind w:left="120" w:right="559" w:firstLine="350"/>
        <w:spacing w:after="0" w:line="274" w:lineRule="auto"/>
        <w:rPr>
          <w:sz w:val="20"/>
          <w:szCs w:val="20"/>
          <w:color w:val="auto"/>
        </w:rPr>
      </w:pPr>
      <w:r>
        <w:rPr>
          <w:rFonts w:ascii="Times New Roman" w:cs="Times New Roman" w:eastAsia="Times New Roman" w:hAnsi="Times New Roman"/>
          <w:sz w:val="14"/>
          <w:szCs w:val="14"/>
          <w:color w:val="auto"/>
        </w:rPr>
        <w:t xml:space="preserve">Upon surrender for registration of transfer of any Security at the office or agency of the Company designated pursuant to </w:t>
      </w:r>
      <w:r>
        <w:rPr>
          <w:rFonts w:ascii="Times New Roman" w:cs="Times New Roman" w:eastAsia="Times New Roman" w:hAnsi="Times New Roman"/>
          <w:sz w:val="14"/>
          <w:szCs w:val="14"/>
          <w:u w:val="single" w:color="auto"/>
          <w:color w:val="auto"/>
        </w:rPr>
        <w:t>Section 10.02</w:t>
      </w:r>
      <w:r>
        <w:rPr>
          <w:rFonts w:ascii="Times New Roman" w:cs="Times New Roman" w:eastAsia="Times New Roman" w:hAnsi="Times New Roman"/>
          <w:sz w:val="14"/>
          <w:szCs w:val="14"/>
          <w:color w:val="auto"/>
        </w:rPr>
        <w:t>, the Company shall execute, and the Trustee shall authenticate and deliver, in the name of the designated transferee or transferees, one or more new Securities of the same series of any authorized denomination or denominations, of a like aggregate principal amount.</w:t>
      </w:r>
    </w:p>
    <w:p>
      <w:pPr>
        <w:spacing w:after="0" w:line="135" w:lineRule="exact"/>
        <w:rPr>
          <w:sz w:val="20"/>
          <w:szCs w:val="20"/>
          <w:color w:val="auto"/>
        </w:rPr>
      </w:pPr>
    </w:p>
    <w:p>
      <w:pPr>
        <w:ind w:left="120" w:right="279" w:firstLine="350"/>
        <w:spacing w:after="0" w:line="274" w:lineRule="auto"/>
        <w:rPr>
          <w:sz w:val="20"/>
          <w:szCs w:val="20"/>
          <w:color w:val="auto"/>
        </w:rPr>
      </w:pPr>
      <w:r>
        <w:rPr>
          <w:rFonts w:ascii="Times New Roman" w:cs="Times New Roman" w:eastAsia="Times New Roman" w:hAnsi="Times New Roman"/>
          <w:sz w:val="14"/>
          <w:szCs w:val="14"/>
          <w:color w:val="auto"/>
        </w:rPr>
        <w:t>Furthermore, any Holder of a Global Security shall, by acceptance of such Global Security, agree that transfers of beneficial interests in such Global Security may be effected only through a book-entry system maintained by the Holder of such Global Security (or its agent), and that ownership of a beneficial interest in a Security shall be required to be reflected in a book entry.</w:t>
      </w:r>
    </w:p>
    <w:p>
      <w:pPr>
        <w:spacing w:after="0" w:line="135" w:lineRule="exact"/>
        <w:rPr>
          <w:sz w:val="20"/>
          <w:szCs w:val="20"/>
          <w:color w:val="auto"/>
        </w:rPr>
      </w:pPr>
    </w:p>
    <w:p>
      <w:pPr>
        <w:ind w:left="120" w:right="279" w:firstLine="350"/>
        <w:spacing w:after="0" w:line="268" w:lineRule="auto"/>
        <w:rPr>
          <w:sz w:val="20"/>
          <w:szCs w:val="20"/>
          <w:color w:val="auto"/>
        </w:rPr>
      </w:pPr>
      <w:r>
        <w:rPr>
          <w:rFonts w:ascii="Times New Roman" w:cs="Times New Roman" w:eastAsia="Times New Roman" w:hAnsi="Times New Roman"/>
          <w:sz w:val="14"/>
          <w:szCs w:val="14"/>
          <w:color w:val="auto"/>
        </w:rPr>
        <w:t>At the option of the Holder, Securities may be exchanged for other Securities of any authorized denomination or denominations, of a like aggregate principal amount, upon surrender of the Securities to be exchanged at such office or agency. Whenever any Securities are so surrendered for exchange, the Company shall execute, and the Trustee shall authenticate and deliver, Securities of the same series which the Holder making the exchange is entitled to receive.</w:t>
      </w:r>
    </w:p>
    <w:p>
      <w:pPr>
        <w:spacing w:after="0" w:line="139" w:lineRule="exact"/>
        <w:rPr>
          <w:sz w:val="20"/>
          <w:szCs w:val="20"/>
          <w:color w:val="auto"/>
        </w:rPr>
      </w:pPr>
    </w:p>
    <w:p>
      <w:pPr>
        <w:ind w:left="120" w:right="299" w:firstLine="350"/>
        <w:spacing w:after="0" w:line="292" w:lineRule="auto"/>
        <w:rPr>
          <w:sz w:val="20"/>
          <w:szCs w:val="20"/>
          <w:color w:val="auto"/>
        </w:rPr>
      </w:pPr>
      <w:r>
        <w:rPr>
          <w:rFonts w:ascii="Times New Roman" w:cs="Times New Roman" w:eastAsia="Times New Roman" w:hAnsi="Times New Roman"/>
          <w:sz w:val="14"/>
          <w:szCs w:val="14"/>
          <w:color w:val="auto"/>
        </w:rPr>
        <w:t>All Securities issued upon any registration of transfer or exchange of Securities shall be the valid obligations of the Company, evidencing the same Indebtedness, and entitled to the same benefits under this Indenture, as the Securities surrendered upon such registration of transfer or exchange.</w:t>
      </w:r>
    </w:p>
    <w:p>
      <w:pPr>
        <w:spacing w:after="0" w:line="123" w:lineRule="exact"/>
        <w:rPr>
          <w:sz w:val="20"/>
          <w:szCs w:val="20"/>
          <w:color w:val="auto"/>
        </w:rPr>
      </w:pPr>
    </w:p>
    <w:p>
      <w:pPr>
        <w:ind w:left="120" w:right="239" w:firstLine="350"/>
        <w:spacing w:after="0" w:line="274" w:lineRule="auto"/>
        <w:rPr>
          <w:sz w:val="20"/>
          <w:szCs w:val="20"/>
          <w:color w:val="auto"/>
        </w:rPr>
      </w:pPr>
      <w:r>
        <w:rPr>
          <w:rFonts w:ascii="Times New Roman" w:cs="Times New Roman" w:eastAsia="Times New Roman" w:hAnsi="Times New Roman"/>
          <w:sz w:val="14"/>
          <w:szCs w:val="14"/>
          <w:color w:val="auto"/>
        </w:rPr>
        <w:t>Every Security presented or surrendered for registration of transfer, or for exchange, repurchase or redemption, shall (if so required by the Company or the Trustee) be duly endorsed, or be accompanied by a written instrument of transfer in form satisfactory to the Company and the Security Registrar, duly executed by the Holder thereof or his attorney duly authorized in writing.</w:t>
      </w:r>
    </w:p>
    <w:p>
      <w:pPr>
        <w:spacing w:after="0" w:line="135" w:lineRule="exact"/>
        <w:rPr>
          <w:sz w:val="20"/>
          <w:szCs w:val="20"/>
          <w:color w:val="auto"/>
        </w:rPr>
      </w:pPr>
    </w:p>
    <w:p>
      <w:pPr>
        <w:ind w:left="120" w:right="219" w:firstLine="350"/>
        <w:spacing w:after="0" w:line="266" w:lineRule="auto"/>
        <w:rPr>
          <w:sz w:val="20"/>
          <w:szCs w:val="20"/>
          <w:color w:val="auto"/>
        </w:rPr>
      </w:pPr>
      <w:r>
        <w:rPr>
          <w:rFonts w:ascii="Times New Roman" w:cs="Times New Roman" w:eastAsia="Times New Roman" w:hAnsi="Times New Roman"/>
          <w:sz w:val="14"/>
          <w:szCs w:val="14"/>
          <w:color w:val="auto"/>
        </w:rPr>
        <w:t xml:space="preserve">No service charge shall be made to a Holder for any registration of transfer, exchange or redemption of Securities, other than exchanges pursuant to this </w:t>
      </w:r>
      <w:r>
        <w:rPr>
          <w:rFonts w:ascii="Times New Roman" w:cs="Times New Roman" w:eastAsia="Times New Roman" w:hAnsi="Times New Roman"/>
          <w:sz w:val="14"/>
          <w:szCs w:val="14"/>
          <w:u w:val="single" w:color="auto"/>
          <w:color w:val="auto"/>
        </w:rPr>
        <w:t>Section 3.05</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3.07</w:t>
      </w:r>
      <w:r>
        <w:rPr>
          <w:rFonts w:ascii="Times New Roman" w:cs="Times New Roman" w:eastAsia="Times New Roman" w:hAnsi="Times New Roman"/>
          <w:sz w:val="14"/>
          <w:szCs w:val="14"/>
          <w:color w:val="auto"/>
        </w:rPr>
        <w:t xml:space="preserve"> not involving any transfer, except for any transfer tax or similar governmental charge that may be imposed in connection therewith (other than any such transfer taxes or similar governmental charge payable upon exchange or transfer pursuant to </w:t>
      </w:r>
      <w:r>
        <w:rPr>
          <w:rFonts w:ascii="Times New Roman" w:cs="Times New Roman" w:eastAsia="Times New Roman" w:hAnsi="Times New Roman"/>
          <w:sz w:val="14"/>
          <w:szCs w:val="14"/>
          <w:u w:val="single" w:color="auto"/>
          <w:color w:val="auto"/>
        </w:rPr>
        <w:t>Sections 3.04</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9.06</w:t>
      </w:r>
      <w:r>
        <w:rPr>
          <w:rFonts w:ascii="Times New Roman" w:cs="Times New Roman" w:eastAsia="Times New Roman" w:hAnsi="Times New Roman"/>
          <w:sz w:val="14"/>
          <w:szCs w:val="14"/>
          <w:color w:val="auto"/>
        </w:rPr>
        <w:t xml:space="preserve"> or pursuant to any offer for the Securities which the Company may make to the Holders pursuant to the provisions of any indenture supplemental hereto).</w:t>
      </w:r>
    </w:p>
    <w:p>
      <w:pPr>
        <w:spacing w:after="0" w:line="316" w:lineRule="exact"/>
        <w:rPr>
          <w:sz w:val="20"/>
          <w:szCs w:val="20"/>
          <w:color w:val="auto"/>
        </w:rPr>
      </w:pPr>
    </w:p>
    <w:p>
      <w:pPr>
        <w:ind w:left="120" w:right="219" w:firstLine="350"/>
        <w:spacing w:after="0" w:line="263" w:lineRule="auto"/>
        <w:rPr>
          <w:sz w:val="20"/>
          <w:szCs w:val="20"/>
          <w:color w:val="auto"/>
        </w:rPr>
      </w:pPr>
      <w:r>
        <w:rPr>
          <w:rFonts w:ascii="Times New Roman" w:cs="Times New Roman" w:eastAsia="Times New Roman" w:hAnsi="Times New Roman"/>
          <w:sz w:val="14"/>
          <w:szCs w:val="14"/>
          <w:color w:val="auto"/>
        </w:rPr>
        <w:t>The Company shall not be required (a) to issue, register the transfer of or exchange any Security during a period beginning at the opening of business 15 days before the mailing of a notice of redemption of Securities pursuant to Article XI or any applicable provision of an indenture supplemental hereto and ending at the close of business on the day of such mailing, (b) to register the transfer of or exchange any Security so selected for redemption in whole or in part, except the unredeemed portion of Securities being redeemed in part or (c) to register the transfer of or to exchange a Security between a Regular Record Date and the next succeeding Interest Payment Date or a Special Record Date and the next succeeding Special Payment Date.</w:t>
      </w:r>
    </w:p>
    <w:p>
      <w:pPr>
        <w:spacing w:after="0" w:line="143" w:lineRule="exact"/>
        <w:rPr>
          <w:sz w:val="20"/>
          <w:szCs w:val="20"/>
          <w:color w:val="auto"/>
        </w:rPr>
      </w:pPr>
    </w:p>
    <w:p>
      <w:pPr>
        <w:ind w:left="120" w:right="259" w:firstLine="350"/>
        <w:spacing w:after="0" w:line="274" w:lineRule="auto"/>
        <w:rPr>
          <w:sz w:val="20"/>
          <w:szCs w:val="20"/>
          <w:color w:val="auto"/>
        </w:rPr>
      </w:pPr>
      <w:r>
        <w:rPr>
          <w:rFonts w:ascii="Times New Roman" w:cs="Times New Roman" w:eastAsia="Times New Roman" w:hAnsi="Times New Roman"/>
          <w:sz w:val="14"/>
          <w:szCs w:val="14"/>
          <w:color w:val="auto"/>
        </w:rPr>
        <w:t xml:space="preserve">Any Security authenticated and delivered upon registration of transfer of, or in exchange for, or in lieu of, any Global Security, whether pursuant to this </w:t>
      </w:r>
      <w:r>
        <w:rPr>
          <w:rFonts w:ascii="Times New Roman" w:cs="Times New Roman" w:eastAsia="Times New Roman" w:hAnsi="Times New Roman"/>
          <w:sz w:val="14"/>
          <w:szCs w:val="14"/>
          <w:u w:val="single" w:color="auto"/>
          <w:color w:val="auto"/>
        </w:rPr>
        <w:t>Section 3.05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Sections 3.04</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3.06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3.07</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9.06</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11.08</w:t>
      </w:r>
      <w:r>
        <w:rPr>
          <w:rFonts w:ascii="Times New Roman" w:cs="Times New Roman" w:eastAsia="Times New Roman" w:hAnsi="Times New Roman"/>
          <w:sz w:val="14"/>
          <w:szCs w:val="14"/>
          <w:color w:val="auto"/>
        </w:rPr>
        <w:t xml:space="preserve"> or otherwise, shall also be a Global Security and bear the legend specified in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hereto or as specified pursuant to </w:t>
      </w:r>
      <w:r>
        <w:rPr>
          <w:rFonts w:ascii="Times New Roman" w:cs="Times New Roman" w:eastAsia="Times New Roman" w:hAnsi="Times New Roman"/>
          <w:sz w:val="14"/>
          <w:szCs w:val="14"/>
          <w:u w:val="single" w:color="auto"/>
          <w:color w:val="auto"/>
        </w:rPr>
        <w:t>Section 3.01</w:t>
      </w:r>
      <w:r>
        <w:rPr>
          <w:rFonts w:ascii="Times New Roman" w:cs="Times New Roman" w:eastAsia="Times New Roman" w:hAnsi="Times New Roman"/>
          <w:sz w:val="14"/>
          <w:szCs w:val="14"/>
          <w:color w:val="auto"/>
        </w:rPr>
        <w:t>.</w:t>
      </w:r>
    </w:p>
    <w:p>
      <w:pPr>
        <w:spacing w:after="0" w:line="135" w:lineRule="exact"/>
        <w:rPr>
          <w:sz w:val="20"/>
          <w:szCs w:val="20"/>
          <w:color w:val="auto"/>
        </w:rPr>
      </w:pPr>
    </w:p>
    <w:p>
      <w:pPr>
        <w:ind w:left="120" w:right="279" w:firstLine="350"/>
        <w:spacing w:after="0" w:line="292" w:lineRule="auto"/>
        <w:rPr>
          <w:sz w:val="20"/>
          <w:szCs w:val="20"/>
          <w:color w:val="auto"/>
        </w:rPr>
      </w:pPr>
      <w:r>
        <w:rPr>
          <w:rFonts w:ascii="Times New Roman" w:cs="Times New Roman" w:eastAsia="Times New Roman" w:hAnsi="Times New Roman"/>
          <w:sz w:val="14"/>
          <w:szCs w:val="14"/>
          <w:color w:val="auto"/>
        </w:rPr>
        <w:t xml:space="preserve">All certifications, certificates and Opinions of Counsel required to be submitted to the Security Registrar pursuant to this </w:t>
      </w:r>
      <w:r>
        <w:rPr>
          <w:rFonts w:ascii="Times New Roman" w:cs="Times New Roman" w:eastAsia="Times New Roman" w:hAnsi="Times New Roman"/>
          <w:sz w:val="14"/>
          <w:szCs w:val="14"/>
          <w:u w:val="single" w:color="auto"/>
          <w:color w:val="auto"/>
        </w:rPr>
        <w:t>Section 3.05</w:t>
      </w:r>
      <w:r>
        <w:rPr>
          <w:rFonts w:ascii="Times New Roman" w:cs="Times New Roman" w:eastAsia="Times New Roman" w:hAnsi="Times New Roman"/>
          <w:sz w:val="14"/>
          <w:szCs w:val="14"/>
          <w:color w:val="auto"/>
        </w:rPr>
        <w:t xml:space="preserve"> to effect a registration of transfer or exchange may be submitted by facsimile with the original to follow by first class mail.</w:t>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9019"/>
          </w:cols>
          <w:pgMar w:left="1440" w:top="243" w:right="1440" w:bottom="1440" w:gutter="0" w:footer="0" w:header="0"/>
        </w:sectPr>
      </w:pPr>
    </w:p>
    <w:bookmarkStart w:id="141" w:name="page142"/>
    <w:bookmarkEnd w:id="141"/>
    <w:p>
      <w:pPr>
        <w:ind w:left="1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6">
                      <a:extLst>
                        <a:ext uri="{28A0092B-C50C-407E-A947-70E740481C1C}"/>
                      </a:extLst>
                    </a:blip>
                    <a:srcRect/>
                    <a:stretch>
                      <a:fillRect/>
                    </a:stretch>
                  </pic:blipFill>
                  <pic:spPr bwMode="auto">
                    <a:xfrm>
                      <a:off x="0" y="0"/>
                      <a:ext cx="7199630" cy="33020"/>
                    </a:xfrm>
                    <a:prstGeom prst="rect">
                      <a:avLst/>
                    </a:prstGeom>
                    <a:noFill/>
                  </pic:spPr>
                </pic:pic>
              </a:graphicData>
            </a:graphic>
          </wp:anchor>
        </w:drawing>
        <w:t xml:space="preserve">Section 3.06 </w:t>
      </w:r>
      <w:r>
        <w:rPr>
          <w:rFonts w:ascii="Times New Roman" w:cs="Times New Roman" w:eastAsia="Times New Roman" w:hAnsi="Times New Roman"/>
          <w:sz w:val="14"/>
          <w:szCs w:val="14"/>
          <w:u w:val="single" w:color="auto"/>
          <w:color w:val="auto"/>
        </w:rPr>
        <w:t>BOOK ENTRY PROVISIONS FOR GLOBAL SECURITIES.</w:t>
      </w:r>
    </w:p>
    <w:p>
      <w:pPr>
        <w:spacing w:after="0" w:line="1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The following provisions shall govern Global Securities except as set forth in an indenture supplemental hereto:</w:t>
      </w:r>
    </w:p>
    <w:p>
      <w:pPr>
        <w:spacing w:after="0" w:line="97" w:lineRule="exact"/>
        <w:rPr>
          <w:sz w:val="20"/>
          <w:szCs w:val="20"/>
          <w:color w:val="auto"/>
        </w:rPr>
      </w:pPr>
    </w:p>
    <w:p>
      <w:pPr>
        <w:ind w:left="680" w:hanging="203"/>
        <w:spacing w:after="0"/>
        <w:tabs>
          <w:tab w:leader="none" w:pos="680" w:val="left"/>
        </w:tabs>
        <w:numPr>
          <w:ilvl w:val="1"/>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Global Security initially shall (i) be registered in the name of the Depositary for such Global Security or the nominee of such Depositary,</w:t>
      </w:r>
    </w:p>
    <w:p>
      <w:pPr>
        <w:spacing w:after="0" w:line="24" w:lineRule="exact"/>
        <w:rPr>
          <w:rFonts w:ascii="Times New Roman" w:cs="Times New Roman" w:eastAsia="Times New Roman" w:hAnsi="Times New Roman"/>
          <w:sz w:val="14"/>
          <w:szCs w:val="14"/>
          <w:color w:val="auto"/>
        </w:rPr>
      </w:pPr>
    </w:p>
    <w:p>
      <w:pPr>
        <w:ind w:left="120" w:right="179" w:firstLine="7"/>
        <w:spacing w:after="0" w:line="271" w:lineRule="auto"/>
        <w:tabs>
          <w:tab w:leader="none" w:pos="33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be deposited with, or on behalf of, the Depositary or with the Trustee as custodian for such Depositary and (iii) bear legends as set forth in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hereto.</w:t>
      </w:r>
    </w:p>
    <w:p>
      <w:pPr>
        <w:spacing w:after="0" w:line="138" w:lineRule="exact"/>
        <w:rPr>
          <w:sz w:val="20"/>
          <w:szCs w:val="20"/>
          <w:color w:val="auto"/>
        </w:rPr>
      </w:pPr>
    </w:p>
    <w:p>
      <w:pPr>
        <w:ind w:left="120" w:right="139" w:firstLine="350"/>
        <w:spacing w:after="0" w:line="263" w:lineRule="auto"/>
        <w:rPr>
          <w:sz w:val="20"/>
          <w:szCs w:val="20"/>
          <w:color w:val="auto"/>
        </w:rPr>
      </w:pPr>
      <w:r>
        <w:rPr>
          <w:rFonts w:ascii="Times New Roman" w:cs="Times New Roman" w:eastAsia="Times New Roman" w:hAnsi="Times New Roman"/>
          <w:sz w:val="14"/>
          <w:szCs w:val="14"/>
          <w:color w:val="auto"/>
        </w:rPr>
        <w:t>Members of, or participants in, the Depositary (“</w:t>
      </w:r>
      <w:r>
        <w:rPr>
          <w:rFonts w:ascii="Times New Roman" w:cs="Times New Roman" w:eastAsia="Times New Roman" w:hAnsi="Times New Roman"/>
          <w:sz w:val="14"/>
          <w:szCs w:val="14"/>
          <w:u w:val="single" w:color="auto"/>
          <w:color w:val="auto"/>
        </w:rPr>
        <w:t>Agent Members</w:t>
      </w:r>
      <w:r>
        <w:rPr>
          <w:rFonts w:ascii="Times New Roman" w:cs="Times New Roman" w:eastAsia="Times New Roman" w:hAnsi="Times New Roman"/>
          <w:sz w:val="14"/>
          <w:szCs w:val="14"/>
          <w:color w:val="auto"/>
        </w:rPr>
        <w:t>”) shall have no rights under this Indenture with respect to any Global Security held on their behalf by the Depositary, or the Trustee as its custodian, or under such Global Security, and the Depositary may be treated by the Company, the Trustee and any agent of the Company or the Trustee as the absolute owner of such Global Security for all purposes whatsoever. Notwithstanding the foregoing, nothing herein shall prevent the Company, the Trustee or any agent of the Company or the Trustee from giving effect to any written certification, proxy or other authorization furnished by the Depositary or shall impair, as between the Depositary and its Agent Members, the operation of customary practices governing the exercise of the rights of a Holder of any Security.</w:t>
      </w:r>
    </w:p>
    <w:p>
      <w:pPr>
        <w:spacing w:after="0" w:line="143" w:lineRule="exact"/>
        <w:rPr>
          <w:sz w:val="20"/>
          <w:szCs w:val="20"/>
          <w:color w:val="auto"/>
        </w:rPr>
      </w:pPr>
    </w:p>
    <w:p>
      <w:pPr>
        <w:ind w:left="120" w:right="199" w:firstLine="357"/>
        <w:spacing w:after="0" w:line="261" w:lineRule="auto"/>
        <w:tabs>
          <w:tab w:leader="none" w:pos="672" w:val="left"/>
        </w:tabs>
        <w:numPr>
          <w:ilvl w:val="1"/>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 other provision in this Indenture, no Global Security may be exchanged in whole or in part for Securities registered, and no transfer of a Global Security in whole or in part may be registered, in the name of any Person other than the Depositary for such Global Security or a nominee thereof unless (i) such Depositary (A) has notified the Company that it is unwilling or unable to continue as Depositary for such Global Security or (B) has ceased to be a clearing agency registered as such under the Exchange Act, and in either case the Company fails to appoint a successor Depositary, (ii) the Company, at its option, executes and delivers to the Trustee a Company Order stating that it elects to cause the issuance of the Securities in certificated form and that all Global Securities shall be exchanged in whole for Securities that are not Global Securities (in which case, such exchange shall be effected by the Trustee) or (iii) there shall have occurred and be continuing a Default or Event of Default with respect to the Global Security.</w:t>
      </w:r>
    </w:p>
    <w:p>
      <w:pPr>
        <w:spacing w:after="0" w:line="144" w:lineRule="exact"/>
        <w:rPr>
          <w:rFonts w:ascii="Times New Roman" w:cs="Times New Roman" w:eastAsia="Times New Roman" w:hAnsi="Times New Roman"/>
          <w:sz w:val="14"/>
          <w:szCs w:val="14"/>
          <w:color w:val="auto"/>
        </w:rPr>
      </w:pPr>
    </w:p>
    <w:p>
      <w:pPr>
        <w:ind w:left="120" w:right="159" w:firstLine="357"/>
        <w:spacing w:after="0" w:line="258" w:lineRule="auto"/>
        <w:tabs>
          <w:tab w:leader="none" w:pos="664" w:val="left"/>
        </w:tabs>
        <w:numPr>
          <w:ilvl w:val="1"/>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any Global Security is to be exchanged for other Securities or canceled in whole, it shall be surrendered by or on behalf of the Depositary or its nominee to the Trustee, as Security Registrar, for exchange or cancellation as provided in this </w:t>
      </w:r>
      <w:r>
        <w:rPr>
          <w:rFonts w:ascii="Times New Roman" w:cs="Times New Roman" w:eastAsia="Times New Roman" w:hAnsi="Times New Roman"/>
          <w:sz w:val="14"/>
          <w:szCs w:val="14"/>
          <w:u w:val="single" w:color="auto"/>
          <w:color w:val="auto"/>
        </w:rPr>
        <w:t>Article III</w:t>
      </w:r>
      <w:r>
        <w:rPr>
          <w:rFonts w:ascii="Times New Roman" w:cs="Times New Roman" w:eastAsia="Times New Roman" w:hAnsi="Times New Roman"/>
          <w:sz w:val="14"/>
          <w:szCs w:val="14"/>
          <w:color w:val="auto"/>
        </w:rPr>
        <w:t xml:space="preserve">. If any Global Security is to be exchanged for other Securities or canceled in part, or if another Security is to be exchanged in whole or in part for a beneficial interest in any Global Security, then either (i) such Global Security shall be so surrendered for exchange or cancellation as provided in this </w:t>
      </w:r>
      <w:r>
        <w:rPr>
          <w:rFonts w:ascii="Times New Roman" w:cs="Times New Roman" w:eastAsia="Times New Roman" w:hAnsi="Times New Roman"/>
          <w:sz w:val="14"/>
          <w:szCs w:val="14"/>
          <w:u w:val="single" w:color="auto"/>
          <w:color w:val="auto"/>
        </w:rPr>
        <w:t>Article III</w:t>
      </w:r>
      <w:r>
        <w:rPr>
          <w:rFonts w:ascii="Times New Roman" w:cs="Times New Roman" w:eastAsia="Times New Roman" w:hAnsi="Times New Roman"/>
          <w:sz w:val="14"/>
          <w:szCs w:val="14"/>
          <w:color w:val="auto"/>
        </w:rPr>
        <w:t xml:space="preserve"> or (ii) the principal amount thereof shall be reduced or increased by an amount equal to the portion thereof to be so exchanged or canceled, or equal to the principal amount of such other Security to be so exchanged for a beneficial interest therein, as the case may be, by means of an appropriate adjustment made on the records of the Trustee, as Security Registrar, whereupon the Trustee, in accordance with the Applicable Procedures, shall instruct the Depositary or its authorized representative to make a corresponding adjustment to its records. Upon any such surrender or adjustment of a Global Security, the Trustee shall, subject to this </w:t>
      </w:r>
      <w:r>
        <w:rPr>
          <w:rFonts w:ascii="Times New Roman" w:cs="Times New Roman" w:eastAsia="Times New Roman" w:hAnsi="Times New Roman"/>
          <w:sz w:val="14"/>
          <w:szCs w:val="14"/>
          <w:u w:val="single" w:color="auto"/>
          <w:color w:val="auto"/>
        </w:rPr>
        <w:t>Section 3.06(c)</w:t>
      </w:r>
      <w:r>
        <w:rPr>
          <w:rFonts w:ascii="Times New Roman" w:cs="Times New Roman" w:eastAsia="Times New Roman" w:hAnsi="Times New Roman"/>
          <w:sz w:val="14"/>
          <w:szCs w:val="14"/>
          <w:color w:val="auto"/>
        </w:rPr>
        <w:t xml:space="preserve"> and as otherwise provided in this </w:t>
      </w:r>
      <w:r>
        <w:rPr>
          <w:rFonts w:ascii="Times New Roman" w:cs="Times New Roman" w:eastAsia="Times New Roman" w:hAnsi="Times New Roman"/>
          <w:sz w:val="14"/>
          <w:szCs w:val="14"/>
          <w:u w:val="single" w:color="auto"/>
          <w:color w:val="auto"/>
        </w:rPr>
        <w:t>Article III</w:t>
      </w:r>
      <w:r>
        <w:rPr>
          <w:rFonts w:ascii="Times New Roman" w:cs="Times New Roman" w:eastAsia="Times New Roman" w:hAnsi="Times New Roman"/>
          <w:sz w:val="14"/>
          <w:szCs w:val="14"/>
          <w:color w:val="auto"/>
        </w:rPr>
        <w:t xml:space="preserve">, authenticate and deliver any Securities issuable in exchange for such Global Security (or any portion thereof) to or upon the order of, and registered in such names as may be directed by, the Depositary or its authorized representative. Upon the request of the Trustee in connection with the occurrence of any of the events specified in the preceding </w:t>
      </w:r>
      <w:r>
        <w:rPr>
          <w:rFonts w:ascii="Times New Roman" w:cs="Times New Roman" w:eastAsia="Times New Roman" w:hAnsi="Times New Roman"/>
          <w:sz w:val="14"/>
          <w:szCs w:val="14"/>
          <w:u w:val="single" w:color="auto"/>
          <w:color w:val="auto"/>
        </w:rPr>
        <w:t>Subsection (b)</w:t>
      </w:r>
      <w:r>
        <w:rPr>
          <w:rFonts w:ascii="Times New Roman" w:cs="Times New Roman" w:eastAsia="Times New Roman" w:hAnsi="Times New Roman"/>
          <w:sz w:val="14"/>
          <w:szCs w:val="14"/>
          <w:color w:val="auto"/>
        </w:rPr>
        <w:t xml:space="preserve">, the Company shall promptly make available to the Trustee a reasonable supply of Securities that are not in the form of Global Securities. The Trustee shall be entitled to conclusively rely upon any order, direction or request of the Depositary or its authorized representative which is given or made pursuant to this </w:t>
      </w:r>
      <w:r>
        <w:rPr>
          <w:rFonts w:ascii="Times New Roman" w:cs="Times New Roman" w:eastAsia="Times New Roman" w:hAnsi="Times New Roman"/>
          <w:sz w:val="14"/>
          <w:szCs w:val="14"/>
          <w:u w:val="single" w:color="auto"/>
          <w:color w:val="auto"/>
        </w:rPr>
        <w:t>Article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III</w:t>
      </w:r>
      <w:r>
        <w:rPr>
          <w:rFonts w:ascii="Times New Roman" w:cs="Times New Roman" w:eastAsia="Times New Roman" w:hAnsi="Times New Roman"/>
          <w:sz w:val="14"/>
          <w:szCs w:val="14"/>
          <w:color w:val="auto"/>
        </w:rPr>
        <w:t xml:space="preserve"> if such order, direction or request is given or made in accordance with the Applicable Procedures.</w:t>
      </w:r>
    </w:p>
    <w:p>
      <w:pPr>
        <w:spacing w:after="0" w:line="152" w:lineRule="exact"/>
        <w:rPr>
          <w:rFonts w:ascii="Times New Roman" w:cs="Times New Roman" w:eastAsia="Times New Roman" w:hAnsi="Times New Roman"/>
          <w:sz w:val="14"/>
          <w:szCs w:val="14"/>
          <w:color w:val="auto"/>
        </w:rPr>
      </w:pPr>
    </w:p>
    <w:p>
      <w:pPr>
        <w:ind w:left="120" w:right="199" w:firstLine="357"/>
        <w:spacing w:after="0" w:line="274" w:lineRule="auto"/>
        <w:tabs>
          <w:tab w:leader="none" w:pos="672" w:val="left"/>
        </w:tabs>
        <w:numPr>
          <w:ilvl w:val="1"/>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Every Security authenticated and delivered upon registration of transfer of, or in exchange for or in lieu of, a Global Security or any portion thereof, whether pursuant to this </w:t>
      </w:r>
      <w:r>
        <w:rPr>
          <w:rFonts w:ascii="Times New Roman" w:cs="Times New Roman" w:eastAsia="Times New Roman" w:hAnsi="Times New Roman"/>
          <w:sz w:val="14"/>
          <w:szCs w:val="14"/>
          <w:u w:val="single" w:color="auto"/>
          <w:color w:val="auto"/>
        </w:rPr>
        <w:t>Article III</w:t>
      </w:r>
      <w:r>
        <w:rPr>
          <w:rFonts w:ascii="Times New Roman" w:cs="Times New Roman" w:eastAsia="Times New Roman" w:hAnsi="Times New Roman"/>
          <w:sz w:val="14"/>
          <w:szCs w:val="14"/>
          <w:color w:val="auto"/>
        </w:rPr>
        <w:t xml:space="preserve"> or otherwise, shall be authenticated and delivered in the form of, and shall be, a Global Security, unless such Security is registered in the name of a Person other than the Depositary for such Global Security or a nominee thereof.</w:t>
      </w:r>
    </w:p>
    <w:p>
      <w:pPr>
        <w:spacing w:after="0" w:line="135" w:lineRule="exact"/>
        <w:rPr>
          <w:rFonts w:ascii="Times New Roman" w:cs="Times New Roman" w:eastAsia="Times New Roman" w:hAnsi="Times New Roman"/>
          <w:sz w:val="14"/>
          <w:szCs w:val="14"/>
          <w:color w:val="auto"/>
        </w:rPr>
      </w:pPr>
    </w:p>
    <w:p>
      <w:pPr>
        <w:ind w:left="120" w:right="159" w:firstLine="357"/>
        <w:spacing w:after="0" w:line="268" w:lineRule="auto"/>
        <w:tabs>
          <w:tab w:leader="none" w:pos="664" w:val="left"/>
        </w:tabs>
        <w:numPr>
          <w:ilvl w:val="1"/>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Depositary or its nominee, as registered owner of a Global Security, shall be the Holder of such Global Security for all purposes under this Indenture and the Securities, and owners of beneficial interests in a Global Security shall hold such interests pursuant to the Applicable Procedures. Accordingly, any such owner’s beneficial interest in a Global Security will be shown only on, and the transfer of such interest shall be effected only through, records maintained by the Depositary or its nominee or its Agent Members.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9019"/>
          </w:cols>
          <w:pgMar w:left="1440" w:top="243" w:right="1440" w:bottom="1440" w:gutter="0" w:footer="0" w:header="0"/>
        </w:sectPr>
      </w:pPr>
    </w:p>
    <w:bookmarkStart w:id="142" w:name="page143"/>
    <w:bookmarkEnd w:id="142"/>
    <w:p>
      <w:pPr>
        <w:ind w:left="120" w:right="159" w:firstLine="350"/>
        <w:spacing w:after="0" w:line="26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7">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The Trustee shall have no obligation or duty to monitor, determine or inquire as to compliance with any restrictions on transfer imposed under this Indenture or under applicable law with respect to any transfer of any interest in any Security (including any transfers between or among Agent Members or beneficial owners of interests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41" w:lineRule="exact"/>
        <w:rPr>
          <w:sz w:val="20"/>
          <w:szCs w:val="20"/>
          <w:color w:val="auto"/>
        </w:rPr>
      </w:pPr>
    </w:p>
    <w:p>
      <w:pPr>
        <w:ind w:left="120" w:right="159" w:firstLine="350"/>
        <w:spacing w:after="0" w:line="268" w:lineRule="auto"/>
        <w:rPr>
          <w:sz w:val="20"/>
          <w:szCs w:val="20"/>
          <w:color w:val="auto"/>
        </w:rPr>
      </w:pPr>
      <w:r>
        <w:rPr>
          <w:rFonts w:ascii="Times New Roman" w:cs="Times New Roman" w:eastAsia="Times New Roman" w:hAnsi="Times New Roman"/>
          <w:sz w:val="14"/>
          <w:szCs w:val="14"/>
          <w:color w:val="auto"/>
        </w:rPr>
        <w:t>None of the Company, the Trustee, any Paying Agent or any Registrar will have any responsibility or liability for any aspect of Depositary records relating to, or payments made on account of, beneficial ownership interests in a Global Security or for maintaining, supervising or reviewing any Depositary records relating to such beneficial ownership interests, or for transfers of beneficial interests in the Securities or any transactions between the Depositary and beneficial owners.</w:t>
      </w:r>
    </w:p>
    <w:p>
      <w:pPr>
        <w:spacing w:after="0" w:line="1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3.07 </w:t>
      </w:r>
      <w:r>
        <w:rPr>
          <w:rFonts w:ascii="Times New Roman" w:cs="Times New Roman" w:eastAsia="Times New Roman" w:hAnsi="Times New Roman"/>
          <w:sz w:val="14"/>
          <w:szCs w:val="14"/>
          <w:u w:val="single" w:color="auto"/>
          <w:color w:val="auto"/>
        </w:rPr>
        <w:t>MUTILATED, DESTROYED, LOST AND STOLEN SECURITIES.</w:t>
      </w:r>
    </w:p>
    <w:p>
      <w:pPr>
        <w:spacing w:after="0" w:line="182" w:lineRule="exact"/>
        <w:rPr>
          <w:sz w:val="20"/>
          <w:szCs w:val="20"/>
          <w:color w:val="auto"/>
        </w:rPr>
      </w:pPr>
    </w:p>
    <w:p>
      <w:pPr>
        <w:ind w:left="120" w:right="239" w:firstLine="350"/>
        <w:spacing w:after="0" w:line="263" w:lineRule="auto"/>
        <w:rPr>
          <w:sz w:val="20"/>
          <w:szCs w:val="20"/>
          <w:color w:val="auto"/>
        </w:rPr>
      </w:pPr>
      <w:r>
        <w:rPr>
          <w:rFonts w:ascii="Times New Roman" w:cs="Times New Roman" w:eastAsia="Times New Roman" w:hAnsi="Times New Roman"/>
          <w:sz w:val="14"/>
          <w:szCs w:val="14"/>
          <w:color w:val="auto"/>
        </w:rPr>
        <w:t>If (a) any mutilated Security is surrendered to the Trustee, or (b) the Company and the Trustee receive evidence to their satisfaction of the destruction, loss or theft of any Security, and there is delivered to the Company and the Trustee, such security or indemnity, in each case, as may be required by them to save each of them harmless, then, in the absence of notice to the Company or the Trustee that such Security has been acquired by a bona fide purchaser, the Company shall execute and upon a Company Request the Trustee shall authenticate and deliver, in exchange for any such mutilated Security or in lieu of any such destroyed, lost or stolen Security, a replacement Security of like tenor and principal amount, bearing a number not contemporaneously outstanding.</w:t>
      </w:r>
    </w:p>
    <w:p>
      <w:pPr>
        <w:spacing w:after="0" w:line="143" w:lineRule="exact"/>
        <w:rPr>
          <w:sz w:val="20"/>
          <w:szCs w:val="20"/>
          <w:color w:val="auto"/>
        </w:rPr>
      </w:pPr>
    </w:p>
    <w:p>
      <w:pPr>
        <w:ind w:left="120" w:right="379" w:firstLine="350"/>
        <w:spacing w:after="0" w:line="292" w:lineRule="auto"/>
        <w:rPr>
          <w:sz w:val="20"/>
          <w:szCs w:val="20"/>
          <w:color w:val="auto"/>
        </w:rPr>
      </w:pPr>
      <w:r>
        <w:rPr>
          <w:rFonts w:ascii="Times New Roman" w:cs="Times New Roman" w:eastAsia="Times New Roman" w:hAnsi="Times New Roman"/>
          <w:sz w:val="14"/>
          <w:szCs w:val="14"/>
          <w:color w:val="auto"/>
        </w:rPr>
        <w:t>In case any such mutilated, destroyed, lost or stolen Security has become or is about to become due and payable, the Company in its discretion may, instead of issuing a replacement Security, pay such Security.</w:t>
      </w:r>
    </w:p>
    <w:p>
      <w:pPr>
        <w:spacing w:after="0" w:line="123" w:lineRule="exact"/>
        <w:rPr>
          <w:sz w:val="20"/>
          <w:szCs w:val="20"/>
          <w:color w:val="auto"/>
        </w:rPr>
      </w:pPr>
    </w:p>
    <w:p>
      <w:pPr>
        <w:jc w:val="both"/>
        <w:ind w:left="120" w:right="439" w:firstLine="350"/>
        <w:spacing w:after="0" w:line="274" w:lineRule="auto"/>
        <w:rPr>
          <w:sz w:val="20"/>
          <w:szCs w:val="20"/>
          <w:color w:val="auto"/>
        </w:rPr>
      </w:pPr>
      <w:r>
        <w:rPr>
          <w:rFonts w:ascii="Times New Roman" w:cs="Times New Roman" w:eastAsia="Times New Roman" w:hAnsi="Times New Roman"/>
          <w:sz w:val="14"/>
          <w:szCs w:val="14"/>
          <w:color w:val="auto"/>
        </w:rPr>
        <w:t xml:space="preserve">Upon the issuance of any replacement Securities under this </w:t>
      </w:r>
      <w:r>
        <w:rPr>
          <w:rFonts w:ascii="Times New Roman" w:cs="Times New Roman" w:eastAsia="Times New Roman" w:hAnsi="Times New Roman"/>
          <w:sz w:val="14"/>
          <w:szCs w:val="14"/>
          <w:u w:val="single" w:color="auto"/>
          <w:color w:val="auto"/>
        </w:rPr>
        <w:t>Section 3.07</w:t>
      </w:r>
      <w:r>
        <w:rPr>
          <w:rFonts w:ascii="Times New Roman" w:cs="Times New Roman" w:eastAsia="Times New Roman" w:hAnsi="Times New Roman"/>
          <w:sz w:val="14"/>
          <w:szCs w:val="14"/>
          <w:color w:val="auto"/>
        </w:rPr>
        <w:t>, the Company may require the payment of a sum sufficient to pay all documentary, stamp or similar issue or transfer taxes or other governmental charges that may be imposed in relation thereto and any other expenses (including the fees and expenses of the Trustee, its agents and its counsel) connected therewith.</w:t>
      </w:r>
    </w:p>
    <w:p>
      <w:pPr>
        <w:spacing w:after="0" w:line="135" w:lineRule="exact"/>
        <w:rPr>
          <w:sz w:val="20"/>
          <w:szCs w:val="20"/>
          <w:color w:val="auto"/>
        </w:rPr>
      </w:pPr>
    </w:p>
    <w:p>
      <w:pPr>
        <w:ind w:left="120" w:right="299" w:firstLine="350"/>
        <w:spacing w:after="0" w:line="274" w:lineRule="auto"/>
        <w:rPr>
          <w:sz w:val="20"/>
          <w:szCs w:val="20"/>
          <w:color w:val="auto"/>
        </w:rPr>
      </w:pPr>
      <w:r>
        <w:rPr>
          <w:rFonts w:ascii="Times New Roman" w:cs="Times New Roman" w:eastAsia="Times New Roman" w:hAnsi="Times New Roman"/>
          <w:sz w:val="14"/>
          <w:szCs w:val="14"/>
          <w:color w:val="auto"/>
        </w:rPr>
        <w:t xml:space="preserve">Every replacement Security issued pursuant to this </w:t>
      </w:r>
      <w:r>
        <w:rPr>
          <w:rFonts w:ascii="Times New Roman" w:cs="Times New Roman" w:eastAsia="Times New Roman" w:hAnsi="Times New Roman"/>
          <w:sz w:val="14"/>
          <w:szCs w:val="14"/>
          <w:u w:val="single" w:color="auto"/>
          <w:color w:val="auto"/>
        </w:rPr>
        <w:t>Section 3.07</w:t>
      </w:r>
      <w:r>
        <w:rPr>
          <w:rFonts w:ascii="Times New Roman" w:cs="Times New Roman" w:eastAsia="Times New Roman" w:hAnsi="Times New Roman"/>
          <w:sz w:val="14"/>
          <w:szCs w:val="14"/>
          <w:color w:val="auto"/>
        </w:rPr>
        <w:t xml:space="preserve"> in lieu of any destroyed, lost or stolen Security shall constitute an original additional contractual obligation of the Company, whether or not the destroyed, lost or stolen Security shall be at any time enforceable by anyone, and shall be entitled to all benefits of this Indenture equally and proportionately with any and all other Securities duly issued hereunder.</w:t>
      </w:r>
    </w:p>
    <w:p>
      <w:pPr>
        <w:spacing w:after="0" w:line="135" w:lineRule="exact"/>
        <w:rPr>
          <w:sz w:val="20"/>
          <w:szCs w:val="20"/>
          <w:color w:val="auto"/>
        </w:rPr>
      </w:pPr>
    </w:p>
    <w:p>
      <w:pPr>
        <w:ind w:left="120" w:right="679" w:firstLine="350"/>
        <w:spacing w:after="0" w:line="292" w:lineRule="auto"/>
        <w:rPr>
          <w:sz w:val="20"/>
          <w:szCs w:val="20"/>
          <w:color w:val="auto"/>
        </w:rPr>
      </w:pPr>
      <w:r>
        <w:rPr>
          <w:rFonts w:ascii="Times New Roman" w:cs="Times New Roman" w:eastAsia="Times New Roman" w:hAnsi="Times New Roman"/>
          <w:sz w:val="14"/>
          <w:szCs w:val="14"/>
          <w:color w:val="auto"/>
        </w:rPr>
        <w:t xml:space="preserve">The provisions of this </w:t>
      </w:r>
      <w:r>
        <w:rPr>
          <w:rFonts w:ascii="Times New Roman" w:cs="Times New Roman" w:eastAsia="Times New Roman" w:hAnsi="Times New Roman"/>
          <w:sz w:val="14"/>
          <w:szCs w:val="14"/>
          <w:u w:val="single" w:color="auto"/>
          <w:color w:val="auto"/>
        </w:rPr>
        <w:t>Section 3.07</w:t>
      </w:r>
      <w:r>
        <w:rPr>
          <w:rFonts w:ascii="Times New Roman" w:cs="Times New Roman" w:eastAsia="Times New Roman" w:hAnsi="Times New Roman"/>
          <w:sz w:val="14"/>
          <w:szCs w:val="14"/>
          <w:color w:val="auto"/>
        </w:rPr>
        <w:t xml:space="preserve"> are exclusive and shall preclude (to the extent lawful) all other rights and remedies with respect to the replacement or payment of mutilated, destroyed, lost or stolen Securities.</w:t>
      </w:r>
    </w:p>
    <w:p>
      <w:pPr>
        <w:spacing w:after="0" w:line="1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3.08 </w:t>
      </w:r>
      <w:r>
        <w:rPr>
          <w:rFonts w:ascii="Times New Roman" w:cs="Times New Roman" w:eastAsia="Times New Roman" w:hAnsi="Times New Roman"/>
          <w:sz w:val="14"/>
          <w:szCs w:val="14"/>
          <w:u w:val="single" w:color="auto"/>
          <w:color w:val="auto"/>
        </w:rPr>
        <w:t>PAYMENT OF INTEREST; INTEREST RIGHTS PRESERVED.</w:t>
      </w:r>
    </w:p>
    <w:p>
      <w:pPr>
        <w:spacing w:after="0" w:line="182" w:lineRule="exact"/>
        <w:rPr>
          <w:sz w:val="20"/>
          <w:szCs w:val="20"/>
          <w:color w:val="auto"/>
        </w:rPr>
      </w:pPr>
    </w:p>
    <w:p>
      <w:pPr>
        <w:jc w:val="both"/>
        <w:ind w:left="120" w:right="459" w:firstLine="350"/>
        <w:spacing w:after="0" w:line="274" w:lineRule="auto"/>
        <w:rPr>
          <w:sz w:val="20"/>
          <w:szCs w:val="20"/>
          <w:color w:val="auto"/>
        </w:rPr>
      </w:pPr>
      <w:r>
        <w:rPr>
          <w:rFonts w:ascii="Times New Roman" w:cs="Times New Roman" w:eastAsia="Times New Roman" w:hAnsi="Times New Roman"/>
          <w:sz w:val="14"/>
          <w:szCs w:val="14"/>
          <w:color w:val="auto"/>
        </w:rPr>
        <w:t xml:space="preserve">Except as otherwise specified with respect to a series of Securities in accordance with the provisions of </w:t>
      </w:r>
      <w:r>
        <w:rPr>
          <w:rFonts w:ascii="Times New Roman" w:cs="Times New Roman" w:eastAsia="Times New Roman" w:hAnsi="Times New Roman"/>
          <w:sz w:val="14"/>
          <w:szCs w:val="14"/>
          <w:u w:val="single" w:color="auto"/>
          <w:color w:val="auto"/>
        </w:rPr>
        <w:t>Section 3.01</w:t>
      </w:r>
      <w:r>
        <w:rPr>
          <w:rFonts w:ascii="Times New Roman" w:cs="Times New Roman" w:eastAsia="Times New Roman" w:hAnsi="Times New Roman"/>
          <w:sz w:val="14"/>
          <w:szCs w:val="14"/>
          <w:color w:val="auto"/>
        </w:rPr>
        <w:t>, interest on any Security which is payable, and is punctually paid or duly provided for, on the Stated Maturity of such interest shall be paid to the Person in whose name the Security (or any Predecessor Securities) is registered at the close of business on the Regular Record Date for such interest payment.</w:t>
      </w:r>
    </w:p>
    <w:p>
      <w:pPr>
        <w:spacing w:after="0" w:line="13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 xml:space="preserve">Except as otherwise specified with respect to a series of Securities in accordance with the provisions of </w:t>
      </w:r>
      <w:r>
        <w:rPr>
          <w:rFonts w:ascii="Times New Roman" w:cs="Times New Roman" w:eastAsia="Times New Roman" w:hAnsi="Times New Roman"/>
          <w:sz w:val="14"/>
          <w:szCs w:val="14"/>
          <w:u w:val="single" w:color="auto"/>
          <w:color w:val="auto"/>
        </w:rPr>
        <w:t>Section 3.01</w:t>
      </w:r>
      <w:r>
        <w:rPr>
          <w:rFonts w:ascii="Times New Roman" w:cs="Times New Roman" w:eastAsia="Times New Roman" w:hAnsi="Times New Roman"/>
          <w:sz w:val="14"/>
          <w:szCs w:val="14"/>
          <w:color w:val="auto"/>
        </w:rPr>
        <w:t>, any interest on any Security</w:t>
      </w:r>
    </w:p>
    <w:p>
      <w:pPr>
        <w:spacing w:after="0" w:line="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which is payable, but is not punctually paid or duly provided for, on the Stated Maturity of such interest, and interest on such defaulted interest at the</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then applicable interest rate borne by the Securities, to the extent lawful (such defaulted interest and interest thereon herein collectively called</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Defaulted Interest</w:t>
      </w:r>
      <w:r>
        <w:rPr>
          <w:rFonts w:ascii="Times New Roman" w:cs="Times New Roman" w:eastAsia="Times New Roman" w:hAnsi="Times New Roman"/>
          <w:sz w:val="14"/>
          <w:szCs w:val="14"/>
          <w:color w:val="auto"/>
        </w:rPr>
        <w:t>”), shall forthwith cease to be payable to the Holder on the Regular Record Date; and such Defaulted Interest may be paid by the</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Company, at its election in each case, as provided in </w:t>
      </w:r>
      <w:r>
        <w:rPr>
          <w:rFonts w:ascii="Times New Roman" w:cs="Times New Roman" w:eastAsia="Times New Roman" w:hAnsi="Times New Roman"/>
          <w:sz w:val="14"/>
          <w:szCs w:val="14"/>
          <w:u w:val="single" w:color="auto"/>
          <w:color w:val="auto"/>
        </w:rPr>
        <w:t>Subsection (a)</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(b)</w:t>
      </w:r>
      <w:r>
        <w:rPr>
          <w:rFonts w:ascii="Times New Roman" w:cs="Times New Roman" w:eastAsia="Times New Roman" w:hAnsi="Times New Roman"/>
          <w:sz w:val="14"/>
          <w:szCs w:val="14"/>
          <w:color w:val="auto"/>
        </w:rPr>
        <w:t xml:space="preserve"> below:</w:t>
      </w:r>
    </w:p>
    <w:p>
      <w:pPr>
        <w:spacing w:after="0" w:line="83" w:lineRule="exact"/>
        <w:rPr>
          <w:sz w:val="20"/>
          <w:szCs w:val="20"/>
          <w:color w:val="auto"/>
        </w:rPr>
      </w:pPr>
    </w:p>
    <w:p>
      <w:pPr>
        <w:ind w:left="120" w:right="199" w:firstLine="357"/>
        <w:spacing w:after="0" w:line="274" w:lineRule="auto"/>
        <w:tabs>
          <w:tab w:leader="none" w:pos="664"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may elect to make payment of any Defaulted Interest to the Persons in whose names the Securities (or any relevant Predecessor Securities) are registered at the close of business on a Special Record Date for the payment of such Defaulted Interest, which shall be fixed in the following manner. The Company shall notify</w:t>
      </w:r>
    </w:p>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9019"/>
          </w:cols>
          <w:pgMar w:left="1440" w:top="243" w:right="1440" w:bottom="1440" w:gutter="0" w:footer="0" w:header="0"/>
        </w:sectPr>
      </w:pPr>
    </w:p>
    <w:bookmarkStart w:id="143" w:name="page144"/>
    <w:bookmarkEnd w:id="143"/>
    <w:p>
      <w:pPr>
        <w:ind w:left="120" w:right="179"/>
        <w:spacing w:after="0" w:line="25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8">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the Trustee in writing of the amount of Defaulted Interest proposed to be paid on each Security and the date (not less than 30 days after such notice) of the proposed payment (the “</w:t>
      </w:r>
      <w:r>
        <w:rPr>
          <w:rFonts w:ascii="Times New Roman" w:cs="Times New Roman" w:eastAsia="Times New Roman" w:hAnsi="Times New Roman"/>
          <w:sz w:val="14"/>
          <w:szCs w:val="14"/>
          <w:u w:val="single" w:color="auto"/>
          <w:color w:val="auto"/>
        </w:rPr>
        <w:t>Special Payment Date</w:t>
      </w:r>
      <w:r>
        <w:rPr>
          <w:rFonts w:ascii="Times New Roman" w:cs="Times New Roman" w:eastAsia="Times New Roman" w:hAnsi="Times New Roman"/>
          <w:sz w:val="14"/>
          <w:szCs w:val="14"/>
          <w:color w:val="auto"/>
        </w:rPr>
        <w:t xml:space="preserve">”), and at the same time the Company shall deposit with the Trustee an amount of money equal to the aggregate amount proposed to be paid in respect of such Defaulted Interest or shall make arrangements satisfactory to the Trustee for such deposit prior to the Special Payment Date, such money when deposited to be held in trust for the benefit of the Persons entitled to such Defaulted Interest as in this </w:t>
      </w:r>
      <w:r>
        <w:rPr>
          <w:rFonts w:ascii="Times New Roman" w:cs="Times New Roman" w:eastAsia="Times New Roman" w:hAnsi="Times New Roman"/>
          <w:sz w:val="14"/>
          <w:szCs w:val="14"/>
          <w:u w:val="single" w:color="auto"/>
          <w:color w:val="auto"/>
        </w:rPr>
        <w:t>Subsection (a)</w:t>
      </w:r>
      <w:r>
        <w:rPr>
          <w:rFonts w:ascii="Times New Roman" w:cs="Times New Roman" w:eastAsia="Times New Roman" w:hAnsi="Times New Roman"/>
          <w:sz w:val="14"/>
          <w:szCs w:val="14"/>
          <w:color w:val="auto"/>
        </w:rPr>
        <w:t xml:space="preserve"> provided. Thereupon, the Trustee shall fix a Special Record Date for the payment of such Defaulted Interest which shall be not more than 15 days and not less than 10 days prior to the date of the Special Payment Date and shall fix the Special Record Date not less than 10 days after the receipt by the Trustee of the notice of the proposed payment. The Trustee shall promptly notify the Company in writing of such Special Record Date. In the name and at the expense of the Company, the Trustee shall cause notice of the proposed payment of such Defaulted Interest and the Special Record Date therefor to be mailed, first-class postage prepaid, to each Holder at its address as it appears in the Security Register, not less than fifteen (15) days prior to such Special Record Date. Notice of the proposed payment of such Defaulted Interest and the Special Record Date and Special Payment Date therefor having been so mailed, such Defaulted Interest shall be paid to the Persons in whose names the Securities are registered on such Special Record Date and shall no longer be payable pursuant to the following </w:t>
      </w:r>
      <w:r>
        <w:rPr>
          <w:rFonts w:ascii="Times New Roman" w:cs="Times New Roman" w:eastAsia="Times New Roman" w:hAnsi="Times New Roman"/>
          <w:sz w:val="14"/>
          <w:szCs w:val="14"/>
          <w:u w:val="single" w:color="auto"/>
          <w:color w:val="auto"/>
        </w:rPr>
        <w:t>Subsection (b)</w:t>
      </w:r>
      <w:r>
        <w:rPr>
          <w:rFonts w:ascii="Times New Roman" w:cs="Times New Roman" w:eastAsia="Times New Roman" w:hAnsi="Times New Roman"/>
          <w:sz w:val="14"/>
          <w:szCs w:val="14"/>
          <w:color w:val="auto"/>
        </w:rPr>
        <w:t>.</w:t>
      </w:r>
    </w:p>
    <w:p>
      <w:pPr>
        <w:spacing w:after="0" w:line="147" w:lineRule="exact"/>
        <w:rPr>
          <w:sz w:val="20"/>
          <w:szCs w:val="20"/>
          <w:color w:val="auto"/>
        </w:rPr>
      </w:pPr>
    </w:p>
    <w:p>
      <w:pPr>
        <w:ind w:left="120" w:right="379" w:firstLine="357"/>
        <w:spacing w:after="0" w:line="268" w:lineRule="auto"/>
        <w:tabs>
          <w:tab w:leader="none" w:pos="67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Company may make payment of any Defaulted Interest in any other lawful manner not inconsistent with the requirements of any securities exchange on which the Securities may be listed, and upon such notice as may be required by this Indenture not inconsistent with the requirements of such exchange, if, after written notice given by the Company to the Trustee of the proposed payment pursuant to this </w:t>
      </w:r>
      <w:r>
        <w:rPr>
          <w:rFonts w:ascii="Times New Roman" w:cs="Times New Roman" w:eastAsia="Times New Roman" w:hAnsi="Times New Roman"/>
          <w:sz w:val="14"/>
          <w:szCs w:val="14"/>
          <w:u w:val="single" w:color="auto"/>
          <w:color w:val="auto"/>
        </w:rPr>
        <w:t>Subsection (b)</w:t>
      </w:r>
      <w:r>
        <w:rPr>
          <w:rFonts w:ascii="Times New Roman" w:cs="Times New Roman" w:eastAsia="Times New Roman" w:hAnsi="Times New Roman"/>
          <w:sz w:val="14"/>
          <w:szCs w:val="14"/>
          <w:color w:val="auto"/>
        </w:rPr>
        <w:t>, such payment shall be deemed practicable by the Trustee.</w:t>
      </w:r>
    </w:p>
    <w:p>
      <w:pPr>
        <w:spacing w:after="0" w:line="139" w:lineRule="exact"/>
        <w:rPr>
          <w:rFonts w:ascii="Times New Roman" w:cs="Times New Roman" w:eastAsia="Times New Roman" w:hAnsi="Times New Roman"/>
          <w:sz w:val="14"/>
          <w:szCs w:val="14"/>
          <w:color w:val="auto"/>
        </w:rPr>
      </w:pPr>
    </w:p>
    <w:p>
      <w:pPr>
        <w:ind w:left="120" w:right="259" w:firstLine="357"/>
        <w:spacing w:after="0" w:line="292" w:lineRule="auto"/>
        <w:tabs>
          <w:tab w:leader="none" w:pos="664"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Notwithstanding the foregoing, any interest which is paid prior to the expiration of the 30-day period set forth in </w:t>
      </w:r>
      <w:r>
        <w:rPr>
          <w:rFonts w:ascii="Times New Roman" w:cs="Times New Roman" w:eastAsia="Times New Roman" w:hAnsi="Times New Roman"/>
          <w:sz w:val="14"/>
          <w:szCs w:val="14"/>
          <w:u w:val="single" w:color="auto"/>
          <w:color w:val="auto"/>
        </w:rPr>
        <w:t>Section 5.01(a)</w:t>
      </w:r>
      <w:r>
        <w:rPr>
          <w:rFonts w:ascii="Times New Roman" w:cs="Times New Roman" w:eastAsia="Times New Roman" w:hAnsi="Times New Roman"/>
          <w:sz w:val="14"/>
          <w:szCs w:val="14"/>
          <w:color w:val="auto"/>
        </w:rPr>
        <w:t xml:space="preserve"> shall be paid to Holders as of the record date for the Interest Payment Date for which interest has not been paid.</w:t>
      </w:r>
    </w:p>
    <w:p>
      <w:pPr>
        <w:spacing w:after="0" w:line="123" w:lineRule="exact"/>
        <w:rPr>
          <w:sz w:val="20"/>
          <w:szCs w:val="20"/>
          <w:color w:val="auto"/>
        </w:rPr>
      </w:pPr>
    </w:p>
    <w:p>
      <w:pPr>
        <w:ind w:left="120" w:right="599" w:firstLine="350"/>
        <w:spacing w:after="0" w:line="274" w:lineRule="auto"/>
        <w:rPr>
          <w:sz w:val="20"/>
          <w:szCs w:val="20"/>
          <w:color w:val="auto"/>
        </w:rPr>
      </w:pPr>
      <w:r>
        <w:rPr>
          <w:rFonts w:ascii="Times New Roman" w:cs="Times New Roman" w:eastAsia="Times New Roman" w:hAnsi="Times New Roman"/>
          <w:sz w:val="14"/>
          <w:szCs w:val="14"/>
          <w:color w:val="auto"/>
        </w:rPr>
        <w:t xml:space="preserve">Subject to the foregoing provisions of this </w:t>
      </w:r>
      <w:r>
        <w:rPr>
          <w:rFonts w:ascii="Times New Roman" w:cs="Times New Roman" w:eastAsia="Times New Roman" w:hAnsi="Times New Roman"/>
          <w:sz w:val="14"/>
          <w:szCs w:val="14"/>
          <w:u w:val="single" w:color="auto"/>
          <w:color w:val="auto"/>
        </w:rPr>
        <w:t>Section 3.08</w:t>
      </w:r>
      <w:r>
        <w:rPr>
          <w:rFonts w:ascii="Times New Roman" w:cs="Times New Roman" w:eastAsia="Times New Roman" w:hAnsi="Times New Roman"/>
          <w:sz w:val="14"/>
          <w:szCs w:val="14"/>
          <w:color w:val="auto"/>
        </w:rPr>
        <w:t>, each Security delivered under this Indenture upon registration of transfer of or in exchange for or in lieu of any other Security shall carry the rights to interest accrued and unpaid, and to accrue, which were carried by such other Security.</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3.09 </w:t>
      </w:r>
      <w:r>
        <w:rPr>
          <w:rFonts w:ascii="Times New Roman" w:cs="Times New Roman" w:eastAsia="Times New Roman" w:hAnsi="Times New Roman"/>
          <w:sz w:val="14"/>
          <w:szCs w:val="14"/>
          <w:u w:val="single" w:color="auto"/>
          <w:color w:val="auto"/>
        </w:rPr>
        <w:t>CUSIP NUMBERS.</w:t>
      </w:r>
    </w:p>
    <w:p>
      <w:pPr>
        <w:spacing w:after="0" w:line="182" w:lineRule="exact"/>
        <w:rPr>
          <w:sz w:val="20"/>
          <w:szCs w:val="20"/>
          <w:color w:val="auto"/>
        </w:rPr>
      </w:pPr>
    </w:p>
    <w:p>
      <w:pPr>
        <w:ind w:left="120" w:right="239" w:firstLine="350"/>
        <w:spacing w:after="0" w:line="263" w:lineRule="auto"/>
        <w:rPr>
          <w:sz w:val="20"/>
          <w:szCs w:val="20"/>
          <w:color w:val="auto"/>
        </w:rPr>
      </w:pPr>
      <w:r>
        <w:rPr>
          <w:rFonts w:ascii="Times New Roman" w:cs="Times New Roman" w:eastAsia="Times New Roman" w:hAnsi="Times New Roman"/>
          <w:sz w:val="14"/>
          <w:szCs w:val="14"/>
          <w:color w:val="auto"/>
        </w:rPr>
        <w:t>The Company in issuing the Securities may use “CUSIP” numbers (if then generally in use), and the Company, or the Trustee on behalf of the Company, shall use CUSIP numbers in notices of redemption or exchange as a convenience to Holders; provided, however, that any such notice shall state that no representation is made as to the correctness of such numbers either as printed on the Securities or as contained in any notice of redemption or exchange and that reliance may be placed only on the other identification numbers printed on the Securities; and provided further, however, that failure to use CUSIP numbers in any notice of redemption or exchange shall not affect the validity or sufficiency of such notice. The Company will promptly notify the Trustee in writing of any change in the “CUSIP” numbers.</w:t>
      </w:r>
    </w:p>
    <w:p>
      <w:pPr>
        <w:spacing w:after="0" w:line="1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3.10 </w:t>
      </w:r>
      <w:r>
        <w:rPr>
          <w:rFonts w:ascii="Times New Roman" w:cs="Times New Roman" w:eastAsia="Times New Roman" w:hAnsi="Times New Roman"/>
          <w:sz w:val="14"/>
          <w:szCs w:val="14"/>
          <w:u w:val="single" w:color="auto"/>
          <w:color w:val="auto"/>
        </w:rPr>
        <w:t>PERSONS DEEMED OWNERS.</w:t>
      </w:r>
    </w:p>
    <w:p>
      <w:pPr>
        <w:spacing w:after="0" w:line="182" w:lineRule="exact"/>
        <w:rPr>
          <w:sz w:val="20"/>
          <w:szCs w:val="20"/>
          <w:color w:val="auto"/>
        </w:rPr>
      </w:pPr>
    </w:p>
    <w:p>
      <w:pPr>
        <w:ind w:left="120" w:right="159" w:firstLine="350"/>
        <w:spacing w:after="0" w:line="268" w:lineRule="auto"/>
        <w:rPr>
          <w:sz w:val="20"/>
          <w:szCs w:val="20"/>
          <w:color w:val="auto"/>
        </w:rPr>
      </w:pPr>
      <w:r>
        <w:rPr>
          <w:rFonts w:ascii="Times New Roman" w:cs="Times New Roman" w:eastAsia="Times New Roman" w:hAnsi="Times New Roman"/>
          <w:sz w:val="14"/>
          <w:szCs w:val="14"/>
          <w:color w:val="auto"/>
        </w:rPr>
        <w:t xml:space="preserve">Prior to and at the time of due presentment of a Security for registration of transfer, the Company, the Trustee and any agent of the Company or the Trustee may treat the Person in whose name any Security is registered as the owner of such Security for the purpose of receiving payment of principal of, premium, if any, and (subject to </w:t>
      </w:r>
      <w:r>
        <w:rPr>
          <w:rFonts w:ascii="Times New Roman" w:cs="Times New Roman" w:eastAsia="Times New Roman" w:hAnsi="Times New Roman"/>
          <w:sz w:val="14"/>
          <w:szCs w:val="14"/>
          <w:u w:val="single" w:color="auto"/>
          <w:color w:val="auto"/>
        </w:rPr>
        <w:t>Section 3.08</w:t>
      </w:r>
      <w:r>
        <w:rPr>
          <w:rFonts w:ascii="Times New Roman" w:cs="Times New Roman" w:eastAsia="Times New Roman" w:hAnsi="Times New Roman"/>
          <w:sz w:val="14"/>
          <w:szCs w:val="14"/>
          <w:color w:val="auto"/>
        </w:rPr>
        <w:t>) interest on, such Security and for all other purposes whatsoever, whether or not such Security is overdue, and neither the Company, the Trustee nor any agent of the Company or the Trustee shall be affected by notice to the contrary.</w:t>
      </w:r>
    </w:p>
    <w:p>
      <w:pPr>
        <w:spacing w:after="0" w:line="1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3.11 </w:t>
      </w:r>
      <w:r>
        <w:rPr>
          <w:rFonts w:ascii="Times New Roman" w:cs="Times New Roman" w:eastAsia="Times New Roman" w:hAnsi="Times New Roman"/>
          <w:sz w:val="14"/>
          <w:szCs w:val="14"/>
          <w:u w:val="single" w:color="auto"/>
          <w:color w:val="auto"/>
        </w:rPr>
        <w:t>CANCELLATION.</w:t>
      </w:r>
    </w:p>
    <w:p>
      <w:pPr>
        <w:spacing w:after="0" w:line="182" w:lineRule="exact"/>
        <w:rPr>
          <w:sz w:val="20"/>
          <w:szCs w:val="20"/>
          <w:color w:val="auto"/>
        </w:rPr>
      </w:pPr>
    </w:p>
    <w:p>
      <w:pPr>
        <w:ind w:left="120" w:right="459" w:firstLine="350"/>
        <w:spacing w:after="0" w:line="268" w:lineRule="auto"/>
        <w:rPr>
          <w:sz w:val="20"/>
          <w:szCs w:val="20"/>
          <w:color w:val="auto"/>
        </w:rPr>
      </w:pPr>
      <w:r>
        <w:rPr>
          <w:rFonts w:ascii="Times New Roman" w:cs="Times New Roman" w:eastAsia="Times New Roman" w:hAnsi="Times New Roman"/>
          <w:sz w:val="14"/>
          <w:szCs w:val="14"/>
          <w:color w:val="auto"/>
        </w:rPr>
        <w:t>All Securities surrendered for payment, purchase, redemption, registration of transfer or exchange shall be delivered to the Trustee and, if not already canceled, shall be promptly canceled by it. The Company may at any time deliver to the Trustee for cancellation any Securities previously authenticated and delivered hereunder which the Company may have acquired in any manner whatsoever, and all Securities so delivered shall be promptly canceled by the Trustee. No Securities shall be authenticated in lieu of or in exchange for any Securities canceled as</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9019"/>
          </w:cols>
          <w:pgMar w:left="1440" w:top="243" w:right="1440" w:bottom="1440" w:gutter="0" w:footer="0" w:header="0"/>
        </w:sectPr>
      </w:pPr>
    </w:p>
    <w:bookmarkStart w:id="144" w:name="page145"/>
    <w:bookmarkEnd w:id="144"/>
    <w:p>
      <w:pPr>
        <w:ind w:left="120" w:right="299"/>
        <w:spacing w:after="0" w:line="26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9">
                      <a:extLst>
                        <a:ext uri="{28A0092B-C50C-407E-A947-70E740481C1C}"/>
                      </a:extLst>
                    </a:blip>
                    <a:srcRect/>
                    <a:stretch>
                      <a:fillRect/>
                    </a:stretch>
                  </pic:blipFill>
                  <pic:spPr bwMode="auto">
                    <a:xfrm>
                      <a:off x="0" y="0"/>
                      <a:ext cx="7199630" cy="33020"/>
                    </a:xfrm>
                    <a:prstGeom prst="rect">
                      <a:avLst/>
                    </a:prstGeom>
                    <a:noFill/>
                  </pic:spPr>
                </pic:pic>
              </a:graphicData>
            </a:graphic>
          </wp:anchor>
        </w:drawing>
        <w:t xml:space="preserve">provided in this </w:t>
      </w:r>
      <w:r>
        <w:rPr>
          <w:rFonts w:ascii="Times New Roman" w:cs="Times New Roman" w:eastAsia="Times New Roman" w:hAnsi="Times New Roman"/>
          <w:sz w:val="14"/>
          <w:szCs w:val="14"/>
          <w:u w:val="single" w:color="auto"/>
          <w:color w:val="auto"/>
        </w:rPr>
        <w:t>Section 3.11</w:t>
      </w:r>
      <w:r>
        <w:rPr>
          <w:rFonts w:ascii="Times New Roman" w:cs="Times New Roman" w:eastAsia="Times New Roman" w:hAnsi="Times New Roman"/>
          <w:sz w:val="14"/>
          <w:szCs w:val="14"/>
          <w:color w:val="auto"/>
        </w:rPr>
        <w:t>, except as expressly permitted by this Indenture. All canceled Securities held by the Trustee shall be disposed of in accordance with the Trustee’s standard procedures, unless by a Company Order received by the Trustee prior to such disposition, the Company shall direct that the canceled Securities be returned to it. The Trustee shall provide the Company a list of all Securities that have been canceled from time to time as requested in writing by the Company.</w:t>
      </w:r>
    </w:p>
    <w:p>
      <w:pPr>
        <w:spacing w:after="0" w:line="1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3.12 </w:t>
      </w:r>
      <w:r>
        <w:rPr>
          <w:rFonts w:ascii="Times New Roman" w:cs="Times New Roman" w:eastAsia="Times New Roman" w:hAnsi="Times New Roman"/>
          <w:sz w:val="14"/>
          <w:szCs w:val="14"/>
          <w:u w:val="single" w:color="auto"/>
          <w:color w:val="auto"/>
        </w:rPr>
        <w:t>COMPUTATION OF INTEREST.</w:t>
      </w:r>
    </w:p>
    <w:p>
      <w:pPr>
        <w:spacing w:after="0" w:line="182" w:lineRule="exact"/>
        <w:rPr>
          <w:sz w:val="20"/>
          <w:szCs w:val="20"/>
          <w:color w:val="auto"/>
        </w:rPr>
      </w:pPr>
    </w:p>
    <w:p>
      <w:pPr>
        <w:ind w:left="120" w:right="419" w:firstLine="350"/>
        <w:spacing w:after="0" w:line="292" w:lineRule="auto"/>
        <w:rPr>
          <w:sz w:val="20"/>
          <w:szCs w:val="20"/>
          <w:color w:val="auto"/>
        </w:rPr>
      </w:pPr>
      <w:r>
        <w:rPr>
          <w:rFonts w:ascii="Times New Roman" w:cs="Times New Roman" w:eastAsia="Times New Roman" w:hAnsi="Times New Roman"/>
          <w:sz w:val="14"/>
          <w:szCs w:val="14"/>
          <w:color w:val="auto"/>
        </w:rPr>
        <w:t xml:space="preserve">Except as otherwise specified as contemplated by </w:t>
      </w:r>
      <w:r>
        <w:rPr>
          <w:rFonts w:ascii="Times New Roman" w:cs="Times New Roman" w:eastAsia="Times New Roman" w:hAnsi="Times New Roman"/>
          <w:sz w:val="14"/>
          <w:szCs w:val="14"/>
          <w:u w:val="single" w:color="auto"/>
          <w:color w:val="auto"/>
        </w:rPr>
        <w:t>Section 3.01</w:t>
      </w:r>
      <w:r>
        <w:rPr>
          <w:rFonts w:ascii="Times New Roman" w:cs="Times New Roman" w:eastAsia="Times New Roman" w:hAnsi="Times New Roman"/>
          <w:sz w:val="14"/>
          <w:szCs w:val="14"/>
          <w:color w:val="auto"/>
        </w:rPr>
        <w:t xml:space="preserve"> with respect to Securities of any series, interest on the Securities of each series shall be computed on the basis of a 360-day year comprised of twelve 30-day months.</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IV</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DEFEASANCE AND COVENANT DEFEASANCE</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4.01 </w:t>
      </w:r>
      <w:r>
        <w:rPr>
          <w:rFonts w:ascii="Times New Roman" w:cs="Times New Roman" w:eastAsia="Times New Roman" w:hAnsi="Times New Roman"/>
          <w:sz w:val="14"/>
          <w:szCs w:val="14"/>
          <w:u w:val="single" w:color="auto"/>
          <w:color w:val="auto"/>
        </w:rPr>
        <w:t>APPLICABILITY OF ARTICLE; COMPANY’S OPTION TO EFFECT DEFEASANCE OR COVENANT DEFEASANCE.</w:t>
      </w:r>
    </w:p>
    <w:p>
      <w:pPr>
        <w:spacing w:after="0" w:line="182" w:lineRule="exact"/>
        <w:rPr>
          <w:sz w:val="20"/>
          <w:szCs w:val="20"/>
          <w:color w:val="auto"/>
        </w:rPr>
      </w:pPr>
    </w:p>
    <w:p>
      <w:pPr>
        <w:ind w:left="120" w:right="319" w:firstLine="350"/>
        <w:spacing w:after="0" w:line="263" w:lineRule="auto"/>
        <w:rPr>
          <w:sz w:val="20"/>
          <w:szCs w:val="20"/>
          <w:color w:val="auto"/>
        </w:rPr>
      </w:pPr>
      <w:r>
        <w:rPr>
          <w:rFonts w:ascii="Times New Roman" w:cs="Times New Roman" w:eastAsia="Times New Roman" w:hAnsi="Times New Roman"/>
          <w:sz w:val="14"/>
          <w:szCs w:val="14"/>
          <w:color w:val="auto"/>
        </w:rPr>
        <w:t xml:space="preserve">If pursuant to </w:t>
      </w:r>
      <w:r>
        <w:rPr>
          <w:rFonts w:ascii="Times New Roman" w:cs="Times New Roman" w:eastAsia="Times New Roman" w:hAnsi="Times New Roman"/>
          <w:sz w:val="14"/>
          <w:szCs w:val="14"/>
          <w:u w:val="single" w:color="auto"/>
          <w:color w:val="auto"/>
        </w:rPr>
        <w:t>Section 3.01</w:t>
      </w:r>
      <w:r>
        <w:rPr>
          <w:rFonts w:ascii="Times New Roman" w:cs="Times New Roman" w:eastAsia="Times New Roman" w:hAnsi="Times New Roman"/>
          <w:sz w:val="14"/>
          <w:szCs w:val="14"/>
          <w:color w:val="auto"/>
        </w:rPr>
        <w:t xml:space="preserve"> provision is made for either or both of (a) defeasance of the Securities of a series under </w:t>
      </w:r>
      <w:r>
        <w:rPr>
          <w:rFonts w:ascii="Times New Roman" w:cs="Times New Roman" w:eastAsia="Times New Roman" w:hAnsi="Times New Roman"/>
          <w:sz w:val="14"/>
          <w:szCs w:val="14"/>
          <w:u w:val="single" w:color="auto"/>
          <w:color w:val="auto"/>
        </w:rPr>
        <w:t>Section 4.02</w:t>
      </w:r>
      <w:r>
        <w:rPr>
          <w:rFonts w:ascii="Times New Roman" w:cs="Times New Roman" w:eastAsia="Times New Roman" w:hAnsi="Times New Roman"/>
          <w:sz w:val="14"/>
          <w:szCs w:val="14"/>
          <w:color w:val="auto"/>
        </w:rPr>
        <w:t xml:space="preserve"> or (b) covenant defeasance of the Securities of a series under </w:t>
      </w:r>
      <w:r>
        <w:rPr>
          <w:rFonts w:ascii="Times New Roman" w:cs="Times New Roman" w:eastAsia="Times New Roman" w:hAnsi="Times New Roman"/>
          <w:sz w:val="14"/>
          <w:szCs w:val="14"/>
          <w:u w:val="single" w:color="auto"/>
          <w:color w:val="auto"/>
        </w:rPr>
        <w:t>Section 4.03</w:t>
      </w:r>
      <w:r>
        <w:rPr>
          <w:rFonts w:ascii="Times New Roman" w:cs="Times New Roman" w:eastAsia="Times New Roman" w:hAnsi="Times New Roman"/>
          <w:sz w:val="14"/>
          <w:szCs w:val="14"/>
          <w:color w:val="auto"/>
        </w:rPr>
        <w:t xml:space="preserve">, then the provisions of such Section or Sections, as the case may be, together with the other provisions of this </w:t>
      </w:r>
      <w:r>
        <w:rPr>
          <w:rFonts w:ascii="Times New Roman" w:cs="Times New Roman" w:eastAsia="Times New Roman" w:hAnsi="Times New Roman"/>
          <w:sz w:val="14"/>
          <w:szCs w:val="14"/>
          <w:u w:val="single" w:color="auto"/>
          <w:color w:val="auto"/>
        </w:rPr>
        <w:t>Article IV</w:t>
      </w:r>
      <w:r>
        <w:rPr>
          <w:rFonts w:ascii="Times New Roman" w:cs="Times New Roman" w:eastAsia="Times New Roman" w:hAnsi="Times New Roman"/>
          <w:sz w:val="14"/>
          <w:szCs w:val="14"/>
          <w:color w:val="auto"/>
        </w:rPr>
        <w:t xml:space="preserve"> (with such modifications thereto as may be specified pursuant to </w:t>
      </w:r>
      <w:r>
        <w:rPr>
          <w:rFonts w:ascii="Times New Roman" w:cs="Times New Roman" w:eastAsia="Times New Roman" w:hAnsi="Times New Roman"/>
          <w:sz w:val="14"/>
          <w:szCs w:val="14"/>
          <w:u w:val="single" w:color="auto"/>
          <w:color w:val="auto"/>
        </w:rPr>
        <w:t>Section 3.01</w:t>
      </w:r>
      <w:r>
        <w:rPr>
          <w:rFonts w:ascii="Times New Roman" w:cs="Times New Roman" w:eastAsia="Times New Roman" w:hAnsi="Times New Roman"/>
          <w:sz w:val="14"/>
          <w:szCs w:val="14"/>
          <w:color w:val="auto"/>
        </w:rPr>
        <w:t xml:space="preserve"> with respect to any Securities), shall be applicable to such Securities, and the Company may at its option by Board Resolution, at any time, with respect to such Securities, elect to have </w:t>
      </w:r>
      <w:r>
        <w:rPr>
          <w:rFonts w:ascii="Times New Roman" w:cs="Times New Roman" w:eastAsia="Times New Roman" w:hAnsi="Times New Roman"/>
          <w:sz w:val="14"/>
          <w:szCs w:val="14"/>
          <w:u w:val="single" w:color="auto"/>
          <w:color w:val="auto"/>
        </w:rPr>
        <w:t>Section 4.02</w:t>
      </w:r>
      <w:r>
        <w:rPr>
          <w:rFonts w:ascii="Times New Roman" w:cs="Times New Roman" w:eastAsia="Times New Roman" w:hAnsi="Times New Roman"/>
          <w:sz w:val="14"/>
          <w:szCs w:val="14"/>
          <w:color w:val="auto"/>
        </w:rPr>
        <w:t xml:space="preserve"> (if applicable) or </w:t>
      </w:r>
      <w:r>
        <w:rPr>
          <w:rFonts w:ascii="Times New Roman" w:cs="Times New Roman" w:eastAsia="Times New Roman" w:hAnsi="Times New Roman"/>
          <w:sz w:val="14"/>
          <w:szCs w:val="14"/>
          <w:u w:val="single" w:color="auto"/>
          <w:color w:val="auto"/>
        </w:rPr>
        <w:t>Section 4.03</w:t>
      </w:r>
      <w:r>
        <w:rPr>
          <w:rFonts w:ascii="Times New Roman" w:cs="Times New Roman" w:eastAsia="Times New Roman" w:hAnsi="Times New Roman"/>
          <w:sz w:val="14"/>
          <w:szCs w:val="14"/>
          <w:color w:val="auto"/>
        </w:rPr>
        <w:t xml:space="preserve"> (if applicable) be applied to such Outstanding Securities and any corresponding Guarantees of such Securities (the “</w:t>
      </w:r>
      <w:r>
        <w:rPr>
          <w:rFonts w:ascii="Times New Roman" w:cs="Times New Roman" w:eastAsia="Times New Roman" w:hAnsi="Times New Roman"/>
          <w:sz w:val="14"/>
          <w:szCs w:val="14"/>
          <w:u w:val="single" w:color="auto"/>
          <w:color w:val="auto"/>
        </w:rPr>
        <w:t>Defeased Securities</w:t>
      </w:r>
      <w:r>
        <w:rPr>
          <w:rFonts w:ascii="Times New Roman" w:cs="Times New Roman" w:eastAsia="Times New Roman" w:hAnsi="Times New Roman"/>
          <w:sz w:val="14"/>
          <w:szCs w:val="14"/>
          <w:color w:val="auto"/>
        </w:rPr>
        <w:t xml:space="preserve">”) upon compliance with the conditions set forth below in this </w:t>
      </w:r>
      <w:r>
        <w:rPr>
          <w:rFonts w:ascii="Times New Roman" w:cs="Times New Roman" w:eastAsia="Times New Roman" w:hAnsi="Times New Roman"/>
          <w:sz w:val="14"/>
          <w:szCs w:val="14"/>
          <w:u w:val="single" w:color="auto"/>
          <w:color w:val="auto"/>
        </w:rPr>
        <w:t>Article IV</w:t>
      </w:r>
      <w:r>
        <w:rPr>
          <w:rFonts w:ascii="Times New Roman" w:cs="Times New Roman" w:eastAsia="Times New Roman" w:hAnsi="Times New Roman"/>
          <w:sz w:val="14"/>
          <w:szCs w:val="14"/>
          <w:color w:val="auto"/>
        </w:rPr>
        <w:t>.</w:t>
      </w:r>
    </w:p>
    <w:p>
      <w:pPr>
        <w:spacing w:after="0" w:line="1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4.02 </w:t>
      </w:r>
      <w:r>
        <w:rPr>
          <w:rFonts w:ascii="Times New Roman" w:cs="Times New Roman" w:eastAsia="Times New Roman" w:hAnsi="Times New Roman"/>
          <w:sz w:val="14"/>
          <w:szCs w:val="14"/>
          <w:u w:val="single" w:color="auto"/>
          <w:color w:val="auto"/>
        </w:rPr>
        <w:t>DEFEASANCE AND DISCHARGE.</w:t>
      </w:r>
    </w:p>
    <w:p>
      <w:pPr>
        <w:spacing w:after="0" w:line="182" w:lineRule="exact"/>
        <w:rPr>
          <w:sz w:val="20"/>
          <w:szCs w:val="20"/>
          <w:color w:val="auto"/>
        </w:rPr>
      </w:pPr>
    </w:p>
    <w:p>
      <w:pPr>
        <w:ind w:left="120" w:right="199" w:firstLine="350"/>
        <w:spacing w:after="0" w:line="258" w:lineRule="auto"/>
        <w:rPr>
          <w:sz w:val="20"/>
          <w:szCs w:val="20"/>
          <w:color w:val="auto"/>
        </w:rPr>
      </w:pPr>
      <w:r>
        <w:rPr>
          <w:rFonts w:ascii="Times New Roman" w:cs="Times New Roman" w:eastAsia="Times New Roman" w:hAnsi="Times New Roman"/>
          <w:sz w:val="14"/>
          <w:szCs w:val="14"/>
          <w:color w:val="auto"/>
        </w:rPr>
        <w:t xml:space="preserve">Upon the Company’s exercise of the option applicable to this </w:t>
      </w:r>
      <w:r>
        <w:rPr>
          <w:rFonts w:ascii="Times New Roman" w:cs="Times New Roman" w:eastAsia="Times New Roman" w:hAnsi="Times New Roman"/>
          <w:sz w:val="14"/>
          <w:szCs w:val="14"/>
          <w:u w:val="single" w:color="auto"/>
          <w:color w:val="auto"/>
        </w:rPr>
        <w:t>Section 4.02</w:t>
      </w:r>
      <w:r>
        <w:rPr>
          <w:rFonts w:ascii="Times New Roman" w:cs="Times New Roman" w:eastAsia="Times New Roman" w:hAnsi="Times New Roman"/>
          <w:sz w:val="14"/>
          <w:szCs w:val="14"/>
          <w:color w:val="auto"/>
        </w:rPr>
        <w:t xml:space="preserve"> with respect to any Securities of a series, the Company and any other obligor upon the applicable series of Securities, if any, shall be deemed to have been discharged from its obligations with respect to the Defeased Securities on the date the conditions set forth in </w:t>
      </w:r>
      <w:r>
        <w:rPr>
          <w:rFonts w:ascii="Times New Roman" w:cs="Times New Roman" w:eastAsia="Times New Roman" w:hAnsi="Times New Roman"/>
          <w:sz w:val="14"/>
          <w:szCs w:val="14"/>
          <w:u w:val="single" w:color="auto"/>
          <w:color w:val="auto"/>
        </w:rPr>
        <w:t>Section 4.04</w:t>
      </w:r>
      <w:r>
        <w:rPr>
          <w:rFonts w:ascii="Times New Roman" w:cs="Times New Roman" w:eastAsia="Times New Roman" w:hAnsi="Times New Roman"/>
          <w:sz w:val="14"/>
          <w:szCs w:val="14"/>
          <w:color w:val="auto"/>
        </w:rPr>
        <w:t xml:space="preserve"> below are satisfied (hereinafter, “</w:t>
      </w:r>
      <w:r>
        <w:rPr>
          <w:rFonts w:ascii="Times New Roman" w:cs="Times New Roman" w:eastAsia="Times New Roman" w:hAnsi="Times New Roman"/>
          <w:sz w:val="14"/>
          <w:szCs w:val="14"/>
          <w:u w:val="single" w:color="auto"/>
          <w:color w:val="auto"/>
        </w:rPr>
        <w:t>defeasance</w:t>
      </w:r>
      <w:r>
        <w:rPr>
          <w:rFonts w:ascii="Times New Roman" w:cs="Times New Roman" w:eastAsia="Times New Roman" w:hAnsi="Times New Roman"/>
          <w:sz w:val="14"/>
          <w:szCs w:val="14"/>
          <w:color w:val="auto"/>
        </w:rPr>
        <w:t xml:space="preserve">”). For this purpose, such defeasance means that the Company and any other obligor under the applicable series of Securities shall be deemed to have paid and discharged the entire Indebtedness represented by the Defeased Securities, which shall thereafter be deemed to be “Outstanding” only for the purposes of </w:t>
      </w:r>
      <w:r>
        <w:rPr>
          <w:rFonts w:ascii="Times New Roman" w:cs="Times New Roman" w:eastAsia="Times New Roman" w:hAnsi="Times New Roman"/>
          <w:sz w:val="14"/>
          <w:szCs w:val="14"/>
          <w:u w:val="single" w:color="auto"/>
          <w:color w:val="auto"/>
        </w:rPr>
        <w:t>Section 4.05</w:t>
      </w:r>
      <w:r>
        <w:rPr>
          <w:rFonts w:ascii="Times New Roman" w:cs="Times New Roman" w:eastAsia="Times New Roman" w:hAnsi="Times New Roman"/>
          <w:sz w:val="14"/>
          <w:szCs w:val="14"/>
          <w:color w:val="auto"/>
        </w:rPr>
        <w:t xml:space="preserve"> and the other Sections of this Indenture referred to in (a) and (b) below, and to have satisfied all its other obligations under such series of Securities and this Indenture insofar as such series of Securities are concerned (and the Trustee, at the expense of the Company and upon Company Request, shall execute proper instruments acknowledging the same), except for the following which shall survive until otherwise terminated or discharged hereunder: (a) the rights of Holders of Defeased Securities to receive, solely from the trust fund described in </w:t>
      </w:r>
      <w:r>
        <w:rPr>
          <w:rFonts w:ascii="Times New Roman" w:cs="Times New Roman" w:eastAsia="Times New Roman" w:hAnsi="Times New Roman"/>
          <w:sz w:val="14"/>
          <w:szCs w:val="14"/>
          <w:u w:val="single" w:color="auto"/>
          <w:color w:val="auto"/>
        </w:rPr>
        <w:t>Section 4.05</w:t>
      </w:r>
      <w:r>
        <w:rPr>
          <w:rFonts w:ascii="Times New Roman" w:cs="Times New Roman" w:eastAsia="Times New Roman" w:hAnsi="Times New Roman"/>
          <w:sz w:val="14"/>
          <w:szCs w:val="14"/>
          <w:color w:val="auto"/>
        </w:rPr>
        <w:t xml:space="preserve"> and as more fully set forth in such Section, payments in respect of the principal of, premium, if any, and interest on, such series of Securities, when such payments are due, (b) the Company’s obligations with respect to such Defeased Securities under </w:t>
      </w:r>
      <w:r>
        <w:rPr>
          <w:rFonts w:ascii="Times New Roman" w:cs="Times New Roman" w:eastAsia="Times New Roman" w:hAnsi="Times New Roman"/>
          <w:sz w:val="14"/>
          <w:szCs w:val="14"/>
          <w:u w:val="single" w:color="auto"/>
          <w:color w:val="auto"/>
        </w:rPr>
        <w:t>Sections 3.03</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3.04</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3.05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3.07</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10.02</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10.03</w:t>
      </w:r>
      <w:r>
        <w:rPr>
          <w:rFonts w:ascii="Times New Roman" w:cs="Times New Roman" w:eastAsia="Times New Roman" w:hAnsi="Times New Roman"/>
          <w:sz w:val="14"/>
          <w:szCs w:val="14"/>
          <w:color w:val="auto"/>
        </w:rPr>
        <w:t xml:space="preserve">, (c) the rights, powers, trusts, duties and immunities of the Trustee hereunder with respect to the Defeased Securities, including, without limitation, the Trustee’s rights under </w:t>
      </w:r>
      <w:r>
        <w:rPr>
          <w:rFonts w:ascii="Times New Roman" w:cs="Times New Roman" w:eastAsia="Times New Roman" w:hAnsi="Times New Roman"/>
          <w:sz w:val="14"/>
          <w:szCs w:val="14"/>
          <w:u w:val="single" w:color="auto"/>
          <w:color w:val="auto"/>
        </w:rPr>
        <w:t>Section 6.07</w:t>
      </w:r>
      <w:r>
        <w:rPr>
          <w:rFonts w:ascii="Times New Roman" w:cs="Times New Roman" w:eastAsia="Times New Roman" w:hAnsi="Times New Roman"/>
          <w:sz w:val="14"/>
          <w:szCs w:val="14"/>
          <w:color w:val="auto"/>
        </w:rPr>
        <w:t xml:space="preserve"> and the Company’s and, if any, the Guarantors’, obligations in connection therewith, and (d) this </w:t>
      </w:r>
      <w:r>
        <w:rPr>
          <w:rFonts w:ascii="Times New Roman" w:cs="Times New Roman" w:eastAsia="Times New Roman" w:hAnsi="Times New Roman"/>
          <w:sz w:val="14"/>
          <w:szCs w:val="14"/>
          <w:u w:val="single" w:color="auto"/>
          <w:color w:val="auto"/>
        </w:rPr>
        <w:t>Article IV</w:t>
      </w:r>
      <w:r>
        <w:rPr>
          <w:rFonts w:ascii="Times New Roman" w:cs="Times New Roman" w:eastAsia="Times New Roman" w:hAnsi="Times New Roman"/>
          <w:sz w:val="14"/>
          <w:szCs w:val="14"/>
          <w:color w:val="auto"/>
        </w:rPr>
        <w:t xml:space="preserve">. Subject to compliance with this </w:t>
      </w:r>
      <w:r>
        <w:rPr>
          <w:rFonts w:ascii="Times New Roman" w:cs="Times New Roman" w:eastAsia="Times New Roman" w:hAnsi="Times New Roman"/>
          <w:sz w:val="14"/>
          <w:szCs w:val="14"/>
          <w:u w:val="single" w:color="auto"/>
          <w:color w:val="auto"/>
        </w:rPr>
        <w:t>Article IV</w:t>
      </w:r>
      <w:r>
        <w:rPr>
          <w:rFonts w:ascii="Times New Roman" w:cs="Times New Roman" w:eastAsia="Times New Roman" w:hAnsi="Times New Roman"/>
          <w:sz w:val="14"/>
          <w:szCs w:val="14"/>
          <w:color w:val="auto"/>
        </w:rPr>
        <w:t xml:space="preserve">, the Company may exercise its option under this </w:t>
      </w:r>
      <w:r>
        <w:rPr>
          <w:rFonts w:ascii="Times New Roman" w:cs="Times New Roman" w:eastAsia="Times New Roman" w:hAnsi="Times New Roman"/>
          <w:sz w:val="14"/>
          <w:szCs w:val="14"/>
          <w:u w:val="single" w:color="auto"/>
          <w:color w:val="auto"/>
        </w:rPr>
        <w:t>Section 4.02</w:t>
      </w:r>
      <w:r>
        <w:rPr>
          <w:rFonts w:ascii="Times New Roman" w:cs="Times New Roman" w:eastAsia="Times New Roman" w:hAnsi="Times New Roman"/>
          <w:sz w:val="14"/>
          <w:szCs w:val="14"/>
          <w:color w:val="auto"/>
        </w:rPr>
        <w:t xml:space="preserve"> notwithstanding the prior exercise of its option under </w:t>
      </w:r>
      <w:r>
        <w:rPr>
          <w:rFonts w:ascii="Times New Roman" w:cs="Times New Roman" w:eastAsia="Times New Roman" w:hAnsi="Times New Roman"/>
          <w:sz w:val="14"/>
          <w:szCs w:val="14"/>
          <w:u w:val="single" w:color="auto"/>
          <w:color w:val="auto"/>
        </w:rPr>
        <w:t>Section 4.03</w:t>
      </w:r>
      <w:r>
        <w:rPr>
          <w:rFonts w:ascii="Times New Roman" w:cs="Times New Roman" w:eastAsia="Times New Roman" w:hAnsi="Times New Roman"/>
          <w:sz w:val="14"/>
          <w:szCs w:val="14"/>
          <w:color w:val="auto"/>
        </w:rPr>
        <w:t xml:space="preserve"> with respect to a series of Securities.</w:t>
      </w:r>
    </w:p>
    <w:p>
      <w:pPr>
        <w:spacing w:after="0" w:line="1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4.03 </w:t>
      </w:r>
      <w:r>
        <w:rPr>
          <w:rFonts w:ascii="Times New Roman" w:cs="Times New Roman" w:eastAsia="Times New Roman" w:hAnsi="Times New Roman"/>
          <w:sz w:val="14"/>
          <w:szCs w:val="14"/>
          <w:u w:val="single" w:color="auto"/>
          <w:color w:val="auto"/>
        </w:rPr>
        <w:t>COVENANT DEFEASANCE.</w:t>
      </w:r>
    </w:p>
    <w:p>
      <w:pPr>
        <w:spacing w:after="0" w:line="182" w:lineRule="exact"/>
        <w:rPr>
          <w:sz w:val="20"/>
          <w:szCs w:val="20"/>
          <w:color w:val="auto"/>
        </w:rPr>
      </w:pPr>
    </w:p>
    <w:p>
      <w:pPr>
        <w:jc w:val="both"/>
        <w:ind w:left="120" w:right="139" w:firstLine="350"/>
        <w:spacing w:after="0" w:line="274" w:lineRule="auto"/>
        <w:rPr>
          <w:sz w:val="20"/>
          <w:szCs w:val="20"/>
          <w:color w:val="auto"/>
        </w:rPr>
      </w:pPr>
      <w:r>
        <w:rPr>
          <w:rFonts w:ascii="Times New Roman" w:cs="Times New Roman" w:eastAsia="Times New Roman" w:hAnsi="Times New Roman"/>
          <w:sz w:val="14"/>
          <w:szCs w:val="14"/>
          <w:color w:val="auto"/>
        </w:rPr>
        <w:t xml:space="preserve">Upon the Company’s exercise of the option applicable to this </w:t>
      </w:r>
      <w:r>
        <w:rPr>
          <w:rFonts w:ascii="Times New Roman" w:cs="Times New Roman" w:eastAsia="Times New Roman" w:hAnsi="Times New Roman"/>
          <w:sz w:val="14"/>
          <w:szCs w:val="14"/>
          <w:u w:val="single" w:color="auto"/>
          <w:color w:val="auto"/>
        </w:rPr>
        <w:t>Section 4.03</w:t>
      </w:r>
      <w:r>
        <w:rPr>
          <w:rFonts w:ascii="Times New Roman" w:cs="Times New Roman" w:eastAsia="Times New Roman" w:hAnsi="Times New Roman"/>
          <w:sz w:val="14"/>
          <w:szCs w:val="14"/>
          <w:color w:val="auto"/>
        </w:rPr>
        <w:t xml:space="preserve"> with respect to any Securities of a series, the Company shall be released from its obligations under any covenant or provision contained or referred to in </w:t>
      </w:r>
      <w:r>
        <w:rPr>
          <w:rFonts w:ascii="Times New Roman" w:cs="Times New Roman" w:eastAsia="Times New Roman" w:hAnsi="Times New Roman"/>
          <w:sz w:val="14"/>
          <w:szCs w:val="14"/>
          <w:u w:val="single" w:color="auto"/>
          <w:color w:val="auto"/>
        </w:rPr>
        <w:t>Section 10.04</w:t>
      </w:r>
      <w:r>
        <w:rPr>
          <w:rFonts w:ascii="Times New Roman" w:cs="Times New Roman" w:eastAsia="Times New Roman" w:hAnsi="Times New Roman"/>
          <w:sz w:val="14"/>
          <w:szCs w:val="14"/>
          <w:color w:val="auto"/>
        </w:rPr>
        <w:t xml:space="preserve">, and any other covenant or provision if specified pursuant to </w:t>
      </w:r>
      <w:r>
        <w:rPr>
          <w:rFonts w:ascii="Times New Roman" w:cs="Times New Roman" w:eastAsia="Times New Roman" w:hAnsi="Times New Roman"/>
          <w:sz w:val="14"/>
          <w:szCs w:val="14"/>
          <w:u w:val="single" w:color="auto"/>
          <w:color w:val="auto"/>
        </w:rPr>
        <w:t>Section 3.01</w:t>
      </w:r>
      <w:r>
        <w:rPr>
          <w:rFonts w:ascii="Times New Roman" w:cs="Times New Roman" w:eastAsia="Times New Roman" w:hAnsi="Times New Roman"/>
          <w:sz w:val="14"/>
          <w:szCs w:val="14"/>
          <w:color w:val="auto"/>
        </w:rPr>
        <w:t xml:space="preserve">, in each case, with respect to the Defeased Securities, on and after the date the conditions set forth in </w:t>
      </w:r>
      <w:r>
        <w:rPr>
          <w:rFonts w:ascii="Times New Roman" w:cs="Times New Roman" w:eastAsia="Times New Roman" w:hAnsi="Times New Roman"/>
          <w:sz w:val="14"/>
          <w:szCs w:val="14"/>
          <w:u w:val="single" w:color="auto"/>
          <w:color w:val="auto"/>
        </w:rPr>
        <w:t>Section 4.04</w:t>
      </w:r>
      <w:r>
        <w:rPr>
          <w:rFonts w:ascii="Times New Roman" w:cs="Times New Roman" w:eastAsia="Times New Roman" w:hAnsi="Times New Roman"/>
          <w:sz w:val="14"/>
          <w:szCs w:val="14"/>
          <w:color w:val="auto"/>
        </w:rPr>
        <w:t xml:space="preserve"> below are satisfied</w:t>
      </w:r>
    </w:p>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9019"/>
          </w:cols>
          <w:pgMar w:left="1440" w:top="243" w:right="1440" w:bottom="1440" w:gutter="0" w:footer="0" w:header="0"/>
        </w:sectPr>
      </w:pPr>
    </w:p>
    <w:bookmarkStart w:id="145" w:name="page146"/>
    <w:bookmarkEnd w:id="145"/>
    <w:p>
      <w:pPr>
        <w:ind w:left="120" w:right="139"/>
        <w:spacing w:after="0" w:line="26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0">
                      <a:extLst>
                        <a:ext uri="{28A0092B-C50C-407E-A947-70E740481C1C}"/>
                      </a:extLst>
                    </a:blip>
                    <a:srcRect/>
                    <a:stretch>
                      <a:fillRect/>
                    </a:stretch>
                  </pic:blipFill>
                  <pic:spPr bwMode="auto">
                    <a:xfrm>
                      <a:off x="0" y="0"/>
                      <a:ext cx="7199630" cy="33020"/>
                    </a:xfrm>
                    <a:prstGeom prst="rect">
                      <a:avLst/>
                    </a:prstGeom>
                    <a:noFill/>
                  </pic:spPr>
                </pic:pic>
              </a:graphicData>
            </a:graphic>
          </wp:anchor>
        </w:drawing>
        <w:t>(hereinafter, “</w:t>
      </w:r>
      <w:r>
        <w:rPr>
          <w:rFonts w:ascii="Times New Roman" w:cs="Times New Roman" w:eastAsia="Times New Roman" w:hAnsi="Times New Roman"/>
          <w:sz w:val="14"/>
          <w:szCs w:val="14"/>
          <w:u w:val="single" w:color="auto"/>
          <w:color w:val="auto"/>
        </w:rPr>
        <w:t>covenant defeasance</w:t>
      </w:r>
      <w:r>
        <w:rPr>
          <w:rFonts w:ascii="Times New Roman" w:cs="Times New Roman" w:eastAsia="Times New Roman" w:hAnsi="Times New Roman"/>
          <w:sz w:val="14"/>
          <w:szCs w:val="14"/>
          <w:color w:val="auto"/>
        </w:rPr>
        <w:t xml:space="preserve">”), and the Defeased Securities shall thereafter be deemed to be not “Outstanding” for the purposes of any direction, waiver, consent or declaration or Act of Holders (and the consequences of any thereof) in connection with such covenants, but shall continue to be deemed “Outstanding” for all other purposes hereunder (it being understood that such Securities shall not be deemed outstanding for accounting purposes), and the Events of Default under </w:t>
      </w:r>
      <w:r>
        <w:rPr>
          <w:rFonts w:ascii="Times New Roman" w:cs="Times New Roman" w:eastAsia="Times New Roman" w:hAnsi="Times New Roman"/>
          <w:sz w:val="14"/>
          <w:szCs w:val="14"/>
          <w:u w:val="single" w:color="auto"/>
          <w:color w:val="auto"/>
        </w:rPr>
        <w:t>Section 5.01(c)</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(d)</w:t>
      </w:r>
      <w:r>
        <w:rPr>
          <w:rFonts w:ascii="Times New Roman" w:cs="Times New Roman" w:eastAsia="Times New Roman" w:hAnsi="Times New Roman"/>
          <w:sz w:val="14"/>
          <w:szCs w:val="14"/>
          <w:color w:val="auto"/>
        </w:rPr>
        <w:t xml:space="preserve"> and any Event of Default specified to be covered by this </w:t>
      </w:r>
      <w:r>
        <w:rPr>
          <w:rFonts w:ascii="Times New Roman" w:cs="Times New Roman" w:eastAsia="Times New Roman" w:hAnsi="Times New Roman"/>
          <w:sz w:val="14"/>
          <w:szCs w:val="14"/>
          <w:u w:val="single" w:color="auto"/>
          <w:color w:val="auto"/>
        </w:rPr>
        <w:t>Section 4.03</w:t>
      </w:r>
      <w:r>
        <w:rPr>
          <w:rFonts w:ascii="Times New Roman" w:cs="Times New Roman" w:eastAsia="Times New Roman" w:hAnsi="Times New Roman"/>
          <w:sz w:val="14"/>
          <w:szCs w:val="14"/>
          <w:color w:val="auto"/>
        </w:rPr>
        <w:t xml:space="preserve"> for a series in accordance with </w:t>
      </w:r>
      <w:r>
        <w:rPr>
          <w:rFonts w:ascii="Times New Roman" w:cs="Times New Roman" w:eastAsia="Times New Roman" w:hAnsi="Times New Roman"/>
          <w:sz w:val="14"/>
          <w:szCs w:val="14"/>
          <w:u w:val="single" w:color="auto"/>
          <w:color w:val="auto"/>
        </w:rPr>
        <w:t>Section 3.01</w:t>
      </w:r>
      <w:r>
        <w:rPr>
          <w:rFonts w:ascii="Times New Roman" w:cs="Times New Roman" w:eastAsia="Times New Roman" w:hAnsi="Times New Roman"/>
          <w:sz w:val="14"/>
          <w:szCs w:val="14"/>
          <w:color w:val="auto"/>
        </w:rPr>
        <w:t xml:space="preserve"> shall cease to be in full force and effect with respect to the applicable series of Securities. For this purpose, such covenant defeasance means that, with respect to the Defeased Securities, the Company may omit to comply with and shall have no liability in respect of any term, condition or limitation set forth in any such Section, whether directly or indirectly, by reason of any reference elsewhere herein to any such Section or by reason of any reference in any such Section to any other provision herein or in any other document and such omission to comply shall not constitute a Default or an Event of Default under </w:t>
      </w:r>
      <w:r>
        <w:rPr>
          <w:rFonts w:ascii="Times New Roman" w:cs="Times New Roman" w:eastAsia="Times New Roman" w:hAnsi="Times New Roman"/>
          <w:sz w:val="14"/>
          <w:szCs w:val="14"/>
          <w:u w:val="single" w:color="auto"/>
          <w:color w:val="auto"/>
        </w:rPr>
        <w:t>Section 5.01</w:t>
      </w:r>
      <w:r>
        <w:rPr>
          <w:rFonts w:ascii="Times New Roman" w:cs="Times New Roman" w:eastAsia="Times New Roman" w:hAnsi="Times New Roman"/>
          <w:sz w:val="14"/>
          <w:szCs w:val="14"/>
          <w:color w:val="auto"/>
        </w:rPr>
        <w:t xml:space="preserve"> but, except as specified above, the remainder of this Indenture and such Defeased Securities shall be unaffected thereby.</w:t>
      </w:r>
    </w:p>
    <w:p>
      <w:pPr>
        <w:spacing w:after="0" w:line="3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4.04 </w:t>
      </w:r>
      <w:r>
        <w:rPr>
          <w:rFonts w:ascii="Times New Roman" w:cs="Times New Roman" w:eastAsia="Times New Roman" w:hAnsi="Times New Roman"/>
          <w:sz w:val="14"/>
          <w:szCs w:val="14"/>
          <w:u w:val="single" w:color="auto"/>
          <w:color w:val="auto"/>
        </w:rPr>
        <w:t>CONDITIONS TO DEFEASANCE OR COVENANT DEFEASANCE.</w:t>
      </w:r>
    </w:p>
    <w:p>
      <w:pPr>
        <w:spacing w:after="0" w:line="1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 xml:space="preserve">The following shall be the conditions to application of either </w:t>
      </w:r>
      <w:r>
        <w:rPr>
          <w:rFonts w:ascii="Times New Roman" w:cs="Times New Roman" w:eastAsia="Times New Roman" w:hAnsi="Times New Roman"/>
          <w:sz w:val="14"/>
          <w:szCs w:val="14"/>
          <w:u w:val="single" w:color="auto"/>
          <w:color w:val="auto"/>
        </w:rPr>
        <w:t>Section 4.02</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4.03</w:t>
      </w:r>
      <w:r>
        <w:rPr>
          <w:rFonts w:ascii="Times New Roman" w:cs="Times New Roman" w:eastAsia="Times New Roman" w:hAnsi="Times New Roman"/>
          <w:sz w:val="14"/>
          <w:szCs w:val="14"/>
          <w:color w:val="auto"/>
        </w:rPr>
        <w:t xml:space="preserve"> to the Defeased Securities of a series:</w:t>
      </w:r>
    </w:p>
    <w:p>
      <w:pPr>
        <w:spacing w:after="0" w:line="97" w:lineRule="exact"/>
        <w:rPr>
          <w:sz w:val="20"/>
          <w:szCs w:val="20"/>
          <w:color w:val="auto"/>
        </w:rPr>
      </w:pPr>
    </w:p>
    <w:p>
      <w:pPr>
        <w:ind w:left="120" w:right="199" w:firstLine="357"/>
        <w:spacing w:after="0" w:line="263" w:lineRule="auto"/>
        <w:tabs>
          <w:tab w:leader="none" w:pos="672"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must irrevocably deposit with the Trustee, in trust, for the benefit of the Holders of the applicable series of Securities, cash in U.S. dollars, non-callable Government Securities, or a combination of cash in U.S. dollars and non-callable Government Securities, in amounts as will be sufficient, in the opinion of a nationally recognized firm of independent public accountants, to pay the principal of, or interest and premium, if any, on the Outstanding Securities on the Stated Maturity or on the applicable Redemption Date, as the case may be, and the Company must specify whether such Securities are being defeased to Maturity or to a particular Redemption Date and, if such Securities are being defeased to a particular Redemption Date, the Company must have delivered to the Trustee an irrevocable notice of redemption;</w:t>
      </w:r>
    </w:p>
    <w:p>
      <w:pPr>
        <w:spacing w:after="0" w:line="143" w:lineRule="exact"/>
        <w:rPr>
          <w:rFonts w:ascii="Times New Roman" w:cs="Times New Roman" w:eastAsia="Times New Roman" w:hAnsi="Times New Roman"/>
          <w:sz w:val="14"/>
          <w:szCs w:val="14"/>
          <w:color w:val="auto"/>
        </w:rPr>
      </w:pPr>
    </w:p>
    <w:p>
      <w:pPr>
        <w:ind w:left="120" w:right="199" w:firstLine="357"/>
        <w:spacing w:after="0" w:line="263" w:lineRule="auto"/>
        <w:tabs>
          <w:tab w:leader="none" w:pos="672"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the case of an election under </w:t>
      </w:r>
      <w:r>
        <w:rPr>
          <w:rFonts w:ascii="Times New Roman" w:cs="Times New Roman" w:eastAsia="Times New Roman" w:hAnsi="Times New Roman"/>
          <w:sz w:val="14"/>
          <w:szCs w:val="14"/>
          <w:u w:val="single" w:color="auto"/>
          <w:color w:val="auto"/>
        </w:rPr>
        <w:t>Section 4.02</w:t>
      </w:r>
      <w:r>
        <w:rPr>
          <w:rFonts w:ascii="Times New Roman" w:cs="Times New Roman" w:eastAsia="Times New Roman" w:hAnsi="Times New Roman"/>
          <w:sz w:val="14"/>
          <w:szCs w:val="14"/>
          <w:color w:val="auto"/>
        </w:rPr>
        <w:t>, the Company shall have delivered to the Trustee an Opinion of Counsel reasonably acceptable to the Trustee confirming that (A) the Company has received from, or there has been published by, the Internal Revenue Service a ruling or (B) since the date hereof, there has been a change in the applicable Federal income tax law, in either case to the effect that, and based thereon such Opinion of Counsel in the United States shall confirm that, the Holders of the Outstanding Securities will not recognize income, gain or loss for Federal income tax purposes as a result of such defeasance and will be subject to Federal income tax on the same amounts, in the same manner and at the same times as would have been the case if such defeasance had not occurred;</w:t>
      </w:r>
    </w:p>
    <w:p>
      <w:pPr>
        <w:spacing w:after="0" w:line="143" w:lineRule="exact"/>
        <w:rPr>
          <w:rFonts w:ascii="Times New Roman" w:cs="Times New Roman" w:eastAsia="Times New Roman" w:hAnsi="Times New Roman"/>
          <w:sz w:val="14"/>
          <w:szCs w:val="14"/>
          <w:color w:val="auto"/>
        </w:rPr>
      </w:pPr>
    </w:p>
    <w:p>
      <w:pPr>
        <w:jc w:val="both"/>
        <w:ind w:left="120" w:right="199" w:firstLine="357"/>
        <w:spacing w:after="0" w:line="268" w:lineRule="auto"/>
        <w:tabs>
          <w:tab w:leader="none" w:pos="672"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the case of an election under </w:t>
      </w:r>
      <w:r>
        <w:rPr>
          <w:rFonts w:ascii="Times New Roman" w:cs="Times New Roman" w:eastAsia="Times New Roman" w:hAnsi="Times New Roman"/>
          <w:sz w:val="14"/>
          <w:szCs w:val="14"/>
          <w:u w:val="single" w:color="auto"/>
          <w:color w:val="auto"/>
        </w:rPr>
        <w:t>Section 4.03</w:t>
      </w:r>
      <w:r>
        <w:rPr>
          <w:rFonts w:ascii="Times New Roman" w:cs="Times New Roman" w:eastAsia="Times New Roman" w:hAnsi="Times New Roman"/>
          <w:sz w:val="14"/>
          <w:szCs w:val="14"/>
          <w:color w:val="auto"/>
        </w:rPr>
        <w:t>, the Company shall have delivered to the Trustee an Opinion of Counsel reasonably acceptable to the Trustee confirming that the Holders of the Outstanding Securities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139" w:lineRule="exact"/>
        <w:rPr>
          <w:rFonts w:ascii="Times New Roman" w:cs="Times New Roman" w:eastAsia="Times New Roman" w:hAnsi="Times New Roman"/>
          <w:sz w:val="14"/>
          <w:szCs w:val="14"/>
          <w:color w:val="auto"/>
        </w:rPr>
      </w:pPr>
    </w:p>
    <w:p>
      <w:pPr>
        <w:ind w:left="120" w:right="199" w:firstLine="357"/>
        <w:spacing w:after="0" w:line="292" w:lineRule="auto"/>
        <w:tabs>
          <w:tab w:leader="none" w:pos="672"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 Default or Event of Default shall have occurred and be continuing on either (a) on the date of such deposit or (b) insofar as </w:t>
      </w:r>
      <w:r>
        <w:rPr>
          <w:rFonts w:ascii="Times New Roman" w:cs="Times New Roman" w:eastAsia="Times New Roman" w:hAnsi="Times New Roman"/>
          <w:sz w:val="14"/>
          <w:szCs w:val="14"/>
          <w:u w:val="single" w:color="auto"/>
          <w:color w:val="auto"/>
        </w:rPr>
        <w:t>Section 5.01(e)</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5.01(f)</w:t>
      </w:r>
      <w:r>
        <w:rPr>
          <w:rFonts w:ascii="Times New Roman" w:cs="Times New Roman" w:eastAsia="Times New Roman" w:hAnsi="Times New Roman"/>
          <w:sz w:val="14"/>
          <w:szCs w:val="14"/>
          <w:color w:val="auto"/>
        </w:rPr>
        <w:t xml:space="preserve"> are concerned, at any time in the period ending on the 123rd day after the date of deposit;</w:t>
      </w:r>
    </w:p>
    <w:p>
      <w:pPr>
        <w:spacing w:after="0" w:line="123" w:lineRule="exact"/>
        <w:rPr>
          <w:rFonts w:ascii="Times New Roman" w:cs="Times New Roman" w:eastAsia="Times New Roman" w:hAnsi="Times New Roman"/>
          <w:sz w:val="14"/>
          <w:szCs w:val="14"/>
          <w:color w:val="auto"/>
        </w:rPr>
      </w:pPr>
    </w:p>
    <w:p>
      <w:pPr>
        <w:ind w:left="120" w:right="279" w:firstLine="357"/>
        <w:spacing w:after="0" w:line="274" w:lineRule="auto"/>
        <w:tabs>
          <w:tab w:leader="none" w:pos="672"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defeasance or covenant defeasance shall not result in a breach or violation of, or constitute a default under any material agreement or instrument (other than this Indenture) to which the Company or any of its Subsidiaries is a party or by which the Company or any of its Subsidiaries is bound;</w:t>
      </w:r>
    </w:p>
    <w:p>
      <w:pPr>
        <w:spacing w:after="0" w:line="135" w:lineRule="exact"/>
        <w:rPr>
          <w:rFonts w:ascii="Times New Roman" w:cs="Times New Roman" w:eastAsia="Times New Roman" w:hAnsi="Times New Roman"/>
          <w:sz w:val="14"/>
          <w:szCs w:val="14"/>
          <w:color w:val="auto"/>
        </w:rPr>
      </w:pPr>
    </w:p>
    <w:p>
      <w:pPr>
        <w:ind w:left="120" w:right="259" w:firstLine="357"/>
        <w:spacing w:after="0" w:line="274" w:lineRule="auto"/>
        <w:tabs>
          <w:tab w:leader="none" w:pos="672"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must have delivered to the Trustee an Opinion of Counsel to the effect that the creation of the defeasance trust does not violate the Investment Company Act of 1940 and after the passage of 123 days following the deposit, the trust fund will not be subject to the effect of Section 547 of the U.S. Bankruptcy Code or Section 15 of the New York Debtor and Creditor Law;</w:t>
      </w:r>
    </w:p>
    <w:p>
      <w:pPr>
        <w:spacing w:after="0" w:line="135" w:lineRule="exact"/>
        <w:rPr>
          <w:rFonts w:ascii="Times New Roman" w:cs="Times New Roman" w:eastAsia="Times New Roman" w:hAnsi="Times New Roman"/>
          <w:sz w:val="14"/>
          <w:szCs w:val="14"/>
          <w:color w:val="auto"/>
        </w:rPr>
      </w:pPr>
    </w:p>
    <w:p>
      <w:pPr>
        <w:ind w:left="120" w:right="179" w:firstLine="357"/>
        <w:spacing w:after="0" w:line="274" w:lineRule="auto"/>
        <w:tabs>
          <w:tab w:leader="none" w:pos="672"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must have delivered to the Trustee an Officers’ Certificate stating that the deposit was not made by the Company with the intent of preferring the Holders of the applicable Securities over the other creditors of the Company or with the intent of defeating, hindering, delaying or defrauding creditors of the Company or others; and</w:t>
      </w:r>
    </w:p>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9019"/>
          </w:cols>
          <w:pgMar w:left="1440" w:top="243" w:right="1440" w:bottom="1440" w:gutter="0" w:footer="0" w:header="0"/>
        </w:sectPr>
      </w:pPr>
    </w:p>
    <w:bookmarkStart w:id="146" w:name="page147"/>
    <w:bookmarkEnd w:id="146"/>
    <w:p>
      <w:pPr>
        <w:ind w:left="120" w:right="159" w:firstLine="357"/>
        <w:spacing w:after="0" w:line="285" w:lineRule="auto"/>
        <w:tabs>
          <w:tab w:leader="none" w:pos="672"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1">
                      <a:extLst>
                        <a:ext uri="{28A0092B-C50C-407E-A947-70E740481C1C}"/>
                      </a:extLst>
                    </a:blip>
                    <a:srcRect/>
                    <a:stretch>
                      <a:fillRect/>
                    </a:stretch>
                  </pic:blipFill>
                  <pic:spPr bwMode="auto">
                    <a:xfrm>
                      <a:off x="0" y="0"/>
                      <a:ext cx="7199630" cy="33020"/>
                    </a:xfrm>
                    <a:prstGeom prst="rect">
                      <a:avLst/>
                    </a:prstGeom>
                    <a:noFill/>
                  </pic:spPr>
                </pic:pic>
              </a:graphicData>
            </a:graphic>
          </wp:anchor>
        </w:drawing>
        <w:t xml:space="preserve">The Company must deliver to the Trustee an Officers’ Certificate and an Opinion of Counsel, each stating that all conditions precedent provided for relating to either the defeasance under </w:t>
      </w:r>
      <w:r>
        <w:rPr>
          <w:rFonts w:ascii="Times New Roman" w:cs="Times New Roman" w:eastAsia="Times New Roman" w:hAnsi="Times New Roman"/>
          <w:sz w:val="14"/>
          <w:szCs w:val="14"/>
          <w:u w:val="single" w:color="auto"/>
          <w:color w:val="auto"/>
        </w:rPr>
        <w:t>Section 4.02</w:t>
      </w:r>
      <w:r>
        <w:rPr>
          <w:rFonts w:ascii="Times New Roman" w:cs="Times New Roman" w:eastAsia="Times New Roman" w:hAnsi="Times New Roman"/>
          <w:sz w:val="14"/>
          <w:szCs w:val="14"/>
          <w:color w:val="auto"/>
        </w:rPr>
        <w:t xml:space="preserve"> or the covenant defeasance under </w:t>
      </w:r>
      <w:r>
        <w:rPr>
          <w:rFonts w:ascii="Times New Roman" w:cs="Times New Roman" w:eastAsia="Times New Roman" w:hAnsi="Times New Roman"/>
          <w:sz w:val="14"/>
          <w:szCs w:val="14"/>
          <w:u w:val="single" w:color="auto"/>
          <w:color w:val="auto"/>
        </w:rPr>
        <w:t>Section 4.03</w:t>
      </w:r>
      <w:r>
        <w:rPr>
          <w:rFonts w:ascii="Times New Roman" w:cs="Times New Roman" w:eastAsia="Times New Roman" w:hAnsi="Times New Roman"/>
          <w:sz w:val="14"/>
          <w:szCs w:val="14"/>
          <w:color w:val="auto"/>
        </w:rPr>
        <w:t xml:space="preserve"> (as the case may be) have been complied with.</w:t>
      </w:r>
    </w:p>
    <w:p>
      <w:pPr>
        <w:spacing w:after="0" w:line="304" w:lineRule="exact"/>
        <w:rPr>
          <w:sz w:val="20"/>
          <w:szCs w:val="20"/>
          <w:color w:val="auto"/>
        </w:rPr>
      </w:pPr>
    </w:p>
    <w:p>
      <w:pPr>
        <w:ind w:left="120" w:right="139" w:firstLine="350"/>
        <w:spacing w:after="0" w:line="268" w:lineRule="auto"/>
        <w:rPr>
          <w:sz w:val="20"/>
          <w:szCs w:val="20"/>
          <w:color w:val="auto"/>
        </w:rPr>
      </w:pPr>
      <w:r>
        <w:rPr>
          <w:rFonts w:ascii="Times New Roman" w:cs="Times New Roman" w:eastAsia="Times New Roman" w:hAnsi="Times New Roman"/>
          <w:sz w:val="14"/>
          <w:szCs w:val="14"/>
          <w:color w:val="auto"/>
        </w:rPr>
        <w:t xml:space="preserve">Opinions of Counsel required to be delivered under this </w:t>
      </w:r>
      <w:r>
        <w:rPr>
          <w:rFonts w:ascii="Times New Roman" w:cs="Times New Roman" w:eastAsia="Times New Roman" w:hAnsi="Times New Roman"/>
          <w:sz w:val="14"/>
          <w:szCs w:val="14"/>
          <w:u w:val="single" w:color="auto"/>
          <w:color w:val="auto"/>
        </w:rPr>
        <w:t>Section 4.04</w:t>
      </w:r>
      <w:r>
        <w:rPr>
          <w:rFonts w:ascii="Times New Roman" w:cs="Times New Roman" w:eastAsia="Times New Roman" w:hAnsi="Times New Roman"/>
          <w:sz w:val="14"/>
          <w:szCs w:val="14"/>
          <w:color w:val="auto"/>
        </w:rPr>
        <w:t xml:space="preserve"> shall be in form and substance reasonably satisfactory to the Trustee and may have qualifications customary for opinions of the type required and counsel delivering such opinions may rely on certificates of the Company or government or other officials customary for opinions of the type required, which certificates shall be limited as to matters of fact, including that various financial covenants have been complied with.</w:t>
      </w:r>
    </w:p>
    <w:p>
      <w:pPr>
        <w:spacing w:after="0" w:line="139" w:lineRule="exact"/>
        <w:rPr>
          <w:sz w:val="20"/>
          <w:szCs w:val="20"/>
          <w:color w:val="auto"/>
        </w:rPr>
      </w:pPr>
    </w:p>
    <w:p>
      <w:pPr>
        <w:ind w:left="120" w:right="479" w:firstLine="350"/>
        <w:spacing w:after="0" w:line="292" w:lineRule="auto"/>
        <w:rPr>
          <w:sz w:val="20"/>
          <w:szCs w:val="20"/>
          <w:color w:val="auto"/>
        </w:rPr>
      </w:pPr>
      <w:r>
        <w:rPr>
          <w:rFonts w:ascii="Times New Roman" w:cs="Times New Roman" w:eastAsia="Times New Roman" w:hAnsi="Times New Roman"/>
          <w:sz w:val="14"/>
          <w:szCs w:val="14"/>
          <w:color w:val="auto"/>
        </w:rPr>
        <w:t xml:space="preserve">Notwithstanding any other provisions of this </w:t>
      </w:r>
      <w:r>
        <w:rPr>
          <w:rFonts w:ascii="Times New Roman" w:cs="Times New Roman" w:eastAsia="Times New Roman" w:hAnsi="Times New Roman"/>
          <w:sz w:val="14"/>
          <w:szCs w:val="14"/>
          <w:u w:val="single" w:color="auto"/>
          <w:color w:val="auto"/>
        </w:rPr>
        <w:t>Article IV</w:t>
      </w:r>
      <w:r>
        <w:rPr>
          <w:rFonts w:ascii="Times New Roman" w:cs="Times New Roman" w:eastAsia="Times New Roman" w:hAnsi="Times New Roman"/>
          <w:sz w:val="14"/>
          <w:szCs w:val="14"/>
          <w:color w:val="auto"/>
        </w:rPr>
        <w:t xml:space="preserve">, such defeasance or covenant defeasance shall be effected in compliance with any additional or substitute terms, conditions and limitations which may be imposed by the Company in connection therewith pursuant to </w:t>
      </w:r>
      <w:r>
        <w:rPr>
          <w:rFonts w:ascii="Times New Roman" w:cs="Times New Roman" w:eastAsia="Times New Roman" w:hAnsi="Times New Roman"/>
          <w:sz w:val="14"/>
          <w:szCs w:val="14"/>
          <w:u w:val="single" w:color="auto"/>
          <w:color w:val="auto"/>
        </w:rPr>
        <w:t>Section 3.01</w:t>
      </w:r>
      <w:r>
        <w:rPr>
          <w:rFonts w:ascii="Times New Roman" w:cs="Times New Roman" w:eastAsia="Times New Roman" w:hAnsi="Times New Roman"/>
          <w:sz w:val="14"/>
          <w:szCs w:val="14"/>
          <w:color w:val="auto"/>
        </w:rPr>
        <w:t>.</w:t>
      </w:r>
    </w:p>
    <w:p>
      <w:pPr>
        <w:spacing w:after="0" w:line="123" w:lineRule="exact"/>
        <w:rPr>
          <w:sz w:val="20"/>
          <w:szCs w:val="20"/>
          <w:color w:val="auto"/>
        </w:rPr>
      </w:pPr>
    </w:p>
    <w:p>
      <w:pPr>
        <w:ind w:left="120" w:right="839"/>
        <w:spacing w:after="0" w:line="292" w:lineRule="auto"/>
        <w:rPr>
          <w:sz w:val="20"/>
          <w:szCs w:val="20"/>
          <w:color w:val="auto"/>
        </w:rPr>
      </w:pPr>
      <w:r>
        <w:rPr>
          <w:rFonts w:ascii="Times New Roman" w:cs="Times New Roman" w:eastAsia="Times New Roman" w:hAnsi="Times New Roman"/>
          <w:sz w:val="14"/>
          <w:szCs w:val="14"/>
          <w:color w:val="auto"/>
        </w:rPr>
        <w:t xml:space="preserve">Section 4.05 </w:t>
      </w:r>
      <w:r>
        <w:rPr>
          <w:rFonts w:ascii="Times New Roman" w:cs="Times New Roman" w:eastAsia="Times New Roman" w:hAnsi="Times New Roman"/>
          <w:sz w:val="14"/>
          <w:szCs w:val="14"/>
          <w:u w:val="single" w:color="auto"/>
          <w:color w:val="auto"/>
        </w:rPr>
        <w:t>DEPOSITED MONEY AND U.S. GOVERNMENT OBLIGATIONS TO BE HELD IN TRUST; OTHER MISCELLANEOUS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PROVISIONS.</w:t>
      </w:r>
    </w:p>
    <w:p>
      <w:pPr>
        <w:spacing w:after="0" w:line="123" w:lineRule="exact"/>
        <w:rPr>
          <w:sz w:val="20"/>
          <w:szCs w:val="20"/>
          <w:color w:val="auto"/>
        </w:rPr>
      </w:pPr>
    </w:p>
    <w:p>
      <w:pPr>
        <w:ind w:left="120" w:right="159" w:firstLine="350"/>
        <w:spacing w:after="0" w:line="263" w:lineRule="auto"/>
        <w:rPr>
          <w:sz w:val="20"/>
          <w:szCs w:val="20"/>
          <w:color w:val="auto"/>
        </w:rPr>
      </w:pPr>
      <w:r>
        <w:rPr>
          <w:rFonts w:ascii="Times New Roman" w:cs="Times New Roman" w:eastAsia="Times New Roman" w:hAnsi="Times New Roman"/>
          <w:sz w:val="14"/>
          <w:szCs w:val="14"/>
          <w:color w:val="auto"/>
        </w:rPr>
        <w:t xml:space="preserve">Subject to the provisions of the last paragraph of </w:t>
      </w:r>
      <w:r>
        <w:rPr>
          <w:rFonts w:ascii="Times New Roman" w:cs="Times New Roman" w:eastAsia="Times New Roman" w:hAnsi="Times New Roman"/>
          <w:sz w:val="14"/>
          <w:szCs w:val="14"/>
          <w:u w:val="single" w:color="auto"/>
          <w:color w:val="auto"/>
        </w:rPr>
        <w:t>Section 10.03</w:t>
      </w:r>
      <w:r>
        <w:rPr>
          <w:rFonts w:ascii="Times New Roman" w:cs="Times New Roman" w:eastAsia="Times New Roman" w:hAnsi="Times New Roman"/>
          <w:sz w:val="14"/>
          <w:szCs w:val="14"/>
          <w:color w:val="auto"/>
        </w:rPr>
        <w:t xml:space="preserve">, all United States dollars and U.S. Government Obligations (including the proceeds thereof) deposited with the Trustee pursuant to </w:t>
      </w:r>
      <w:r>
        <w:rPr>
          <w:rFonts w:ascii="Times New Roman" w:cs="Times New Roman" w:eastAsia="Times New Roman" w:hAnsi="Times New Roman"/>
          <w:sz w:val="14"/>
          <w:szCs w:val="14"/>
          <w:u w:val="single" w:color="auto"/>
          <w:color w:val="auto"/>
        </w:rPr>
        <w:t>Section 4.04</w:t>
      </w:r>
      <w:r>
        <w:rPr>
          <w:rFonts w:ascii="Times New Roman" w:cs="Times New Roman" w:eastAsia="Times New Roman" w:hAnsi="Times New Roman"/>
          <w:sz w:val="14"/>
          <w:szCs w:val="14"/>
          <w:color w:val="auto"/>
        </w:rPr>
        <w:t xml:space="preserve"> in respect of the Defeased Securities of any series shall be held in trust and applied by the Trustee, in accordance with the provisions of such series of Securities and this Indenture, to the payment, either directly or through any Paying Agent (excluding the Company or any of its Affiliates acting as Paying Agent), as the Trustee may determine, to the Holders of such series of Securities of all sums due and to become due thereon in respect of principal, premium, if any, and interest, but such money need not be segregated from other funds except to the extent required by law.</w:t>
      </w:r>
    </w:p>
    <w:p>
      <w:pPr>
        <w:spacing w:after="0" w:line="143" w:lineRule="exact"/>
        <w:rPr>
          <w:sz w:val="20"/>
          <w:szCs w:val="20"/>
          <w:color w:val="auto"/>
        </w:rPr>
      </w:pPr>
    </w:p>
    <w:p>
      <w:pPr>
        <w:ind w:left="120" w:right="179" w:firstLine="350"/>
        <w:spacing w:after="0" w:line="268" w:lineRule="auto"/>
        <w:rPr>
          <w:sz w:val="20"/>
          <w:szCs w:val="20"/>
          <w:color w:val="auto"/>
        </w:rPr>
      </w:pPr>
      <w:r>
        <w:rPr>
          <w:rFonts w:ascii="Times New Roman" w:cs="Times New Roman" w:eastAsia="Times New Roman" w:hAnsi="Times New Roman"/>
          <w:sz w:val="14"/>
          <w:szCs w:val="14"/>
          <w:color w:val="auto"/>
        </w:rPr>
        <w:t xml:space="preserve">Unless otherwise specified with respect to any Security pursuant to </w:t>
      </w:r>
      <w:r>
        <w:rPr>
          <w:rFonts w:ascii="Times New Roman" w:cs="Times New Roman" w:eastAsia="Times New Roman" w:hAnsi="Times New Roman"/>
          <w:sz w:val="14"/>
          <w:szCs w:val="14"/>
          <w:u w:val="single" w:color="auto"/>
          <w:color w:val="auto"/>
        </w:rPr>
        <w:t>Section 3.01</w:t>
      </w:r>
      <w:r>
        <w:rPr>
          <w:rFonts w:ascii="Times New Roman" w:cs="Times New Roman" w:eastAsia="Times New Roman" w:hAnsi="Times New Roman"/>
          <w:sz w:val="14"/>
          <w:szCs w:val="14"/>
          <w:color w:val="auto"/>
        </w:rPr>
        <w:t xml:space="preserve">, the Company shall pay and indemnify the Trustee against any tax, fee or other charge imposed on or assessed against the U.S. Government Obligations deposited pursuant to </w:t>
      </w:r>
      <w:r>
        <w:rPr>
          <w:rFonts w:ascii="Times New Roman" w:cs="Times New Roman" w:eastAsia="Times New Roman" w:hAnsi="Times New Roman"/>
          <w:sz w:val="14"/>
          <w:szCs w:val="14"/>
          <w:u w:val="single" w:color="auto"/>
          <w:color w:val="auto"/>
        </w:rPr>
        <w:t>Section 4.04</w:t>
      </w:r>
      <w:r>
        <w:rPr>
          <w:rFonts w:ascii="Times New Roman" w:cs="Times New Roman" w:eastAsia="Times New Roman" w:hAnsi="Times New Roman"/>
          <w:sz w:val="14"/>
          <w:szCs w:val="14"/>
          <w:color w:val="auto"/>
        </w:rPr>
        <w:t xml:space="preserve"> or the principal and interest received in respect thereof other than any such tax, fee or other charge which by law is imposed, assessed or for the account of the Holders of the Defeased Securities.</w:t>
      </w:r>
    </w:p>
    <w:p>
      <w:pPr>
        <w:spacing w:after="0" w:line="139" w:lineRule="exact"/>
        <w:rPr>
          <w:sz w:val="20"/>
          <w:szCs w:val="20"/>
          <w:color w:val="auto"/>
        </w:rPr>
      </w:pPr>
    </w:p>
    <w:p>
      <w:pPr>
        <w:ind w:left="120" w:right="419" w:firstLine="350"/>
        <w:spacing w:after="0" w:line="268" w:lineRule="auto"/>
        <w:rPr>
          <w:sz w:val="20"/>
          <w:szCs w:val="20"/>
          <w:color w:val="auto"/>
        </w:rPr>
      </w:pPr>
      <w:r>
        <w:rPr>
          <w:rFonts w:ascii="Times New Roman" w:cs="Times New Roman" w:eastAsia="Times New Roman" w:hAnsi="Times New Roman"/>
          <w:sz w:val="14"/>
          <w:szCs w:val="14"/>
          <w:color w:val="auto"/>
        </w:rPr>
        <w:t xml:space="preserve">Anything in this </w:t>
      </w:r>
      <w:r>
        <w:rPr>
          <w:rFonts w:ascii="Times New Roman" w:cs="Times New Roman" w:eastAsia="Times New Roman" w:hAnsi="Times New Roman"/>
          <w:sz w:val="14"/>
          <w:szCs w:val="14"/>
          <w:u w:val="single" w:color="auto"/>
          <w:color w:val="auto"/>
        </w:rPr>
        <w:t>Article IV</w:t>
      </w:r>
      <w:r>
        <w:rPr>
          <w:rFonts w:ascii="Times New Roman" w:cs="Times New Roman" w:eastAsia="Times New Roman" w:hAnsi="Times New Roman"/>
          <w:sz w:val="14"/>
          <w:szCs w:val="14"/>
          <w:color w:val="auto"/>
        </w:rPr>
        <w:t xml:space="preserve"> to the contrary notwithstanding, the Trustee shall deliver or pay to the Company from time to time upon Company Request any United States dollars or U.S. Government Obligations held by it as provided in </w:t>
      </w:r>
      <w:r>
        <w:rPr>
          <w:rFonts w:ascii="Times New Roman" w:cs="Times New Roman" w:eastAsia="Times New Roman" w:hAnsi="Times New Roman"/>
          <w:sz w:val="14"/>
          <w:szCs w:val="14"/>
          <w:u w:val="single" w:color="auto"/>
          <w:color w:val="auto"/>
        </w:rPr>
        <w:t>Section 4.04</w:t>
      </w:r>
      <w:r>
        <w:rPr>
          <w:rFonts w:ascii="Times New Roman" w:cs="Times New Roman" w:eastAsia="Times New Roman" w:hAnsi="Times New Roman"/>
          <w:sz w:val="14"/>
          <w:szCs w:val="14"/>
          <w:color w:val="auto"/>
        </w:rPr>
        <w:t xml:space="preserve"> which, in the opinion of a nationally recognized firm of independent public accountants expressed in a written certification thereof delivered to the Trustee, are in excess of the amount thereof which would then be required to be deposited to effect defeasance or covenant defeasance.</w:t>
      </w:r>
    </w:p>
    <w:p>
      <w:pPr>
        <w:spacing w:after="0" w:line="1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4.06 </w:t>
      </w:r>
      <w:r>
        <w:rPr>
          <w:rFonts w:ascii="Times New Roman" w:cs="Times New Roman" w:eastAsia="Times New Roman" w:hAnsi="Times New Roman"/>
          <w:sz w:val="14"/>
          <w:szCs w:val="14"/>
          <w:u w:val="single" w:color="auto"/>
          <w:color w:val="auto"/>
        </w:rPr>
        <w:t>REINSTATEMENT.</w:t>
      </w:r>
    </w:p>
    <w:p>
      <w:pPr>
        <w:spacing w:after="0" w:line="1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 xml:space="preserve">If the Trustee or Paying Agent is unable to apply any United States dollars or U.S. Government Obligations in accordance with </w:t>
      </w:r>
      <w:r>
        <w:rPr>
          <w:rFonts w:ascii="Times New Roman" w:cs="Times New Roman" w:eastAsia="Times New Roman" w:hAnsi="Times New Roman"/>
          <w:sz w:val="14"/>
          <w:szCs w:val="14"/>
          <w:u w:val="single" w:color="auto"/>
          <w:color w:val="auto"/>
        </w:rPr>
        <w:t>Section 4.02</w:t>
      </w:r>
      <w:r>
        <w:rPr>
          <w:rFonts w:ascii="Times New Roman" w:cs="Times New Roman" w:eastAsia="Times New Roman" w:hAnsi="Times New Roman"/>
          <w:sz w:val="14"/>
          <w:szCs w:val="14"/>
          <w:color w:val="auto"/>
        </w:rPr>
        <w:t xml:space="preserve"> or</w:t>
      </w:r>
    </w:p>
    <w:p>
      <w:pPr>
        <w:spacing w:after="0" w:line="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u w:val="single" w:color="auto"/>
          <w:color w:val="auto"/>
        </w:rPr>
        <w:t>4.03</w:t>
      </w:r>
      <w:r>
        <w:rPr>
          <w:rFonts w:ascii="Times New Roman" w:cs="Times New Roman" w:eastAsia="Times New Roman" w:hAnsi="Times New Roman"/>
          <w:sz w:val="14"/>
          <w:szCs w:val="14"/>
          <w:color w:val="auto"/>
        </w:rPr>
        <w:t>, as the case may be, by reason of any order or judgment of any court or governmental authority enjoining, restraining or otherwise prohibiting such</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application, then the Company’s obligations under this Indenture and the applicable series of Securities shall be revived and reinstated, with present and</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prospective effect, as though no deposit had occurred pursuant to </w:t>
      </w:r>
      <w:r>
        <w:rPr>
          <w:rFonts w:ascii="Times New Roman" w:cs="Times New Roman" w:eastAsia="Times New Roman" w:hAnsi="Times New Roman"/>
          <w:sz w:val="14"/>
          <w:szCs w:val="14"/>
          <w:u w:val="single" w:color="auto"/>
          <w:color w:val="auto"/>
        </w:rPr>
        <w:t>Section 4.02</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4.03</w:t>
      </w:r>
      <w:r>
        <w:rPr>
          <w:rFonts w:ascii="Times New Roman" w:cs="Times New Roman" w:eastAsia="Times New Roman" w:hAnsi="Times New Roman"/>
          <w:sz w:val="14"/>
          <w:szCs w:val="14"/>
          <w:color w:val="auto"/>
        </w:rPr>
        <w:t>, as the case may be, until such time as the Trustee or Paying</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Agent is permitted to apply all such United States dollars or U.S. Government Obligations in accordance with </w:t>
      </w:r>
      <w:r>
        <w:rPr>
          <w:rFonts w:ascii="Times New Roman" w:cs="Times New Roman" w:eastAsia="Times New Roman" w:hAnsi="Times New Roman"/>
          <w:sz w:val="14"/>
          <w:szCs w:val="14"/>
          <w:u w:val="single" w:color="auto"/>
          <w:color w:val="auto"/>
        </w:rPr>
        <w:t>Section 4.02</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4.03</w:t>
      </w:r>
      <w:r>
        <w:rPr>
          <w:rFonts w:ascii="Times New Roman" w:cs="Times New Roman" w:eastAsia="Times New Roman" w:hAnsi="Times New Roman"/>
          <w:sz w:val="14"/>
          <w:szCs w:val="14"/>
          <w:color w:val="auto"/>
        </w:rPr>
        <w:t>, as the case may be;</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provided, however, that if the Company makes any payment to the Trustee or Paying Agent of principal of, premium, if any, or interest on any Security</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of such series following the reinstatement of its obligations, the Trustee or Paying Agent shall promptly pay any such amount to the Holders of the</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Securities of such series and the Company shall be subrogated to the rights of the Holders of such series of Securities to receive such payment from the</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United States dollars and U.S. Government Obligations held by the Trustee or Paying Agent pursuant to </w:t>
      </w:r>
      <w:r>
        <w:rPr>
          <w:rFonts w:ascii="Times New Roman" w:cs="Times New Roman" w:eastAsia="Times New Roman" w:hAnsi="Times New Roman"/>
          <w:sz w:val="14"/>
          <w:szCs w:val="14"/>
          <w:u w:val="single" w:color="auto"/>
          <w:color w:val="auto"/>
        </w:rPr>
        <w:t>Section 4.02</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4.03</w:t>
      </w:r>
      <w:r>
        <w:rPr>
          <w:rFonts w:ascii="Times New Roman" w:cs="Times New Roman" w:eastAsia="Times New Roman" w:hAnsi="Times New Roman"/>
          <w:sz w:val="14"/>
          <w:szCs w:val="14"/>
          <w:color w:val="auto"/>
        </w:rPr>
        <w:t>.</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9019"/>
          </w:cols>
          <w:pgMar w:left="1440" w:top="243" w:right="1440" w:bottom="1440" w:gutter="0" w:footer="0" w:header="0"/>
        </w:sectPr>
      </w:pPr>
    </w:p>
    <w:bookmarkStart w:id="147" w:name="page148"/>
    <w:bookmarkEnd w:id="147"/>
    <w:p>
      <w:pPr>
        <w:ind w:left="41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2">
                      <a:extLst>
                        <a:ext uri="{28A0092B-C50C-407E-A947-70E740481C1C}"/>
                      </a:extLst>
                    </a:blip>
                    <a:srcRect/>
                    <a:stretch>
                      <a:fillRect/>
                    </a:stretch>
                  </pic:blipFill>
                  <pic:spPr bwMode="auto">
                    <a:xfrm>
                      <a:off x="0" y="0"/>
                      <a:ext cx="7199630" cy="33020"/>
                    </a:xfrm>
                    <a:prstGeom prst="rect">
                      <a:avLst/>
                    </a:prstGeom>
                    <a:noFill/>
                  </pic:spPr>
                </pic:pic>
              </a:graphicData>
            </a:graphic>
          </wp:anchor>
        </w:drawing>
        <w:t>ARTICLE V</w:t>
      </w:r>
    </w:p>
    <w:p>
      <w:pPr>
        <w:spacing w:after="0" w:line="9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4"/>
          <w:szCs w:val="14"/>
          <w:b w:val="1"/>
          <w:bCs w:val="1"/>
          <w:color w:val="auto"/>
        </w:rPr>
        <w:t>REMEDIES</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5.01 </w:t>
      </w:r>
      <w:r>
        <w:rPr>
          <w:rFonts w:ascii="Times New Roman" w:cs="Times New Roman" w:eastAsia="Times New Roman" w:hAnsi="Times New Roman"/>
          <w:sz w:val="14"/>
          <w:szCs w:val="14"/>
          <w:u w:val="single" w:color="auto"/>
          <w:color w:val="auto"/>
        </w:rPr>
        <w:t>EVENTS OF DEFAULT.</w:t>
      </w:r>
    </w:p>
    <w:p>
      <w:pPr>
        <w:spacing w:after="0" w:line="182" w:lineRule="exact"/>
        <w:rPr>
          <w:sz w:val="20"/>
          <w:szCs w:val="20"/>
          <w:color w:val="auto"/>
        </w:rPr>
      </w:pPr>
    </w:p>
    <w:p>
      <w:pPr>
        <w:ind w:left="120" w:right="319" w:firstLine="350"/>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Event of Default</w:t>
      </w:r>
      <w:r>
        <w:rPr>
          <w:rFonts w:ascii="Times New Roman" w:cs="Times New Roman" w:eastAsia="Times New Roman" w:hAnsi="Times New Roman"/>
          <w:sz w:val="14"/>
          <w:szCs w:val="14"/>
          <w:color w:val="auto"/>
        </w:rPr>
        <w:t xml:space="preserve">,” wherever used herein, means any one of the following events (whatever the reason for such Event of Default and whether it shall be voluntary or involuntary or be effected by operation of law or pursuant to any judgment, decree or order of any court or any order, rule or regulation of any administrative or governmental body) with respect to a particular series of Securities except as otherwise specified with respect to a series of Securities in accordance with the provisions of </w:t>
      </w:r>
      <w:r>
        <w:rPr>
          <w:rFonts w:ascii="Times New Roman" w:cs="Times New Roman" w:eastAsia="Times New Roman" w:hAnsi="Times New Roman"/>
          <w:sz w:val="14"/>
          <w:szCs w:val="14"/>
          <w:u w:val="single" w:color="auto"/>
          <w:color w:val="auto"/>
        </w:rPr>
        <w:t>Section 3.01</w:t>
      </w:r>
      <w:r>
        <w:rPr>
          <w:rFonts w:ascii="Times New Roman" w:cs="Times New Roman" w:eastAsia="Times New Roman" w:hAnsi="Times New Roman"/>
          <w:sz w:val="14"/>
          <w:szCs w:val="14"/>
          <w:color w:val="auto"/>
        </w:rPr>
        <w:t>:</w:t>
      </w:r>
    </w:p>
    <w:p>
      <w:pPr>
        <w:spacing w:after="0" w:line="53" w:lineRule="exact"/>
        <w:rPr>
          <w:sz w:val="20"/>
          <w:szCs w:val="20"/>
          <w:color w:val="auto"/>
        </w:rPr>
      </w:pPr>
    </w:p>
    <w:p>
      <w:pPr>
        <w:ind w:left="120" w:right="299" w:firstLine="357"/>
        <w:spacing w:after="0" w:line="292" w:lineRule="auto"/>
        <w:tabs>
          <w:tab w:leader="none" w:pos="664"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shall be a default in the payment of any installment of interest on any of the Securities of such series when it becomes due and payable, and such default shall continue for a period of 30 days;</w:t>
      </w:r>
    </w:p>
    <w:p>
      <w:pPr>
        <w:spacing w:after="0" w:line="123" w:lineRule="exact"/>
        <w:rPr>
          <w:rFonts w:ascii="Times New Roman" w:cs="Times New Roman" w:eastAsia="Times New Roman" w:hAnsi="Times New Roman"/>
          <w:sz w:val="14"/>
          <w:szCs w:val="14"/>
          <w:color w:val="auto"/>
        </w:rPr>
      </w:pPr>
    </w:p>
    <w:p>
      <w:pPr>
        <w:ind w:left="120" w:right="179" w:firstLine="357"/>
        <w:spacing w:after="0" w:line="292" w:lineRule="auto"/>
        <w:tabs>
          <w:tab w:leader="none" w:pos="672"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shall be a default in the payment of the principal of (or premium, if any, on) any of the Securities of such series when it becomes due and payable, whether at Maturity, upon redemption by declaration or otherwise;</w:t>
      </w:r>
    </w:p>
    <w:p>
      <w:pPr>
        <w:spacing w:after="0" w:line="123" w:lineRule="exact"/>
        <w:rPr>
          <w:rFonts w:ascii="Times New Roman" w:cs="Times New Roman" w:eastAsia="Times New Roman" w:hAnsi="Times New Roman"/>
          <w:sz w:val="14"/>
          <w:szCs w:val="14"/>
          <w:color w:val="auto"/>
        </w:rPr>
      </w:pPr>
    </w:p>
    <w:p>
      <w:pPr>
        <w:ind w:left="120" w:right="159" w:firstLine="357"/>
        <w:spacing w:after="0" w:line="266" w:lineRule="auto"/>
        <w:tabs>
          <w:tab w:leader="none" w:pos="664"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there shall be a default in the performance, or breach, of any covenant or agreement of the Company or a Guarantor, if any, applicable to such series of Securities (other than a default in the performance, or breach, of a covenant or agreement which is specifically dealt with in </w:t>
      </w:r>
      <w:r>
        <w:rPr>
          <w:rFonts w:ascii="Times New Roman" w:cs="Times New Roman" w:eastAsia="Times New Roman" w:hAnsi="Times New Roman"/>
          <w:sz w:val="14"/>
          <w:szCs w:val="14"/>
          <w:u w:val="single" w:color="auto"/>
          <w:color w:val="auto"/>
        </w:rPr>
        <w:t>Subsections (a)</w:t>
      </w:r>
      <w:r>
        <w:rPr>
          <w:rFonts w:ascii="Times New Roman" w:cs="Times New Roman" w:eastAsia="Times New Roman" w:hAnsi="Times New Roman"/>
          <w:sz w:val="14"/>
          <w:szCs w:val="14"/>
          <w:color w:val="auto"/>
        </w:rPr>
        <w:t xml:space="preserve"> and</w:t>
      </w:r>
    </w:p>
    <w:p>
      <w:pPr>
        <w:ind w:left="1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(b)</w:t>
      </w:r>
      <w:r>
        <w:rPr>
          <w:rFonts w:ascii="Times New Roman" w:cs="Times New Roman" w:eastAsia="Times New Roman" w:hAnsi="Times New Roman"/>
          <w:sz w:val="14"/>
          <w:szCs w:val="14"/>
          <w:color w:val="auto"/>
        </w:rPr>
        <w:t>) and such default or breach shall continue for a period of 60 consecutive days after written notice to the Company has been given;</w:t>
      </w:r>
    </w:p>
    <w:p>
      <w:pPr>
        <w:spacing w:after="0" w:line="168" w:lineRule="exact"/>
        <w:rPr>
          <w:rFonts w:ascii="Times New Roman" w:cs="Times New Roman" w:eastAsia="Times New Roman" w:hAnsi="Times New Roman"/>
          <w:sz w:val="14"/>
          <w:szCs w:val="14"/>
          <w:color w:val="auto"/>
        </w:rPr>
      </w:pPr>
    </w:p>
    <w:p>
      <w:pPr>
        <w:jc w:val="both"/>
        <w:ind w:left="120" w:right="519" w:firstLine="357"/>
        <w:spacing w:after="0" w:line="274" w:lineRule="auto"/>
        <w:tabs>
          <w:tab w:leader="none" w:pos="672"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permitted by this Indenture or as provided in accordance with the provisions of </w:t>
      </w:r>
      <w:r>
        <w:rPr>
          <w:rFonts w:ascii="Times New Roman" w:cs="Times New Roman" w:eastAsia="Times New Roman" w:hAnsi="Times New Roman"/>
          <w:sz w:val="14"/>
          <w:szCs w:val="14"/>
          <w:u w:val="single" w:color="auto"/>
          <w:color w:val="auto"/>
        </w:rPr>
        <w:t>Section 3.01</w:t>
      </w:r>
      <w:r>
        <w:rPr>
          <w:rFonts w:ascii="Times New Roman" w:cs="Times New Roman" w:eastAsia="Times New Roman" w:hAnsi="Times New Roman"/>
          <w:sz w:val="14"/>
          <w:szCs w:val="14"/>
          <w:color w:val="auto"/>
        </w:rPr>
        <w:t>, any Guarantee of such series of Securities shall be held in any judicial proceeding to be unenforceable or invalid or shall cease for any reason to be in full force and effect or any Guarantor, or any Person acting on behalf of any Guarantor, shall deny or disaffirm its obligations under its Guarantee of such series of Securities;</w:t>
      </w:r>
    </w:p>
    <w:p>
      <w:pPr>
        <w:spacing w:after="0" w:line="135" w:lineRule="exact"/>
        <w:rPr>
          <w:rFonts w:ascii="Times New Roman" w:cs="Times New Roman" w:eastAsia="Times New Roman" w:hAnsi="Times New Roman"/>
          <w:sz w:val="14"/>
          <w:szCs w:val="14"/>
          <w:color w:val="auto"/>
        </w:rPr>
      </w:pPr>
    </w:p>
    <w:p>
      <w:pPr>
        <w:ind w:left="120" w:right="299" w:firstLine="357"/>
        <w:spacing w:after="0" w:line="292" w:lineRule="auto"/>
        <w:tabs>
          <w:tab w:leader="none" w:pos="664"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or any Restricted Subsidiary that is a Significant Subsidiary or any group of Restricted Subsidiaries that, taken together, would constitute a Significant Subsidiary, pursuant to or within the meaning of Bankruptcy Law:</w:t>
      </w:r>
    </w:p>
    <w:p>
      <w:pPr>
        <w:spacing w:after="0" w:line="37" w:lineRule="exact"/>
        <w:rPr>
          <w:sz w:val="20"/>
          <w:szCs w:val="20"/>
          <w:color w:val="auto"/>
        </w:rPr>
      </w:pPr>
    </w:p>
    <w:p>
      <w:pPr>
        <w:ind w:left="640" w:hanging="163"/>
        <w:spacing w:after="0"/>
        <w:tabs>
          <w:tab w:leader="none" w:pos="6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commences a voluntary case,</w:t>
      </w:r>
    </w:p>
    <w:p>
      <w:pPr>
        <w:spacing w:after="0" w:line="182" w:lineRule="exact"/>
        <w:rPr>
          <w:rFonts w:ascii="Times New Roman" w:cs="Times New Roman" w:eastAsia="Times New Roman" w:hAnsi="Times New Roman"/>
          <w:sz w:val="14"/>
          <w:szCs w:val="14"/>
          <w:color w:val="auto"/>
        </w:rPr>
      </w:pPr>
    </w:p>
    <w:p>
      <w:pPr>
        <w:ind w:left="680" w:hanging="203"/>
        <w:spacing w:after="0"/>
        <w:tabs>
          <w:tab w:leader="none" w:pos="68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consents to the entry of an order for relief against it in an involuntary case,</w:t>
      </w:r>
    </w:p>
    <w:p>
      <w:pPr>
        <w:spacing w:after="0" w:line="182" w:lineRule="exact"/>
        <w:rPr>
          <w:rFonts w:ascii="Times New Roman" w:cs="Times New Roman" w:eastAsia="Times New Roman" w:hAnsi="Times New Roman"/>
          <w:sz w:val="14"/>
          <w:szCs w:val="14"/>
          <w:color w:val="auto"/>
        </w:rPr>
      </w:pPr>
    </w:p>
    <w:p>
      <w:pPr>
        <w:ind w:left="720" w:hanging="243"/>
        <w:spacing w:after="0"/>
        <w:tabs>
          <w:tab w:leader="none" w:pos="72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makes a general assignment for the benefit of its creditors, or</w:t>
      </w:r>
    </w:p>
    <w:p>
      <w:pPr>
        <w:spacing w:after="0" w:line="182" w:lineRule="exact"/>
        <w:rPr>
          <w:rFonts w:ascii="Times New Roman" w:cs="Times New Roman" w:eastAsia="Times New Roman" w:hAnsi="Times New Roman"/>
          <w:sz w:val="14"/>
          <w:szCs w:val="14"/>
          <w:color w:val="auto"/>
        </w:rPr>
      </w:pPr>
    </w:p>
    <w:p>
      <w:pPr>
        <w:ind w:left="720" w:hanging="243"/>
        <w:spacing w:after="0"/>
        <w:tabs>
          <w:tab w:leader="none" w:pos="72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generally is not paying its debts as they become due; and</w:t>
      </w:r>
    </w:p>
    <w:p>
      <w:pPr>
        <w:spacing w:after="0" w:line="1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(f) a court of competent jurisdiction enters an order or decree under any Bankruptcy Law that:</w:t>
      </w:r>
    </w:p>
    <w:p>
      <w:pPr>
        <w:spacing w:after="0" w:line="182" w:lineRule="exact"/>
        <w:rPr>
          <w:sz w:val="20"/>
          <w:szCs w:val="20"/>
          <w:color w:val="auto"/>
        </w:rPr>
      </w:pPr>
    </w:p>
    <w:p>
      <w:pPr>
        <w:ind w:left="120" w:right="139" w:firstLine="357"/>
        <w:spacing w:after="0" w:line="292" w:lineRule="auto"/>
        <w:tabs>
          <w:tab w:leader="none" w:pos="641"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for relief against the Company or any Restricted Subsidiary that is a Significant Subsidiary or any group of Restricted Subsidiaries that, taken together, would constitute a Significant Subsidiary, in an involuntary case; or</w:t>
      </w:r>
    </w:p>
    <w:p>
      <w:pPr>
        <w:spacing w:after="0" w:line="123" w:lineRule="exact"/>
        <w:rPr>
          <w:rFonts w:ascii="Times New Roman" w:cs="Times New Roman" w:eastAsia="Times New Roman" w:hAnsi="Times New Roman"/>
          <w:sz w:val="14"/>
          <w:szCs w:val="14"/>
          <w:color w:val="auto"/>
        </w:rPr>
      </w:pPr>
    </w:p>
    <w:p>
      <w:pPr>
        <w:ind w:left="120" w:right="139" w:firstLine="357"/>
        <w:spacing w:after="0" w:line="274" w:lineRule="auto"/>
        <w:tabs>
          <w:tab w:leader="none" w:pos="68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appoints a custodian of the Company or any Restricted Subsidiary that is a Significant Subsidiary or any group of Restricted Subsidiaries that, taken together, would constitute a Significant Subsidiary or for all or substantially all of the property of the Company or any Restricted Subsidiary that is a Significant Subsidiary or any group of Restricted Subsidiaries that, taken together, would constitute a Significant Subsidiary, or</w:t>
      </w:r>
    </w:p>
    <w:p>
      <w:pPr>
        <w:spacing w:after="0" w:line="135" w:lineRule="exact"/>
        <w:rPr>
          <w:rFonts w:ascii="Times New Roman" w:cs="Times New Roman" w:eastAsia="Times New Roman" w:hAnsi="Times New Roman"/>
          <w:sz w:val="14"/>
          <w:szCs w:val="14"/>
          <w:color w:val="auto"/>
        </w:rPr>
      </w:pPr>
    </w:p>
    <w:p>
      <w:pPr>
        <w:ind w:left="120" w:right="379" w:firstLine="357"/>
        <w:spacing w:after="0" w:line="292" w:lineRule="auto"/>
        <w:tabs>
          <w:tab w:leader="none" w:pos="72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orders the liquidation of the Company or any Restricted Subsidiary that is a Significant Subsidiary or any group of Restricted Subsidiaries that, taken together, would constitute a Significant Subsidiary.</w:t>
      </w:r>
    </w:p>
    <w:p>
      <w:pPr>
        <w:spacing w:after="0" w:line="123" w:lineRule="exact"/>
        <w:rPr>
          <w:sz w:val="20"/>
          <w:szCs w:val="20"/>
          <w:color w:val="auto"/>
        </w:rPr>
      </w:pPr>
    </w:p>
    <w:p>
      <w:pPr>
        <w:ind w:left="120" w:right="3879" w:firstLine="357"/>
        <w:spacing w:after="0" w:line="511" w:lineRule="auto"/>
        <w:tabs>
          <w:tab w:leader="none" w:pos="672"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other Event of Default provided with respect to Securities of that series. Section 5.02 </w:t>
      </w:r>
      <w:r>
        <w:rPr>
          <w:rFonts w:ascii="Times New Roman" w:cs="Times New Roman" w:eastAsia="Times New Roman" w:hAnsi="Times New Roman"/>
          <w:sz w:val="14"/>
          <w:szCs w:val="14"/>
          <w:u w:val="single" w:color="auto"/>
          <w:color w:val="auto"/>
        </w:rPr>
        <w:t>ACCELERATION OF MATURITY; RESCISSION AND ANNULMENT.</w:t>
      </w:r>
    </w:p>
    <w:p>
      <w:pPr>
        <w:spacing w:after="0" w:line="1" w:lineRule="exact"/>
        <w:rPr>
          <w:sz w:val="20"/>
          <w:szCs w:val="20"/>
          <w:color w:val="auto"/>
        </w:rPr>
      </w:pPr>
    </w:p>
    <w:p>
      <w:pPr>
        <w:ind w:left="120" w:right="179" w:firstLine="350"/>
        <w:spacing w:after="0" w:line="259" w:lineRule="auto"/>
        <w:rPr>
          <w:sz w:val="20"/>
          <w:szCs w:val="20"/>
          <w:color w:val="auto"/>
        </w:rPr>
      </w:pPr>
      <w:r>
        <w:rPr>
          <w:rFonts w:ascii="Times New Roman" w:cs="Times New Roman" w:eastAsia="Times New Roman" w:hAnsi="Times New Roman"/>
          <w:sz w:val="14"/>
          <w:szCs w:val="14"/>
          <w:color w:val="auto"/>
        </w:rPr>
        <w:t xml:space="preserve">If an Event of Default (other than an Event of Default specified in </w:t>
      </w:r>
      <w:r>
        <w:rPr>
          <w:rFonts w:ascii="Times New Roman" w:cs="Times New Roman" w:eastAsia="Times New Roman" w:hAnsi="Times New Roman"/>
          <w:sz w:val="14"/>
          <w:szCs w:val="14"/>
          <w:u w:val="single" w:color="auto"/>
          <w:color w:val="auto"/>
        </w:rPr>
        <w:t>Section 5.01(e)</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5.01(f)</w:t>
      </w:r>
      <w:r>
        <w:rPr>
          <w:rFonts w:ascii="Times New Roman" w:cs="Times New Roman" w:eastAsia="Times New Roman" w:hAnsi="Times New Roman"/>
          <w:sz w:val="14"/>
          <w:szCs w:val="14"/>
          <w:color w:val="auto"/>
        </w:rPr>
        <w:t xml:space="preserve">) with respect to Securities of any series at the time Outstanding, shall occur and be continuing, unless the principal and interest with respect to all of the Securities of such series shall have already become due and payable, the Trustee or the Holders of at least 25% in aggregate principal amount of the Securities of that series (with each affected series voting as a separate class) then Outstanding may, and the Trustee at the request of such Holders shall, declare all unpaid principal of and accrued interest on all Securities of that series affected thereby to be due and payable immediately, by a notice in writing to the Company (and to the Trustee if given by the Holders of the Securities) and upon any such declaration, such principal and interest shall become due and payable immediately. If an Event of Default specified in </w:t>
      </w:r>
      <w:r>
        <w:rPr>
          <w:rFonts w:ascii="Times New Roman" w:cs="Times New Roman" w:eastAsia="Times New Roman" w:hAnsi="Times New Roman"/>
          <w:sz w:val="14"/>
          <w:szCs w:val="14"/>
          <w:u w:val="single" w:color="auto"/>
          <w:color w:val="auto"/>
        </w:rPr>
        <w:t>Subsection (e)</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Subsection (f)</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Section 5.01</w:t>
      </w:r>
      <w:r>
        <w:rPr>
          <w:rFonts w:ascii="Times New Roman" w:cs="Times New Roman" w:eastAsia="Times New Roman" w:hAnsi="Times New Roman"/>
          <w:sz w:val="14"/>
          <w:szCs w:val="14"/>
          <w:color w:val="auto"/>
        </w:rPr>
        <w:t xml:space="preserve"> occurs, unless the principal and interest with respect to the Securities shall have already become due and payable, then the Securities of all series shall ipso facto become and be due and payable immediately in an amount equal to the principal amount of the Securities, together with accrued and unpaid interest, if any, to the date the Securities become due and payable, without any declaration or other act on the part of the Trustee or any Holder. Thereupon, the Trustee may, at its discretion, proceed to protect and enforce the rights of the Holders of the Securities by appropriate judicial proceedings.</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9019"/>
          </w:cols>
          <w:pgMar w:left="1440" w:top="241" w:right="1440" w:bottom="1440" w:gutter="0" w:footer="0" w:header="0"/>
        </w:sectPr>
      </w:pPr>
    </w:p>
    <w:bookmarkStart w:id="148" w:name="page149"/>
    <w:bookmarkEnd w:id="148"/>
    <w:p>
      <w:pPr>
        <w:ind w:left="1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3">
                      <a:extLst>
                        <a:ext uri="{28A0092B-C50C-407E-A947-70E740481C1C}"/>
                      </a:extLst>
                    </a:blip>
                    <a:srcRect/>
                    <a:stretch>
                      <a:fillRect/>
                    </a:stretch>
                  </pic:blipFill>
                  <pic:spPr bwMode="auto">
                    <a:xfrm>
                      <a:off x="0" y="0"/>
                      <a:ext cx="7199630" cy="33020"/>
                    </a:xfrm>
                    <a:prstGeom prst="rect">
                      <a:avLst/>
                    </a:prstGeom>
                    <a:noFill/>
                  </pic:spPr>
                </pic:pic>
              </a:graphicData>
            </a:graphic>
          </wp:anchor>
        </w:drawing>
        <w:t xml:space="preserve">Section 5.03 </w:t>
      </w:r>
      <w:r>
        <w:rPr>
          <w:rFonts w:ascii="Times New Roman" w:cs="Times New Roman" w:eastAsia="Times New Roman" w:hAnsi="Times New Roman"/>
          <w:sz w:val="14"/>
          <w:szCs w:val="14"/>
          <w:u w:val="single" w:color="auto"/>
          <w:color w:val="auto"/>
        </w:rPr>
        <w:t>COLLECTION OF INDEBTEDNESS AND SUITS FOR ENFORCEMENT BY TRUSTEE.</w:t>
      </w:r>
    </w:p>
    <w:p>
      <w:pPr>
        <w:spacing w:after="0" w:line="182" w:lineRule="exact"/>
        <w:rPr>
          <w:sz w:val="20"/>
          <w:szCs w:val="20"/>
          <w:color w:val="auto"/>
        </w:rPr>
      </w:pPr>
    </w:p>
    <w:p>
      <w:pPr>
        <w:ind w:left="120" w:right="179" w:firstLine="350"/>
        <w:spacing w:after="0" w:line="261" w:lineRule="auto"/>
        <w:rPr>
          <w:sz w:val="20"/>
          <w:szCs w:val="20"/>
          <w:color w:val="auto"/>
        </w:rPr>
      </w:pPr>
      <w:r>
        <w:rPr>
          <w:rFonts w:ascii="Times New Roman" w:cs="Times New Roman" w:eastAsia="Times New Roman" w:hAnsi="Times New Roman"/>
          <w:sz w:val="14"/>
          <w:szCs w:val="14"/>
          <w:color w:val="auto"/>
        </w:rPr>
        <w:t xml:space="preserve">If an Event of Default specified in </w:t>
      </w:r>
      <w:r>
        <w:rPr>
          <w:rFonts w:ascii="Times New Roman" w:cs="Times New Roman" w:eastAsia="Times New Roman" w:hAnsi="Times New Roman"/>
          <w:sz w:val="14"/>
          <w:szCs w:val="14"/>
          <w:u w:val="single" w:color="auto"/>
          <w:color w:val="auto"/>
        </w:rPr>
        <w:t>Section 5.01(a)</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5.01(b)</w:t>
      </w:r>
      <w:r>
        <w:rPr>
          <w:rFonts w:ascii="Times New Roman" w:cs="Times New Roman" w:eastAsia="Times New Roman" w:hAnsi="Times New Roman"/>
          <w:sz w:val="14"/>
          <w:szCs w:val="14"/>
          <w:color w:val="auto"/>
        </w:rPr>
        <w:t xml:space="preserve"> with respect to any Securities of a series occurs and is continuing, the Trustee, in its own name and as trustee of an express trust, may institute a judicial proceeding for the collection of the whole amount of principal and interest, remaining unpaid on such series of Securities, with interest upon the overdue principal, if any, and, to the extent that payment of such interest shall be legally enforceable, upon overdue installments of interest, at the rate borne by the Securities of such series; and, in addition thereto, such further amount as shall be sufficient to cover the costs and expenses of collection, including the reasonable compensation, expenses, disbursements and advances of the Trustee, its agents and counsel, and the Trustee may prosecute such proceeding to judgment or final decree, and may enforce the same against the Company or any other obligor upon the Securities of such series and collect the moneys adjudged or decreed to be payable in the manner provided by law out of the property of the Company or any other obligor upon the Securities of such series, wherever situated.</w:t>
      </w:r>
    </w:p>
    <w:p>
      <w:pPr>
        <w:spacing w:after="0" w:line="144" w:lineRule="exact"/>
        <w:rPr>
          <w:sz w:val="20"/>
          <w:szCs w:val="20"/>
          <w:color w:val="auto"/>
        </w:rPr>
      </w:pPr>
    </w:p>
    <w:p>
      <w:pPr>
        <w:ind w:left="120" w:right="219" w:firstLine="350"/>
        <w:spacing w:after="0" w:line="265" w:lineRule="auto"/>
        <w:rPr>
          <w:sz w:val="20"/>
          <w:szCs w:val="20"/>
          <w:color w:val="auto"/>
        </w:rPr>
      </w:pPr>
      <w:r>
        <w:rPr>
          <w:rFonts w:ascii="Times New Roman" w:cs="Times New Roman" w:eastAsia="Times New Roman" w:hAnsi="Times New Roman"/>
          <w:sz w:val="14"/>
          <w:szCs w:val="14"/>
          <w:color w:val="auto"/>
        </w:rPr>
        <w:t xml:space="preserve">If an Event of Default occurs and is continuing, the Trustee may in its discretion proceed to protect and enforce its rights and the rights of the Holders under this Indenture by such appropriate private or judicial proceedings as the Trustee shall deem most effectual to protect and enforce such rights, whether for the specific enforcement of any covenant or agreement in this Indenture or in aid of the exercise of any power granted herein, or to enforce any other proper remedy, subject however to </w:t>
      </w:r>
      <w:r>
        <w:rPr>
          <w:rFonts w:ascii="Times New Roman" w:cs="Times New Roman" w:eastAsia="Times New Roman" w:hAnsi="Times New Roman"/>
          <w:sz w:val="14"/>
          <w:szCs w:val="14"/>
          <w:u w:val="single" w:color="auto"/>
          <w:color w:val="auto"/>
        </w:rPr>
        <w:t>Section 5.12</w:t>
      </w:r>
      <w:r>
        <w:rPr>
          <w:rFonts w:ascii="Times New Roman" w:cs="Times New Roman" w:eastAsia="Times New Roman" w:hAnsi="Times New Roman"/>
          <w:sz w:val="14"/>
          <w:szCs w:val="14"/>
          <w:color w:val="auto"/>
        </w:rPr>
        <w:t>. No recovery of any such judgment upon any property of the Company shall affect or impair any rights, powers or remedies of the Trustee or the Holders.</w:t>
      </w:r>
    </w:p>
    <w:p>
      <w:pPr>
        <w:spacing w:after="0" w:line="1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5.04 </w:t>
      </w:r>
      <w:r>
        <w:rPr>
          <w:rFonts w:ascii="Times New Roman" w:cs="Times New Roman" w:eastAsia="Times New Roman" w:hAnsi="Times New Roman"/>
          <w:sz w:val="14"/>
          <w:szCs w:val="14"/>
          <w:u w:val="single" w:color="auto"/>
          <w:color w:val="auto"/>
        </w:rPr>
        <w:t>TRUSTEE MAY FILE PROOFS OF CLAIM.</w:t>
      </w:r>
    </w:p>
    <w:p>
      <w:pPr>
        <w:spacing w:after="0" w:line="182" w:lineRule="exact"/>
        <w:rPr>
          <w:sz w:val="20"/>
          <w:szCs w:val="20"/>
          <w:color w:val="auto"/>
        </w:rPr>
      </w:pPr>
    </w:p>
    <w:p>
      <w:pPr>
        <w:ind w:left="120" w:right="159" w:firstLine="350"/>
        <w:spacing w:after="0" w:line="265" w:lineRule="auto"/>
        <w:rPr>
          <w:sz w:val="20"/>
          <w:szCs w:val="20"/>
          <w:color w:val="auto"/>
        </w:rPr>
      </w:pPr>
      <w:r>
        <w:rPr>
          <w:rFonts w:ascii="Times New Roman" w:cs="Times New Roman" w:eastAsia="Times New Roman" w:hAnsi="Times New Roman"/>
          <w:sz w:val="14"/>
          <w:szCs w:val="14"/>
          <w:color w:val="auto"/>
        </w:rPr>
        <w:t>In case of the pendency of any receivership, insolvency, liquidation, bankruptcy, reorganization, arrangement, adjustment, composition or other judicial proceeding relative to the Company or any other obligor upon the Securities of any series or the property of the Company or of such other obligor or their creditors, the Trustee (irrespective of whether the principal of such series of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w:t>
      </w:r>
    </w:p>
    <w:p>
      <w:pPr>
        <w:spacing w:after="0" w:line="141" w:lineRule="exact"/>
        <w:rPr>
          <w:sz w:val="20"/>
          <w:szCs w:val="20"/>
          <w:color w:val="auto"/>
        </w:rPr>
      </w:pPr>
    </w:p>
    <w:p>
      <w:pPr>
        <w:ind w:left="120" w:right="239" w:firstLine="357"/>
        <w:spacing w:after="0" w:line="274" w:lineRule="auto"/>
        <w:tabs>
          <w:tab w:leader="none" w:pos="664"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proofs of claim and such other papers or documents as may be necessary or advisable in order to have the claims of the Trustee (including any claim for the reasonable compensation, expenses, disbursements and advances of the Trustee, its agents and counsel) and of the Holders of the Securities of such series allowed in such judicial proceeding, and</w:t>
      </w:r>
    </w:p>
    <w:p>
      <w:pPr>
        <w:spacing w:after="0" w:line="135" w:lineRule="exact"/>
        <w:rPr>
          <w:rFonts w:ascii="Times New Roman" w:cs="Times New Roman" w:eastAsia="Times New Roman" w:hAnsi="Times New Roman"/>
          <w:sz w:val="14"/>
          <w:szCs w:val="14"/>
          <w:color w:val="auto"/>
        </w:rPr>
      </w:pPr>
    </w:p>
    <w:p>
      <w:pPr>
        <w:ind w:left="120" w:right="299" w:firstLine="357"/>
        <w:spacing w:after="0" w:line="265" w:lineRule="auto"/>
        <w:tabs>
          <w:tab w:leader="none" w:pos="672"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to collect and receive any moneys or other property payable or deliverable on any such claims and to distribute the same; and any custodian, receiver, assignee, trustee, liquidator, sequestrator or similar official in any such judicial proceeding is hereby authorized by each Holder to make such payments to the Trustee and, in the event that the Trustee shall consent to the making of such payments directly to the Holders, to pay the Trustee any amount due it for the reasonable compensation, fees and expenses, disbursements and advances of the Trustee, its agents and counsel, and any other amounts due the Trustee under </w:t>
      </w:r>
      <w:r>
        <w:rPr>
          <w:rFonts w:ascii="Times New Roman" w:cs="Times New Roman" w:eastAsia="Times New Roman" w:hAnsi="Times New Roman"/>
          <w:sz w:val="14"/>
          <w:szCs w:val="14"/>
          <w:u w:val="single" w:color="auto"/>
          <w:color w:val="auto"/>
        </w:rPr>
        <w:t>Section 6.07</w:t>
      </w:r>
      <w:r>
        <w:rPr>
          <w:rFonts w:ascii="Times New Roman" w:cs="Times New Roman" w:eastAsia="Times New Roman" w:hAnsi="Times New Roman"/>
          <w:sz w:val="14"/>
          <w:szCs w:val="14"/>
          <w:color w:val="auto"/>
        </w:rPr>
        <w:t>.</w:t>
      </w:r>
    </w:p>
    <w:p>
      <w:pPr>
        <w:spacing w:after="0" w:line="141" w:lineRule="exact"/>
        <w:rPr>
          <w:sz w:val="20"/>
          <w:szCs w:val="20"/>
          <w:color w:val="auto"/>
        </w:rPr>
      </w:pPr>
    </w:p>
    <w:p>
      <w:pPr>
        <w:jc w:val="both"/>
        <w:ind w:left="120" w:right="259" w:firstLine="350"/>
        <w:spacing w:after="0" w:line="274" w:lineRule="auto"/>
        <w:rPr>
          <w:sz w:val="20"/>
          <w:szCs w:val="20"/>
          <w:color w:val="auto"/>
        </w:rPr>
      </w:pPr>
      <w:r>
        <w:rPr>
          <w:rFonts w:ascii="Times New Roman" w:cs="Times New Roman" w:eastAsia="Times New Roman" w:hAnsi="Times New Roman"/>
          <w:sz w:val="14"/>
          <w:szCs w:val="14"/>
          <w:color w:val="auto"/>
        </w:rPr>
        <w:t>Nothing herein contained shall be deemed to authorize the Trustee to authorize or consent to or accept or adopt on behalf of any Holder any plan of reorganization, arrangement, adjustment or composition affecting the Securities of any series or the rights of any Holder thereof, or to authorize the Trustee to vote in respect of the claim of any Holder in any such proceeding.</w:t>
      </w:r>
    </w:p>
    <w:p>
      <w:pPr>
        <w:spacing w:after="0" w:line="13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 xml:space="preserve">For purposes of this </w:t>
      </w:r>
      <w:r>
        <w:rPr>
          <w:rFonts w:ascii="Times New Roman" w:cs="Times New Roman" w:eastAsia="Times New Roman" w:hAnsi="Times New Roman"/>
          <w:sz w:val="14"/>
          <w:szCs w:val="14"/>
          <w:u w:val="single" w:color="auto"/>
          <w:color w:val="auto"/>
        </w:rPr>
        <w:t>Section 5.04</w:t>
      </w:r>
      <w:r>
        <w:rPr>
          <w:rFonts w:ascii="Times New Roman" w:cs="Times New Roman" w:eastAsia="Times New Roman" w:hAnsi="Times New Roman"/>
          <w:sz w:val="14"/>
          <w:szCs w:val="14"/>
          <w:color w:val="auto"/>
        </w:rPr>
        <w:t>, the Trustee is hereby designated as the attorney-in-fact for the Holders.</w:t>
      </w:r>
    </w:p>
    <w:p>
      <w:pPr>
        <w:spacing w:after="0" w:line="1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5.05 </w:t>
      </w:r>
      <w:r>
        <w:rPr>
          <w:rFonts w:ascii="Times New Roman" w:cs="Times New Roman" w:eastAsia="Times New Roman" w:hAnsi="Times New Roman"/>
          <w:sz w:val="14"/>
          <w:szCs w:val="14"/>
          <w:u w:val="single" w:color="auto"/>
          <w:color w:val="auto"/>
        </w:rPr>
        <w:t>TRUSTEE MAY ENFORCE CLAIMS WITHOUT POSSESSION OF SECURITIES.</w:t>
      </w:r>
    </w:p>
    <w:p>
      <w:pPr>
        <w:spacing w:after="0" w:line="182" w:lineRule="exact"/>
        <w:rPr>
          <w:sz w:val="20"/>
          <w:szCs w:val="20"/>
          <w:color w:val="auto"/>
        </w:rPr>
      </w:pPr>
    </w:p>
    <w:p>
      <w:pPr>
        <w:ind w:left="120" w:right="159" w:firstLine="350"/>
        <w:spacing w:after="0" w:line="265" w:lineRule="auto"/>
        <w:rPr>
          <w:sz w:val="20"/>
          <w:szCs w:val="20"/>
          <w:color w:val="auto"/>
        </w:rPr>
      </w:pPr>
      <w:r>
        <w:rPr>
          <w:rFonts w:ascii="Times New Roman" w:cs="Times New Roman" w:eastAsia="Times New Roman" w:hAnsi="Times New Roman"/>
          <w:sz w:val="14"/>
          <w:szCs w:val="14"/>
          <w:color w:val="auto"/>
        </w:rPr>
        <w:t>All rights of action and claims under this Indenture with respect to any series of Securities may be prosecuted and enforced by the Trustee without the possession of any of the Securities of such series or the production thereof in any proceeding relating thereto, and any such proceeding instituted by the Trustee shall be brought in its own name and as trustee of an express trust, and any recovery of judgment shall, after provision for the payment of the reasonable compensation, fees and expenses, disbursements and advances of the Trustee, its agents and counsel, be for the ratable benefit of the Holders of the Securities of such series in respect of which such judgment has been recovered.</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9019"/>
          </w:cols>
          <w:pgMar w:left="1440" w:top="243" w:right="1440" w:bottom="1440" w:gutter="0" w:footer="0" w:header="0"/>
        </w:sectPr>
      </w:pPr>
    </w:p>
    <w:bookmarkStart w:id="149" w:name="page150"/>
    <w:bookmarkEnd w:id="149"/>
    <w:p>
      <w:pPr>
        <w:ind w:left="1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4">
                      <a:extLst>
                        <a:ext uri="{28A0092B-C50C-407E-A947-70E740481C1C}"/>
                      </a:extLst>
                    </a:blip>
                    <a:srcRect/>
                    <a:stretch>
                      <a:fillRect/>
                    </a:stretch>
                  </pic:blipFill>
                  <pic:spPr bwMode="auto">
                    <a:xfrm>
                      <a:off x="0" y="0"/>
                      <a:ext cx="7199630" cy="33020"/>
                    </a:xfrm>
                    <a:prstGeom prst="rect">
                      <a:avLst/>
                    </a:prstGeom>
                    <a:noFill/>
                  </pic:spPr>
                </pic:pic>
              </a:graphicData>
            </a:graphic>
          </wp:anchor>
        </w:drawing>
        <w:t xml:space="preserve">Section 5.06 </w:t>
      </w:r>
      <w:r>
        <w:rPr>
          <w:rFonts w:ascii="Times New Roman" w:cs="Times New Roman" w:eastAsia="Times New Roman" w:hAnsi="Times New Roman"/>
          <w:sz w:val="14"/>
          <w:szCs w:val="14"/>
          <w:u w:val="single" w:color="auto"/>
          <w:color w:val="auto"/>
        </w:rPr>
        <w:t>APPLICATION OF MONEY COLLECTED.</w:t>
      </w:r>
    </w:p>
    <w:p>
      <w:pPr>
        <w:spacing w:after="0" w:line="182" w:lineRule="exact"/>
        <w:rPr>
          <w:sz w:val="20"/>
          <w:szCs w:val="20"/>
          <w:color w:val="auto"/>
        </w:rPr>
      </w:pPr>
    </w:p>
    <w:p>
      <w:pPr>
        <w:ind w:left="120" w:right="179" w:firstLine="350"/>
        <w:spacing w:after="0" w:line="265" w:lineRule="auto"/>
        <w:rPr>
          <w:sz w:val="20"/>
          <w:szCs w:val="20"/>
          <w:color w:val="auto"/>
        </w:rPr>
      </w:pPr>
      <w:r>
        <w:rPr>
          <w:rFonts w:ascii="Times New Roman" w:cs="Times New Roman" w:eastAsia="Times New Roman" w:hAnsi="Times New Roman"/>
          <w:sz w:val="14"/>
          <w:szCs w:val="14"/>
          <w:color w:val="auto"/>
        </w:rPr>
        <w:t xml:space="preserve">Any money collected by the Trustee pursuant to this </w:t>
      </w:r>
      <w:r>
        <w:rPr>
          <w:rFonts w:ascii="Times New Roman" w:cs="Times New Roman" w:eastAsia="Times New Roman" w:hAnsi="Times New Roman"/>
          <w:sz w:val="14"/>
          <w:szCs w:val="14"/>
          <w:u w:val="single" w:color="auto"/>
          <w:color w:val="auto"/>
        </w:rPr>
        <w:t>Article V</w:t>
      </w:r>
      <w:r>
        <w:rPr>
          <w:rFonts w:ascii="Times New Roman" w:cs="Times New Roman" w:eastAsia="Times New Roman" w:hAnsi="Times New Roman"/>
          <w:sz w:val="14"/>
          <w:szCs w:val="14"/>
          <w:color w:val="auto"/>
        </w:rPr>
        <w:t xml:space="preserve"> or otherwise on behalf of the Holders or the Trustee pursuant to this </w:t>
      </w:r>
      <w:r>
        <w:rPr>
          <w:rFonts w:ascii="Times New Roman" w:cs="Times New Roman" w:eastAsia="Times New Roman" w:hAnsi="Times New Roman"/>
          <w:sz w:val="14"/>
          <w:szCs w:val="14"/>
          <w:u w:val="single" w:color="auto"/>
          <w:color w:val="auto"/>
        </w:rPr>
        <w:t>Article V</w:t>
      </w:r>
      <w:r>
        <w:rPr>
          <w:rFonts w:ascii="Times New Roman" w:cs="Times New Roman" w:eastAsia="Times New Roman" w:hAnsi="Times New Roman"/>
          <w:sz w:val="14"/>
          <w:szCs w:val="14"/>
          <w:color w:val="auto"/>
        </w:rPr>
        <w:t xml:space="preserve"> or through any proceeding or any arrangement or restructuring in anticipation or in lieu of any proceeding contemplated by this </w:t>
      </w:r>
      <w:r>
        <w:rPr>
          <w:rFonts w:ascii="Times New Roman" w:cs="Times New Roman" w:eastAsia="Times New Roman" w:hAnsi="Times New Roman"/>
          <w:sz w:val="14"/>
          <w:szCs w:val="14"/>
          <w:u w:val="single" w:color="auto"/>
          <w:color w:val="auto"/>
        </w:rPr>
        <w:t>Article V</w:t>
      </w:r>
      <w:r>
        <w:rPr>
          <w:rFonts w:ascii="Times New Roman" w:cs="Times New Roman" w:eastAsia="Times New Roman" w:hAnsi="Times New Roman"/>
          <w:sz w:val="14"/>
          <w:szCs w:val="14"/>
          <w:color w:val="auto"/>
        </w:rPr>
        <w:t xml:space="preserve"> shall be applied, subject to applicable law, in the following order, at the date or dates fixed by the Trustee and, in case of the distribution of such money on account of principal, premium, if any, or interest, upon presentation of the several Securities and the notation thereon of the payment if only partially paid and upon surrender thereof if fully paid:</w:t>
      </w:r>
    </w:p>
    <w:p>
      <w:pPr>
        <w:spacing w:after="0" w:line="5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 xml:space="preserve">FIRST: To the payment of all amounts due the Trustee under </w:t>
      </w:r>
      <w:r>
        <w:rPr>
          <w:rFonts w:ascii="Times New Roman" w:cs="Times New Roman" w:eastAsia="Times New Roman" w:hAnsi="Times New Roman"/>
          <w:sz w:val="14"/>
          <w:szCs w:val="14"/>
          <w:u w:val="single" w:color="auto"/>
          <w:color w:val="auto"/>
        </w:rPr>
        <w:t>Section 6.07</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120" w:right="199" w:firstLine="350"/>
        <w:spacing w:after="0" w:line="268" w:lineRule="auto"/>
        <w:rPr>
          <w:sz w:val="20"/>
          <w:szCs w:val="20"/>
          <w:color w:val="auto"/>
        </w:rPr>
      </w:pPr>
      <w:r>
        <w:rPr>
          <w:rFonts w:ascii="Times New Roman" w:cs="Times New Roman" w:eastAsia="Times New Roman" w:hAnsi="Times New Roman"/>
          <w:sz w:val="14"/>
          <w:szCs w:val="14"/>
          <w:color w:val="auto"/>
        </w:rPr>
        <w:t>SECOND: To the payment of the amounts then due and unpaid upon the Securities for principal and interest, in respect of which or for the benefit of which such money has been collected, on the Securities of such series in the order of the maturity of the installments of such interest, such payments to be made ratably to the Persons entitled thereto, without preference or priority of any kind, according to the amounts due and payable on such Securities for principal, premium, if any, and interest; and</w:t>
      </w:r>
    </w:p>
    <w:p>
      <w:pPr>
        <w:spacing w:after="0" w:line="139" w:lineRule="exact"/>
        <w:rPr>
          <w:sz w:val="20"/>
          <w:szCs w:val="20"/>
          <w:color w:val="auto"/>
        </w:rPr>
      </w:pPr>
    </w:p>
    <w:p>
      <w:pPr>
        <w:ind w:left="120" w:right="619" w:firstLine="350"/>
        <w:spacing w:after="0" w:line="292" w:lineRule="auto"/>
        <w:rPr>
          <w:sz w:val="20"/>
          <w:szCs w:val="20"/>
          <w:color w:val="auto"/>
        </w:rPr>
      </w:pPr>
      <w:r>
        <w:rPr>
          <w:rFonts w:ascii="Times New Roman" w:cs="Times New Roman" w:eastAsia="Times New Roman" w:hAnsi="Times New Roman"/>
          <w:sz w:val="14"/>
          <w:szCs w:val="14"/>
          <w:color w:val="auto"/>
        </w:rPr>
        <w:t>THIRD: The balance, if any, to the Person or Persons entitled thereto, including the Company, provided that all sums due and owing to the Holders and the Trustee have been paid in full as required by this Indenture.</w:t>
      </w:r>
    </w:p>
    <w:p>
      <w:pPr>
        <w:spacing w:after="0" w:line="1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5.07 </w:t>
      </w:r>
      <w:r>
        <w:rPr>
          <w:rFonts w:ascii="Times New Roman" w:cs="Times New Roman" w:eastAsia="Times New Roman" w:hAnsi="Times New Roman"/>
          <w:sz w:val="14"/>
          <w:szCs w:val="14"/>
          <w:u w:val="single" w:color="auto"/>
          <w:color w:val="auto"/>
        </w:rPr>
        <w:t>LIMITATION ON SUITS.</w:t>
      </w:r>
    </w:p>
    <w:p>
      <w:pPr>
        <w:spacing w:after="0" w:line="182" w:lineRule="exact"/>
        <w:rPr>
          <w:sz w:val="20"/>
          <w:szCs w:val="20"/>
          <w:color w:val="auto"/>
        </w:rPr>
      </w:pPr>
    </w:p>
    <w:p>
      <w:pPr>
        <w:ind w:left="120" w:right="319" w:firstLine="350"/>
        <w:spacing w:after="0" w:line="292" w:lineRule="auto"/>
        <w:rPr>
          <w:sz w:val="20"/>
          <w:szCs w:val="20"/>
          <w:color w:val="auto"/>
        </w:rPr>
      </w:pPr>
      <w:r>
        <w:rPr>
          <w:rFonts w:ascii="Times New Roman" w:cs="Times New Roman" w:eastAsia="Times New Roman" w:hAnsi="Times New Roman"/>
          <w:sz w:val="14"/>
          <w:szCs w:val="14"/>
          <w:color w:val="auto"/>
        </w:rPr>
        <w:t>No Holder of any series of Securities shall have any right to institute any proceeding, judicial or otherwise, with respect to this Indenture or any series of Securities, or for the appointment of a receiver or trustee, or for any other remedy hereunder, unless:</w:t>
      </w:r>
    </w:p>
    <w:p>
      <w:pPr>
        <w:spacing w:after="0" w:line="37" w:lineRule="exact"/>
        <w:rPr>
          <w:sz w:val="20"/>
          <w:szCs w:val="20"/>
          <w:color w:val="auto"/>
        </w:rPr>
      </w:pPr>
    </w:p>
    <w:p>
      <w:pPr>
        <w:ind w:left="680" w:hanging="203"/>
        <w:spacing w:after="0"/>
        <w:tabs>
          <w:tab w:leader="none" w:pos="68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Holder has previously given written notice to the Trustee of a continuing Event of Default with respect to the Securities of that series;</w:t>
      </w:r>
    </w:p>
    <w:p>
      <w:pPr>
        <w:spacing w:after="0" w:line="182" w:lineRule="exact"/>
        <w:rPr>
          <w:rFonts w:ascii="Times New Roman" w:cs="Times New Roman" w:eastAsia="Times New Roman" w:hAnsi="Times New Roman"/>
          <w:sz w:val="14"/>
          <w:szCs w:val="14"/>
          <w:color w:val="auto"/>
        </w:rPr>
      </w:pPr>
    </w:p>
    <w:p>
      <w:pPr>
        <w:ind w:left="120" w:right="259" w:firstLine="357"/>
        <w:spacing w:after="0" w:line="292" w:lineRule="auto"/>
        <w:tabs>
          <w:tab w:leader="none" w:pos="672"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 not less than 25% in aggregate principal amount of the Outstanding Securities of that series shall have made written request to the Trustee to institute proceedings in respect of such Event of Default in its own name as trustee hereunder;</w:t>
      </w:r>
    </w:p>
    <w:p>
      <w:pPr>
        <w:spacing w:after="0" w:line="123" w:lineRule="exact"/>
        <w:rPr>
          <w:rFonts w:ascii="Times New Roman" w:cs="Times New Roman" w:eastAsia="Times New Roman" w:hAnsi="Times New Roman"/>
          <w:sz w:val="14"/>
          <w:szCs w:val="14"/>
          <w:color w:val="auto"/>
        </w:rPr>
      </w:pPr>
    </w:p>
    <w:p>
      <w:pPr>
        <w:ind w:left="120" w:right="159" w:firstLine="357"/>
        <w:spacing w:after="0" w:line="292" w:lineRule="auto"/>
        <w:tabs>
          <w:tab w:leader="none" w:pos="664"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Holder or Holders have offered to the Trustee indemnity satisfactory to it against the costs, fees and expenses and liabilities to be incurred in compliance with such request;</w:t>
      </w:r>
    </w:p>
    <w:p>
      <w:pPr>
        <w:spacing w:after="0" w:line="123" w:lineRule="exact"/>
        <w:rPr>
          <w:rFonts w:ascii="Times New Roman" w:cs="Times New Roman" w:eastAsia="Times New Roman" w:hAnsi="Times New Roman"/>
          <w:sz w:val="14"/>
          <w:szCs w:val="14"/>
          <w:color w:val="auto"/>
        </w:rPr>
      </w:pPr>
    </w:p>
    <w:p>
      <w:pPr>
        <w:ind w:left="120" w:right="319" w:firstLine="357"/>
        <w:spacing w:after="0" w:line="292" w:lineRule="auto"/>
        <w:tabs>
          <w:tab w:leader="none" w:pos="672"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for 60 days after its receipt of such notice, request and offer (and, if requested, provision) of indemnity has failed to institute any such proceeding; and</w:t>
      </w:r>
    </w:p>
    <w:p>
      <w:pPr>
        <w:spacing w:after="0" w:line="123" w:lineRule="exact"/>
        <w:rPr>
          <w:rFonts w:ascii="Times New Roman" w:cs="Times New Roman" w:eastAsia="Times New Roman" w:hAnsi="Times New Roman"/>
          <w:sz w:val="14"/>
          <w:szCs w:val="14"/>
          <w:color w:val="auto"/>
        </w:rPr>
      </w:pPr>
    </w:p>
    <w:p>
      <w:pPr>
        <w:ind w:left="120" w:right="419" w:firstLine="357"/>
        <w:spacing w:after="0" w:line="292" w:lineRule="auto"/>
        <w:tabs>
          <w:tab w:leader="none" w:pos="664"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direction inconsistent with such written request has been given to the Trustee during such 60-day period by the Holders of a majority in aggregate principal amount of the Outstanding Securities of the affected series;</w:t>
      </w:r>
    </w:p>
    <w:p>
      <w:pPr>
        <w:spacing w:after="0" w:line="123" w:lineRule="exact"/>
        <w:rPr>
          <w:sz w:val="20"/>
          <w:szCs w:val="20"/>
          <w:color w:val="auto"/>
        </w:rPr>
      </w:pPr>
    </w:p>
    <w:p>
      <w:pPr>
        <w:ind w:left="120" w:right="199" w:firstLine="350"/>
        <w:spacing w:after="0" w:line="265" w:lineRule="auto"/>
        <w:rPr>
          <w:sz w:val="20"/>
          <w:szCs w:val="20"/>
          <w:color w:val="auto"/>
        </w:rPr>
      </w:pPr>
      <w:r>
        <w:rPr>
          <w:rFonts w:ascii="Times New Roman" w:cs="Times New Roman" w:eastAsia="Times New Roman" w:hAnsi="Times New Roman"/>
          <w:sz w:val="14"/>
          <w:szCs w:val="14"/>
          <w:color w:val="auto"/>
        </w:rPr>
        <w:t>it being understood and intended that no one or more Holders shall have any right in any manner whatever by virtue of, or by availing of, any provision of this Indenture or any Security of any series to affect, disturb or prejudice the rights of any other Holders, or to obtain or to seek to obtain priority or preference over any other Holders or to enforce any right under this Indenture or any Security of any series, except in the manner provided in this Indenture and for the equal and ratable benefit of all the Holders (it being understood that the Trustee does not have an affirmative duty to ascertain whether or not such actions or forbearances are unduly prejudicial to such Holders).</w:t>
      </w:r>
    </w:p>
    <w:p>
      <w:pPr>
        <w:spacing w:after="0" w:line="1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5.08 </w:t>
      </w:r>
      <w:r>
        <w:rPr>
          <w:rFonts w:ascii="Times New Roman" w:cs="Times New Roman" w:eastAsia="Times New Roman" w:hAnsi="Times New Roman"/>
          <w:sz w:val="14"/>
          <w:szCs w:val="14"/>
          <w:u w:val="single" w:color="auto"/>
          <w:color w:val="auto"/>
        </w:rPr>
        <w:t>UNCONDITIONAL RIGHT OF HOLDERS TO RECEIVE PRINCIPAL, PREMIUM AND INTEREST.</w:t>
      </w:r>
    </w:p>
    <w:p>
      <w:pPr>
        <w:spacing w:after="0" w:line="182" w:lineRule="exact"/>
        <w:rPr>
          <w:sz w:val="20"/>
          <w:szCs w:val="20"/>
          <w:color w:val="auto"/>
        </w:rPr>
      </w:pPr>
    </w:p>
    <w:p>
      <w:pPr>
        <w:ind w:left="120" w:right="299" w:firstLine="350"/>
        <w:spacing w:after="0" w:line="268" w:lineRule="auto"/>
        <w:rPr>
          <w:sz w:val="20"/>
          <w:szCs w:val="20"/>
          <w:color w:val="auto"/>
        </w:rPr>
      </w:pPr>
      <w:r>
        <w:rPr>
          <w:rFonts w:ascii="Times New Roman" w:cs="Times New Roman" w:eastAsia="Times New Roman" w:hAnsi="Times New Roman"/>
          <w:sz w:val="14"/>
          <w:szCs w:val="14"/>
          <w:color w:val="auto"/>
        </w:rPr>
        <w:t xml:space="preserve">Notwithstanding any other provision in this Indenture, the Holder of any Security shall have the right based on the terms stated herein, which is absolute and unconditional, to receive payment of the principal of and (subject to </w:t>
      </w:r>
      <w:r>
        <w:rPr>
          <w:rFonts w:ascii="Times New Roman" w:cs="Times New Roman" w:eastAsia="Times New Roman" w:hAnsi="Times New Roman"/>
          <w:sz w:val="14"/>
          <w:szCs w:val="14"/>
          <w:u w:val="single" w:color="auto"/>
          <w:color w:val="auto"/>
        </w:rPr>
        <w:t>Section 3.08</w:t>
      </w:r>
      <w:r>
        <w:rPr>
          <w:rFonts w:ascii="Times New Roman" w:cs="Times New Roman" w:eastAsia="Times New Roman" w:hAnsi="Times New Roman"/>
          <w:sz w:val="14"/>
          <w:szCs w:val="14"/>
          <w:color w:val="auto"/>
        </w:rPr>
        <w:t>) interest on such Security on the respective Stated Maturities expressed in such Security (or, in the case of redemption or repurchase, on the Redemption Date or the repurchase date) and to institute suit for the enforcement of any such payment, and such rights shall not be impaired without the consent of such Holder.</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9019"/>
          </w:cols>
          <w:pgMar w:left="1440" w:top="243" w:right="1440" w:bottom="1440" w:gutter="0" w:footer="0" w:header="0"/>
        </w:sectPr>
      </w:pPr>
    </w:p>
    <w:bookmarkStart w:id="150" w:name="page151"/>
    <w:bookmarkEnd w:id="150"/>
    <w:p>
      <w:pPr>
        <w:ind w:left="1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5">
                      <a:extLst>
                        <a:ext uri="{28A0092B-C50C-407E-A947-70E740481C1C}"/>
                      </a:extLst>
                    </a:blip>
                    <a:srcRect/>
                    <a:stretch>
                      <a:fillRect/>
                    </a:stretch>
                  </pic:blipFill>
                  <pic:spPr bwMode="auto">
                    <a:xfrm>
                      <a:off x="0" y="0"/>
                      <a:ext cx="7199630" cy="33020"/>
                    </a:xfrm>
                    <a:prstGeom prst="rect">
                      <a:avLst/>
                    </a:prstGeom>
                    <a:noFill/>
                  </pic:spPr>
                </pic:pic>
              </a:graphicData>
            </a:graphic>
          </wp:anchor>
        </w:drawing>
        <w:t xml:space="preserve">Section 5.09 </w:t>
      </w:r>
      <w:r>
        <w:rPr>
          <w:rFonts w:ascii="Times New Roman" w:cs="Times New Roman" w:eastAsia="Times New Roman" w:hAnsi="Times New Roman"/>
          <w:sz w:val="14"/>
          <w:szCs w:val="14"/>
          <w:u w:val="single" w:color="auto"/>
          <w:color w:val="auto"/>
        </w:rPr>
        <w:t>RESTORATION OF RIGHTS AND REMEDIES.</w:t>
      </w:r>
    </w:p>
    <w:p>
      <w:pPr>
        <w:spacing w:after="0" w:line="182" w:lineRule="exact"/>
        <w:rPr>
          <w:sz w:val="20"/>
          <w:szCs w:val="20"/>
          <w:color w:val="auto"/>
        </w:rPr>
      </w:pPr>
    </w:p>
    <w:p>
      <w:pPr>
        <w:ind w:left="120" w:right="199" w:firstLine="350"/>
        <w:spacing w:after="0" w:line="265" w:lineRule="auto"/>
        <w:rPr>
          <w:sz w:val="20"/>
          <w:szCs w:val="20"/>
          <w:color w:val="auto"/>
        </w:rPr>
      </w:pPr>
      <w:r>
        <w:rPr>
          <w:rFonts w:ascii="Times New Roman" w:cs="Times New Roman" w:eastAsia="Times New Roman" w:hAnsi="Times New Roman"/>
          <w:sz w:val="14"/>
          <w:szCs w:val="14"/>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the Company, any other obligor on the Securities, the Trustee and the Holders shall, subject to any determination in such proceeding, be restored severally and respectively to their former positions hereunder, and thereafter all rights and remedies of the Trustee and the Holders shall continue as though no such proceeding had been instituted.</w:t>
      </w:r>
    </w:p>
    <w:p>
      <w:pPr>
        <w:spacing w:after="0" w:line="1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5.10 </w:t>
      </w:r>
      <w:r>
        <w:rPr>
          <w:rFonts w:ascii="Times New Roman" w:cs="Times New Roman" w:eastAsia="Times New Roman" w:hAnsi="Times New Roman"/>
          <w:sz w:val="14"/>
          <w:szCs w:val="14"/>
          <w:u w:val="single" w:color="auto"/>
          <w:color w:val="auto"/>
        </w:rPr>
        <w:t>RIGHTS AND REMEDIES CUMULATIVE.</w:t>
      </w:r>
    </w:p>
    <w:p>
      <w:pPr>
        <w:spacing w:after="0" w:line="182" w:lineRule="exact"/>
        <w:rPr>
          <w:sz w:val="20"/>
          <w:szCs w:val="20"/>
          <w:color w:val="auto"/>
        </w:rPr>
      </w:pPr>
    </w:p>
    <w:p>
      <w:pPr>
        <w:ind w:left="120" w:right="179" w:firstLine="350"/>
        <w:spacing w:after="0" w:line="268" w:lineRule="auto"/>
        <w:rPr>
          <w:sz w:val="20"/>
          <w:szCs w:val="20"/>
          <w:color w:val="auto"/>
        </w:rPr>
      </w:pPr>
      <w:r>
        <w:rPr>
          <w:rFonts w:ascii="Times New Roman" w:cs="Times New Roman" w:eastAsia="Times New Roman" w:hAnsi="Times New Roman"/>
          <w:sz w:val="14"/>
          <w:szCs w:val="14"/>
          <w:color w:val="auto"/>
        </w:rPr>
        <w:t>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5.11 </w:t>
      </w:r>
      <w:r>
        <w:rPr>
          <w:rFonts w:ascii="Times New Roman" w:cs="Times New Roman" w:eastAsia="Times New Roman" w:hAnsi="Times New Roman"/>
          <w:sz w:val="14"/>
          <w:szCs w:val="14"/>
          <w:u w:val="single" w:color="auto"/>
          <w:color w:val="auto"/>
        </w:rPr>
        <w:t>DELAY OR OMISSION NOT WAIVER.</w:t>
      </w:r>
    </w:p>
    <w:p>
      <w:pPr>
        <w:spacing w:after="0" w:line="182" w:lineRule="exact"/>
        <w:rPr>
          <w:sz w:val="20"/>
          <w:szCs w:val="20"/>
          <w:color w:val="auto"/>
        </w:rPr>
      </w:pPr>
    </w:p>
    <w:p>
      <w:pPr>
        <w:ind w:left="120" w:right="399" w:firstLine="350"/>
        <w:spacing w:after="0" w:line="292" w:lineRule="auto"/>
        <w:rPr>
          <w:sz w:val="20"/>
          <w:szCs w:val="20"/>
          <w:color w:val="auto"/>
        </w:rPr>
      </w:pPr>
      <w:r>
        <w:rPr>
          <w:rFonts w:ascii="Times New Roman" w:cs="Times New Roman" w:eastAsia="Times New Roman" w:hAnsi="Times New Roman"/>
          <w:sz w:val="14"/>
          <w:szCs w:val="14"/>
          <w:color w:val="auto"/>
        </w:rPr>
        <w:t>No delay or omission of the Trustee or of any Holder of any Security to exercise any right or remedy accruing upon any Event of Default shall impair any such right or remedy or constitute a waiver of any such Event of Default or an acquiescence therein.</w:t>
      </w:r>
    </w:p>
    <w:p>
      <w:pPr>
        <w:spacing w:after="0" w:line="123" w:lineRule="exact"/>
        <w:rPr>
          <w:sz w:val="20"/>
          <w:szCs w:val="20"/>
          <w:color w:val="auto"/>
        </w:rPr>
      </w:pPr>
    </w:p>
    <w:p>
      <w:pPr>
        <w:ind w:left="120" w:right="179" w:firstLine="350"/>
        <w:spacing w:after="0" w:line="292" w:lineRule="auto"/>
        <w:rPr>
          <w:sz w:val="20"/>
          <w:szCs w:val="20"/>
          <w:color w:val="auto"/>
        </w:rPr>
      </w:pPr>
      <w:r>
        <w:rPr>
          <w:rFonts w:ascii="Times New Roman" w:cs="Times New Roman" w:eastAsia="Times New Roman" w:hAnsi="Times New Roman"/>
          <w:sz w:val="14"/>
          <w:szCs w:val="14"/>
          <w:color w:val="auto"/>
        </w:rPr>
        <w:t xml:space="preserve">Every right and remedy given by this </w:t>
      </w:r>
      <w:r>
        <w:rPr>
          <w:rFonts w:ascii="Times New Roman" w:cs="Times New Roman" w:eastAsia="Times New Roman" w:hAnsi="Times New Roman"/>
          <w:sz w:val="14"/>
          <w:szCs w:val="14"/>
          <w:u w:val="single" w:color="auto"/>
          <w:color w:val="auto"/>
        </w:rPr>
        <w:t>Article V</w:t>
      </w:r>
      <w:r>
        <w:rPr>
          <w:rFonts w:ascii="Times New Roman" w:cs="Times New Roman" w:eastAsia="Times New Roman" w:hAnsi="Times New Roman"/>
          <w:sz w:val="14"/>
          <w:szCs w:val="14"/>
          <w:color w:val="auto"/>
        </w:rPr>
        <w:t xml:space="preserve"> or by law to the Trustee or to the Holders may be exercised from time to time, and as often as may be deemed expedient, by the Trustee or by the Holders, as the case may be.</w:t>
      </w:r>
    </w:p>
    <w:p>
      <w:pPr>
        <w:spacing w:after="0" w:line="1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5.12 </w:t>
      </w:r>
      <w:r>
        <w:rPr>
          <w:rFonts w:ascii="Times New Roman" w:cs="Times New Roman" w:eastAsia="Times New Roman" w:hAnsi="Times New Roman"/>
          <w:sz w:val="14"/>
          <w:szCs w:val="14"/>
          <w:u w:val="single" w:color="auto"/>
          <w:color w:val="auto"/>
        </w:rPr>
        <w:t>CONTROL BY HOLDERS.</w:t>
      </w:r>
    </w:p>
    <w:p>
      <w:pPr>
        <w:spacing w:after="0" w:line="182" w:lineRule="exact"/>
        <w:rPr>
          <w:sz w:val="20"/>
          <w:szCs w:val="20"/>
          <w:color w:val="auto"/>
        </w:rPr>
      </w:pPr>
    </w:p>
    <w:p>
      <w:pPr>
        <w:ind w:left="120" w:right="139" w:firstLine="350"/>
        <w:spacing w:after="0" w:line="274" w:lineRule="auto"/>
        <w:rPr>
          <w:sz w:val="20"/>
          <w:szCs w:val="20"/>
          <w:color w:val="auto"/>
        </w:rPr>
      </w:pPr>
      <w:r>
        <w:rPr>
          <w:rFonts w:ascii="Times New Roman" w:cs="Times New Roman" w:eastAsia="Times New Roman" w:hAnsi="Times New Roman"/>
          <w:sz w:val="14"/>
          <w:szCs w:val="14"/>
          <w:color w:val="auto"/>
        </w:rPr>
        <w:t xml:space="preserve">The Holders of not less than a majority in aggregate principal amount of any series of Outstanding Securities shall have the right to direct the time, method and place of conducting any proceeding for exercising any remedy available to the Trustee, or exercising any trust or power conferred on the Trustee under this </w:t>
      </w:r>
      <w:r>
        <w:rPr>
          <w:rFonts w:ascii="Times New Roman" w:cs="Times New Roman" w:eastAsia="Times New Roman" w:hAnsi="Times New Roman"/>
          <w:sz w:val="14"/>
          <w:szCs w:val="14"/>
          <w:u w:val="single" w:color="auto"/>
          <w:color w:val="auto"/>
        </w:rPr>
        <w:t>Article V</w:t>
      </w:r>
      <w:r>
        <w:rPr>
          <w:rFonts w:ascii="Times New Roman" w:cs="Times New Roman" w:eastAsia="Times New Roman" w:hAnsi="Times New Roman"/>
          <w:sz w:val="14"/>
          <w:szCs w:val="14"/>
          <w:color w:val="auto"/>
        </w:rPr>
        <w:t xml:space="preserve"> with respect to such series, provided that:</w:t>
      </w:r>
    </w:p>
    <w:p>
      <w:pPr>
        <w:spacing w:after="0" w:line="49" w:lineRule="exact"/>
        <w:rPr>
          <w:sz w:val="20"/>
          <w:szCs w:val="20"/>
          <w:color w:val="auto"/>
        </w:rPr>
      </w:pPr>
    </w:p>
    <w:p>
      <w:pPr>
        <w:ind w:left="120" w:right="539" w:firstLine="357"/>
        <w:spacing w:after="0" w:line="292" w:lineRule="auto"/>
        <w:tabs>
          <w:tab w:leader="none" w:pos="664"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such direction shall not be in conflict with any rule of law or with this Indenture (including, without limitation, </w:t>
      </w:r>
      <w:r>
        <w:rPr>
          <w:rFonts w:ascii="Times New Roman" w:cs="Times New Roman" w:eastAsia="Times New Roman" w:hAnsi="Times New Roman"/>
          <w:sz w:val="14"/>
          <w:szCs w:val="14"/>
          <w:u w:val="single" w:color="auto"/>
          <w:color w:val="auto"/>
        </w:rPr>
        <w:t>Section 5.07</w:t>
      </w:r>
      <w:r>
        <w:rPr>
          <w:rFonts w:ascii="Times New Roman" w:cs="Times New Roman" w:eastAsia="Times New Roman" w:hAnsi="Times New Roman"/>
          <w:sz w:val="14"/>
          <w:szCs w:val="14"/>
          <w:color w:val="auto"/>
        </w:rPr>
        <w:t>), expose the Trustee to personal liability or be unduly prejudicial to Holders not joining therein; and</w:t>
      </w:r>
    </w:p>
    <w:p>
      <w:pPr>
        <w:spacing w:after="0" w:line="123" w:lineRule="exact"/>
        <w:rPr>
          <w:rFonts w:ascii="Times New Roman" w:cs="Times New Roman" w:eastAsia="Times New Roman" w:hAnsi="Times New Roman"/>
          <w:sz w:val="14"/>
          <w:szCs w:val="14"/>
          <w:color w:val="auto"/>
        </w:rPr>
      </w:pPr>
    </w:p>
    <w:p>
      <w:pPr>
        <w:ind w:left="120" w:right="219" w:firstLine="357"/>
        <w:spacing w:after="0" w:line="292" w:lineRule="auto"/>
        <w:tabs>
          <w:tab w:leader="none" w:pos="672"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the provisions of Section 315 of the Trust Indenture Act, the Trustee may take any other action deemed proper by the Trustee which is not inconsistent with such direction.</w:t>
      </w:r>
    </w:p>
    <w:p>
      <w:pPr>
        <w:spacing w:after="0" w:line="1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5.13 </w:t>
      </w:r>
      <w:r>
        <w:rPr>
          <w:rFonts w:ascii="Times New Roman" w:cs="Times New Roman" w:eastAsia="Times New Roman" w:hAnsi="Times New Roman"/>
          <w:sz w:val="14"/>
          <w:szCs w:val="14"/>
          <w:u w:val="single" w:color="auto"/>
          <w:color w:val="auto"/>
        </w:rPr>
        <w:t>WAIVER OF PAST DEFAULTS</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120" w:right="159" w:firstLine="350"/>
        <w:spacing w:after="0" w:line="259" w:lineRule="auto"/>
        <w:rPr>
          <w:sz w:val="20"/>
          <w:szCs w:val="20"/>
          <w:color w:val="auto"/>
        </w:rPr>
      </w:pPr>
      <w:r>
        <w:rPr>
          <w:rFonts w:ascii="Times New Roman" w:cs="Times New Roman" w:eastAsia="Times New Roman" w:hAnsi="Times New Roman"/>
          <w:sz w:val="14"/>
          <w:szCs w:val="14"/>
          <w:color w:val="auto"/>
        </w:rPr>
        <w:t>Subject to Section 9.02, holders of a majority in aggregate principal amount of the then outstanding Securities of any affected series (with each affected series voting as a separate class), by notice to the Trustee, may on behalf of the Holders of all of the Securities of such series, waive any existing Default or Event of Default and its consequences, except a continuing Default or Event of Default in the payment of interest, if any, on, or the principal of, such Securities (including in connection with an offer to purchase)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xml:space="preserve">, that the Holders of a majority in aggregate principal amount of the then Outstanding Securities of any affected series (with each affected series voting as a separate class) may rescind an acceleration and its consequences with respect to such series, including any related payment default that resulted from such acceleration). The Company shall deliver to the Trustee an Officers’ Certificate stating that the requisite percentage of Holders have consented to such waiver and attaching copies of such consents. In case of any such waiver, the Company, the Trustee and the Holders of the Securities of such series shall be restored to their former positions and rights hereunder and under the Securities of such series, respectively. This </w:t>
      </w:r>
      <w:r>
        <w:rPr>
          <w:rFonts w:ascii="Times New Roman" w:cs="Times New Roman" w:eastAsia="Times New Roman" w:hAnsi="Times New Roman"/>
          <w:sz w:val="14"/>
          <w:szCs w:val="14"/>
          <w:u w:val="single" w:color="auto"/>
          <w:color w:val="auto"/>
        </w:rPr>
        <w:t>Section 5.13</w:t>
      </w:r>
      <w:r>
        <w:rPr>
          <w:rFonts w:ascii="Times New Roman" w:cs="Times New Roman" w:eastAsia="Times New Roman" w:hAnsi="Times New Roman"/>
          <w:sz w:val="14"/>
          <w:szCs w:val="14"/>
          <w:color w:val="auto"/>
        </w:rPr>
        <w:t xml:space="preserve"> shall be in lieu of Section 316(a)(1)(B) of the Trust Indenture Act and such Section 316(a)(1)(B) of the Trust Indenture Act is hereby expressly excluded from this Indenture and the Securities, as permitted by the Trust Indenture Act.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9019"/>
          </w:cols>
          <w:pgMar w:left="1440" w:top="243" w:right="1440" w:bottom="1440" w:gutter="0" w:footer="0" w:header="0"/>
        </w:sectPr>
      </w:pPr>
    </w:p>
    <w:bookmarkStart w:id="151" w:name="page152"/>
    <w:bookmarkEnd w:id="151"/>
    <w:p>
      <w:pPr>
        <w:ind w:left="1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6">
                      <a:extLst>
                        <a:ext uri="{28A0092B-C50C-407E-A947-70E740481C1C}"/>
                      </a:extLst>
                    </a:blip>
                    <a:srcRect/>
                    <a:stretch>
                      <a:fillRect/>
                    </a:stretch>
                  </pic:blipFill>
                  <pic:spPr bwMode="auto">
                    <a:xfrm>
                      <a:off x="0" y="0"/>
                      <a:ext cx="7199630" cy="33020"/>
                    </a:xfrm>
                    <a:prstGeom prst="rect">
                      <a:avLst/>
                    </a:prstGeom>
                    <a:noFill/>
                  </pic:spPr>
                </pic:pic>
              </a:graphicData>
            </a:graphic>
          </wp:anchor>
        </w:drawing>
        <w:t xml:space="preserve">Section 5.14 </w:t>
      </w:r>
      <w:r>
        <w:rPr>
          <w:rFonts w:ascii="Times New Roman" w:cs="Times New Roman" w:eastAsia="Times New Roman" w:hAnsi="Times New Roman"/>
          <w:sz w:val="14"/>
          <w:szCs w:val="14"/>
          <w:u w:val="single" w:color="auto"/>
          <w:color w:val="auto"/>
        </w:rPr>
        <w:t>UNDERTAKING FOR COSTS.</w:t>
      </w:r>
    </w:p>
    <w:p>
      <w:pPr>
        <w:spacing w:after="0" w:line="182" w:lineRule="exact"/>
        <w:rPr>
          <w:sz w:val="20"/>
          <w:szCs w:val="20"/>
          <w:color w:val="auto"/>
        </w:rPr>
      </w:pPr>
    </w:p>
    <w:p>
      <w:pPr>
        <w:ind w:left="120" w:right="159" w:firstLine="350"/>
        <w:spacing w:after="0" w:line="261" w:lineRule="auto"/>
        <w:rPr>
          <w:sz w:val="20"/>
          <w:szCs w:val="20"/>
          <w:color w:val="auto"/>
        </w:rPr>
      </w:pPr>
      <w:r>
        <w:rPr>
          <w:rFonts w:ascii="Times New Roman" w:cs="Times New Roman" w:eastAsia="Times New Roman" w:hAnsi="Times New Roman"/>
          <w:sz w:val="14"/>
          <w:szCs w:val="14"/>
          <w:color w:val="auto"/>
        </w:rPr>
        <w:t xml:space="preserve">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but the provisions of this </w:t>
      </w:r>
      <w:r>
        <w:rPr>
          <w:rFonts w:ascii="Times New Roman" w:cs="Times New Roman" w:eastAsia="Times New Roman" w:hAnsi="Times New Roman"/>
          <w:sz w:val="14"/>
          <w:szCs w:val="14"/>
          <w:u w:val="single" w:color="auto"/>
          <w:color w:val="auto"/>
        </w:rPr>
        <w:t>Section 5.14</w:t>
      </w:r>
      <w:r>
        <w:rPr>
          <w:rFonts w:ascii="Times New Roman" w:cs="Times New Roman" w:eastAsia="Times New Roman" w:hAnsi="Times New Roman"/>
          <w:sz w:val="14"/>
          <w:szCs w:val="14"/>
          <w:color w:val="auto"/>
        </w:rPr>
        <w:t xml:space="preserve"> shall not apply to any suit instituted by the Trustee, to any suit instituted by any Holder, or group of Holders, holding in the aggregate more than 10% in principal amount of the Outstanding Securities of any series, or to any suit instituted by any Holder pursuant to </w:t>
      </w:r>
      <w:r>
        <w:rPr>
          <w:rFonts w:ascii="Times New Roman" w:cs="Times New Roman" w:eastAsia="Times New Roman" w:hAnsi="Times New Roman"/>
          <w:sz w:val="14"/>
          <w:szCs w:val="14"/>
          <w:u w:val="single" w:color="auto"/>
          <w:color w:val="auto"/>
        </w:rPr>
        <w:t>Section 5.08</w:t>
      </w:r>
      <w:r>
        <w:rPr>
          <w:rFonts w:ascii="Times New Roman" w:cs="Times New Roman" w:eastAsia="Times New Roman" w:hAnsi="Times New Roman"/>
          <w:sz w:val="14"/>
          <w:szCs w:val="14"/>
          <w:color w:val="auto"/>
        </w:rPr>
        <w:t xml:space="preserve"> hereof.</w:t>
      </w:r>
    </w:p>
    <w:p>
      <w:pPr>
        <w:spacing w:after="0" w:line="1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5.15 </w:t>
      </w:r>
      <w:r>
        <w:rPr>
          <w:rFonts w:ascii="Times New Roman" w:cs="Times New Roman" w:eastAsia="Times New Roman" w:hAnsi="Times New Roman"/>
          <w:sz w:val="14"/>
          <w:szCs w:val="14"/>
          <w:u w:val="single" w:color="auto"/>
          <w:color w:val="auto"/>
        </w:rPr>
        <w:t>WAIVER OF STAY, EXTENSION OR USURY LAWS.</w:t>
      </w:r>
    </w:p>
    <w:p>
      <w:pPr>
        <w:spacing w:after="0" w:line="182" w:lineRule="exact"/>
        <w:rPr>
          <w:sz w:val="20"/>
          <w:szCs w:val="20"/>
          <w:color w:val="auto"/>
        </w:rPr>
      </w:pPr>
    </w:p>
    <w:p>
      <w:pPr>
        <w:ind w:left="120" w:right="159" w:firstLine="350"/>
        <w:spacing w:after="0" w:line="263" w:lineRule="auto"/>
        <w:rPr>
          <w:sz w:val="20"/>
          <w:szCs w:val="20"/>
          <w:color w:val="auto"/>
        </w:rPr>
      </w:pPr>
      <w:r>
        <w:rPr>
          <w:rFonts w:ascii="Times New Roman" w:cs="Times New Roman" w:eastAsia="Times New Roman" w:hAnsi="Times New Roman"/>
          <w:sz w:val="14"/>
          <w:szCs w:val="14"/>
          <w:color w:val="auto"/>
        </w:rPr>
        <w:t>The Company covenants (to the extent that it may lawfully do so) that it will not at any time insist upon, or plead, or in any manner whatsoever claim or take the benefit or advantage of, any stay or extension law or any usury or other law wherever enacted, now or at any time hereafter in force, which would prohibit or forgive the Company from paying all or any portion of the principal of, or interest on the Securities contemplated herein or in the Securities or which may affect the covenants or the performance of this Indenture; and the Company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1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5.16 </w:t>
      </w:r>
      <w:r>
        <w:rPr>
          <w:rFonts w:ascii="Times New Roman" w:cs="Times New Roman" w:eastAsia="Times New Roman" w:hAnsi="Times New Roman"/>
          <w:sz w:val="14"/>
          <w:szCs w:val="14"/>
          <w:u w:val="single" w:color="auto"/>
          <w:color w:val="auto"/>
        </w:rPr>
        <w:t>REMEDIES SUBJECT TO APPLICABLE LAW.</w:t>
      </w:r>
    </w:p>
    <w:p>
      <w:pPr>
        <w:spacing w:after="0" w:line="182" w:lineRule="exact"/>
        <w:rPr>
          <w:sz w:val="20"/>
          <w:szCs w:val="20"/>
          <w:color w:val="auto"/>
        </w:rPr>
      </w:pPr>
    </w:p>
    <w:p>
      <w:pPr>
        <w:ind w:left="120" w:right="239" w:firstLine="350"/>
        <w:spacing w:after="0" w:line="268" w:lineRule="auto"/>
        <w:rPr>
          <w:sz w:val="20"/>
          <w:szCs w:val="20"/>
          <w:color w:val="auto"/>
        </w:rPr>
      </w:pPr>
      <w:r>
        <w:rPr>
          <w:rFonts w:ascii="Times New Roman" w:cs="Times New Roman" w:eastAsia="Times New Roman" w:hAnsi="Times New Roman"/>
          <w:sz w:val="14"/>
          <w:szCs w:val="14"/>
          <w:color w:val="auto"/>
        </w:rPr>
        <w:t xml:space="preserve">All rights, remedies and powers provided by this </w:t>
      </w:r>
      <w:r>
        <w:rPr>
          <w:rFonts w:ascii="Times New Roman" w:cs="Times New Roman" w:eastAsia="Times New Roman" w:hAnsi="Times New Roman"/>
          <w:sz w:val="14"/>
          <w:szCs w:val="14"/>
          <w:u w:val="single" w:color="auto"/>
          <w:color w:val="auto"/>
        </w:rPr>
        <w:t>Article V</w:t>
      </w:r>
      <w:r>
        <w:rPr>
          <w:rFonts w:ascii="Times New Roman" w:cs="Times New Roman" w:eastAsia="Times New Roman" w:hAnsi="Times New Roman"/>
          <w:sz w:val="14"/>
          <w:szCs w:val="14"/>
          <w:color w:val="auto"/>
        </w:rPr>
        <w:t xml:space="preserve"> may be exercised only to the extent that the exercise thereof does not violate any applicable provision of law in the premises, and all the provisions of this Indenture are intended to be subject to all applicable mandatory provisions of law which may be controlling in the premises and to be limited to the extent necessary so that they will not render this Indenture invalid, unenforceable or not entitled to be recorded, registered or filed under the provisions of any applicable law.</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VI</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TRUSTEE</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6.01 </w:t>
      </w:r>
      <w:r>
        <w:rPr>
          <w:rFonts w:ascii="Times New Roman" w:cs="Times New Roman" w:eastAsia="Times New Roman" w:hAnsi="Times New Roman"/>
          <w:sz w:val="14"/>
          <w:szCs w:val="14"/>
          <w:u w:val="single" w:color="auto"/>
          <w:color w:val="auto"/>
        </w:rPr>
        <w:t>DUTIES OF TRUSTEE.</w:t>
      </w:r>
    </w:p>
    <w:p>
      <w:pPr>
        <w:spacing w:after="0" w:line="1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Subject to the provisions of Trust Indenture Act Sections 315(a) through 315(d):</w:t>
      </w:r>
    </w:p>
    <w:p>
      <w:pPr>
        <w:spacing w:after="0" w:line="97" w:lineRule="exact"/>
        <w:rPr>
          <w:sz w:val="20"/>
          <w:szCs w:val="20"/>
          <w:color w:val="auto"/>
        </w:rPr>
      </w:pPr>
    </w:p>
    <w:p>
      <w:pPr>
        <w:ind w:left="120" w:right="179" w:firstLine="357"/>
        <w:spacing w:after="0" w:line="274" w:lineRule="auto"/>
        <w:tabs>
          <w:tab w:leader="none" w:pos="664"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 Event of Default has occurred and is continuing, the Trustee shall exercise such of the rights and powers vested in it by this Indenture and use the same degree of care and skill in its exercise thereof as a prudent person would exercise or use under the circumstances in the conduct of his or her own affairs;</w:t>
      </w:r>
    </w:p>
    <w:p>
      <w:pPr>
        <w:spacing w:after="0" w:line="135" w:lineRule="exact"/>
        <w:rPr>
          <w:rFonts w:ascii="Times New Roman" w:cs="Times New Roman" w:eastAsia="Times New Roman" w:hAnsi="Times New Roman"/>
          <w:sz w:val="14"/>
          <w:szCs w:val="14"/>
          <w:color w:val="auto"/>
        </w:rPr>
      </w:pPr>
    </w:p>
    <w:p>
      <w:pPr>
        <w:ind w:left="680" w:hanging="203"/>
        <w:spacing w:after="0"/>
        <w:tabs>
          <w:tab w:leader="none" w:pos="68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during the continuance of a Default or an Event of Default:</w:t>
      </w:r>
    </w:p>
    <w:p>
      <w:pPr>
        <w:spacing w:after="0" w:line="97" w:lineRule="exact"/>
        <w:rPr>
          <w:sz w:val="20"/>
          <w:szCs w:val="20"/>
          <w:color w:val="auto"/>
        </w:rPr>
      </w:pPr>
    </w:p>
    <w:p>
      <w:pPr>
        <w:ind w:left="120" w:right="159" w:firstLine="357"/>
        <w:spacing w:after="0" w:line="292" w:lineRule="auto"/>
        <w:tabs>
          <w:tab w:leader="none" w:pos="672"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need perform only those duties as are specifically set forth in this Indenture and no covenants or obligations shall be implied in this Indenture against the Trustee; and</w:t>
      </w:r>
    </w:p>
    <w:p>
      <w:pPr>
        <w:spacing w:after="0" w:line="123" w:lineRule="exact"/>
        <w:rPr>
          <w:rFonts w:ascii="Times New Roman" w:cs="Times New Roman" w:eastAsia="Times New Roman" w:hAnsi="Times New Roman"/>
          <w:sz w:val="14"/>
          <w:szCs w:val="14"/>
          <w:color w:val="auto"/>
        </w:rPr>
      </w:pPr>
    </w:p>
    <w:p>
      <w:pPr>
        <w:ind w:left="120" w:right="179" w:firstLine="357"/>
        <w:spacing w:after="0" w:line="263" w:lineRule="auto"/>
        <w:tabs>
          <w:tab w:leader="none" w:pos="672"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absence of bad faith or willful misconduct on its part, the Trustee may conclusively rely, as to the truth of the statements and the correctness of the opinions expressed therein, upon certificates or opinions furnished to the Trustee and conforming to the requirements of this Indenture. The Trustee shall be under no duty to make any investigation as to any statement contained in any such instance, but may accept the same as conclusive evidence of the truth and accuracy of such statement or the correctness of such opinions. However, the Trustee shall examine the certificates and opinions which by any provision hereof are required to be furnished to the Trustee, to determine whether or not they conform to the requirements of this Indenture (but need not confirm or investigate the accuracy of mathematical calculations or other facts stated therein);</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9019"/>
          </w:cols>
          <w:pgMar w:left="1440" w:top="243" w:right="1440" w:bottom="1440" w:gutter="0" w:footer="0" w:header="0"/>
        </w:sectPr>
      </w:pPr>
    </w:p>
    <w:bookmarkStart w:id="152" w:name="page153"/>
    <w:bookmarkEnd w:id="152"/>
    <w:p>
      <w:pPr>
        <w:ind w:left="120" w:right="539" w:firstLine="357"/>
        <w:spacing w:after="0" w:line="292" w:lineRule="auto"/>
        <w:tabs>
          <w:tab w:leader="none" w:pos="664"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7">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the Trustee may not be relieved from liability for its own negligent action, its own negligent failure to act, or its own willful misconduct, except that:</w:t>
      </w:r>
    </w:p>
    <w:p>
      <w:pPr>
        <w:spacing w:after="0" w:line="37" w:lineRule="exact"/>
        <w:rPr>
          <w:sz w:val="20"/>
          <w:szCs w:val="20"/>
          <w:color w:val="auto"/>
        </w:rPr>
      </w:pPr>
    </w:p>
    <w:p>
      <w:pPr>
        <w:ind w:left="680" w:hanging="203"/>
        <w:spacing w:after="0"/>
        <w:tabs>
          <w:tab w:leader="none" w:pos="68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this </w:t>
      </w:r>
      <w:r>
        <w:rPr>
          <w:rFonts w:ascii="Times New Roman" w:cs="Times New Roman" w:eastAsia="Times New Roman" w:hAnsi="Times New Roman"/>
          <w:sz w:val="14"/>
          <w:szCs w:val="14"/>
          <w:u w:val="single" w:color="auto"/>
          <w:color w:val="auto"/>
        </w:rPr>
        <w:t>Subsection (c)</w:t>
      </w:r>
      <w:r>
        <w:rPr>
          <w:rFonts w:ascii="Times New Roman" w:cs="Times New Roman" w:eastAsia="Times New Roman" w:hAnsi="Times New Roman"/>
          <w:sz w:val="14"/>
          <w:szCs w:val="14"/>
          <w:color w:val="auto"/>
        </w:rPr>
        <w:t xml:space="preserve"> does not limit the effect of </w:t>
      </w:r>
      <w:r>
        <w:rPr>
          <w:rFonts w:ascii="Times New Roman" w:cs="Times New Roman" w:eastAsia="Times New Roman" w:hAnsi="Times New Roman"/>
          <w:sz w:val="14"/>
          <w:szCs w:val="14"/>
          <w:u w:val="single" w:color="auto"/>
          <w:color w:val="auto"/>
        </w:rPr>
        <w:t>Subsection (b)</w:t>
      </w:r>
      <w:r>
        <w:rPr>
          <w:rFonts w:ascii="Times New Roman" w:cs="Times New Roman" w:eastAsia="Times New Roman" w:hAnsi="Times New Roman"/>
          <w:sz w:val="14"/>
          <w:szCs w:val="14"/>
          <w:color w:val="auto"/>
        </w:rPr>
        <w:t xml:space="preserve"> of this </w:t>
      </w:r>
      <w:r>
        <w:rPr>
          <w:rFonts w:ascii="Times New Roman" w:cs="Times New Roman" w:eastAsia="Times New Roman" w:hAnsi="Times New Roman"/>
          <w:sz w:val="14"/>
          <w:szCs w:val="14"/>
          <w:u w:val="single" w:color="auto"/>
          <w:color w:val="auto"/>
        </w:rPr>
        <w:t>Section 6.01</w:t>
      </w:r>
      <w:r>
        <w:rPr>
          <w:rFonts w:ascii="Times New Roman" w:cs="Times New Roman" w:eastAsia="Times New Roman" w:hAnsi="Times New Roman"/>
          <w:sz w:val="14"/>
          <w:szCs w:val="14"/>
          <w:color w:val="auto"/>
        </w:rPr>
        <w:t>;</w:t>
      </w:r>
    </w:p>
    <w:p>
      <w:pPr>
        <w:spacing w:after="0" w:line="182" w:lineRule="exact"/>
        <w:rPr>
          <w:rFonts w:ascii="Times New Roman" w:cs="Times New Roman" w:eastAsia="Times New Roman" w:hAnsi="Times New Roman"/>
          <w:sz w:val="14"/>
          <w:szCs w:val="14"/>
          <w:color w:val="auto"/>
        </w:rPr>
      </w:pPr>
    </w:p>
    <w:p>
      <w:pPr>
        <w:ind w:left="120" w:right="479" w:firstLine="357"/>
        <w:spacing w:after="0" w:line="292" w:lineRule="auto"/>
        <w:tabs>
          <w:tab w:leader="none" w:pos="672"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not be liable for any error of judgment made in good faith by a Responsible Officer, unless it is determined by a court of competent jurisdiction in a non-appealable judgment that the Trustee was negligent in ascertaining the pertinent facts; and</w:t>
      </w:r>
    </w:p>
    <w:p>
      <w:pPr>
        <w:spacing w:after="0" w:line="123" w:lineRule="exact"/>
        <w:rPr>
          <w:rFonts w:ascii="Times New Roman" w:cs="Times New Roman" w:eastAsia="Times New Roman" w:hAnsi="Times New Roman"/>
          <w:sz w:val="14"/>
          <w:szCs w:val="14"/>
          <w:color w:val="auto"/>
        </w:rPr>
      </w:pPr>
    </w:p>
    <w:p>
      <w:pPr>
        <w:jc w:val="both"/>
        <w:ind w:left="120" w:right="179" w:firstLine="357"/>
        <w:spacing w:after="0" w:line="274" w:lineRule="auto"/>
        <w:tabs>
          <w:tab w:leader="none" w:pos="672"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not be liable with respect to any action it takes or omits to take in good faith, in accordance with a direction of the Holders of a majority in aggregate principal amount of Outstanding Securities of any series relating to the time, method and place of conducting any proceeding for any remedy available to the Trustee, or exercising any trust or power conferred upon the Trustee under this Indenture;</w:t>
      </w:r>
    </w:p>
    <w:p>
      <w:pPr>
        <w:spacing w:after="0" w:line="135" w:lineRule="exact"/>
        <w:rPr>
          <w:sz w:val="20"/>
          <w:szCs w:val="20"/>
          <w:color w:val="auto"/>
        </w:rPr>
      </w:pPr>
    </w:p>
    <w:p>
      <w:pPr>
        <w:jc w:val="both"/>
        <w:ind w:left="120" w:right="719" w:firstLine="357"/>
        <w:spacing w:after="0" w:line="274" w:lineRule="auto"/>
        <w:tabs>
          <w:tab w:leader="none" w:pos="672"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provision of this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135" w:lineRule="exact"/>
        <w:rPr>
          <w:rFonts w:ascii="Times New Roman" w:cs="Times New Roman" w:eastAsia="Times New Roman" w:hAnsi="Times New Roman"/>
          <w:sz w:val="14"/>
          <w:szCs w:val="14"/>
          <w:color w:val="auto"/>
        </w:rPr>
      </w:pPr>
    </w:p>
    <w:p>
      <w:pPr>
        <w:ind w:left="120" w:right="759" w:firstLine="357"/>
        <w:spacing w:after="0" w:line="292" w:lineRule="auto"/>
        <w:tabs>
          <w:tab w:leader="none" w:pos="664"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whether or not therein expressly so provided, every provision of this Indenture that in any way relates to the Trustee is subject to this </w:t>
      </w:r>
      <w:r>
        <w:rPr>
          <w:rFonts w:ascii="Times New Roman" w:cs="Times New Roman" w:eastAsia="Times New Roman" w:hAnsi="Times New Roman"/>
          <w:sz w:val="14"/>
          <w:szCs w:val="14"/>
          <w:u w:val="single" w:color="auto"/>
          <w:color w:val="auto"/>
        </w:rPr>
        <w:t>Section 6.01 and Section 6.03</w:t>
      </w:r>
      <w:r>
        <w:rPr>
          <w:rFonts w:ascii="Times New Roman" w:cs="Times New Roman" w:eastAsia="Times New Roman" w:hAnsi="Times New Roman"/>
          <w:sz w:val="14"/>
          <w:szCs w:val="14"/>
          <w:color w:val="auto"/>
        </w:rPr>
        <w:t>; and</w:t>
      </w:r>
    </w:p>
    <w:p>
      <w:pPr>
        <w:spacing w:after="0" w:line="123" w:lineRule="exact"/>
        <w:rPr>
          <w:rFonts w:ascii="Times New Roman" w:cs="Times New Roman" w:eastAsia="Times New Roman" w:hAnsi="Times New Roman"/>
          <w:sz w:val="14"/>
          <w:szCs w:val="14"/>
          <w:color w:val="auto"/>
        </w:rPr>
      </w:pPr>
    </w:p>
    <w:p>
      <w:pPr>
        <w:ind w:left="120" w:right="559" w:firstLine="357"/>
        <w:spacing w:after="0" w:line="292" w:lineRule="auto"/>
        <w:tabs>
          <w:tab w:leader="none" w:pos="649"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not be liable for interest or investment income on any money or assets received by it except as the Trustee may agree in writing with the Company. Assets held in trust by the Trustee need not be segregated from other assets except to the extent required by law.</w:t>
      </w:r>
    </w:p>
    <w:p>
      <w:pPr>
        <w:spacing w:after="0" w:line="1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6.02 </w:t>
      </w:r>
      <w:r>
        <w:rPr>
          <w:rFonts w:ascii="Times New Roman" w:cs="Times New Roman" w:eastAsia="Times New Roman" w:hAnsi="Times New Roman"/>
          <w:sz w:val="14"/>
          <w:szCs w:val="14"/>
          <w:u w:val="single" w:color="auto"/>
          <w:color w:val="auto"/>
        </w:rPr>
        <w:t>NOTICE OF DEFAULTS</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120" w:right="219" w:firstLine="350"/>
        <w:spacing w:after="0" w:line="265" w:lineRule="auto"/>
        <w:rPr>
          <w:sz w:val="20"/>
          <w:szCs w:val="20"/>
          <w:color w:val="auto"/>
        </w:rPr>
      </w:pPr>
      <w:r>
        <w:rPr>
          <w:rFonts w:ascii="Times New Roman" w:cs="Times New Roman" w:eastAsia="Times New Roman" w:hAnsi="Times New Roman"/>
          <w:sz w:val="14"/>
          <w:szCs w:val="14"/>
          <w:color w:val="auto"/>
        </w:rPr>
        <w:t>Within 90 days after a Responsible Officer of the Trustee receives actual notice of the occurrence of any Default, the Trustee shall transmit by mail to all Holders and any other Persons entitled to receive reports pursuant to Section 313(c) of the Trust Indenture Act, as their names and addresses appear in the Security Register, notice of such Default hereunder actually known to the Trustee, unless such Default shall have been cured or waived; provided, however, that, except in the case of a Default in the payment of the principal of, premium, if any, or interest on any Security, the Trustee shall be protected in withholding such notice if and so long as it in good faith determines that the withholding of such notice is in the interest of the Holders.</w:t>
      </w:r>
    </w:p>
    <w:p>
      <w:pPr>
        <w:spacing w:after="0" w:line="1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6.03 </w:t>
      </w:r>
      <w:r>
        <w:rPr>
          <w:rFonts w:ascii="Times New Roman" w:cs="Times New Roman" w:eastAsia="Times New Roman" w:hAnsi="Times New Roman"/>
          <w:sz w:val="14"/>
          <w:szCs w:val="14"/>
          <w:u w:val="single" w:color="auto"/>
          <w:color w:val="auto"/>
        </w:rPr>
        <w:t>CERTAIN RIGHTS OF TRUSTEE</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 xml:space="preserve">Subject to the provisions of </w:t>
      </w:r>
      <w:r>
        <w:rPr>
          <w:rFonts w:ascii="Times New Roman" w:cs="Times New Roman" w:eastAsia="Times New Roman" w:hAnsi="Times New Roman"/>
          <w:sz w:val="14"/>
          <w:szCs w:val="14"/>
          <w:u w:val="single" w:color="auto"/>
          <w:color w:val="auto"/>
        </w:rPr>
        <w:t>Section 6.01</w:t>
      </w:r>
      <w:r>
        <w:rPr>
          <w:rFonts w:ascii="Times New Roman" w:cs="Times New Roman" w:eastAsia="Times New Roman" w:hAnsi="Times New Roman"/>
          <w:sz w:val="14"/>
          <w:szCs w:val="14"/>
          <w:color w:val="auto"/>
        </w:rPr>
        <w:t xml:space="preserve"> hereof and Trust Indenture Act Sections 315(a) through 315(d):</w:t>
      </w:r>
    </w:p>
    <w:p>
      <w:pPr>
        <w:spacing w:after="0" w:line="97" w:lineRule="exact"/>
        <w:rPr>
          <w:sz w:val="20"/>
          <w:szCs w:val="20"/>
          <w:color w:val="auto"/>
        </w:rPr>
      </w:pPr>
    </w:p>
    <w:p>
      <w:pPr>
        <w:ind w:left="120" w:right="239" w:firstLine="357"/>
        <w:spacing w:after="0" w:line="268" w:lineRule="auto"/>
        <w:tabs>
          <w:tab w:leader="none" w:pos="664"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may conclusively rely and shall be protected in acting or refraining from acting upon receipt by it of any resolution, certificate, statement, instrument, opinion, report, notice, request, direction, consent, order, bond, debenture, note, other evidence of Indebtedness or other paper or document believed by it to be genuine and to have been signed or presented by the proper party or parties, and the Trustee need not investigate any fact or matter stated in the document;</w:t>
      </w:r>
    </w:p>
    <w:p>
      <w:pPr>
        <w:spacing w:after="0" w:line="139" w:lineRule="exact"/>
        <w:rPr>
          <w:rFonts w:ascii="Times New Roman" w:cs="Times New Roman" w:eastAsia="Times New Roman" w:hAnsi="Times New Roman"/>
          <w:sz w:val="14"/>
          <w:szCs w:val="14"/>
          <w:color w:val="auto"/>
        </w:rPr>
      </w:pPr>
    </w:p>
    <w:p>
      <w:pPr>
        <w:ind w:left="120" w:right="259" w:firstLine="357"/>
        <w:spacing w:after="0" w:line="292" w:lineRule="auto"/>
        <w:tabs>
          <w:tab w:leader="none" w:pos="672"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request or direction of the Company mentioned herein shall be sufficiently evidenced by a Company Request or Company Order and any resolution of the Board of Directors may be sufficiently evidenced by a Board Resolution;</w:t>
      </w:r>
    </w:p>
    <w:p>
      <w:pPr>
        <w:spacing w:after="0" w:line="123" w:lineRule="exact"/>
        <w:rPr>
          <w:rFonts w:ascii="Times New Roman" w:cs="Times New Roman" w:eastAsia="Times New Roman" w:hAnsi="Times New Roman"/>
          <w:sz w:val="14"/>
          <w:szCs w:val="14"/>
          <w:color w:val="auto"/>
        </w:rPr>
      </w:pPr>
    </w:p>
    <w:p>
      <w:pPr>
        <w:ind w:left="120" w:right="279" w:firstLine="357"/>
        <w:spacing w:after="0" w:line="274" w:lineRule="auto"/>
        <w:tabs>
          <w:tab w:leader="none" w:pos="664"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may consult with counsel of its selection and any advice of such counsel or any Opinion of Counsel shall be full and complete authorization and protection in respect of any action taken, suffered or omitted by it hereunder in good faith and in reliance thereon in accordance with such advice or Opinion of Counsel;</w:t>
      </w:r>
    </w:p>
    <w:p>
      <w:pPr>
        <w:spacing w:after="0" w:line="135" w:lineRule="exact"/>
        <w:rPr>
          <w:rFonts w:ascii="Times New Roman" w:cs="Times New Roman" w:eastAsia="Times New Roman" w:hAnsi="Times New Roman"/>
          <w:sz w:val="14"/>
          <w:szCs w:val="14"/>
          <w:color w:val="auto"/>
        </w:rPr>
      </w:pPr>
    </w:p>
    <w:p>
      <w:pPr>
        <w:jc w:val="both"/>
        <w:ind w:left="120" w:right="279" w:firstLine="357"/>
        <w:spacing w:after="0" w:line="274" w:lineRule="auto"/>
        <w:tabs>
          <w:tab w:leader="none" w:pos="672"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be under no obligation to exercise any of the rights or powers vested in it by this Indenture at the request or direction of any of the Holders pursuant to this Indenture, unless such Holders shall have offered to the Trustee security or indemnity satisfactory to the Trustee against the costs, expenses and liabilities which might be incurred by it in compliance with such request or direction;</w:t>
      </w:r>
    </w:p>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9019"/>
          </w:cols>
          <w:pgMar w:left="1440" w:top="243" w:right="1440" w:bottom="1440" w:gutter="0" w:footer="0" w:header="0"/>
        </w:sectPr>
      </w:pPr>
    </w:p>
    <w:bookmarkStart w:id="153" w:name="page154"/>
    <w:bookmarkEnd w:id="153"/>
    <w:p>
      <w:pPr>
        <w:ind w:left="120" w:right="219" w:firstLine="357"/>
        <w:spacing w:after="0" w:line="274" w:lineRule="auto"/>
        <w:tabs>
          <w:tab w:leader="none" w:pos="664"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8">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the Trustee shall not be liable for any action taken or omitted by it in good faith and believed by it to be authorized or within the discretion, rights or powers conferred upon it by this Indenture other than any liabilities arising out of the negligence, negligent failure to act or willful misconduct of the Trustee;</w:t>
      </w:r>
    </w:p>
    <w:p>
      <w:pPr>
        <w:spacing w:after="0" w:line="135" w:lineRule="exact"/>
        <w:rPr>
          <w:rFonts w:ascii="Times New Roman" w:cs="Times New Roman" w:eastAsia="Times New Roman" w:hAnsi="Times New Roman"/>
          <w:sz w:val="14"/>
          <w:szCs w:val="14"/>
          <w:color w:val="auto"/>
        </w:rPr>
      </w:pPr>
    </w:p>
    <w:p>
      <w:pPr>
        <w:ind w:left="120" w:right="139" w:firstLine="357"/>
        <w:spacing w:after="0" w:line="264" w:lineRule="auto"/>
        <w:tabs>
          <w:tab w:leader="none" w:pos="649"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not be bound to make any investigation into the facts or matters stated in any resolution, certificate, statement, instrument, opinion, report, notice, request, direction, consent, order, approval, appraisal, bond, debenture, note, coupon, security or other paper or document; provided that, the Trustee in its discretion may make such further inquiry or investigation into such facts or matters as it may deem fit, and, if the Trustee shall determine to make such further inquiry or investigation, it shall be entitled to examine the books, records and premises of the Company, personally or by agent or attorney at the sole cost of the Company and shall incur no liability or additional liability of any kind by reason of such inquiry or investigation;</w:t>
      </w:r>
    </w:p>
    <w:p>
      <w:pPr>
        <w:spacing w:after="0" w:line="316" w:lineRule="exact"/>
        <w:rPr>
          <w:rFonts w:ascii="Times New Roman" w:cs="Times New Roman" w:eastAsia="Times New Roman" w:hAnsi="Times New Roman"/>
          <w:sz w:val="14"/>
          <w:szCs w:val="14"/>
          <w:color w:val="auto"/>
        </w:rPr>
      </w:pPr>
    </w:p>
    <w:p>
      <w:pPr>
        <w:ind w:left="120" w:right="379" w:firstLine="357"/>
        <w:spacing w:after="0" w:line="274" w:lineRule="auto"/>
        <w:tabs>
          <w:tab w:leader="none" w:pos="672"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35" w:lineRule="exact"/>
        <w:rPr>
          <w:rFonts w:ascii="Times New Roman" w:cs="Times New Roman" w:eastAsia="Times New Roman" w:hAnsi="Times New Roman"/>
          <w:sz w:val="14"/>
          <w:szCs w:val="14"/>
          <w:color w:val="auto"/>
        </w:rPr>
      </w:pPr>
    </w:p>
    <w:p>
      <w:pPr>
        <w:ind w:left="120" w:right="239" w:firstLine="357"/>
        <w:spacing w:after="0" w:line="265" w:lineRule="auto"/>
        <w:tabs>
          <w:tab w:leader="none" w:pos="672"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Trustee shall not be required to take notice, and shall not be deemed to have notice, of any Default or Event of Default hereunder, except Events of Default described in </w:t>
      </w:r>
      <w:r>
        <w:rPr>
          <w:rFonts w:ascii="Times New Roman" w:cs="Times New Roman" w:eastAsia="Times New Roman" w:hAnsi="Times New Roman"/>
          <w:sz w:val="14"/>
          <w:szCs w:val="14"/>
          <w:u w:val="single" w:color="auto"/>
          <w:color w:val="auto"/>
        </w:rPr>
        <w:t>Subsections (a)</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(b)</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Section 5.01</w:t>
      </w:r>
      <w:r>
        <w:rPr>
          <w:rFonts w:ascii="Times New Roman" w:cs="Times New Roman" w:eastAsia="Times New Roman" w:hAnsi="Times New Roman"/>
          <w:sz w:val="14"/>
          <w:szCs w:val="14"/>
          <w:color w:val="auto"/>
        </w:rPr>
        <w:t xml:space="preserve"> hereof, unless a Responsible Officer of the Trustee has actual knowledge thereof or shall be notified specifically of the Default or Event of Default on a written instrument or document received by the Trustee at its Corporate Trust Office and such notice references this Indenture and the Securities. In the absence of such actual knowledge or delivery of notice satisfying those requirements, the Trustee may assume conclusively that there is no Default or Event of Default, except as noted above;</w:t>
      </w:r>
    </w:p>
    <w:p>
      <w:pPr>
        <w:spacing w:after="0" w:line="141" w:lineRule="exact"/>
        <w:rPr>
          <w:rFonts w:ascii="Times New Roman" w:cs="Times New Roman" w:eastAsia="Times New Roman" w:hAnsi="Times New Roman"/>
          <w:sz w:val="14"/>
          <w:szCs w:val="14"/>
          <w:color w:val="auto"/>
        </w:rPr>
      </w:pPr>
    </w:p>
    <w:p>
      <w:pPr>
        <w:ind w:left="120" w:right="199" w:firstLine="357"/>
        <w:spacing w:after="0" w:line="265" w:lineRule="auto"/>
        <w:tabs>
          <w:tab w:leader="none" w:pos="641"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whenever in the administration of this Indenture the Trustee shall deem it desirable that a matter be proved or established prior to taking, suffering or omitting any action hereunder, the Trustee (unless other evidence be herein specifically prescribed) may, in the absence of bad faith on its part, request and conclusively rely upon an Officers’ Certificate and/or an Opinion of Counsel, and the Trustee may consult with counsel of its selection and the advice of such counsel or any Opinion of Counsel shall be full and complete authorization and protection from liability in respect of any action taken, suffered or omitted by it hereunder in good faith and in reliance thereon;</w:t>
      </w:r>
    </w:p>
    <w:p>
      <w:pPr>
        <w:spacing w:after="0" w:line="141" w:lineRule="exact"/>
        <w:rPr>
          <w:rFonts w:ascii="Times New Roman" w:cs="Times New Roman" w:eastAsia="Times New Roman" w:hAnsi="Times New Roman"/>
          <w:sz w:val="14"/>
          <w:szCs w:val="14"/>
          <w:color w:val="auto"/>
        </w:rPr>
      </w:pPr>
    </w:p>
    <w:p>
      <w:pPr>
        <w:ind w:left="120" w:right="259" w:firstLine="357"/>
        <w:spacing w:after="0" w:line="274" w:lineRule="auto"/>
        <w:tabs>
          <w:tab w:leader="none" w:pos="641"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rights, privileges, protections, immunities and benefits given to the Trustee, including, without limitation, its right to be indemnified, are extended to, and shall be enforceable by, the Trustee in each of its capacities hereunder, and to each agent, custodian and other Person employed by the Trustee to act hereunder;</w:t>
      </w:r>
    </w:p>
    <w:p>
      <w:pPr>
        <w:spacing w:after="0" w:line="135" w:lineRule="exact"/>
        <w:rPr>
          <w:rFonts w:ascii="Times New Roman" w:cs="Times New Roman" w:eastAsia="Times New Roman" w:hAnsi="Times New Roman"/>
          <w:sz w:val="14"/>
          <w:szCs w:val="14"/>
          <w:color w:val="auto"/>
        </w:rPr>
      </w:pPr>
    </w:p>
    <w:p>
      <w:pPr>
        <w:ind w:left="120" w:right="359" w:firstLine="357"/>
        <w:spacing w:after="0" w:line="274" w:lineRule="auto"/>
        <w:tabs>
          <w:tab w:leader="none" w:pos="672"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no event shall the Trustee be responsible or liable for special, indirect, incidental, punitive or consequential loss or damage of any kind whatsoever (including, but not limited to, loss of profit) irrespective of whether the Trustee has been advised of the likelihood of such loss or damage and regardless of the form of action;</w:t>
      </w:r>
    </w:p>
    <w:p>
      <w:pPr>
        <w:spacing w:after="0" w:line="135" w:lineRule="exact"/>
        <w:rPr>
          <w:rFonts w:ascii="Times New Roman" w:cs="Times New Roman" w:eastAsia="Times New Roman" w:hAnsi="Times New Roman"/>
          <w:sz w:val="14"/>
          <w:szCs w:val="14"/>
          <w:color w:val="auto"/>
        </w:rPr>
      </w:pPr>
    </w:p>
    <w:p>
      <w:pPr>
        <w:ind w:left="120" w:right="239" w:firstLine="357"/>
        <w:spacing w:after="0" w:line="292" w:lineRule="auto"/>
        <w:tabs>
          <w:tab w:leader="none" w:pos="641"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may request that the Company deliver a certificate setting forth the names of individuals and/or titles of officers authorized at such time to take specified actions pursuant to this Indenture;</w:t>
      </w:r>
    </w:p>
    <w:p>
      <w:pPr>
        <w:spacing w:after="0" w:line="123" w:lineRule="exact"/>
        <w:rPr>
          <w:rFonts w:ascii="Times New Roman" w:cs="Times New Roman" w:eastAsia="Times New Roman" w:hAnsi="Times New Roman"/>
          <w:sz w:val="14"/>
          <w:szCs w:val="14"/>
          <w:color w:val="auto"/>
        </w:rPr>
      </w:pPr>
    </w:p>
    <w:p>
      <w:pPr>
        <w:ind w:left="720" w:hanging="243"/>
        <w:spacing w:after="0"/>
        <w:tabs>
          <w:tab w:leader="none" w:pos="72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not be required to give any bond or surety in respect of the performance of its powers and duties hereunder;</w:t>
      </w:r>
    </w:p>
    <w:p>
      <w:pPr>
        <w:spacing w:after="0" w:line="182" w:lineRule="exact"/>
        <w:rPr>
          <w:rFonts w:ascii="Times New Roman" w:cs="Times New Roman" w:eastAsia="Times New Roman" w:hAnsi="Times New Roman"/>
          <w:sz w:val="14"/>
          <w:szCs w:val="14"/>
          <w:color w:val="auto"/>
        </w:rPr>
      </w:pPr>
    </w:p>
    <w:p>
      <w:pPr>
        <w:ind w:left="680" w:hanging="203"/>
        <w:spacing w:after="0"/>
        <w:tabs>
          <w:tab w:leader="none" w:pos="68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permissive rights of the Trustee shall not be construed as duties</w:t>
      </w:r>
    </w:p>
    <w:p>
      <w:pPr>
        <w:spacing w:after="0" w:line="182" w:lineRule="exact"/>
        <w:rPr>
          <w:rFonts w:ascii="Times New Roman" w:cs="Times New Roman" w:eastAsia="Times New Roman" w:hAnsi="Times New Roman"/>
          <w:sz w:val="14"/>
          <w:szCs w:val="14"/>
          <w:color w:val="auto"/>
        </w:rPr>
      </w:pPr>
    </w:p>
    <w:p>
      <w:pPr>
        <w:ind w:left="120" w:right="519" w:firstLine="357"/>
        <w:spacing w:after="0" w:line="292" w:lineRule="auto"/>
        <w:tabs>
          <w:tab w:leader="none" w:pos="672"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otherwise specifically provided in this Indenture, any demand, request, direction or notice from the Company shall be sufficient if signed by an Officer of the Company;</w:t>
      </w:r>
    </w:p>
    <w:p>
      <w:pPr>
        <w:spacing w:after="0" w:line="123" w:lineRule="exact"/>
        <w:rPr>
          <w:rFonts w:ascii="Times New Roman" w:cs="Times New Roman" w:eastAsia="Times New Roman" w:hAnsi="Times New Roman"/>
          <w:sz w:val="14"/>
          <w:szCs w:val="14"/>
          <w:color w:val="auto"/>
        </w:rPr>
      </w:pPr>
    </w:p>
    <w:p>
      <w:pPr>
        <w:ind w:left="120" w:right="159" w:firstLine="357"/>
        <w:spacing w:after="0" w:line="274" w:lineRule="auto"/>
        <w:tabs>
          <w:tab w:leader="none" w:pos="672"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action taken, or omitted to be taken, by the Trustee in good faith pursuant to this Indenture upon the request or authority or consent of any person who, at the time of making such request or giving such authority or consent, is a Holder, shall be conclusive and binding upon future Holders and upon Securities executed and delivered in exchange therefor or in place thereof; and</w:t>
      </w:r>
    </w:p>
    <w:p>
      <w:pPr>
        <w:spacing w:after="0" w:line="135" w:lineRule="exact"/>
        <w:rPr>
          <w:rFonts w:ascii="Times New Roman" w:cs="Times New Roman" w:eastAsia="Times New Roman" w:hAnsi="Times New Roman"/>
          <w:sz w:val="14"/>
          <w:szCs w:val="14"/>
          <w:color w:val="auto"/>
        </w:rPr>
      </w:pPr>
    </w:p>
    <w:p>
      <w:pPr>
        <w:ind w:left="120" w:right="199" w:firstLine="357"/>
        <w:spacing w:after="0" w:line="292" w:lineRule="auto"/>
        <w:tabs>
          <w:tab w:leader="none" w:pos="672"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no event shall the Trustee be liable for failure to perform its duties hereunder if such failure is a direct or proximate result of another party’s failure to perform its obligations hereunder.</w:t>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ectPr>
          <w:pgSz w:w="11900" w:h="16838" w:orient="portrait"/>
          <w:cols w:equalWidth="0" w:num="1">
            <w:col w:w="9019"/>
          </w:cols>
          <w:pgMar w:left="1440" w:top="243" w:right="1440" w:bottom="1440" w:gutter="0" w:footer="0" w:header="0"/>
        </w:sectPr>
      </w:pPr>
    </w:p>
    <w:bookmarkStart w:id="154" w:name="page155"/>
    <w:bookmarkEnd w:id="154"/>
    <w:p>
      <w:pPr>
        <w:ind w:left="1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9">
                      <a:extLst>
                        <a:ext uri="{28A0092B-C50C-407E-A947-70E740481C1C}"/>
                      </a:extLst>
                    </a:blip>
                    <a:srcRect/>
                    <a:stretch>
                      <a:fillRect/>
                    </a:stretch>
                  </pic:blipFill>
                  <pic:spPr bwMode="auto">
                    <a:xfrm>
                      <a:off x="0" y="0"/>
                      <a:ext cx="7199630" cy="33020"/>
                    </a:xfrm>
                    <a:prstGeom prst="rect">
                      <a:avLst/>
                    </a:prstGeom>
                    <a:noFill/>
                  </pic:spPr>
                </pic:pic>
              </a:graphicData>
            </a:graphic>
          </wp:anchor>
        </w:drawing>
        <w:t xml:space="preserve">Section 6.04 </w:t>
      </w:r>
      <w:r>
        <w:rPr>
          <w:rFonts w:ascii="Times New Roman" w:cs="Times New Roman" w:eastAsia="Times New Roman" w:hAnsi="Times New Roman"/>
          <w:sz w:val="14"/>
          <w:szCs w:val="14"/>
          <w:u w:val="single" w:color="auto"/>
          <w:color w:val="auto"/>
        </w:rPr>
        <w:t>TRUSTEE NOT RESPONSIBLE FOR RECITALS, DISPOSITIONS OF SECURITIES OR APPLICATION OF PROCEEDS THEREOF</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120" w:right="279" w:firstLine="350"/>
        <w:spacing w:after="0" w:line="263" w:lineRule="auto"/>
        <w:rPr>
          <w:sz w:val="20"/>
          <w:szCs w:val="20"/>
          <w:color w:val="auto"/>
        </w:rPr>
      </w:pPr>
      <w:r>
        <w:rPr>
          <w:rFonts w:ascii="Times New Roman" w:cs="Times New Roman" w:eastAsia="Times New Roman" w:hAnsi="Times New Roman"/>
          <w:sz w:val="14"/>
          <w:szCs w:val="14"/>
          <w:color w:val="auto"/>
        </w:rPr>
        <w:t>The recitals contained herein and in the Securities, except the Trustee’s certificates of authentication, shall be taken as the statements of the Company, and the Trustee assumes no responsibility for their correctness. The Trustee makes no representations as to the validity or sufficiency of this Indenture or of the Securities, except that the Trustee represents that it is duly authorized to execute and deliver this Indenture, authenticate the Securities and perform its obligations hereunder and that the statements made by it in any Statement of Eligibility on Form T-1 to be supplied to the Company will be true and accurate subject to the qualifications set forth therein. The Trustee shall not be accountable for the use or application by the Company of Securities or the proceeds thereof.</w:t>
      </w:r>
    </w:p>
    <w:p>
      <w:pPr>
        <w:spacing w:after="0" w:line="1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6.05 </w:t>
      </w:r>
      <w:r>
        <w:rPr>
          <w:rFonts w:ascii="Times New Roman" w:cs="Times New Roman" w:eastAsia="Times New Roman" w:hAnsi="Times New Roman"/>
          <w:sz w:val="14"/>
          <w:szCs w:val="14"/>
          <w:u w:val="single" w:color="auto"/>
          <w:color w:val="auto"/>
        </w:rPr>
        <w:t>TRUSTEE AND AGENTS MAY HOLD SECURITIES; COLLECTIONS; ETC.</w:t>
      </w:r>
    </w:p>
    <w:p>
      <w:pPr>
        <w:spacing w:after="0" w:line="182" w:lineRule="exact"/>
        <w:rPr>
          <w:sz w:val="20"/>
          <w:szCs w:val="20"/>
          <w:color w:val="auto"/>
        </w:rPr>
      </w:pPr>
    </w:p>
    <w:p>
      <w:pPr>
        <w:ind w:left="120" w:right="299" w:firstLine="350"/>
        <w:spacing w:after="0" w:line="268" w:lineRule="auto"/>
        <w:rPr>
          <w:sz w:val="20"/>
          <w:szCs w:val="20"/>
          <w:color w:val="auto"/>
        </w:rPr>
      </w:pPr>
      <w:r>
        <w:rPr>
          <w:rFonts w:ascii="Times New Roman" w:cs="Times New Roman" w:eastAsia="Times New Roman" w:hAnsi="Times New Roman"/>
          <w:sz w:val="14"/>
          <w:szCs w:val="14"/>
          <w:color w:val="auto"/>
        </w:rPr>
        <w:t>The Trustee, any Paying Agent, Security Registrar or any other agent of the Company, in its individual or any other capacity, may become the owner or pledgee of Securities, with the same rights it would have if it were not the Trustee, Paying Agent, Security Registrar or such other agent and, subject to Trust Indenture Act Sections 310 and 311, may otherwise deal with the Company and receive, collect, hold and retain collections from the Company with the same rights it would have if it were not the Trustee, Paying Agent, Security Registrar or such other agent.</w:t>
      </w:r>
    </w:p>
    <w:p>
      <w:pPr>
        <w:spacing w:after="0" w:line="1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6.06 </w:t>
      </w:r>
      <w:r>
        <w:rPr>
          <w:rFonts w:ascii="Times New Roman" w:cs="Times New Roman" w:eastAsia="Times New Roman" w:hAnsi="Times New Roman"/>
          <w:sz w:val="14"/>
          <w:szCs w:val="14"/>
          <w:u w:val="single" w:color="auto"/>
          <w:color w:val="auto"/>
        </w:rPr>
        <w:t>MONEY HELD IN TRUST</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120" w:right="239" w:firstLine="350"/>
        <w:spacing w:after="0" w:line="292" w:lineRule="auto"/>
        <w:rPr>
          <w:sz w:val="20"/>
          <w:szCs w:val="20"/>
          <w:color w:val="auto"/>
        </w:rPr>
      </w:pPr>
      <w:r>
        <w:rPr>
          <w:rFonts w:ascii="Times New Roman" w:cs="Times New Roman" w:eastAsia="Times New Roman" w:hAnsi="Times New Roman"/>
          <w:sz w:val="14"/>
          <w:szCs w:val="14"/>
          <w:color w:val="auto"/>
        </w:rPr>
        <w:t>All moneys received by the Trustee shall, until used or applied as herein provided, be held in trust for the purposes for which they were received, but need not be segregated from other funds, except to the extent required by mandatory provisions of law.</w:t>
      </w:r>
    </w:p>
    <w:p>
      <w:pPr>
        <w:spacing w:after="0" w:line="1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6.07 </w:t>
      </w:r>
      <w:r>
        <w:rPr>
          <w:rFonts w:ascii="Times New Roman" w:cs="Times New Roman" w:eastAsia="Times New Roman" w:hAnsi="Times New Roman"/>
          <w:sz w:val="14"/>
          <w:szCs w:val="14"/>
          <w:u w:val="single" w:color="auto"/>
          <w:color w:val="auto"/>
        </w:rPr>
        <w:t>COMPENSATION AND INDEMNIFICATION OF TRUSTEE AND ITS PRIOR CLAIM</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120" w:right="139" w:firstLine="350"/>
        <w:spacing w:after="0" w:line="258" w:lineRule="auto"/>
        <w:rPr>
          <w:sz w:val="20"/>
          <w:szCs w:val="20"/>
          <w:color w:val="auto"/>
        </w:rPr>
      </w:pPr>
      <w:r>
        <w:rPr>
          <w:rFonts w:ascii="Times New Roman" w:cs="Times New Roman" w:eastAsia="Times New Roman" w:hAnsi="Times New Roman"/>
          <w:sz w:val="14"/>
          <w:szCs w:val="14"/>
          <w:color w:val="auto"/>
        </w:rPr>
        <w:t>The Company covenants and agrees to pay to the Trustee from time to time, such compensation as agreed to in writing by the Company and the Trustee and reasonable compensation for all other services rendered by it hereunder (which compensation shall not be limited by any provision of law in regard to the compensation of a trustee of an express trust), and the Company covenants and agrees to pay or reimburse the Trustee and each predecessor Trustee upon its request for all reasonable fees, expenses, disbursements and advances incurred or made by or on behalf of the Trustee in accordance with any of the provisions of this Indenture and as agreed upon in the fee agreement between the Trustee and the Company (including the reasonable compensation and the fees, expenses and disbursements of its counsel and of all agents (other than any Authenticating Agent) and other persons not regularly in its employ); except any such expense, disbursement or advance as may arise from its negligence, negligent failure to act or willful misconduct. The Company also covenants and agrees to indemnify the Trustee and its directors, officers, agents and employees and each predecessor Trustee (the “</w:t>
      </w:r>
      <w:r>
        <w:rPr>
          <w:rFonts w:ascii="Times New Roman" w:cs="Times New Roman" w:eastAsia="Times New Roman" w:hAnsi="Times New Roman"/>
          <w:sz w:val="14"/>
          <w:szCs w:val="14"/>
          <w:u w:val="single" w:color="auto"/>
          <w:color w:val="auto"/>
        </w:rPr>
        <w:t>Indemnitees</w:t>
      </w:r>
      <w:r>
        <w:rPr>
          <w:rFonts w:ascii="Times New Roman" w:cs="Times New Roman" w:eastAsia="Times New Roman" w:hAnsi="Times New Roman"/>
          <w:sz w:val="14"/>
          <w:szCs w:val="14"/>
          <w:color w:val="auto"/>
        </w:rPr>
        <w:t xml:space="preserve">”) for, and to hold them harmless against, any claim, loss, liability, damage, tax, assessment or other governmental charge (other than taxes applicable to the Trustee’s compensation hereunder), cost or expense incurred without negligence, negligent failure to act or willful misconduct on its part, arising out of or in connection with the acceptance or administration of this Indenture or the trusts hereunder and its duties hereunder, including enforcement of this </w:t>
      </w:r>
      <w:r>
        <w:rPr>
          <w:rFonts w:ascii="Times New Roman" w:cs="Times New Roman" w:eastAsia="Times New Roman" w:hAnsi="Times New Roman"/>
          <w:sz w:val="14"/>
          <w:szCs w:val="14"/>
          <w:u w:val="single" w:color="auto"/>
          <w:color w:val="auto"/>
        </w:rPr>
        <w:t>Section 6.07</w:t>
      </w:r>
      <w:r>
        <w:rPr>
          <w:rFonts w:ascii="Times New Roman" w:cs="Times New Roman" w:eastAsia="Times New Roman" w:hAnsi="Times New Roman"/>
          <w:sz w:val="14"/>
          <w:szCs w:val="14"/>
          <w:color w:val="auto"/>
        </w:rPr>
        <w:t xml:space="preserve"> and also including any liability which the Indemnitees may incur as a result of failure to withhold, pay or report any tax, assessment, fine, penalty, damages or other governmental charge, and the costs, fees and expenses of defending itself against or investigating any claim (whether asserted by the Company, a Guarantor, a Holder, or any other Person) or liability in connection with the exercise or performance of any of its powers or duties hereunder. The obligations of the Company under this </w:t>
      </w:r>
      <w:r>
        <w:rPr>
          <w:rFonts w:ascii="Times New Roman" w:cs="Times New Roman" w:eastAsia="Times New Roman" w:hAnsi="Times New Roman"/>
          <w:sz w:val="14"/>
          <w:szCs w:val="14"/>
          <w:u w:val="single" w:color="auto"/>
          <w:color w:val="auto"/>
        </w:rPr>
        <w:t>Section 6.07</w:t>
      </w:r>
      <w:r>
        <w:rPr>
          <w:rFonts w:ascii="Times New Roman" w:cs="Times New Roman" w:eastAsia="Times New Roman" w:hAnsi="Times New Roman"/>
          <w:sz w:val="14"/>
          <w:szCs w:val="14"/>
          <w:color w:val="auto"/>
        </w:rPr>
        <w:t xml:space="preserve"> to compensate and indemnify the Indemnitees and each predecessor Trustee and to pay or reimburse the Trustee and each predecessor Trustee for reasonable fees, expenses, disbursements and advances shall constitute an additional obligation hereunder and shall survive the satisfaction and discharge of this Indenture and the resignation or removal of the Trustee and each predecessor Trustee.</w:t>
      </w:r>
    </w:p>
    <w:p>
      <w:pPr>
        <w:spacing w:after="0" w:line="147" w:lineRule="exact"/>
        <w:rPr>
          <w:sz w:val="20"/>
          <w:szCs w:val="20"/>
          <w:color w:val="auto"/>
        </w:rPr>
      </w:pPr>
    </w:p>
    <w:p>
      <w:pPr>
        <w:ind w:left="120" w:right="319" w:firstLine="350"/>
        <w:spacing w:after="0" w:line="292" w:lineRule="auto"/>
        <w:rPr>
          <w:sz w:val="20"/>
          <w:szCs w:val="20"/>
          <w:color w:val="auto"/>
        </w:rPr>
      </w:pPr>
      <w:r>
        <w:rPr>
          <w:rFonts w:ascii="Times New Roman" w:cs="Times New Roman" w:eastAsia="Times New Roman" w:hAnsi="Times New Roman"/>
          <w:sz w:val="14"/>
          <w:szCs w:val="14"/>
          <w:color w:val="auto"/>
        </w:rPr>
        <w:t xml:space="preserve">The Trustee shall have a lien prior to the Securities as to all property and funds held by it hereunder for any amount owing it or any predecessor Trustee pursuant to this </w:t>
      </w:r>
      <w:r>
        <w:rPr>
          <w:rFonts w:ascii="Times New Roman" w:cs="Times New Roman" w:eastAsia="Times New Roman" w:hAnsi="Times New Roman"/>
          <w:sz w:val="14"/>
          <w:szCs w:val="14"/>
          <w:u w:val="single" w:color="auto"/>
          <w:color w:val="auto"/>
        </w:rPr>
        <w:t>Section 6.07</w:t>
      </w:r>
      <w:r>
        <w:rPr>
          <w:rFonts w:ascii="Times New Roman" w:cs="Times New Roman" w:eastAsia="Times New Roman" w:hAnsi="Times New Roman"/>
          <w:sz w:val="14"/>
          <w:szCs w:val="14"/>
          <w:color w:val="auto"/>
        </w:rPr>
        <w:t>, except with respect to funds held in trust for the benefit of the Holders of particular Securities.</w:t>
      </w:r>
    </w:p>
    <w:p>
      <w:pPr>
        <w:spacing w:after="0" w:line="123" w:lineRule="exact"/>
        <w:rPr>
          <w:sz w:val="20"/>
          <w:szCs w:val="20"/>
          <w:color w:val="auto"/>
        </w:rPr>
      </w:pPr>
    </w:p>
    <w:p>
      <w:pPr>
        <w:jc w:val="both"/>
        <w:ind w:left="120" w:right="259" w:firstLine="350"/>
        <w:spacing w:after="0" w:line="274" w:lineRule="auto"/>
        <w:rPr>
          <w:sz w:val="20"/>
          <w:szCs w:val="20"/>
          <w:color w:val="auto"/>
        </w:rPr>
      </w:pPr>
      <w:r>
        <w:rPr>
          <w:rFonts w:ascii="Times New Roman" w:cs="Times New Roman" w:eastAsia="Times New Roman" w:hAnsi="Times New Roman"/>
          <w:sz w:val="14"/>
          <w:szCs w:val="14"/>
          <w:color w:val="auto"/>
        </w:rPr>
        <w:t xml:space="preserve">When the Trustee incurs expenses or renders services in connection with an Event of Default specified in </w:t>
      </w:r>
      <w:r>
        <w:rPr>
          <w:rFonts w:ascii="Times New Roman" w:cs="Times New Roman" w:eastAsia="Times New Roman" w:hAnsi="Times New Roman"/>
          <w:sz w:val="14"/>
          <w:szCs w:val="14"/>
          <w:u w:val="single" w:color="auto"/>
          <w:color w:val="auto"/>
        </w:rPr>
        <w:t>Section 5.01(e)</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5.01(f)</w:t>
      </w:r>
      <w:r>
        <w:rPr>
          <w:rFonts w:ascii="Times New Roman" w:cs="Times New Roman" w:eastAsia="Times New Roman" w:hAnsi="Times New Roman"/>
          <w:sz w:val="14"/>
          <w:szCs w:val="14"/>
          <w:color w:val="auto"/>
        </w:rPr>
        <w:t>, the expenses (including the reasonable charges and expenses of its counsel) and the compensation for the services are intended to constitute administrative expenses for purposes of priority under any applicable Federal or state bankruptcy, insolvency or other similar law.</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6.08 </w:t>
      </w:r>
      <w:r>
        <w:rPr>
          <w:rFonts w:ascii="Times New Roman" w:cs="Times New Roman" w:eastAsia="Times New Roman" w:hAnsi="Times New Roman"/>
          <w:sz w:val="14"/>
          <w:szCs w:val="14"/>
          <w:u w:val="single" w:color="auto"/>
          <w:color w:val="auto"/>
        </w:rPr>
        <w:t>CONFLICTING INTERESTS</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The Trustee shall comply with the provisions of Section 310(b) of the Trust Indenture Act.</w:t>
      </w:r>
    </w:p>
    <w:p>
      <w:pPr>
        <w:spacing w:after="0" w:line="12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33</w:t>
      </w:r>
    </w:p>
    <w:p>
      <w:pPr>
        <w:sectPr>
          <w:pgSz w:w="11900" w:h="16838" w:orient="portrait"/>
          <w:cols w:equalWidth="0" w:num="1">
            <w:col w:w="9019"/>
          </w:cols>
          <w:pgMar w:left="1440" w:top="243" w:right="1440" w:bottom="1440" w:gutter="0" w:footer="0" w:header="0"/>
        </w:sectPr>
      </w:pPr>
    </w:p>
    <w:bookmarkStart w:id="155" w:name="page156"/>
    <w:bookmarkEnd w:id="155"/>
    <w:p>
      <w:pPr>
        <w:ind w:left="1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0">
                      <a:extLst>
                        <a:ext uri="{28A0092B-C50C-407E-A947-70E740481C1C}"/>
                      </a:extLst>
                    </a:blip>
                    <a:srcRect/>
                    <a:stretch>
                      <a:fillRect/>
                    </a:stretch>
                  </pic:blipFill>
                  <pic:spPr bwMode="auto">
                    <a:xfrm>
                      <a:off x="0" y="0"/>
                      <a:ext cx="7199630" cy="33020"/>
                    </a:xfrm>
                    <a:prstGeom prst="rect">
                      <a:avLst/>
                    </a:prstGeom>
                    <a:noFill/>
                  </pic:spPr>
                </pic:pic>
              </a:graphicData>
            </a:graphic>
          </wp:anchor>
        </w:drawing>
        <w:t xml:space="preserve">Section 6.09 </w:t>
      </w:r>
      <w:r>
        <w:rPr>
          <w:rFonts w:ascii="Times New Roman" w:cs="Times New Roman" w:eastAsia="Times New Roman" w:hAnsi="Times New Roman"/>
          <w:sz w:val="14"/>
          <w:szCs w:val="14"/>
          <w:u w:val="single" w:color="auto"/>
          <w:color w:val="auto"/>
        </w:rPr>
        <w:t>TRUSTEE ELIGIBILITY; DISQUALIFICATION</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120" w:right="239" w:firstLine="350"/>
        <w:spacing w:after="0" w:line="268" w:lineRule="auto"/>
        <w:rPr>
          <w:sz w:val="20"/>
          <w:szCs w:val="20"/>
          <w:color w:val="auto"/>
        </w:rPr>
      </w:pPr>
      <w:r>
        <w:rPr>
          <w:rFonts w:ascii="Times New Roman" w:cs="Times New Roman" w:eastAsia="Times New Roman" w:hAnsi="Times New Roman"/>
          <w:sz w:val="14"/>
          <w:szCs w:val="14"/>
          <w:color w:val="auto"/>
        </w:rPr>
        <w:t>There shall at all times be a Trustee hereunder that is a corporation or limited liability company organized and doing business under the laws of the United States of America or of any state thereof that is authorized under such laws to exercise corporate trustee power, that is subject to supervision or examination by federal or state authorities and that has a combined capital and surplus of at least $150,000 as set forth in its most recent published annual report of condition.</w:t>
      </w:r>
    </w:p>
    <w:p>
      <w:pPr>
        <w:spacing w:after="0" w:line="139" w:lineRule="exact"/>
        <w:rPr>
          <w:sz w:val="20"/>
          <w:szCs w:val="20"/>
          <w:color w:val="auto"/>
        </w:rPr>
      </w:pPr>
    </w:p>
    <w:p>
      <w:pPr>
        <w:ind w:left="120" w:right="179" w:firstLine="350"/>
        <w:spacing w:after="0" w:line="292" w:lineRule="auto"/>
        <w:rPr>
          <w:sz w:val="20"/>
          <w:szCs w:val="20"/>
          <w:color w:val="auto"/>
        </w:rPr>
      </w:pPr>
      <w:r>
        <w:rPr>
          <w:rFonts w:ascii="Times New Roman" w:cs="Times New Roman" w:eastAsia="Times New Roman" w:hAnsi="Times New Roman"/>
          <w:sz w:val="14"/>
          <w:szCs w:val="14"/>
          <w:color w:val="auto"/>
        </w:rPr>
        <w:t>This Indenture shall always have a Trustee who satisfies the requirements of Trust Indenture Act § 310(a)(1), (2) and (5). The Trustee is subject to Trust Indenture Act § 310(b).</w:t>
      </w:r>
    </w:p>
    <w:p>
      <w:pPr>
        <w:spacing w:after="0" w:line="1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6.10 </w:t>
      </w:r>
      <w:r>
        <w:rPr>
          <w:rFonts w:ascii="Times New Roman" w:cs="Times New Roman" w:eastAsia="Times New Roman" w:hAnsi="Times New Roman"/>
          <w:sz w:val="14"/>
          <w:szCs w:val="14"/>
          <w:u w:val="single" w:color="auto"/>
          <w:color w:val="auto"/>
        </w:rPr>
        <w:t>RESIGNATION AND REMOVAL; APPOINTMENT OF SUCCESSOR TRUSTEE.</w:t>
      </w:r>
    </w:p>
    <w:p>
      <w:pPr>
        <w:spacing w:after="0" w:line="182" w:lineRule="exact"/>
        <w:rPr>
          <w:sz w:val="20"/>
          <w:szCs w:val="20"/>
          <w:color w:val="auto"/>
        </w:rPr>
      </w:pPr>
    </w:p>
    <w:p>
      <w:pPr>
        <w:ind w:left="120" w:right="219" w:firstLine="357"/>
        <w:spacing w:after="0" w:line="292" w:lineRule="auto"/>
        <w:tabs>
          <w:tab w:leader="none" w:pos="664"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 resignation or removal of the Trustee and no appointment of a successor trustee pursuant to this </w:t>
      </w:r>
      <w:r>
        <w:rPr>
          <w:rFonts w:ascii="Times New Roman" w:cs="Times New Roman" w:eastAsia="Times New Roman" w:hAnsi="Times New Roman"/>
          <w:sz w:val="14"/>
          <w:szCs w:val="14"/>
          <w:u w:val="single" w:color="auto"/>
          <w:color w:val="auto"/>
        </w:rPr>
        <w:t>Article VI</w:t>
      </w:r>
      <w:r>
        <w:rPr>
          <w:rFonts w:ascii="Times New Roman" w:cs="Times New Roman" w:eastAsia="Times New Roman" w:hAnsi="Times New Roman"/>
          <w:sz w:val="14"/>
          <w:szCs w:val="14"/>
          <w:color w:val="auto"/>
        </w:rPr>
        <w:t xml:space="preserve"> shall become effective until the acceptance of appointment by the successor trustee under </w:t>
      </w:r>
      <w:r>
        <w:rPr>
          <w:rFonts w:ascii="Times New Roman" w:cs="Times New Roman" w:eastAsia="Times New Roman" w:hAnsi="Times New Roman"/>
          <w:sz w:val="14"/>
          <w:szCs w:val="14"/>
          <w:u w:val="single" w:color="auto"/>
          <w:color w:val="auto"/>
        </w:rPr>
        <w:t>Section 6.11</w:t>
      </w:r>
      <w:r>
        <w:rPr>
          <w:rFonts w:ascii="Times New Roman" w:cs="Times New Roman" w:eastAsia="Times New Roman" w:hAnsi="Times New Roman"/>
          <w:sz w:val="14"/>
          <w:szCs w:val="14"/>
          <w:color w:val="auto"/>
        </w:rPr>
        <w:t>.</w:t>
      </w:r>
    </w:p>
    <w:p>
      <w:pPr>
        <w:spacing w:after="0" w:line="123" w:lineRule="exact"/>
        <w:rPr>
          <w:rFonts w:ascii="Times New Roman" w:cs="Times New Roman" w:eastAsia="Times New Roman" w:hAnsi="Times New Roman"/>
          <w:sz w:val="14"/>
          <w:szCs w:val="14"/>
          <w:color w:val="auto"/>
        </w:rPr>
      </w:pPr>
    </w:p>
    <w:p>
      <w:pPr>
        <w:ind w:left="120" w:right="199" w:firstLine="357"/>
        <w:spacing w:after="0" w:line="261" w:lineRule="auto"/>
        <w:tabs>
          <w:tab w:leader="none" w:pos="672"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or any trustee or trustees hereafter appointed, may at any time resign by giving written notice thereof to the Company no later than 30 Business Days prior to the proposed date of resignation. Upon receiving such notice of resignation, the Company shall promptly appoint a successor trustee by written instrument executed by authority of the Board of Directors of the Company, a copy of which shall be delivered to the resigning Trustee and a copy to the successor trustee. If an instrument of acceptance by a successor trustee shall not have been delivered to the Trustee within 30 days after the giving of such notice of resignation, the resigning Trustee, at the expense of the Company, or any Holder who has been a bona fide Holder of a Security for at least six months, on behalf of himself and all others similarly situated, may petition any court of competent jurisdiction for the appointment of a successor trustee. Such court may thereupon, after such notice, if any, as it may deem proper, appoint and prescribe a successor trustee.</w:t>
      </w:r>
    </w:p>
    <w:p>
      <w:pPr>
        <w:spacing w:after="0" w:line="319" w:lineRule="exact"/>
        <w:rPr>
          <w:rFonts w:ascii="Times New Roman" w:cs="Times New Roman" w:eastAsia="Times New Roman" w:hAnsi="Times New Roman"/>
          <w:sz w:val="14"/>
          <w:szCs w:val="14"/>
          <w:color w:val="auto"/>
        </w:rPr>
      </w:pPr>
    </w:p>
    <w:p>
      <w:pPr>
        <w:ind w:left="120" w:right="159" w:firstLine="357"/>
        <w:spacing w:after="0" w:line="260" w:lineRule="auto"/>
        <w:tabs>
          <w:tab w:leader="none" w:pos="664"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may be removed with respect to any particular series of Securities at any time for any cause or for no cause by an Act of the Holders of not less than a majority in aggregate principal amount of the Outstanding Securities of such series, delivered to the Trustee and to the Company at least 30 days prior to the proposed date of termination. Upon receiving such Act of the Holders, the Company shall promptly appoint a successor trustee by written instrument executed by authority of the Board of Directors of the Company, a copy of which shall be delivered to the removed Trustee and a copy to the successor trustee. If an instrument of acceptance by a successor trustee shall not have been delivered to the Trustee within 30 days after the receipt of such Act of the Holders, the removed Trustee, at the expense of the Company, or any Holder who has been a bona fide Holder of a Security for at least six months, on behalf of himself and all others similarly situated, may petition any court of competent jurisdiction for the appointment of a successor trustee. Such court may thereupon, after such notice, if any, as it may deem proper, appoint and prescribe a successor trustee.</w:t>
      </w:r>
    </w:p>
    <w:p>
      <w:pPr>
        <w:spacing w:after="0" w:line="321" w:lineRule="exact"/>
        <w:rPr>
          <w:rFonts w:ascii="Times New Roman" w:cs="Times New Roman" w:eastAsia="Times New Roman" w:hAnsi="Times New Roman"/>
          <w:sz w:val="14"/>
          <w:szCs w:val="14"/>
          <w:color w:val="auto"/>
        </w:rPr>
      </w:pPr>
    </w:p>
    <w:p>
      <w:pPr>
        <w:ind w:left="680" w:hanging="203"/>
        <w:spacing w:after="0"/>
        <w:tabs>
          <w:tab w:leader="none" w:pos="68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at any time:</w:t>
      </w:r>
    </w:p>
    <w:p>
      <w:pPr>
        <w:spacing w:after="0" w:line="97" w:lineRule="exact"/>
        <w:rPr>
          <w:sz w:val="20"/>
          <w:szCs w:val="20"/>
          <w:color w:val="auto"/>
        </w:rPr>
      </w:pPr>
    </w:p>
    <w:p>
      <w:pPr>
        <w:ind w:left="120" w:right="239" w:firstLine="357"/>
        <w:spacing w:after="0" w:line="292" w:lineRule="auto"/>
        <w:tabs>
          <w:tab w:leader="none" w:pos="672"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fail to comply with the provisions of Trust Indenture Act Section 310(b) after written request therefor by the Company or by any Holder who has been a bona fide Holder of a Security for at least six months,</w:t>
      </w:r>
    </w:p>
    <w:p>
      <w:pPr>
        <w:spacing w:after="0" w:line="123" w:lineRule="exact"/>
        <w:rPr>
          <w:rFonts w:ascii="Times New Roman" w:cs="Times New Roman" w:eastAsia="Times New Roman" w:hAnsi="Times New Roman"/>
          <w:sz w:val="14"/>
          <w:szCs w:val="14"/>
          <w:color w:val="auto"/>
        </w:rPr>
      </w:pPr>
    </w:p>
    <w:p>
      <w:pPr>
        <w:ind w:left="120" w:right="179" w:firstLine="357"/>
        <w:spacing w:after="0" w:line="292" w:lineRule="auto"/>
        <w:tabs>
          <w:tab w:leader="none" w:pos="672"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Trustee shall cease to be eligible under </w:t>
      </w:r>
      <w:r>
        <w:rPr>
          <w:rFonts w:ascii="Times New Roman" w:cs="Times New Roman" w:eastAsia="Times New Roman" w:hAnsi="Times New Roman"/>
          <w:sz w:val="14"/>
          <w:szCs w:val="14"/>
          <w:u w:val="single" w:color="auto"/>
          <w:color w:val="auto"/>
        </w:rPr>
        <w:t>Section 6.09</w:t>
      </w:r>
      <w:r>
        <w:rPr>
          <w:rFonts w:ascii="Times New Roman" w:cs="Times New Roman" w:eastAsia="Times New Roman" w:hAnsi="Times New Roman"/>
          <w:sz w:val="14"/>
          <w:szCs w:val="14"/>
          <w:color w:val="auto"/>
        </w:rPr>
        <w:t xml:space="preserve"> and shall fail to resign after written request therefor by the Company or by any Holder who has been a bona fide Holder of a Security for at least six months, or</w:t>
      </w:r>
    </w:p>
    <w:p>
      <w:pPr>
        <w:spacing w:after="0" w:line="123" w:lineRule="exact"/>
        <w:rPr>
          <w:rFonts w:ascii="Times New Roman" w:cs="Times New Roman" w:eastAsia="Times New Roman" w:hAnsi="Times New Roman"/>
          <w:sz w:val="14"/>
          <w:szCs w:val="14"/>
          <w:color w:val="auto"/>
        </w:rPr>
      </w:pPr>
    </w:p>
    <w:p>
      <w:pPr>
        <w:ind w:left="120" w:right="159" w:firstLine="357"/>
        <w:spacing w:after="0" w:line="274" w:lineRule="auto"/>
        <w:tabs>
          <w:tab w:leader="none" w:pos="672"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35" w:lineRule="exact"/>
        <w:rPr>
          <w:sz w:val="20"/>
          <w:szCs w:val="20"/>
          <w:color w:val="auto"/>
        </w:rPr>
      </w:pPr>
    </w:p>
    <w:p>
      <w:pPr>
        <w:ind w:left="120" w:right="159" w:firstLine="350"/>
        <w:spacing w:after="0" w:line="265" w:lineRule="auto"/>
        <w:rPr>
          <w:sz w:val="20"/>
          <w:szCs w:val="20"/>
          <w:color w:val="auto"/>
        </w:rPr>
      </w:pPr>
      <w:r>
        <w:rPr>
          <w:rFonts w:ascii="Times New Roman" w:cs="Times New Roman" w:eastAsia="Times New Roman" w:hAnsi="Times New Roman"/>
          <w:sz w:val="14"/>
          <w:szCs w:val="14"/>
          <w:color w:val="auto"/>
        </w:rPr>
        <w:t xml:space="preserve">then, in any case, and notwithstanding the provisions of Section 6.10(c): (i) the Company by or pursuant to a Board Resolution may immediately remove the Trustee, or (ii) subject to </w:t>
      </w:r>
      <w:r>
        <w:rPr>
          <w:rFonts w:ascii="Times New Roman" w:cs="Times New Roman" w:eastAsia="Times New Roman" w:hAnsi="Times New Roman"/>
          <w:sz w:val="14"/>
          <w:szCs w:val="14"/>
          <w:u w:val="single" w:color="auto"/>
          <w:color w:val="auto"/>
        </w:rPr>
        <w:t>Section 5.14</w:t>
      </w:r>
      <w:r>
        <w:rPr>
          <w:rFonts w:ascii="Times New Roman" w:cs="Times New Roman" w:eastAsia="Times New Roman" w:hAnsi="Times New Roman"/>
          <w:sz w:val="14"/>
          <w:szCs w:val="14"/>
          <w:color w:val="auto"/>
        </w:rPr>
        <w:t>, the Holder of any Security who has been a bona fide Holder of a Security for at least six months may, on behalf of himself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w:t>
      </w:r>
    </w:p>
    <w:p>
      <w:pPr>
        <w:sectPr>
          <w:pgSz w:w="11900" w:h="16838" w:orient="portrait"/>
          <w:cols w:equalWidth="0" w:num="1">
            <w:col w:w="9019"/>
          </w:cols>
          <w:pgMar w:left="1440" w:top="243" w:right="1440" w:bottom="1440" w:gutter="0" w:footer="0" w:header="0"/>
        </w:sectPr>
      </w:pPr>
    </w:p>
    <w:bookmarkStart w:id="156" w:name="page157"/>
    <w:bookmarkEnd w:id="156"/>
    <w:p>
      <w:pPr>
        <w:ind w:left="120" w:right="139" w:firstLine="357"/>
        <w:spacing w:after="0" w:line="260" w:lineRule="auto"/>
        <w:tabs>
          <w:tab w:leader="none" w:pos="664"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1">
                      <a:extLst>
                        <a:ext uri="{28A0092B-C50C-407E-A947-70E740481C1C}"/>
                      </a:extLst>
                    </a:blip>
                    <a:srcRect/>
                    <a:stretch>
                      <a:fillRect/>
                    </a:stretch>
                  </pic:blipFill>
                  <pic:spPr bwMode="auto">
                    <a:xfrm>
                      <a:off x="0" y="0"/>
                      <a:ext cx="7199630" cy="33020"/>
                    </a:xfrm>
                    <a:prstGeom prst="rect">
                      <a:avLst/>
                    </a:prstGeom>
                    <a:noFill/>
                  </pic:spPr>
                </pic:pic>
              </a:graphicData>
            </a:graphic>
          </wp:anchor>
        </w:drawing>
        <w:t xml:space="preserve">If the Trustee shall resign, be removed or become incapable of acting, or if a vacancy shall occur in the office of Trustee for any cause, the Company, by or pursuant to a Board Resolution, shall promptly appoint a successor trustee and shall comply with the applicable requirements of </w:t>
      </w:r>
      <w:r>
        <w:rPr>
          <w:rFonts w:ascii="Times New Roman" w:cs="Times New Roman" w:eastAsia="Times New Roman" w:hAnsi="Times New Roman"/>
          <w:sz w:val="14"/>
          <w:szCs w:val="14"/>
          <w:u w:val="single" w:color="auto"/>
          <w:color w:val="auto"/>
        </w:rPr>
        <w:t>Section 6.11</w:t>
      </w:r>
      <w:r>
        <w:rPr>
          <w:rFonts w:ascii="Times New Roman" w:cs="Times New Roman" w:eastAsia="Times New Roman" w:hAnsi="Times New Roman"/>
          <w:sz w:val="14"/>
          <w:szCs w:val="14"/>
          <w:color w:val="auto"/>
        </w:rPr>
        <w:t xml:space="preserve">. If, within 60 days after such resignation, removal or incapability, or the occurrence of such vacancy, the Company has not appointed a successor Trustee with respect to Securities of a series, a successor trustee shall be appointed by the Act of the Holders of a majority in aggregate principal amount of the Outstanding Securities of such series delivered to the Company and the retiring Trustee. If no successor trustee shall have been so appointed by the Company or the Holders of the Securities and accepted appointment in the manner provided herein, the Trustee, at the expense of the Company, or the Holder of any Security who has been a bona fide Holder of a Security of such series for at least six months may, subject to </w:t>
      </w:r>
      <w:r>
        <w:rPr>
          <w:rFonts w:ascii="Times New Roman" w:cs="Times New Roman" w:eastAsia="Times New Roman" w:hAnsi="Times New Roman"/>
          <w:sz w:val="14"/>
          <w:szCs w:val="14"/>
          <w:u w:val="single" w:color="auto"/>
          <w:color w:val="auto"/>
        </w:rPr>
        <w:t>Section 5.14</w:t>
      </w:r>
      <w:r>
        <w:rPr>
          <w:rFonts w:ascii="Times New Roman" w:cs="Times New Roman" w:eastAsia="Times New Roman" w:hAnsi="Times New Roman"/>
          <w:sz w:val="14"/>
          <w:szCs w:val="14"/>
          <w:color w:val="auto"/>
        </w:rPr>
        <w:t>, on behalf of himself and all others similarly situated, petition any court of competent jurisdiction for the appointment of a successor trustee with respect to Securities of a series.</w:t>
      </w:r>
    </w:p>
    <w:p>
      <w:pPr>
        <w:spacing w:after="0" w:line="147" w:lineRule="exact"/>
        <w:rPr>
          <w:rFonts w:ascii="Times New Roman" w:cs="Times New Roman" w:eastAsia="Times New Roman" w:hAnsi="Times New Roman"/>
          <w:sz w:val="14"/>
          <w:szCs w:val="14"/>
          <w:color w:val="auto"/>
        </w:rPr>
      </w:pPr>
    </w:p>
    <w:p>
      <w:pPr>
        <w:ind w:left="120" w:right="379" w:firstLine="357"/>
        <w:spacing w:after="0" w:line="274" w:lineRule="auto"/>
        <w:tabs>
          <w:tab w:leader="none" w:pos="649"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give notice of each resignation and each removal of the Trustee and each appointment of a successor trustee by mailing written notice of such event by first-class mail, postage prepaid, to the Holders of Securities as their names and addresses appear in the Security Register. Each notice shall include the name of the successor trustee and the address of its Corporate Trust Office or agent hereunder.</w:t>
      </w:r>
    </w:p>
    <w:p>
      <w:pPr>
        <w:spacing w:after="0" w:line="135" w:lineRule="exact"/>
        <w:rPr>
          <w:rFonts w:ascii="Times New Roman" w:cs="Times New Roman" w:eastAsia="Times New Roman" w:hAnsi="Times New Roman"/>
          <w:sz w:val="14"/>
          <w:szCs w:val="14"/>
          <w:color w:val="auto"/>
        </w:rPr>
      </w:pPr>
    </w:p>
    <w:p>
      <w:pPr>
        <w:ind w:left="120" w:right="239" w:firstLine="357"/>
        <w:spacing w:after="0" w:line="292" w:lineRule="auto"/>
        <w:tabs>
          <w:tab w:leader="none" w:pos="672"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replacement of the Trustee pursuant to this Section 6.10, the Company’s and any Guarantors’ obligations under Section 6.07 hereof shall continue for the benefit of the retiring Trustee.</w:t>
      </w:r>
    </w:p>
    <w:p>
      <w:pPr>
        <w:spacing w:after="0" w:line="1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6.11 </w:t>
      </w:r>
      <w:r>
        <w:rPr>
          <w:rFonts w:ascii="Times New Roman" w:cs="Times New Roman" w:eastAsia="Times New Roman" w:hAnsi="Times New Roman"/>
          <w:sz w:val="14"/>
          <w:szCs w:val="14"/>
          <w:u w:val="single" w:color="auto"/>
          <w:color w:val="auto"/>
        </w:rPr>
        <w:t>ACCEPTANCE OF APPOINTMENT BY SUCCESSOR.</w:t>
      </w:r>
    </w:p>
    <w:p>
      <w:pPr>
        <w:spacing w:after="0" w:line="1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Every successor trustee appointed hereunder shall execute, acknowledge and deliver to the Company and to the retiring Trustee an instrument</w:t>
      </w:r>
    </w:p>
    <w:p>
      <w:pPr>
        <w:spacing w:after="0" w:line="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accepting such appointment, and thereupon the resignation or removal of the retiring Trustee shall become effective and such successor trustee, without</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any further act, deed or conveyance, shall become vested with all the rights, powers, trusts and duties of the retiring Trustee as if originally named as</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Trustee hereunder; but, nevertheless, on the written request of the Company or the successor trustee, upon payment of its charges pursuant to</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u w:val="single" w:color="auto"/>
          <w:color w:val="auto"/>
        </w:rPr>
        <w:t>Section 6.07</w:t>
      </w:r>
      <w:r>
        <w:rPr>
          <w:rFonts w:ascii="Times New Roman" w:cs="Times New Roman" w:eastAsia="Times New Roman" w:hAnsi="Times New Roman"/>
          <w:sz w:val="14"/>
          <w:szCs w:val="14"/>
          <w:color w:val="auto"/>
        </w:rPr>
        <w:t xml:space="preserve"> then unpaid, such retiring Trustee shall pay over to the successor trustee all moneys, cash equivalents and other property relating thereto at</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the time held by it hereunder and shall execute and deliver an instrument transferring to such successor trustee all such rights, powers, trusts and duties.</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Upon request of any such successor trustee, the Company shall execute any and all instruments for more fully and certainly vesting in and confirming to</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such successor trustee all such rights and powers.</w:t>
      </w:r>
    </w:p>
    <w:p>
      <w:pPr>
        <w:spacing w:after="0" w:line="169" w:lineRule="exact"/>
        <w:rPr>
          <w:sz w:val="20"/>
          <w:szCs w:val="20"/>
          <w:color w:val="auto"/>
        </w:rPr>
      </w:pPr>
    </w:p>
    <w:p>
      <w:pPr>
        <w:ind w:left="120" w:right="239" w:firstLine="350"/>
        <w:spacing w:after="0" w:line="274" w:lineRule="auto"/>
        <w:rPr>
          <w:sz w:val="20"/>
          <w:szCs w:val="20"/>
          <w:color w:val="auto"/>
        </w:rPr>
      </w:pPr>
      <w:r>
        <w:rPr>
          <w:rFonts w:ascii="Times New Roman" w:cs="Times New Roman" w:eastAsia="Times New Roman" w:hAnsi="Times New Roman"/>
          <w:sz w:val="14"/>
          <w:szCs w:val="14"/>
          <w:color w:val="auto"/>
        </w:rPr>
        <w:t xml:space="preserve">No successor trustee with respect to the Securities shall accept appointment as provided in this </w:t>
      </w:r>
      <w:r>
        <w:rPr>
          <w:rFonts w:ascii="Times New Roman" w:cs="Times New Roman" w:eastAsia="Times New Roman" w:hAnsi="Times New Roman"/>
          <w:sz w:val="14"/>
          <w:szCs w:val="14"/>
          <w:u w:val="single" w:color="auto"/>
          <w:color w:val="auto"/>
        </w:rPr>
        <w:t>Section 6.11</w:t>
      </w:r>
      <w:r>
        <w:rPr>
          <w:rFonts w:ascii="Times New Roman" w:cs="Times New Roman" w:eastAsia="Times New Roman" w:hAnsi="Times New Roman"/>
          <w:sz w:val="14"/>
          <w:szCs w:val="14"/>
          <w:color w:val="auto"/>
        </w:rPr>
        <w:t xml:space="preserve"> unless at the time of such acceptance such successor trustee shall be eligible to act as trustee under the provisions of Trust Indenture Act Section 310(a) and this </w:t>
      </w:r>
      <w:r>
        <w:rPr>
          <w:rFonts w:ascii="Times New Roman" w:cs="Times New Roman" w:eastAsia="Times New Roman" w:hAnsi="Times New Roman"/>
          <w:sz w:val="14"/>
          <w:szCs w:val="14"/>
          <w:u w:val="single" w:color="auto"/>
          <w:color w:val="auto"/>
        </w:rPr>
        <w:t>Article VI</w:t>
      </w:r>
      <w:r>
        <w:rPr>
          <w:rFonts w:ascii="Times New Roman" w:cs="Times New Roman" w:eastAsia="Times New Roman" w:hAnsi="Times New Roman"/>
          <w:sz w:val="14"/>
          <w:szCs w:val="14"/>
          <w:color w:val="auto"/>
        </w:rPr>
        <w:t xml:space="preserve"> and shall have a combined capital and surplus of at least $150,000 and have a Corporate Trust Office or an agent selected in accordance with </w:t>
      </w:r>
      <w:r>
        <w:rPr>
          <w:rFonts w:ascii="Times New Roman" w:cs="Times New Roman" w:eastAsia="Times New Roman" w:hAnsi="Times New Roman"/>
          <w:sz w:val="14"/>
          <w:szCs w:val="14"/>
          <w:u w:val="single" w:color="auto"/>
          <w:color w:val="auto"/>
        </w:rPr>
        <w:t>Section 6.09</w:t>
      </w:r>
      <w:r>
        <w:rPr>
          <w:rFonts w:ascii="Times New Roman" w:cs="Times New Roman" w:eastAsia="Times New Roman" w:hAnsi="Times New Roman"/>
          <w:sz w:val="14"/>
          <w:szCs w:val="14"/>
          <w:color w:val="auto"/>
        </w:rPr>
        <w:t>.</w:t>
      </w:r>
    </w:p>
    <w:p>
      <w:pPr>
        <w:spacing w:after="0" w:line="135" w:lineRule="exact"/>
        <w:rPr>
          <w:sz w:val="20"/>
          <w:szCs w:val="20"/>
          <w:color w:val="auto"/>
        </w:rPr>
      </w:pPr>
    </w:p>
    <w:p>
      <w:pPr>
        <w:ind w:left="120" w:right="159" w:firstLine="350"/>
        <w:spacing w:after="0" w:line="258" w:lineRule="auto"/>
        <w:rPr>
          <w:sz w:val="20"/>
          <w:szCs w:val="20"/>
          <w:color w:val="auto"/>
        </w:rPr>
      </w:pPr>
      <w:r>
        <w:rPr>
          <w:rFonts w:ascii="Times New Roman" w:cs="Times New Roman" w:eastAsia="Times New Roman" w:hAnsi="Times New Roman"/>
          <w:sz w:val="14"/>
          <w:szCs w:val="14"/>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w:t>
      </w:r>
    </w:p>
    <w:p>
      <w:pPr>
        <w:spacing w:after="0" w:line="4" w:lineRule="exact"/>
        <w:rPr>
          <w:sz w:val="20"/>
          <w:szCs w:val="20"/>
          <w:color w:val="auto"/>
        </w:rPr>
      </w:pPr>
    </w:p>
    <w:p>
      <w:pPr>
        <w:ind w:left="120" w:right="179" w:firstLine="7"/>
        <w:spacing w:after="0" w:line="257" w:lineRule="auto"/>
        <w:tabs>
          <w:tab w:leader="none" w:pos="322"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 co-trustees of the same trust and that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ectPr>
          <w:pgSz w:w="11900" w:h="16838" w:orient="portrait"/>
          <w:cols w:equalWidth="0" w:num="1">
            <w:col w:w="9019"/>
          </w:cols>
          <w:pgMar w:left="1440" w:top="243" w:right="1440" w:bottom="1440" w:gutter="0" w:footer="0" w:header="0"/>
        </w:sectPr>
      </w:pPr>
    </w:p>
    <w:bookmarkStart w:id="157" w:name="page158"/>
    <w:bookmarkEnd w:id="157"/>
    <w:p>
      <w:pPr>
        <w:ind w:left="120" w:right="139" w:firstLine="350"/>
        <w:spacing w:after="0" w:line="26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2">
                      <a:extLst>
                        <a:ext uri="{28A0092B-C50C-407E-A947-70E740481C1C}"/>
                      </a:extLst>
                    </a:blip>
                    <a:srcRect/>
                    <a:stretch>
                      <a:fillRect/>
                    </a:stretch>
                  </pic:blipFill>
                  <pic:spPr bwMode="auto">
                    <a:xfrm>
                      <a:off x="0" y="0"/>
                      <a:ext cx="7199630" cy="33020"/>
                    </a:xfrm>
                    <a:prstGeom prst="rect">
                      <a:avLst/>
                    </a:prstGeom>
                    <a:noFill/>
                  </pic:spPr>
                </pic:pic>
              </a:graphicData>
            </a:graphic>
          </wp:anchor>
        </w:drawing>
        <w:t xml:space="preserve">Upon acceptance of appointment by any successor trustee as provided in this </w:t>
      </w:r>
      <w:r>
        <w:rPr>
          <w:rFonts w:ascii="Times New Roman" w:cs="Times New Roman" w:eastAsia="Times New Roman" w:hAnsi="Times New Roman"/>
          <w:sz w:val="14"/>
          <w:szCs w:val="14"/>
          <w:u w:val="single" w:color="auto"/>
          <w:color w:val="auto"/>
        </w:rPr>
        <w:t>Section 6.11</w:t>
      </w:r>
      <w:r>
        <w:rPr>
          <w:rFonts w:ascii="Times New Roman" w:cs="Times New Roman" w:eastAsia="Times New Roman" w:hAnsi="Times New Roman"/>
          <w:sz w:val="14"/>
          <w:szCs w:val="14"/>
          <w:color w:val="auto"/>
        </w:rPr>
        <w:t xml:space="preserve">, the Company shall give notice thereof to the Holders of the Securities, by mailing such notice to such Holders at their addresses as they shall appear on the Security Register. If the acceptance of appointment is substantially contemporaneous with the appointment, then the notice called for by the preceding sentence may be combined with the notice called for by </w:t>
      </w:r>
      <w:r>
        <w:rPr>
          <w:rFonts w:ascii="Times New Roman" w:cs="Times New Roman" w:eastAsia="Times New Roman" w:hAnsi="Times New Roman"/>
          <w:sz w:val="14"/>
          <w:szCs w:val="14"/>
          <w:u w:val="single" w:color="auto"/>
          <w:color w:val="auto"/>
        </w:rPr>
        <w:t>Section 6.10</w:t>
      </w:r>
      <w:r>
        <w:rPr>
          <w:rFonts w:ascii="Times New Roman" w:cs="Times New Roman" w:eastAsia="Times New Roman" w:hAnsi="Times New Roman"/>
          <w:sz w:val="14"/>
          <w:szCs w:val="14"/>
          <w:color w:val="auto"/>
        </w:rPr>
        <w:t>. If the Company fails to give such notice within 10 days after acceptance of appointment by the successor trustee, the successor trustee shall cause such notice to be given at the expense of the Company.</w:t>
      </w:r>
    </w:p>
    <w:p>
      <w:pPr>
        <w:spacing w:after="0" w:line="1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6.12 </w:t>
      </w:r>
      <w:r>
        <w:rPr>
          <w:rFonts w:ascii="Times New Roman" w:cs="Times New Roman" w:eastAsia="Times New Roman" w:hAnsi="Times New Roman"/>
          <w:sz w:val="14"/>
          <w:szCs w:val="14"/>
          <w:u w:val="single" w:color="auto"/>
          <w:color w:val="auto"/>
        </w:rPr>
        <w:t>MERGER, CONVERSION, CONSOLIDATION OR SUCCESSION TO BUSINESS</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120" w:right="179" w:firstLine="350"/>
        <w:spacing w:after="0" w:line="263" w:lineRule="auto"/>
        <w:rPr>
          <w:sz w:val="20"/>
          <w:szCs w:val="20"/>
          <w:color w:val="auto"/>
        </w:rPr>
      </w:pPr>
      <w:r>
        <w:rPr>
          <w:rFonts w:ascii="Times New Roman" w:cs="Times New Roman" w:eastAsia="Times New Roman" w:hAnsi="Times New Roman"/>
          <w:sz w:val="14"/>
          <w:szCs w:val="14"/>
          <w:color w:val="auto"/>
        </w:rPr>
        <w:t xml:space="preserve">Any corporation into which the Trustee may be merged or converted or with which it may be consolidated, or any corporation resulting from any merger, conversion or consolidation to which the Trustee shall be a party, or any corporation succeeding to all or substantially all of the corporate trust business of the Trustee (including the trust created by this Indenture) shall be the successor of the Trustee hereunder, provided that such corporation shall be eligible under Trust Indenture Act Section 310(a) and this </w:t>
      </w:r>
      <w:r>
        <w:rPr>
          <w:rFonts w:ascii="Times New Roman" w:cs="Times New Roman" w:eastAsia="Times New Roman" w:hAnsi="Times New Roman"/>
          <w:sz w:val="14"/>
          <w:szCs w:val="14"/>
          <w:u w:val="single" w:color="auto"/>
          <w:color w:val="auto"/>
        </w:rPr>
        <w:t>Article VI</w:t>
      </w:r>
      <w:r>
        <w:rPr>
          <w:rFonts w:ascii="Times New Roman" w:cs="Times New Roman" w:eastAsia="Times New Roman" w:hAnsi="Times New Roman"/>
          <w:sz w:val="14"/>
          <w:szCs w:val="14"/>
          <w:color w:val="auto"/>
        </w:rPr>
        <w:t xml:space="preserve"> and shall have a combined capital and surplus of at least $150,000 and have a Corporate Trust Office or an agent selected in accordance with </w:t>
      </w:r>
      <w:r>
        <w:rPr>
          <w:rFonts w:ascii="Times New Roman" w:cs="Times New Roman" w:eastAsia="Times New Roman" w:hAnsi="Times New Roman"/>
          <w:sz w:val="14"/>
          <w:szCs w:val="14"/>
          <w:u w:val="single" w:color="auto"/>
          <w:color w:val="auto"/>
        </w:rPr>
        <w:t>Section 6.09</w:t>
      </w:r>
      <w:r>
        <w:rPr>
          <w:rFonts w:ascii="Times New Roman" w:cs="Times New Roman" w:eastAsia="Times New Roman" w:hAnsi="Times New Roman"/>
          <w:sz w:val="14"/>
          <w:szCs w:val="14"/>
          <w:color w:val="auto"/>
        </w:rPr>
        <w:t>, without the execution or filing of any paper or any further act on the part of any of the parties hereto.</w:t>
      </w:r>
    </w:p>
    <w:p>
      <w:pPr>
        <w:spacing w:after="0" w:line="143" w:lineRule="exact"/>
        <w:rPr>
          <w:sz w:val="20"/>
          <w:szCs w:val="20"/>
          <w:color w:val="auto"/>
        </w:rPr>
      </w:pPr>
    </w:p>
    <w:p>
      <w:pPr>
        <w:ind w:left="120" w:right="139" w:firstLine="350"/>
        <w:spacing w:after="0" w:line="261" w:lineRule="auto"/>
        <w:rPr>
          <w:sz w:val="20"/>
          <w:szCs w:val="20"/>
          <w:color w:val="auto"/>
        </w:rPr>
      </w:pPr>
      <w:r>
        <w:rPr>
          <w:rFonts w:ascii="Times New Roman" w:cs="Times New Roman" w:eastAsia="Times New Roman" w:hAnsi="Times New Roman"/>
          <w:sz w:val="14"/>
          <w:szCs w:val="14"/>
          <w:color w:val="auto"/>
        </w:rPr>
        <w:t>In case at the time such successor to the Trustee shall succeed to the trusts created by this Indenture any of the Securities shall have been authenticated but not delivered, any such successor to the Trustee may adopt the certificate of authentication of any predecessor Trustee and deliver such Securities so authenticated; and, in case at that time any of the Securities shall not have been authenticated, any successor to the Trustee may authenticate such Securities either in the name of any predecessor hereunder or in the name of the successor trustee; and in all such cases such certificate shall have the full force which it is anywhere in the Securities or in this Indenture provided that the certificate of the Trustee shall have; provided that the right to adopt the certificate of authentication of any predecessor Trustee or to authenticate Securities in the name of any predecessor Trustee shall apply only to its successor or successors by merger, conversion or consolidation.</w:t>
      </w:r>
    </w:p>
    <w:p>
      <w:pPr>
        <w:spacing w:after="0" w:line="1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6.13 </w:t>
      </w:r>
      <w:r>
        <w:rPr>
          <w:rFonts w:ascii="Times New Roman" w:cs="Times New Roman" w:eastAsia="Times New Roman" w:hAnsi="Times New Roman"/>
          <w:sz w:val="14"/>
          <w:szCs w:val="14"/>
          <w:u w:val="single" w:color="auto"/>
          <w:color w:val="auto"/>
        </w:rPr>
        <w:t>PREFERENTIAL COLLECTION OF CLAIMS AGAINST COMPANY</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120" w:right="179" w:firstLine="350"/>
        <w:spacing w:after="0" w:line="274" w:lineRule="auto"/>
        <w:rPr>
          <w:sz w:val="20"/>
          <w:szCs w:val="20"/>
          <w:color w:val="auto"/>
        </w:rPr>
      </w:pPr>
      <w:r>
        <w:rPr>
          <w:rFonts w:ascii="Times New Roman" w:cs="Times New Roman" w:eastAsia="Times New Roman" w:hAnsi="Times New Roman"/>
          <w:sz w:val="14"/>
          <w:szCs w:val="14"/>
          <w:color w:val="auto"/>
        </w:rPr>
        <w:t>If and when the Trustee shall be or become a creditor of the Company (or other obligor under the Securities), the Trustee shall be subject to the provisions of the Trust Indenture Act regarding the collection of claims against the Company (or any such other obligor). A Trustee who has resigned or been removed shall be subject to Trust Indenture Act Section 311(a) to the extent indicated therein, as qualified by Trust Indenture Act Section 311(b).</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6.14 </w:t>
      </w:r>
      <w:r>
        <w:rPr>
          <w:rFonts w:ascii="Times New Roman" w:cs="Times New Roman" w:eastAsia="Times New Roman" w:hAnsi="Times New Roman"/>
          <w:sz w:val="14"/>
          <w:szCs w:val="14"/>
          <w:u w:val="single" w:color="auto"/>
          <w:color w:val="auto"/>
        </w:rPr>
        <w:t>APPOINTMENT OF AUTHENTICATING AGENT</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120" w:right="139" w:firstLine="350"/>
        <w:spacing w:after="0" w:line="258" w:lineRule="auto"/>
        <w:rPr>
          <w:sz w:val="20"/>
          <w:szCs w:val="20"/>
          <w:color w:val="auto"/>
        </w:rPr>
      </w:pPr>
      <w:r>
        <w:rPr>
          <w:rFonts w:ascii="Times New Roman" w:cs="Times New Roman" w:eastAsia="Times New Roman" w:hAnsi="Times New Roman"/>
          <w:sz w:val="14"/>
          <w:szCs w:val="14"/>
          <w:color w:val="auto"/>
        </w:rPr>
        <w:t xml:space="preserve">At any time when any of the Securities remain Outstanding, the Trustee may appoint an Authenticating Agent or Agents with respect to one or more series of Securities which shall be authorized to act on behalf of the Trustee to authenticate Securities of such series issued upon exchange, registration of transfer or partial redemption thereof, and Securities so authenticated shall be entitled to the benefits of this Indenture and shall be valid and obligatory for all purposes as if authenticated by the Trustee hereunder. Wherever reference is made in this Indenture to the authentication and delivery of Securities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reasonably acceptable to the Company and, except as may otherwise be provided pursuant to </w:t>
      </w:r>
      <w:r>
        <w:rPr>
          <w:rFonts w:ascii="Times New Roman" w:cs="Times New Roman" w:eastAsia="Times New Roman" w:hAnsi="Times New Roman"/>
          <w:sz w:val="14"/>
          <w:szCs w:val="14"/>
          <w:u w:val="single" w:color="auto"/>
          <w:color w:val="auto"/>
        </w:rPr>
        <w:t>Section 3.01</w:t>
      </w:r>
      <w:r>
        <w:rPr>
          <w:rFonts w:ascii="Times New Roman" w:cs="Times New Roman" w:eastAsia="Times New Roman" w:hAnsi="Times New Roman"/>
          <w:sz w:val="14"/>
          <w:szCs w:val="14"/>
          <w:color w:val="auto"/>
        </w:rPr>
        <w:t xml:space="preserve">, shall at all times be a bank or trust company or corporation organized and doing business and in good standing under the laws of the United States of America or of any State or the District of Columbia, authorized under such laws to act as Authenticating Agent, having a combined capital and surplus of not less than $150,000 and subject to supervision or examination by Federal or State authorities. If such Authenticating Agent publishes reports of condition at least annually, pursuant to law or the requirements of the aforesaid supervising or examining authority, then for the purposes of this </w:t>
      </w:r>
      <w:r>
        <w:rPr>
          <w:rFonts w:ascii="Times New Roman" w:cs="Times New Roman" w:eastAsia="Times New Roman" w:hAnsi="Times New Roman"/>
          <w:sz w:val="14"/>
          <w:szCs w:val="14"/>
          <w:u w:val="single" w:color="auto"/>
          <w:color w:val="auto"/>
        </w:rPr>
        <w:t>Section 6.14</w:t>
      </w:r>
      <w:r>
        <w:rPr>
          <w:rFonts w:ascii="Times New Roman" w:cs="Times New Roman" w:eastAsia="Times New Roman" w:hAnsi="Times New Roman"/>
          <w:sz w:val="14"/>
          <w:szCs w:val="14"/>
          <w:color w:val="auto"/>
        </w:rPr>
        <w:t xml:space="preserve">, the combined capital and surplus of such Authenticating Agent shall be deemed to be its combined capital and surplus as set forth in its most recent report of condition so published. In case at any time an Authenticating Agent shall cease to be eligible in accordance with the provisions of this </w:t>
      </w:r>
      <w:r>
        <w:rPr>
          <w:rFonts w:ascii="Times New Roman" w:cs="Times New Roman" w:eastAsia="Times New Roman" w:hAnsi="Times New Roman"/>
          <w:sz w:val="14"/>
          <w:szCs w:val="14"/>
          <w:u w:val="single" w:color="auto"/>
          <w:color w:val="auto"/>
        </w:rPr>
        <w:t>Section 6.14</w:t>
      </w:r>
      <w:r>
        <w:rPr>
          <w:rFonts w:ascii="Times New Roman" w:cs="Times New Roman" w:eastAsia="Times New Roman" w:hAnsi="Times New Roman"/>
          <w:sz w:val="14"/>
          <w:szCs w:val="14"/>
          <w:color w:val="auto"/>
        </w:rPr>
        <w:t xml:space="preserve">, such Authenticating Agent shall resign immediately in the manner and with the effect specified in this </w:t>
      </w:r>
      <w:r>
        <w:rPr>
          <w:rFonts w:ascii="Times New Roman" w:cs="Times New Roman" w:eastAsia="Times New Roman" w:hAnsi="Times New Roman"/>
          <w:sz w:val="14"/>
          <w:szCs w:val="14"/>
          <w:u w:val="single" w:color="auto"/>
          <w:color w:val="auto"/>
        </w:rPr>
        <w:t>Section 6.14</w:t>
      </w:r>
      <w:r>
        <w:rPr>
          <w:rFonts w:ascii="Times New Roman" w:cs="Times New Roman" w:eastAsia="Times New Roman" w:hAnsi="Times New Roman"/>
          <w:sz w:val="14"/>
          <w:szCs w:val="14"/>
          <w:color w:val="auto"/>
        </w:rPr>
        <w:t>.</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36</w:t>
      </w:r>
    </w:p>
    <w:p>
      <w:pPr>
        <w:sectPr>
          <w:pgSz w:w="11900" w:h="16838" w:orient="portrait"/>
          <w:cols w:equalWidth="0" w:num="1">
            <w:col w:w="9019"/>
          </w:cols>
          <w:pgMar w:left="1440" w:top="243" w:right="1440" w:bottom="1440" w:gutter="0" w:footer="0" w:header="0"/>
        </w:sectPr>
      </w:pPr>
    </w:p>
    <w:bookmarkStart w:id="158" w:name="page159"/>
    <w:bookmarkEnd w:id="158"/>
    <w:p>
      <w:pPr>
        <w:ind w:left="120" w:right="239" w:firstLine="350"/>
        <w:spacing w:after="0" w:line="26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3">
                      <a:extLst>
                        <a:ext uri="{28A0092B-C50C-407E-A947-70E740481C1C}"/>
                      </a:extLst>
                    </a:blip>
                    <a:srcRect/>
                    <a:stretch>
                      <a:fillRect/>
                    </a:stretch>
                  </pic:blipFill>
                  <pic:spPr bwMode="auto">
                    <a:xfrm>
                      <a:off x="0" y="0"/>
                      <a:ext cx="7199630" cy="33020"/>
                    </a:xfrm>
                    <a:prstGeom prst="rect">
                      <a:avLst/>
                    </a:prstGeom>
                    <a:noFill/>
                  </pic:spPr>
                </pic:pic>
              </a:graphicData>
            </a:graphic>
          </wp:anchor>
        </w:drawing>
        <w:t xml:space="preserve">Any corporation into which an Authenticating Agent may be merged or converted or with which it may be consolidated, or any corporation resulting from any merger, conversion or consolidation to which such Authenticating Agent shall be a party, or any corporation succeeding to all or substantially all the corporate agency or corporate trust business of an Authenticating Agent, shall continue to be an Authenticating Agent, provided such corporation shall be otherwise eligible under this </w:t>
      </w:r>
      <w:r>
        <w:rPr>
          <w:rFonts w:ascii="Times New Roman" w:cs="Times New Roman" w:eastAsia="Times New Roman" w:hAnsi="Times New Roman"/>
          <w:sz w:val="14"/>
          <w:szCs w:val="14"/>
          <w:u w:val="single" w:color="auto"/>
          <w:color w:val="auto"/>
        </w:rPr>
        <w:t>Section 6.14</w:t>
      </w:r>
      <w:r>
        <w:rPr>
          <w:rFonts w:ascii="Times New Roman" w:cs="Times New Roman" w:eastAsia="Times New Roman" w:hAnsi="Times New Roman"/>
          <w:sz w:val="14"/>
          <w:szCs w:val="14"/>
          <w:color w:val="auto"/>
        </w:rPr>
        <w:t>, without the execution or filing of any paper or further act on the part of the Trustee or the Authenticating Agent.</w:t>
      </w:r>
    </w:p>
    <w:p>
      <w:pPr>
        <w:spacing w:after="0" w:line="141" w:lineRule="exact"/>
        <w:rPr>
          <w:sz w:val="20"/>
          <w:szCs w:val="20"/>
          <w:color w:val="auto"/>
        </w:rPr>
      </w:pPr>
    </w:p>
    <w:p>
      <w:pPr>
        <w:ind w:left="120" w:right="159" w:firstLine="350"/>
        <w:spacing w:after="0" w:line="260" w:lineRule="auto"/>
        <w:rPr>
          <w:sz w:val="20"/>
          <w:szCs w:val="20"/>
          <w:color w:val="auto"/>
        </w:rPr>
      </w:pPr>
      <w:r>
        <w:rPr>
          <w:rFonts w:ascii="Times New Roman" w:cs="Times New Roman" w:eastAsia="Times New Roman" w:hAnsi="Times New Roman"/>
          <w:sz w:val="14"/>
          <w:szCs w:val="14"/>
          <w:color w:val="auto"/>
        </w:rPr>
        <w:t xml:space="preserve">An Authenticating Agent for any series of Securities may at any time resign by giving written notice of resignation to the Trustee for such series and to the Company. The Trustee for any series of Securities may at any time terminate the agency of an Authenticating Agent by giving written notice of termination to such Authenticating Agent and to the Company. Upon receiving such a notice of resignation or upon such a termination, or in case of any time such Authenticating Agent shall cease to be eligible in accordance with the provisions of this </w:t>
      </w:r>
      <w:r>
        <w:rPr>
          <w:rFonts w:ascii="Times New Roman" w:cs="Times New Roman" w:eastAsia="Times New Roman" w:hAnsi="Times New Roman"/>
          <w:sz w:val="14"/>
          <w:szCs w:val="14"/>
          <w:u w:val="single" w:color="auto"/>
          <w:color w:val="auto"/>
        </w:rPr>
        <w:t>Section 6.14</w:t>
      </w:r>
      <w:r>
        <w:rPr>
          <w:rFonts w:ascii="Times New Roman" w:cs="Times New Roman" w:eastAsia="Times New Roman" w:hAnsi="Times New Roman"/>
          <w:sz w:val="14"/>
          <w:szCs w:val="14"/>
          <w:color w:val="auto"/>
        </w:rPr>
        <w:t xml:space="preserve">, the Trustee for such series may appoint a successor Authenticating Agent which shall be acceptable to the Company and shall give notice of such appointment to all Holders of Securities of the series with respect to which such Authenticating Agent will serve in the manner set forth in </w:t>
      </w:r>
      <w:r>
        <w:rPr>
          <w:rFonts w:ascii="Times New Roman" w:cs="Times New Roman" w:eastAsia="Times New Roman" w:hAnsi="Times New Roman"/>
          <w:sz w:val="14"/>
          <w:szCs w:val="14"/>
          <w:u w:val="single" w:color="auto"/>
          <w:color w:val="auto"/>
        </w:rPr>
        <w:t>Section 1.07</w:t>
      </w:r>
      <w:r>
        <w:rPr>
          <w:rFonts w:ascii="Times New Roman" w:cs="Times New Roman" w:eastAsia="Times New Roman" w:hAnsi="Times New Roman"/>
          <w:sz w:val="14"/>
          <w:szCs w:val="14"/>
          <w:color w:val="auto"/>
        </w:rPr>
        <w:t xml:space="preserve">. Any successor Authenticating Agent upon acceptance of its appointment hereunder shall become vested with all the rights, powers and duties of its predecessor hereunder, with like effect as if originally named as an Authenticating Agent herein. No successor Authenticating Agent shall be appointed unless eligible under the provisions of this </w:t>
      </w:r>
      <w:r>
        <w:rPr>
          <w:rFonts w:ascii="Times New Roman" w:cs="Times New Roman" w:eastAsia="Times New Roman" w:hAnsi="Times New Roman"/>
          <w:sz w:val="14"/>
          <w:szCs w:val="14"/>
          <w:u w:val="single" w:color="auto"/>
          <w:color w:val="auto"/>
        </w:rPr>
        <w:t>Section 6.14</w:t>
      </w:r>
      <w:r>
        <w:rPr>
          <w:rFonts w:ascii="Times New Roman" w:cs="Times New Roman" w:eastAsia="Times New Roman" w:hAnsi="Times New Roman"/>
          <w:sz w:val="14"/>
          <w:szCs w:val="14"/>
          <w:color w:val="auto"/>
        </w:rPr>
        <w:t>.</w:t>
      </w:r>
    </w:p>
    <w:p>
      <w:pPr>
        <w:spacing w:after="0" w:line="147" w:lineRule="exact"/>
        <w:rPr>
          <w:sz w:val="20"/>
          <w:szCs w:val="20"/>
          <w:color w:val="auto"/>
        </w:rPr>
      </w:pPr>
    </w:p>
    <w:p>
      <w:pPr>
        <w:ind w:left="120" w:right="139" w:firstLine="350"/>
        <w:spacing w:after="0" w:line="292" w:lineRule="auto"/>
        <w:rPr>
          <w:sz w:val="20"/>
          <w:szCs w:val="20"/>
          <w:color w:val="auto"/>
        </w:rPr>
      </w:pPr>
      <w:r>
        <w:rPr>
          <w:rFonts w:ascii="Times New Roman" w:cs="Times New Roman" w:eastAsia="Times New Roman" w:hAnsi="Times New Roman"/>
          <w:sz w:val="14"/>
          <w:szCs w:val="14"/>
          <w:color w:val="auto"/>
        </w:rPr>
        <w:t xml:space="preserve">If an appointment with respect to one or more series is made pursuant to this </w:t>
      </w:r>
      <w:r>
        <w:rPr>
          <w:rFonts w:ascii="Times New Roman" w:cs="Times New Roman" w:eastAsia="Times New Roman" w:hAnsi="Times New Roman"/>
          <w:sz w:val="14"/>
          <w:szCs w:val="14"/>
          <w:u w:val="single" w:color="auto"/>
          <w:color w:val="auto"/>
        </w:rPr>
        <w:t>Section 6.14</w:t>
      </w:r>
      <w:r>
        <w:rPr>
          <w:rFonts w:ascii="Times New Roman" w:cs="Times New Roman" w:eastAsia="Times New Roman" w:hAnsi="Times New Roman"/>
          <w:sz w:val="14"/>
          <w:szCs w:val="14"/>
          <w:color w:val="auto"/>
        </w:rPr>
        <w:t>, the Securities of such series may have endorsed thereon, in addition to or in lieu of the Trustee’s certificate of authentication, an alternate certificate of authentication substantially in the following form:</w:t>
      </w:r>
    </w:p>
    <w:p>
      <w:pPr>
        <w:spacing w:after="0" w:line="3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This is one of the Securities of the series designated therein referred to in the within-mentioned Indenture.</w:t>
      </w:r>
    </w:p>
    <w:p>
      <w:pPr>
        <w:spacing w:after="0" w:line="2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Dated:</w:t>
      </w:r>
    </w:p>
    <w:p>
      <w:pPr>
        <w:spacing w:after="0" w:line="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[NAME OF AUTHENTICATING AGENT], as</w:t>
      </w:r>
    </w:p>
    <w:p>
      <w:pPr>
        <w:spacing w:after="0" w:line="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Authenticating Agent</w:t>
      </w:r>
    </w:p>
    <w:p>
      <w:pPr>
        <w:spacing w:after="0" w:line="1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BY:</w:t>
      </w:r>
    </w:p>
    <w:p>
      <w:pPr>
        <w:spacing w:after="0" w:line="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-100965</wp:posOffset>
            </wp:positionV>
            <wp:extent cx="2044065" cy="698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4">
                      <a:extLst>
                        <a:ext uri="{28A0092B-C50C-407E-A947-70E740481C1C}"/>
                      </a:extLst>
                    </a:blip>
                    <a:srcRect/>
                    <a:stretch>
                      <a:fillRect/>
                    </a:stretch>
                  </pic:blipFill>
                  <pic:spPr bwMode="auto">
                    <a:xfrm>
                      <a:off x="0" y="0"/>
                      <a:ext cx="2044065" cy="6985"/>
                    </a:xfrm>
                    <a:prstGeom prst="rect">
                      <a:avLst/>
                    </a:prstGeom>
                    <a:noFill/>
                  </pic:spPr>
                </pic:pic>
              </a:graphicData>
            </a:graphic>
          </wp:anchor>
        </w:drawing>
      </w:r>
    </w:p>
    <w:p>
      <w:pPr>
        <w:spacing w:after="0" w:line="15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6.15 </w:t>
      </w:r>
      <w:r>
        <w:rPr>
          <w:rFonts w:ascii="Times New Roman" w:cs="Times New Roman" w:eastAsia="Times New Roman" w:hAnsi="Times New Roman"/>
          <w:sz w:val="14"/>
          <w:szCs w:val="14"/>
          <w:u w:val="single" w:color="auto"/>
          <w:color w:val="auto"/>
        </w:rPr>
        <w:t>APPOINTMENT OF CO-TRUSTEE.</w:t>
      </w:r>
    </w:p>
    <w:p>
      <w:pPr>
        <w:spacing w:after="0" w:line="182" w:lineRule="exact"/>
        <w:rPr>
          <w:sz w:val="20"/>
          <w:szCs w:val="20"/>
          <w:color w:val="auto"/>
        </w:rPr>
      </w:pPr>
    </w:p>
    <w:p>
      <w:pPr>
        <w:ind w:left="120" w:right="199" w:firstLine="357"/>
        <w:spacing w:after="0" w:line="263" w:lineRule="auto"/>
        <w:tabs>
          <w:tab w:leader="none" w:pos="664"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For the purpose of meeting any legal requirements of any jurisdiction in which the Company may at the time be located in connection with the enforcement of any right or the taking of any action on behalf of the Holders of any Securities issued hereunder, the Trustee shall have the power and may execute and deliver all instruments necessary to appoint one or more Persons to act as a co-trustee or co-trustees, or separate trustee or separate trustees, with such powers, duties, obligations, rights and trusts as the Trustee may consider necessary or desirable. Each co-trustee or separate trustee hereunder shall be required to meet the terms of eligibility as a trustee under </w:t>
      </w:r>
      <w:r>
        <w:rPr>
          <w:rFonts w:ascii="Times New Roman" w:cs="Times New Roman" w:eastAsia="Times New Roman" w:hAnsi="Times New Roman"/>
          <w:sz w:val="14"/>
          <w:szCs w:val="14"/>
          <w:u w:val="single" w:color="auto"/>
          <w:color w:val="auto"/>
        </w:rPr>
        <w:t>Section 6.09</w:t>
      </w:r>
      <w:r>
        <w:rPr>
          <w:rFonts w:ascii="Times New Roman" w:cs="Times New Roman" w:eastAsia="Times New Roman" w:hAnsi="Times New Roman"/>
          <w:sz w:val="14"/>
          <w:szCs w:val="14"/>
          <w:color w:val="auto"/>
        </w:rPr>
        <w:t xml:space="preserve">. The Trustee shall promptly notify the Holders and the Company of the appointment of a co-trustee or separate trustee under this </w:t>
      </w:r>
      <w:r>
        <w:rPr>
          <w:rFonts w:ascii="Times New Roman" w:cs="Times New Roman" w:eastAsia="Times New Roman" w:hAnsi="Times New Roman"/>
          <w:sz w:val="14"/>
          <w:szCs w:val="14"/>
          <w:u w:val="single" w:color="auto"/>
          <w:color w:val="auto"/>
        </w:rPr>
        <w:t>Section 6.15</w:t>
      </w:r>
      <w:r>
        <w:rPr>
          <w:rFonts w:ascii="Times New Roman" w:cs="Times New Roman" w:eastAsia="Times New Roman" w:hAnsi="Times New Roman"/>
          <w:sz w:val="14"/>
          <w:szCs w:val="14"/>
          <w:color w:val="auto"/>
        </w:rPr>
        <w:t>.</w:t>
      </w:r>
    </w:p>
    <w:p>
      <w:pPr>
        <w:spacing w:after="0" w:line="143" w:lineRule="exact"/>
        <w:rPr>
          <w:rFonts w:ascii="Times New Roman" w:cs="Times New Roman" w:eastAsia="Times New Roman" w:hAnsi="Times New Roman"/>
          <w:sz w:val="14"/>
          <w:szCs w:val="14"/>
          <w:color w:val="auto"/>
        </w:rPr>
      </w:pPr>
    </w:p>
    <w:p>
      <w:pPr>
        <w:ind w:left="120" w:right="639" w:firstLine="357"/>
        <w:spacing w:after="0" w:line="292" w:lineRule="auto"/>
        <w:tabs>
          <w:tab w:leader="none" w:pos="672"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Every separate trustee and co-trustee shall, to the extent permitted by law, be appointed and act subject to the following provisions and conditions:</w:t>
      </w:r>
    </w:p>
    <w:p>
      <w:pPr>
        <w:spacing w:after="0" w:line="37" w:lineRule="exact"/>
        <w:rPr>
          <w:sz w:val="20"/>
          <w:szCs w:val="20"/>
          <w:color w:val="auto"/>
        </w:rPr>
      </w:pPr>
    </w:p>
    <w:p>
      <w:pPr>
        <w:ind w:left="120" w:right="279" w:firstLine="357"/>
        <w:spacing w:after="0" w:line="265" w:lineRule="auto"/>
        <w:tabs>
          <w:tab w:leader="none" w:pos="672"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rights, powers, duties and obligations conferred or imposed upon the Trustee shall be conferred or imposed upon and exercised or performed by the Trustee and such separate trustee or co-trustee jointly (it being understood that such separate trustee or co-trustee is not authorized to act separately without the Trustee joining in such act), except to the extent that under any law of any jurisdiction in which any particular act or acts are to be performed the Trustee shall be incompetent or unqualified to perform such act or acts, in which event such rights, powers, duties and obligations shall be exercised and performed singly by such separate trustee or co-trustee, but solely at the direction of the Trustee;</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ectPr>
          <w:pgSz w:w="11900" w:h="16838" w:orient="portrait"/>
          <w:cols w:equalWidth="0" w:num="1">
            <w:col w:w="9019"/>
          </w:cols>
          <w:pgMar w:left="1440" w:top="243" w:right="1440" w:bottom="1440" w:gutter="0" w:footer="0" w:header="0"/>
        </w:sectPr>
      </w:pPr>
    </w:p>
    <w:bookmarkStart w:id="159" w:name="page160"/>
    <w:bookmarkEnd w:id="159"/>
    <w:p>
      <w:pPr>
        <w:ind w:left="680" w:hanging="203"/>
        <w:spacing w:after="0"/>
        <w:tabs>
          <w:tab w:leader="none" w:pos="68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5">
                      <a:extLst>
                        <a:ext uri="{28A0092B-C50C-407E-A947-70E740481C1C}"/>
                      </a:extLst>
                    </a:blip>
                    <a:srcRect/>
                    <a:stretch>
                      <a:fillRect/>
                    </a:stretch>
                  </pic:blipFill>
                  <pic:spPr bwMode="auto">
                    <a:xfrm>
                      <a:off x="0" y="0"/>
                      <a:ext cx="7199630" cy="33020"/>
                    </a:xfrm>
                    <a:prstGeom prst="rect">
                      <a:avLst/>
                    </a:prstGeom>
                    <a:noFill/>
                  </pic:spPr>
                </pic:pic>
              </a:graphicData>
            </a:graphic>
          </wp:anchor>
        </w:drawing>
        <w:t>no trustee hereunder shall be personally liable by reason of any act or omission of any other trustee hereunder;</w:t>
      </w:r>
    </w:p>
    <w:p>
      <w:pPr>
        <w:spacing w:after="0" w:line="182" w:lineRule="exact"/>
        <w:rPr>
          <w:rFonts w:ascii="Times New Roman" w:cs="Times New Roman" w:eastAsia="Times New Roman" w:hAnsi="Times New Roman"/>
          <w:sz w:val="14"/>
          <w:szCs w:val="14"/>
          <w:color w:val="auto"/>
        </w:rPr>
      </w:pPr>
    </w:p>
    <w:p>
      <w:pPr>
        <w:ind w:left="680" w:hanging="203"/>
        <w:spacing w:after="0"/>
        <w:tabs>
          <w:tab w:leader="none" w:pos="68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may at any time accept the resignation of or remove any separate trustee or co-trustee;</w:t>
      </w:r>
    </w:p>
    <w:p>
      <w:pPr>
        <w:spacing w:after="0" w:line="182" w:lineRule="exact"/>
        <w:rPr>
          <w:rFonts w:ascii="Times New Roman" w:cs="Times New Roman" w:eastAsia="Times New Roman" w:hAnsi="Times New Roman"/>
          <w:sz w:val="14"/>
          <w:szCs w:val="14"/>
          <w:color w:val="auto"/>
        </w:rPr>
      </w:pPr>
    </w:p>
    <w:p>
      <w:pPr>
        <w:ind w:left="680" w:hanging="203"/>
        <w:spacing w:after="0"/>
        <w:tabs>
          <w:tab w:leader="none" w:pos="68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notice, request or other writing given to the Trustee shall be deemed to have been given to each of the then separate trustees and</w:t>
      </w:r>
    </w:p>
    <w:p>
      <w:pPr>
        <w:spacing w:after="0" w:line="24" w:lineRule="exact"/>
        <w:rPr>
          <w:sz w:val="20"/>
          <w:szCs w:val="20"/>
          <w:color w:val="auto"/>
        </w:rPr>
      </w:pPr>
    </w:p>
    <w:p>
      <w:pPr>
        <w:ind w:left="120" w:right="159"/>
        <w:spacing w:after="0" w:line="259" w:lineRule="auto"/>
        <w:rPr>
          <w:sz w:val="20"/>
          <w:szCs w:val="20"/>
          <w:color w:val="auto"/>
        </w:rPr>
      </w:pPr>
      <w:r>
        <w:rPr>
          <w:rFonts w:ascii="Times New Roman" w:cs="Times New Roman" w:eastAsia="Times New Roman" w:hAnsi="Times New Roman"/>
          <w:sz w:val="14"/>
          <w:szCs w:val="14"/>
          <w:color w:val="auto"/>
        </w:rPr>
        <w:t xml:space="preserve">co-trustees, as effectively as if given to each of them. Every instrument appointing any separate trustee or co-trustee shall refer to this Indenture and the conditions of this </w:t>
      </w:r>
      <w:r>
        <w:rPr>
          <w:rFonts w:ascii="Times New Roman" w:cs="Times New Roman" w:eastAsia="Times New Roman" w:hAnsi="Times New Roman"/>
          <w:sz w:val="14"/>
          <w:szCs w:val="14"/>
          <w:u w:val="single" w:color="auto"/>
          <w:color w:val="auto"/>
        </w:rPr>
        <w:t>Article VI</w:t>
      </w:r>
      <w:r>
        <w:rPr>
          <w:rFonts w:ascii="Times New Roman" w:cs="Times New Roman" w:eastAsia="Times New Roman" w:hAnsi="Times New Roman"/>
          <w:sz w:val="14"/>
          <w:szCs w:val="14"/>
          <w:color w:val="auto"/>
        </w:rPr>
        <w:t>. Each separate trustee and co-trustee, upon its acceptance of the trusts conferred, shall be vested with the estates or property specified in its instrument of appointment, either jointly with the Trustee or separately, as may be provided therein, subject to all the provisions of this Indenture, specifically including every provision of this Indenture relating to the conduct of, affecting the liability of, or affording protection or rights (including the rights to compensation, reimbursement and indemnification hereunder) to, the Trustee. Every such instrument shall be filed with the Trustee; and</w:t>
      </w:r>
    </w:p>
    <w:p>
      <w:pPr>
        <w:spacing w:after="0" w:line="146" w:lineRule="exact"/>
        <w:rPr>
          <w:sz w:val="20"/>
          <w:szCs w:val="20"/>
          <w:color w:val="auto"/>
        </w:rPr>
      </w:pPr>
    </w:p>
    <w:p>
      <w:pPr>
        <w:ind w:left="120" w:right="159" w:firstLine="357"/>
        <w:spacing w:after="0" w:line="274" w:lineRule="auto"/>
        <w:tabs>
          <w:tab w:leader="none" w:pos="672"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separate trustee or co-trustee may at any time constitute the Trustee its agent or attorney-in-fact with full power and authority, to the extent not prohibited by law, to do any lawful act under or in respect of this Indenture on its behalf and in its name for the purposes of enforcing any rights or taking any other action on behalf of the Holders of any Securities issued hereunder.</w:t>
      </w: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VII</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HOLDERS’ LISTS AND REPORTS BY TRUSTEE</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7.01 </w:t>
      </w:r>
      <w:r>
        <w:rPr>
          <w:rFonts w:ascii="Times New Roman" w:cs="Times New Roman" w:eastAsia="Times New Roman" w:hAnsi="Times New Roman"/>
          <w:sz w:val="14"/>
          <w:szCs w:val="14"/>
          <w:u w:val="single" w:color="auto"/>
          <w:color w:val="auto"/>
        </w:rPr>
        <w:t>COMPANY TO FURNISH TRUSTEE NAMES AND ADDRESSES OF HOLDERS</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The Company will furnish or cause to be furnished to the Trustee:</w:t>
      </w:r>
    </w:p>
    <w:p>
      <w:pPr>
        <w:spacing w:after="0" w:line="97" w:lineRule="exact"/>
        <w:rPr>
          <w:sz w:val="20"/>
          <w:szCs w:val="20"/>
          <w:color w:val="auto"/>
        </w:rPr>
      </w:pPr>
    </w:p>
    <w:p>
      <w:pPr>
        <w:ind w:left="120" w:right="279" w:firstLine="357"/>
        <w:spacing w:after="0" w:line="292" w:lineRule="auto"/>
        <w:tabs>
          <w:tab w:leader="none" w:pos="664"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semiannually, not more than 10 days after each Regular Record Date, a list, in such form as the Trustee may reasonably require, of the names and addresses of the Holders as of such Regular Record Date; and</w:t>
      </w:r>
    </w:p>
    <w:p>
      <w:pPr>
        <w:spacing w:after="0" w:line="123" w:lineRule="exact"/>
        <w:rPr>
          <w:rFonts w:ascii="Times New Roman" w:cs="Times New Roman" w:eastAsia="Times New Roman" w:hAnsi="Times New Roman"/>
          <w:sz w:val="14"/>
          <w:szCs w:val="14"/>
          <w:color w:val="auto"/>
        </w:rPr>
      </w:pPr>
    </w:p>
    <w:p>
      <w:pPr>
        <w:ind w:left="120" w:right="199" w:firstLine="357"/>
        <w:spacing w:after="0" w:line="274" w:lineRule="auto"/>
        <w:tabs>
          <w:tab w:leader="none" w:pos="672"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at such other times as the Trustee may reasonably request in writing, within 30 days after receipt by the Company of any such request, a list of similar form and content to that in </w:t>
      </w:r>
      <w:r>
        <w:rPr>
          <w:rFonts w:ascii="Times New Roman" w:cs="Times New Roman" w:eastAsia="Times New Roman" w:hAnsi="Times New Roman"/>
          <w:sz w:val="14"/>
          <w:szCs w:val="14"/>
          <w:u w:val="single" w:color="auto"/>
          <w:color w:val="auto"/>
        </w:rPr>
        <w:t>Subsection (a)</w:t>
      </w:r>
      <w:r>
        <w:rPr>
          <w:rFonts w:ascii="Times New Roman" w:cs="Times New Roman" w:eastAsia="Times New Roman" w:hAnsi="Times New Roman"/>
          <w:sz w:val="14"/>
          <w:szCs w:val="14"/>
          <w:color w:val="auto"/>
        </w:rPr>
        <w:t xml:space="preserve"> hereof as of a date not more than 15 days prior to the time such list is furnished; provided, however, that if and so long as the Trustee shall be the Security Registrar, no such list need be furnished.</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7.02 </w:t>
      </w:r>
      <w:r>
        <w:rPr>
          <w:rFonts w:ascii="Times New Roman" w:cs="Times New Roman" w:eastAsia="Times New Roman" w:hAnsi="Times New Roman"/>
          <w:sz w:val="14"/>
          <w:szCs w:val="14"/>
          <w:u w:val="single" w:color="auto"/>
          <w:color w:val="auto"/>
        </w:rPr>
        <w:t>DISCLOSURE OF NAMES AND ADDRESSES OF HOLDERS</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jc w:val="both"/>
        <w:ind w:left="120" w:right="299" w:firstLine="350"/>
        <w:spacing w:after="0" w:line="274" w:lineRule="auto"/>
        <w:rPr>
          <w:sz w:val="20"/>
          <w:szCs w:val="20"/>
          <w:color w:val="auto"/>
        </w:rPr>
      </w:pPr>
      <w:r>
        <w:rPr>
          <w:rFonts w:ascii="Times New Roman" w:cs="Times New Roman" w:eastAsia="Times New Roman" w:hAnsi="Times New Roman"/>
          <w:sz w:val="14"/>
          <w:szCs w:val="14"/>
          <w:color w:val="auto"/>
        </w:rPr>
        <w:t>Holders may communicate pursuant to Trust Indenture Act Section 312(b) with other Holders with respect to their rights under this Indenture or the Securities, and the Trustee shall comply with Trust Indenture Act Section 312(b). The Company, the Trustee, the Security Registrar and any other Person shall have the protection of Trust Indenture Act Section 312(c).</w:t>
      </w:r>
    </w:p>
    <w:p>
      <w:pPr>
        <w:spacing w:after="0" w:line="135" w:lineRule="exact"/>
        <w:rPr>
          <w:sz w:val="20"/>
          <w:szCs w:val="20"/>
          <w:color w:val="auto"/>
        </w:rPr>
      </w:pPr>
    </w:p>
    <w:p>
      <w:pPr>
        <w:ind w:left="120" w:right="159" w:firstLine="350"/>
        <w:spacing w:after="0" w:line="268" w:lineRule="auto"/>
        <w:rPr>
          <w:sz w:val="20"/>
          <w:szCs w:val="20"/>
          <w:color w:val="auto"/>
        </w:rPr>
      </w:pPr>
      <w:r>
        <w:rPr>
          <w:rFonts w:ascii="Times New Roman" w:cs="Times New Roman" w:eastAsia="Times New Roman" w:hAnsi="Times New Roman"/>
          <w:sz w:val="14"/>
          <w:szCs w:val="14"/>
          <w:color w:val="auto"/>
        </w:rPr>
        <w:t>Further, every Holder of Securities, by receiving and holding the same, agrees with the Company and the Trustee that neither the Company nor the Trustee or any agent of either of them shall be held accountable by reason of the disclosure of any information as to the names and addresses of the Holders in accordance with Trust Indenture Act Section 312, regardless of the source from which such information was derived, and that the Trustee shall not be held accountable by reason of mailing any material pursuant to a request made under Trust Indenture Act Section 312.</w:t>
      </w:r>
    </w:p>
    <w:p>
      <w:pPr>
        <w:spacing w:after="0" w:line="1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7.03 </w:t>
      </w:r>
      <w:r>
        <w:rPr>
          <w:rFonts w:ascii="Times New Roman" w:cs="Times New Roman" w:eastAsia="Times New Roman" w:hAnsi="Times New Roman"/>
          <w:sz w:val="14"/>
          <w:szCs w:val="14"/>
          <w:u w:val="single" w:color="auto"/>
          <w:color w:val="auto"/>
        </w:rPr>
        <w:t>REPORTS BY TRUSTEE</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120" w:right="199" w:firstLine="357"/>
        <w:spacing w:after="0" w:line="265" w:lineRule="auto"/>
        <w:tabs>
          <w:tab w:leader="none" w:pos="664"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Within 60 days after May 1 of each year commencing with the first May 1 after the issuance of Securities, the Trustee, if so required under the Trust Indenture Act, shall transmit by mail to all Holders, in the manner and to the extent provided in Trust Indenture Act Section 313(c), a brief report dated as of such May 1 in accordance with and with respect to the matters required by Trust Indenture Act Section 313(a). The Trustee shall also transmit by mail to all Holders, in the manner and to the extent provided in Trust Indenture Act Section 313(c), a brief report in accordance with and with respect to the matters required by Trust Indenture Act Section 313(b)(2).</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38</w:t>
      </w:r>
    </w:p>
    <w:p>
      <w:pPr>
        <w:sectPr>
          <w:pgSz w:w="11900" w:h="16838" w:orient="portrait"/>
          <w:cols w:equalWidth="0" w:num="1">
            <w:col w:w="9019"/>
          </w:cols>
          <w:pgMar w:left="1440" w:top="243" w:right="1440" w:bottom="1440" w:gutter="0" w:footer="0" w:header="0"/>
        </w:sectPr>
      </w:pPr>
    </w:p>
    <w:bookmarkStart w:id="160" w:name="page161"/>
    <w:bookmarkEnd w:id="160"/>
    <w:p>
      <w:pPr>
        <w:ind w:left="120" w:right="339" w:firstLine="357"/>
        <w:spacing w:after="0" w:line="274" w:lineRule="auto"/>
        <w:tabs>
          <w:tab w:leader="none" w:pos="672"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6">
                      <a:extLst>
                        <a:ext uri="{28A0092B-C50C-407E-A947-70E740481C1C}"/>
                      </a:extLst>
                    </a:blip>
                    <a:srcRect/>
                    <a:stretch>
                      <a:fillRect/>
                    </a:stretch>
                  </pic:blipFill>
                  <pic:spPr bwMode="auto">
                    <a:xfrm>
                      <a:off x="0" y="0"/>
                      <a:ext cx="7199630" cy="33020"/>
                    </a:xfrm>
                    <a:prstGeom prst="rect">
                      <a:avLst/>
                    </a:prstGeom>
                    <a:noFill/>
                  </pic:spPr>
                </pic:pic>
              </a:graphicData>
            </a:graphic>
          </wp:anchor>
        </w:drawing>
        <w:t xml:space="preserve">A copy of each report transmitted to Holders pursuant to this </w:t>
      </w:r>
      <w:r>
        <w:rPr>
          <w:rFonts w:ascii="Times New Roman" w:cs="Times New Roman" w:eastAsia="Times New Roman" w:hAnsi="Times New Roman"/>
          <w:sz w:val="14"/>
          <w:szCs w:val="14"/>
          <w:u w:val="single" w:color="auto"/>
          <w:color w:val="auto"/>
        </w:rPr>
        <w:t>Section 7.03</w:t>
      </w:r>
      <w:r>
        <w:rPr>
          <w:rFonts w:ascii="Times New Roman" w:cs="Times New Roman" w:eastAsia="Times New Roman" w:hAnsi="Times New Roman"/>
          <w:sz w:val="14"/>
          <w:szCs w:val="14"/>
          <w:color w:val="auto"/>
        </w:rPr>
        <w:t xml:space="preserve"> shall, at the time of such transmission, be mailed to the Company and filed with each stock exchange, if any, upon which the Securities are listed and also with the Commission. The Company will notify the Trustee promptly in writing if the Securities are listed on any stock exchange or delisted therefrom.</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7.04 </w:t>
      </w:r>
      <w:r>
        <w:rPr>
          <w:rFonts w:ascii="Times New Roman" w:cs="Times New Roman" w:eastAsia="Times New Roman" w:hAnsi="Times New Roman"/>
          <w:sz w:val="14"/>
          <w:szCs w:val="14"/>
          <w:u w:val="single" w:color="auto"/>
          <w:color w:val="auto"/>
        </w:rPr>
        <w:t>CALCULATION OF ORIGINAL ISSUE DISCOUNT</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120" w:right="139" w:firstLine="350"/>
        <w:spacing w:after="0" w:line="268" w:lineRule="auto"/>
        <w:rPr>
          <w:sz w:val="20"/>
          <w:szCs w:val="20"/>
          <w:color w:val="auto"/>
        </w:rPr>
      </w:pPr>
      <w:r>
        <w:rPr>
          <w:rFonts w:ascii="Times New Roman" w:cs="Times New Roman" w:eastAsia="Times New Roman" w:hAnsi="Times New Roman"/>
          <w:sz w:val="14"/>
          <w:szCs w:val="14"/>
          <w:color w:val="auto"/>
        </w:rPr>
        <w:t>If Securities of a series are issued with original issue discount, upon request of the Trustee, the Company shall file with the Trustee promptly at the end of each calendar year (i) a written notice specifying the amount of original issue discount (including daily rates and accrual periods), if any, accrued on Outstanding Securities as of the end of such year and (ii) such other specific information relating to such original issue discount as may then be relevant under the Internal Revenue Code of 1986, as amended from time to time.</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VIII</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CONSOLIDATION, MERGER, SALE OF ASSETS</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8.01 </w:t>
      </w:r>
      <w:r>
        <w:rPr>
          <w:rFonts w:ascii="Times New Roman" w:cs="Times New Roman" w:eastAsia="Times New Roman" w:hAnsi="Times New Roman"/>
          <w:sz w:val="14"/>
          <w:szCs w:val="14"/>
          <w:u w:val="single" w:color="auto"/>
          <w:color w:val="auto"/>
        </w:rPr>
        <w:t>COMPANY MAY CONSOLIDATE, ETC., ONLY ON CERTAIN TERMS</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120" w:right="159" w:firstLine="350"/>
        <w:spacing w:after="0" w:line="263" w:lineRule="auto"/>
        <w:rPr>
          <w:sz w:val="20"/>
          <w:szCs w:val="20"/>
          <w:color w:val="auto"/>
        </w:rPr>
      </w:pPr>
      <w:r>
        <w:rPr>
          <w:rFonts w:ascii="Times New Roman" w:cs="Times New Roman" w:eastAsia="Times New Roman" w:hAnsi="Times New Roman"/>
          <w:sz w:val="14"/>
          <w:szCs w:val="14"/>
          <w:color w:val="auto"/>
        </w:rPr>
        <w:t xml:space="preserve">The terms on which the Company may consolidate, amalgamate, combine or merge with or into any other Person or, directly or indirectly, sell, assign, convey, lease, transfer or otherwise dispose of all or substantially all of its properties and assets to any Person or group of Persons, or permit any of its Restricted Subsidiaries to enter into any such transaction or series of transactions, if such transaction or series of transactions, in the aggregate, would result in a sale, assignment, conveyance, lease, transfer or disposition of all or substantially all of the properties and assets of the Company and its Restricted Subsidiaries on a Consolidated basis to any other Person or group of Persons will be set out in one or more amendments to or indentures supplemental hereto, pursuant to </w:t>
      </w:r>
      <w:r>
        <w:rPr>
          <w:rFonts w:ascii="Times New Roman" w:cs="Times New Roman" w:eastAsia="Times New Roman" w:hAnsi="Times New Roman"/>
          <w:sz w:val="14"/>
          <w:szCs w:val="14"/>
          <w:u w:val="single" w:color="auto"/>
          <w:color w:val="auto"/>
        </w:rPr>
        <w:t>Section 3.01</w:t>
      </w:r>
      <w:r>
        <w:rPr>
          <w:rFonts w:ascii="Times New Roman" w:cs="Times New Roman" w:eastAsia="Times New Roman" w:hAnsi="Times New Roman"/>
          <w:sz w:val="14"/>
          <w:szCs w:val="14"/>
          <w:color w:val="auto"/>
        </w:rPr>
        <w:t>.</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IX</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SUPPLEMENTAL INDENTURES</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9.01 </w:t>
      </w:r>
      <w:r>
        <w:rPr>
          <w:rFonts w:ascii="Times New Roman" w:cs="Times New Roman" w:eastAsia="Times New Roman" w:hAnsi="Times New Roman"/>
          <w:sz w:val="14"/>
          <w:szCs w:val="14"/>
          <w:u w:val="single" w:color="auto"/>
          <w:color w:val="auto"/>
        </w:rPr>
        <w:t>SUPPLEMENTAL INDENTURES AND AGREEMENTS WITHOUT CONSENT OF HOLDERS.</w:t>
      </w:r>
    </w:p>
    <w:p>
      <w:pPr>
        <w:spacing w:after="0" w:line="182" w:lineRule="exact"/>
        <w:rPr>
          <w:sz w:val="20"/>
          <w:szCs w:val="20"/>
          <w:color w:val="auto"/>
        </w:rPr>
      </w:pPr>
    </w:p>
    <w:p>
      <w:pPr>
        <w:ind w:left="120" w:right="279" w:firstLine="350"/>
        <w:spacing w:after="0" w:line="274" w:lineRule="auto"/>
        <w:rPr>
          <w:sz w:val="20"/>
          <w:szCs w:val="20"/>
          <w:color w:val="auto"/>
        </w:rPr>
      </w:pPr>
      <w:r>
        <w:rPr>
          <w:rFonts w:ascii="Times New Roman" w:cs="Times New Roman" w:eastAsia="Times New Roman" w:hAnsi="Times New Roman"/>
          <w:sz w:val="14"/>
          <w:szCs w:val="14"/>
          <w:color w:val="auto"/>
        </w:rPr>
        <w:t>Without the consent of any Holders, the Company and any other obligor under the Securities when authorized by a Board Resolution, and the Trustee, at any time and from time to time, may enter into one or more indentures supplemental hereto or agreements or other instruments with respect to this Indenture or any series of the Securities, in form satisfactory to the Trustee, for any of the following purposes:</w:t>
      </w:r>
    </w:p>
    <w:p>
      <w:pPr>
        <w:spacing w:after="0" w:line="49" w:lineRule="exact"/>
        <w:rPr>
          <w:sz w:val="20"/>
          <w:szCs w:val="20"/>
          <w:color w:val="auto"/>
        </w:rPr>
      </w:pPr>
    </w:p>
    <w:p>
      <w:pPr>
        <w:ind w:left="680" w:hanging="203"/>
        <w:spacing w:after="0"/>
        <w:tabs>
          <w:tab w:leader="none" w:pos="68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cure any ambiguity, defect or inconsistency;</w:t>
      </w:r>
    </w:p>
    <w:p>
      <w:pPr>
        <w:spacing w:after="0" w:line="182" w:lineRule="exact"/>
        <w:rPr>
          <w:rFonts w:ascii="Times New Roman" w:cs="Times New Roman" w:eastAsia="Times New Roman" w:hAnsi="Times New Roman"/>
          <w:sz w:val="14"/>
          <w:szCs w:val="14"/>
          <w:color w:val="auto"/>
        </w:rPr>
      </w:pPr>
    </w:p>
    <w:p>
      <w:pPr>
        <w:ind w:left="680" w:hanging="203"/>
        <w:spacing w:after="0"/>
        <w:tabs>
          <w:tab w:leader="none" w:pos="68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uncertificated Securities in addition to or in place of certificated Securities;</w:t>
      </w:r>
    </w:p>
    <w:p>
      <w:pPr>
        <w:spacing w:after="0" w:line="182" w:lineRule="exact"/>
        <w:rPr>
          <w:rFonts w:ascii="Times New Roman" w:cs="Times New Roman" w:eastAsia="Times New Roman" w:hAnsi="Times New Roman"/>
          <w:sz w:val="14"/>
          <w:szCs w:val="14"/>
          <w:color w:val="auto"/>
        </w:rPr>
      </w:pPr>
    </w:p>
    <w:p>
      <w:pPr>
        <w:ind w:left="120" w:right="339" w:firstLine="357"/>
        <w:spacing w:after="0" w:line="292" w:lineRule="auto"/>
        <w:tabs>
          <w:tab w:leader="none" w:pos="664"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the assumption of the Company’s or any Guarantor’s obligations to Holders of Securities of a series in the case of a merger or consolidation or sale of all or substantially all of the Company’s or such Guarantor’s assets;</w:t>
      </w:r>
    </w:p>
    <w:p>
      <w:pPr>
        <w:spacing w:after="0" w:line="123" w:lineRule="exact"/>
        <w:rPr>
          <w:rFonts w:ascii="Times New Roman" w:cs="Times New Roman" w:eastAsia="Times New Roman" w:hAnsi="Times New Roman"/>
          <w:sz w:val="14"/>
          <w:szCs w:val="14"/>
          <w:color w:val="auto"/>
        </w:rPr>
      </w:pPr>
    </w:p>
    <w:p>
      <w:pPr>
        <w:ind w:left="120" w:right="239" w:firstLine="357"/>
        <w:spacing w:after="0" w:line="292" w:lineRule="auto"/>
        <w:tabs>
          <w:tab w:leader="none" w:pos="672"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make any change that would provide any additional rights or benefits to the Holders of Securities or that does not adversely affect the legal rights under this Indenture of any such Holder;</w:t>
      </w:r>
    </w:p>
    <w:p>
      <w:pPr>
        <w:spacing w:after="0" w:line="123" w:lineRule="exact"/>
        <w:rPr>
          <w:rFonts w:ascii="Times New Roman" w:cs="Times New Roman" w:eastAsia="Times New Roman" w:hAnsi="Times New Roman"/>
          <w:sz w:val="14"/>
          <w:szCs w:val="14"/>
          <w:color w:val="auto"/>
        </w:rPr>
      </w:pPr>
    </w:p>
    <w:p>
      <w:pPr>
        <w:ind w:left="680" w:hanging="203"/>
        <w:spacing w:after="0"/>
        <w:tabs>
          <w:tab w:leader="none" w:pos="68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requirements of the Commission in order to effect or maintain the qualification of this Indenture under the Trust Indenture Act;</w:t>
      </w:r>
    </w:p>
    <w:p>
      <w:pPr>
        <w:spacing w:after="0" w:line="182" w:lineRule="exact"/>
        <w:rPr>
          <w:rFonts w:ascii="Times New Roman" w:cs="Times New Roman" w:eastAsia="Times New Roman" w:hAnsi="Times New Roman"/>
          <w:sz w:val="14"/>
          <w:szCs w:val="14"/>
          <w:color w:val="auto"/>
        </w:rPr>
      </w:pPr>
    </w:p>
    <w:p>
      <w:pPr>
        <w:ind w:left="120" w:right="179" w:firstLine="357"/>
        <w:spacing w:after="0" w:line="274" w:lineRule="auto"/>
        <w:tabs>
          <w:tab w:leader="none" w:pos="649"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conform the text of this Indenture, or any Securities or any Guarantee thereof, to any provision of the description of such securities in any offering memorandum with respect thereto to the extent that such provision in the description of such Securities was intended to be a verbatim recitation of a provision of this Indenture, the Securities or any Guarantee thereof as evidenced in an Officers’ Certificate;</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ectPr>
          <w:pgSz w:w="11900" w:h="16838" w:orient="portrait"/>
          <w:cols w:equalWidth="0" w:num="1">
            <w:col w:w="9019"/>
          </w:cols>
          <w:pgMar w:left="1440" w:top="243" w:right="1440" w:bottom="1440" w:gutter="0" w:footer="0" w:header="0"/>
        </w:sectPr>
      </w:pPr>
    </w:p>
    <w:bookmarkStart w:id="161" w:name="page162"/>
    <w:bookmarkEnd w:id="161"/>
    <w:p>
      <w:pPr>
        <w:ind w:left="120" w:right="399" w:firstLine="357"/>
        <w:spacing w:after="0" w:line="292" w:lineRule="auto"/>
        <w:tabs>
          <w:tab w:leader="none" w:pos="672"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7">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to allow a Guarantor to execute a supplemental indenture for the purpose of providing a guarantee of any Securities in accordance with the provisions of this Indenture or any indenture supplemental hereto;</w:t>
      </w:r>
    </w:p>
    <w:p>
      <w:pPr>
        <w:spacing w:after="0" w:line="123" w:lineRule="exact"/>
        <w:rPr>
          <w:rFonts w:ascii="Times New Roman" w:cs="Times New Roman" w:eastAsia="Times New Roman" w:hAnsi="Times New Roman"/>
          <w:sz w:val="14"/>
          <w:szCs w:val="14"/>
          <w:color w:val="auto"/>
        </w:rPr>
      </w:pPr>
    </w:p>
    <w:p>
      <w:pPr>
        <w:ind w:left="680" w:hanging="203"/>
        <w:spacing w:after="0"/>
        <w:tabs>
          <w:tab w:leader="none" w:pos="68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establish the form or terms of Securities of any series as permitted by this Indenture, which is not yet issued;</w:t>
      </w:r>
    </w:p>
    <w:p>
      <w:pPr>
        <w:spacing w:after="0" w:line="182" w:lineRule="exact"/>
        <w:rPr>
          <w:rFonts w:ascii="Times New Roman" w:cs="Times New Roman" w:eastAsia="Times New Roman" w:hAnsi="Times New Roman"/>
          <w:sz w:val="14"/>
          <w:szCs w:val="14"/>
          <w:color w:val="auto"/>
        </w:rPr>
      </w:pPr>
    </w:p>
    <w:p>
      <w:pPr>
        <w:jc w:val="both"/>
        <w:ind w:left="120" w:right="139" w:firstLine="357"/>
        <w:spacing w:after="0" w:line="274" w:lineRule="auto"/>
        <w:tabs>
          <w:tab w:leader="none" w:pos="641"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to supplement any of the provisions of this Indenture to such extent as shall be necessary to permit or facilitate the defeasance and discharge of any series of Securities pursuant to </w:t>
      </w:r>
      <w:r>
        <w:rPr>
          <w:rFonts w:ascii="Times New Roman" w:cs="Times New Roman" w:eastAsia="Times New Roman" w:hAnsi="Times New Roman"/>
          <w:sz w:val="14"/>
          <w:szCs w:val="14"/>
          <w:u w:val="single" w:color="auto"/>
          <w:color w:val="auto"/>
        </w:rPr>
        <w:t>Section 4.02</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4.03</w:t>
      </w:r>
      <w:r>
        <w:rPr>
          <w:rFonts w:ascii="Times New Roman" w:cs="Times New Roman" w:eastAsia="Times New Roman" w:hAnsi="Times New Roman"/>
          <w:sz w:val="14"/>
          <w:szCs w:val="14"/>
          <w:color w:val="auto"/>
        </w:rPr>
        <w:t>; provided that any such actions shall not adversely affect the interests of Holders of Securities of such series in any material respect; or</w:t>
      </w:r>
    </w:p>
    <w:p>
      <w:pPr>
        <w:spacing w:after="0" w:line="135" w:lineRule="exact"/>
        <w:rPr>
          <w:rFonts w:ascii="Times New Roman" w:cs="Times New Roman" w:eastAsia="Times New Roman" w:hAnsi="Times New Roman"/>
          <w:sz w:val="14"/>
          <w:szCs w:val="14"/>
          <w:color w:val="auto"/>
        </w:rPr>
      </w:pPr>
    </w:p>
    <w:p>
      <w:pPr>
        <w:ind w:left="120" w:right="139" w:firstLine="357"/>
        <w:spacing w:after="0" w:line="274" w:lineRule="auto"/>
        <w:tabs>
          <w:tab w:leader="none" w:pos="641"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evidence and provide for the acceptance of appointment by a successor or separate Trustee with respect to the Securities of any series and to add to or change any of the provisions of this Indenture as shall be necessary to provide for or facilitate the administration of this Indenture by more than one Trustee.</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9.02 </w:t>
      </w:r>
      <w:r>
        <w:rPr>
          <w:rFonts w:ascii="Times New Roman" w:cs="Times New Roman" w:eastAsia="Times New Roman" w:hAnsi="Times New Roman"/>
          <w:sz w:val="14"/>
          <w:szCs w:val="14"/>
          <w:u w:val="single" w:color="auto"/>
          <w:color w:val="auto"/>
        </w:rPr>
        <w:t>SUPPLEMENTAL INDENTURES AND AGREEMENTS WITH CONSENT OF HOLDERS</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120" w:right="139" w:firstLine="350"/>
        <w:spacing w:after="0" w:line="259" w:lineRule="auto"/>
        <w:rPr>
          <w:sz w:val="20"/>
          <w:szCs w:val="20"/>
          <w:color w:val="auto"/>
        </w:rPr>
      </w:pPr>
      <w:r>
        <w:rPr>
          <w:rFonts w:ascii="Times New Roman" w:cs="Times New Roman" w:eastAsia="Times New Roman" w:hAnsi="Times New Roman"/>
          <w:sz w:val="14"/>
          <w:szCs w:val="14"/>
          <w:color w:val="auto"/>
        </w:rPr>
        <w:t xml:space="preserve">Except as permitted by </w:t>
      </w:r>
      <w:r>
        <w:rPr>
          <w:rFonts w:ascii="Times New Roman" w:cs="Times New Roman" w:eastAsia="Times New Roman" w:hAnsi="Times New Roman"/>
          <w:sz w:val="14"/>
          <w:szCs w:val="14"/>
          <w:u w:val="single" w:color="auto"/>
          <w:color w:val="auto"/>
        </w:rPr>
        <w:t>Section 9.01</w:t>
      </w:r>
      <w:r>
        <w:rPr>
          <w:rFonts w:ascii="Times New Roman" w:cs="Times New Roman" w:eastAsia="Times New Roman" w:hAnsi="Times New Roman"/>
          <w:sz w:val="14"/>
          <w:szCs w:val="14"/>
          <w:color w:val="auto"/>
        </w:rPr>
        <w:t xml:space="preserve"> or as provided pursuant to </w:t>
      </w:r>
      <w:r>
        <w:rPr>
          <w:rFonts w:ascii="Times New Roman" w:cs="Times New Roman" w:eastAsia="Times New Roman" w:hAnsi="Times New Roman"/>
          <w:sz w:val="14"/>
          <w:szCs w:val="14"/>
          <w:u w:val="single" w:color="auto"/>
          <w:color w:val="auto"/>
        </w:rPr>
        <w:t>Section 3.01</w:t>
      </w:r>
      <w:r>
        <w:rPr>
          <w:rFonts w:ascii="Times New Roman" w:cs="Times New Roman" w:eastAsia="Times New Roman" w:hAnsi="Times New Roman"/>
          <w:sz w:val="14"/>
          <w:szCs w:val="14"/>
          <w:color w:val="auto"/>
        </w:rPr>
        <w:t xml:space="preserve">, with the consent of the Holders of at least a majority in aggregate principal amount of the Outstanding Securities of any series of Securities (including, without limitation, consents obtained in connection with a purchase of, or tender offer or exchange offer for, such Securities), by Act of said Holders delivered to the Company and the Trustee, the Company and the Guarantors when authorized by Board Resolutions, and the Trustee may (i) enter into an indenture or indentures supplemental hereto or agreements for the purpose of adding any provisions to, amending, modifying or changing in any manner, or eliminating any of the provisions of this Indenture with respect to such series, of any supplemental indenture with respect to such series or the Securities of such series (including but not limited to, for the purpose of modifying in any manner the rights of the Holders of such series under this Indenture with respect to such series or the Securities of such series) or (ii) waive compliance with any provision in this Indenture with respect to such series or the Securities of such series (other than waivers of past defaults covered by </w:t>
      </w:r>
      <w:r>
        <w:rPr>
          <w:rFonts w:ascii="Times New Roman" w:cs="Times New Roman" w:eastAsia="Times New Roman" w:hAnsi="Times New Roman"/>
          <w:sz w:val="14"/>
          <w:szCs w:val="14"/>
          <w:u w:val="single" w:color="auto"/>
          <w:color w:val="auto"/>
        </w:rPr>
        <w:t>Section 5.13</w:t>
      </w:r>
      <w:r>
        <w:rPr>
          <w:rFonts w:ascii="Times New Roman" w:cs="Times New Roman" w:eastAsia="Times New Roman" w:hAnsi="Times New Roman"/>
          <w:sz w:val="14"/>
          <w:szCs w:val="14"/>
          <w:color w:val="auto"/>
        </w:rPr>
        <w:t>); provided, however, that no such supplemental indenture, agreement, instrument or waiver shall, without the consent of each Holder of a Security of such series affected thereby:</w:t>
      </w:r>
    </w:p>
    <w:p>
      <w:pPr>
        <w:spacing w:after="0" w:line="65" w:lineRule="exact"/>
        <w:rPr>
          <w:sz w:val="20"/>
          <w:szCs w:val="20"/>
          <w:color w:val="auto"/>
        </w:rPr>
      </w:pPr>
    </w:p>
    <w:p>
      <w:pPr>
        <w:ind w:left="680" w:hanging="203"/>
        <w:spacing w:after="0"/>
        <w:tabs>
          <w:tab w:leader="none" w:pos="68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principal amount of Securities of such series whose Holders must consent to an amendment, supplement or waiver;</w:t>
      </w:r>
    </w:p>
    <w:p>
      <w:pPr>
        <w:spacing w:after="0" w:line="182" w:lineRule="exact"/>
        <w:rPr>
          <w:rFonts w:ascii="Times New Roman" w:cs="Times New Roman" w:eastAsia="Times New Roman" w:hAnsi="Times New Roman"/>
          <w:sz w:val="14"/>
          <w:szCs w:val="14"/>
          <w:color w:val="auto"/>
        </w:rPr>
      </w:pPr>
    </w:p>
    <w:p>
      <w:pPr>
        <w:ind w:left="680" w:hanging="203"/>
        <w:spacing w:after="0"/>
        <w:tabs>
          <w:tab w:leader="none" w:pos="68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rate of or change the time for payment of interest on any Securities of such series;</w:t>
      </w:r>
    </w:p>
    <w:p>
      <w:pPr>
        <w:spacing w:after="0" w:line="182" w:lineRule="exact"/>
        <w:rPr>
          <w:rFonts w:ascii="Times New Roman" w:cs="Times New Roman" w:eastAsia="Times New Roman" w:hAnsi="Times New Roman"/>
          <w:sz w:val="14"/>
          <w:szCs w:val="14"/>
          <w:color w:val="auto"/>
        </w:rPr>
      </w:pPr>
    </w:p>
    <w:p>
      <w:pPr>
        <w:ind w:left="120" w:right="199" w:firstLine="357"/>
        <w:spacing w:after="0" w:line="274" w:lineRule="auto"/>
        <w:tabs>
          <w:tab w:leader="none" w:pos="664"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principal of or change the Stated Maturity of any Security of such series or change the optional redemption dates or optional redemption prices from those set forth in any supplemental indenture or Board Resolution applicable to such series of Securities (except amendments or changes to any notice provisions, which may be amended with the consent of Holders of a majority of the Securities of such series);</w:t>
      </w:r>
    </w:p>
    <w:p>
      <w:pPr>
        <w:spacing w:after="0" w:line="135" w:lineRule="exact"/>
        <w:rPr>
          <w:rFonts w:ascii="Times New Roman" w:cs="Times New Roman" w:eastAsia="Times New Roman" w:hAnsi="Times New Roman"/>
          <w:sz w:val="14"/>
          <w:szCs w:val="14"/>
          <w:color w:val="auto"/>
        </w:rPr>
      </w:pPr>
    </w:p>
    <w:p>
      <w:pPr>
        <w:ind w:left="120" w:right="139" w:firstLine="357"/>
        <w:spacing w:after="0" w:line="292" w:lineRule="auto"/>
        <w:tabs>
          <w:tab w:leader="none" w:pos="672"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impair the right to institute suit for the enforcement of any payment on or with respect to the Securities of such series or the Guarantees of such Securities, if any;</w:t>
      </w:r>
    </w:p>
    <w:p>
      <w:pPr>
        <w:spacing w:after="0" w:line="123" w:lineRule="exact"/>
        <w:rPr>
          <w:rFonts w:ascii="Times New Roman" w:cs="Times New Roman" w:eastAsia="Times New Roman" w:hAnsi="Times New Roman"/>
          <w:sz w:val="14"/>
          <w:szCs w:val="14"/>
          <w:color w:val="auto"/>
        </w:rPr>
      </w:pPr>
    </w:p>
    <w:p>
      <w:pPr>
        <w:ind w:left="680" w:hanging="203"/>
        <w:spacing w:after="0"/>
        <w:tabs>
          <w:tab w:leader="none" w:pos="68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the Securities of such series payable in currency other than that stated in such Securities;</w:t>
      </w:r>
    </w:p>
    <w:p>
      <w:pPr>
        <w:spacing w:after="0" w:line="182" w:lineRule="exact"/>
        <w:rPr>
          <w:rFonts w:ascii="Times New Roman" w:cs="Times New Roman" w:eastAsia="Times New Roman" w:hAnsi="Times New Roman"/>
          <w:sz w:val="14"/>
          <w:szCs w:val="14"/>
          <w:color w:val="auto"/>
        </w:rPr>
      </w:pPr>
    </w:p>
    <w:p>
      <w:pPr>
        <w:ind w:left="660" w:hanging="183"/>
        <w:spacing w:after="0"/>
        <w:tabs>
          <w:tab w:leader="none" w:pos="66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modify any of the provisions of this </w:t>
      </w:r>
      <w:r>
        <w:rPr>
          <w:rFonts w:ascii="Times New Roman" w:cs="Times New Roman" w:eastAsia="Times New Roman" w:hAnsi="Times New Roman"/>
          <w:sz w:val="14"/>
          <w:szCs w:val="14"/>
          <w:u w:val="single" w:color="auto"/>
          <w:color w:val="auto"/>
        </w:rPr>
        <w:t>Section 9.02</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5.13</w:t>
      </w:r>
      <w:r>
        <w:rPr>
          <w:rFonts w:ascii="Times New Roman" w:cs="Times New Roman" w:eastAsia="Times New Roman" w:hAnsi="Times New Roman"/>
          <w:sz w:val="14"/>
          <w:szCs w:val="14"/>
          <w:color w:val="auto"/>
        </w:rPr>
        <w:t>;</w:t>
      </w:r>
    </w:p>
    <w:p>
      <w:pPr>
        <w:spacing w:after="0" w:line="182" w:lineRule="exact"/>
        <w:rPr>
          <w:rFonts w:ascii="Times New Roman" w:cs="Times New Roman" w:eastAsia="Times New Roman" w:hAnsi="Times New Roman"/>
          <w:sz w:val="14"/>
          <w:szCs w:val="14"/>
          <w:color w:val="auto"/>
        </w:rPr>
      </w:pPr>
    </w:p>
    <w:p>
      <w:pPr>
        <w:ind w:left="120" w:right="219" w:firstLine="357"/>
        <w:spacing w:after="0" w:line="292" w:lineRule="auto"/>
        <w:tabs>
          <w:tab w:leader="none" w:pos="672"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release any Guarantor from any of its obligations under its Guarantee of such Securities or this Indenture, except in accordance with the terms of this Indenture;</w:t>
      </w:r>
    </w:p>
    <w:p>
      <w:pPr>
        <w:spacing w:after="0" w:line="123" w:lineRule="exact"/>
        <w:rPr>
          <w:rFonts w:ascii="Times New Roman" w:cs="Times New Roman" w:eastAsia="Times New Roman" w:hAnsi="Times New Roman"/>
          <w:sz w:val="14"/>
          <w:szCs w:val="14"/>
          <w:color w:val="auto"/>
        </w:rPr>
      </w:pPr>
    </w:p>
    <w:p>
      <w:pPr>
        <w:ind w:left="120" w:right="159" w:firstLine="357"/>
        <w:spacing w:after="0" w:line="274" w:lineRule="auto"/>
        <w:tabs>
          <w:tab w:leader="none" w:pos="672"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waive a Default or Event of Default in the payment of principal of, or interest or premium, if any, on such Securities (except a rescission of acceleration of such Securities by the Holders of at least a majority in aggregate principal amount of such Securities and a waiver of the payment default that resulted from such acceleration);</w:t>
      </w:r>
    </w:p>
    <w:p>
      <w:pPr>
        <w:spacing w:after="0" w:line="135" w:lineRule="exact"/>
        <w:rPr>
          <w:rFonts w:ascii="Times New Roman" w:cs="Times New Roman" w:eastAsia="Times New Roman" w:hAnsi="Times New Roman"/>
          <w:sz w:val="14"/>
          <w:szCs w:val="14"/>
          <w:color w:val="auto"/>
        </w:rPr>
      </w:pPr>
    </w:p>
    <w:p>
      <w:pPr>
        <w:ind w:left="120" w:right="359" w:firstLine="357"/>
        <w:spacing w:after="0" w:line="292" w:lineRule="auto"/>
        <w:tabs>
          <w:tab w:leader="none" w:pos="641"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change in the provisions of this Indenture relating to waivers of past Defaults or the rights of Holders of such Securities to receive payments of principal of, or interest or premium, if any, on such Securities; or</w:t>
      </w:r>
    </w:p>
    <w:p>
      <w:pPr>
        <w:spacing w:after="0" w:line="123" w:lineRule="exact"/>
        <w:rPr>
          <w:rFonts w:ascii="Times New Roman" w:cs="Times New Roman" w:eastAsia="Times New Roman" w:hAnsi="Times New Roman"/>
          <w:sz w:val="14"/>
          <w:szCs w:val="14"/>
          <w:color w:val="auto"/>
        </w:rPr>
      </w:pPr>
    </w:p>
    <w:p>
      <w:pPr>
        <w:ind w:left="640" w:hanging="163"/>
        <w:spacing w:after="0"/>
        <w:tabs>
          <w:tab w:leader="none" w:pos="64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waive a redemption payment with respect to any Security.</w:t>
      </w:r>
    </w:p>
    <w:p>
      <w:pPr>
        <w:spacing w:after="0" w:line="182" w:lineRule="exact"/>
        <w:rPr>
          <w:sz w:val="20"/>
          <w:szCs w:val="20"/>
          <w:color w:val="auto"/>
        </w:rPr>
      </w:pPr>
    </w:p>
    <w:p>
      <w:pPr>
        <w:ind w:left="120" w:right="519" w:firstLine="350"/>
        <w:spacing w:after="0" w:line="274" w:lineRule="auto"/>
        <w:rPr>
          <w:sz w:val="20"/>
          <w:szCs w:val="20"/>
          <w:color w:val="auto"/>
        </w:rPr>
      </w:pPr>
      <w:r>
        <w:rPr>
          <w:rFonts w:ascii="Times New Roman" w:cs="Times New Roman" w:eastAsia="Times New Roman" w:hAnsi="Times New Roman"/>
          <w:sz w:val="14"/>
          <w:szCs w:val="14"/>
          <w:color w:val="auto"/>
        </w:rPr>
        <w:t>Upon the written request of the Company, accompanied by a copy of Board Resolutions authorizing the execution of any such supplemental indenture, and upon the filing with the Trustee of evidence of the consent of Holders as aforesaid, the Trustee shall join with the Company in the execution of such supplemental indenture.</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ectPr>
          <w:pgSz w:w="11900" w:h="16838" w:orient="portrait"/>
          <w:cols w:equalWidth="0" w:num="1">
            <w:col w:w="9019"/>
          </w:cols>
          <w:pgMar w:left="1440" w:top="243" w:right="1440" w:bottom="1440" w:gutter="0" w:footer="0" w:header="0"/>
        </w:sectPr>
      </w:pPr>
    </w:p>
    <w:bookmarkStart w:id="162" w:name="page163"/>
    <w:bookmarkEnd w:id="162"/>
    <w:p>
      <w:pPr>
        <w:ind w:left="120" w:right="139" w:firstLine="350"/>
        <w:spacing w:after="0" w:line="29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8">
                      <a:extLst>
                        <a:ext uri="{28A0092B-C50C-407E-A947-70E740481C1C}"/>
                      </a:extLst>
                    </a:blip>
                    <a:srcRect/>
                    <a:stretch>
                      <a:fillRect/>
                    </a:stretch>
                  </pic:blipFill>
                  <pic:spPr bwMode="auto">
                    <a:xfrm>
                      <a:off x="0" y="0"/>
                      <a:ext cx="7199630" cy="33020"/>
                    </a:xfrm>
                    <a:prstGeom prst="rect">
                      <a:avLst/>
                    </a:prstGeom>
                    <a:noFill/>
                  </pic:spPr>
                </pic:pic>
              </a:graphicData>
            </a:graphic>
          </wp:anchor>
        </w:drawing>
        <w:t xml:space="preserve">It shall not be necessary for any Act of Holders under this </w:t>
      </w:r>
      <w:r>
        <w:rPr>
          <w:rFonts w:ascii="Times New Roman" w:cs="Times New Roman" w:eastAsia="Times New Roman" w:hAnsi="Times New Roman"/>
          <w:sz w:val="14"/>
          <w:szCs w:val="14"/>
          <w:u w:val="single" w:color="auto"/>
          <w:color w:val="auto"/>
        </w:rPr>
        <w:t>Section 9.02</w:t>
      </w:r>
      <w:r>
        <w:rPr>
          <w:rFonts w:ascii="Times New Roman" w:cs="Times New Roman" w:eastAsia="Times New Roman" w:hAnsi="Times New Roman"/>
          <w:sz w:val="14"/>
          <w:szCs w:val="14"/>
          <w:color w:val="auto"/>
        </w:rPr>
        <w:t xml:space="preserve"> to approve the particular form of any proposed supplemental indenture, but it shall be sufficient if such Act shall approve the substance thereof.</w:t>
      </w:r>
    </w:p>
    <w:p>
      <w:pPr>
        <w:spacing w:after="0" w:line="123" w:lineRule="exact"/>
        <w:rPr>
          <w:sz w:val="20"/>
          <w:szCs w:val="20"/>
          <w:color w:val="auto"/>
        </w:rPr>
      </w:pPr>
    </w:p>
    <w:p>
      <w:pPr>
        <w:ind w:left="120" w:right="179" w:firstLine="350"/>
        <w:spacing w:after="0" w:line="274" w:lineRule="auto"/>
        <w:rPr>
          <w:sz w:val="20"/>
          <w:szCs w:val="20"/>
          <w:color w:val="auto"/>
        </w:rPr>
      </w:pPr>
      <w:r>
        <w:rPr>
          <w:rFonts w:ascii="Times New Roman" w:cs="Times New Roman" w:eastAsia="Times New Roman" w:hAnsi="Times New Roman"/>
          <w:sz w:val="14"/>
          <w:szCs w:val="14"/>
          <w:color w:val="auto"/>
        </w:rPr>
        <w:t>A supplemental indenture which changes or eliminates any covenant or other provision of this Indenture which has expressly been included solely for the benefit of one or more particular series of Securities, or which modifies the rights of Holders with respect to such covenant or other provisions, shall be deemed not to affect the rights under this Indenture of the Holders of any other series.</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9.03 </w:t>
      </w:r>
      <w:r>
        <w:rPr>
          <w:rFonts w:ascii="Times New Roman" w:cs="Times New Roman" w:eastAsia="Times New Roman" w:hAnsi="Times New Roman"/>
          <w:sz w:val="14"/>
          <w:szCs w:val="14"/>
          <w:u w:val="single" w:color="auto"/>
          <w:color w:val="auto"/>
        </w:rPr>
        <w:t>EXECUTION OF SUPPLEMENTAL INDENTURES AND AGREEMENTS</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120" w:right="239" w:firstLine="350"/>
        <w:spacing w:after="0" w:line="261" w:lineRule="auto"/>
        <w:rPr>
          <w:sz w:val="20"/>
          <w:szCs w:val="20"/>
          <w:color w:val="auto"/>
        </w:rPr>
      </w:pPr>
      <w:r>
        <w:rPr>
          <w:rFonts w:ascii="Times New Roman" w:cs="Times New Roman" w:eastAsia="Times New Roman" w:hAnsi="Times New Roman"/>
          <w:sz w:val="14"/>
          <w:szCs w:val="14"/>
          <w:color w:val="auto"/>
        </w:rPr>
        <w:t xml:space="preserve">In executing, or accepting the additional trusts created by, any supplemental indenture, agreement, instrument or waiver permitted by this </w:t>
      </w:r>
      <w:r>
        <w:rPr>
          <w:rFonts w:ascii="Times New Roman" w:cs="Times New Roman" w:eastAsia="Times New Roman" w:hAnsi="Times New Roman"/>
          <w:sz w:val="14"/>
          <w:szCs w:val="14"/>
          <w:u w:val="single" w:color="auto"/>
          <w:color w:val="auto"/>
        </w:rPr>
        <w:t>Article IX</w:t>
      </w:r>
      <w:r>
        <w:rPr>
          <w:rFonts w:ascii="Times New Roman" w:cs="Times New Roman" w:eastAsia="Times New Roman" w:hAnsi="Times New Roman"/>
          <w:sz w:val="14"/>
          <w:szCs w:val="14"/>
          <w:color w:val="auto"/>
        </w:rPr>
        <w:t xml:space="preserve"> or the modifications thereby of the trusts created by this Indenture, the Trustee shall receive, and (subject to Trust Indenture Act Sections 315(a) through 315(d) and </w:t>
      </w:r>
      <w:r>
        <w:rPr>
          <w:rFonts w:ascii="Times New Roman" w:cs="Times New Roman" w:eastAsia="Times New Roman" w:hAnsi="Times New Roman"/>
          <w:sz w:val="14"/>
          <w:szCs w:val="14"/>
          <w:u w:val="single" w:color="auto"/>
          <w:color w:val="auto"/>
        </w:rPr>
        <w:t>Section 6.01</w:t>
      </w:r>
      <w:r>
        <w:rPr>
          <w:rFonts w:ascii="Times New Roman" w:cs="Times New Roman" w:eastAsia="Times New Roman" w:hAnsi="Times New Roman"/>
          <w:sz w:val="14"/>
          <w:szCs w:val="14"/>
          <w:color w:val="auto"/>
        </w:rPr>
        <w:t xml:space="preserve"> hereof) shall be fully protected in relying upon, an Opinion of Counsel and an Officers’ Certificate each stating that the execution of such supplemental indenture, agreement or instrument is authorized or permitted by this Indenture and is the legal, valid and binding obligation of the Company, enforceable in accordance with its terms, subject to customary exceptions as to the enforceability thereof. The Trustee may, but shall not be obligated to, enter into any such supplemental indenture, agreement or instrument which affects the Trustee’s own rights, duties or immunities under this Indenture or otherwise.</w:t>
      </w:r>
    </w:p>
    <w:p>
      <w:pPr>
        <w:spacing w:after="0" w:line="1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9.04 </w:t>
      </w:r>
      <w:r>
        <w:rPr>
          <w:rFonts w:ascii="Times New Roman" w:cs="Times New Roman" w:eastAsia="Times New Roman" w:hAnsi="Times New Roman"/>
          <w:sz w:val="14"/>
          <w:szCs w:val="14"/>
          <w:u w:val="single" w:color="auto"/>
          <w:color w:val="auto"/>
        </w:rPr>
        <w:t>EFFECT OF SUPPLEMENTAL INDENTURES</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120" w:right="339" w:firstLine="350"/>
        <w:spacing w:after="0" w:line="274" w:lineRule="auto"/>
        <w:rPr>
          <w:sz w:val="20"/>
          <w:szCs w:val="20"/>
          <w:color w:val="auto"/>
        </w:rPr>
      </w:pPr>
      <w:r>
        <w:rPr>
          <w:rFonts w:ascii="Times New Roman" w:cs="Times New Roman" w:eastAsia="Times New Roman" w:hAnsi="Times New Roman"/>
          <w:sz w:val="14"/>
          <w:szCs w:val="14"/>
          <w:color w:val="auto"/>
        </w:rPr>
        <w:t xml:space="preserve">Upon the execution of any supplemental indenture under this </w:t>
      </w:r>
      <w:r>
        <w:rPr>
          <w:rFonts w:ascii="Times New Roman" w:cs="Times New Roman" w:eastAsia="Times New Roman" w:hAnsi="Times New Roman"/>
          <w:sz w:val="14"/>
          <w:szCs w:val="14"/>
          <w:u w:val="single" w:color="auto"/>
          <w:color w:val="auto"/>
        </w:rPr>
        <w:t>Article IX</w:t>
      </w:r>
      <w:r>
        <w:rPr>
          <w:rFonts w:ascii="Times New Roman" w:cs="Times New Roman" w:eastAsia="Times New Roman" w:hAnsi="Times New Roman"/>
          <w:sz w:val="14"/>
          <w:szCs w:val="14"/>
          <w:color w:val="auto"/>
        </w:rPr>
        <w:t>, this Indenture shall be modified in accordance therewith, and such supplemental indenture shall form a part of this Indenture for all purposes; and every Holder of Securities of the series affected thereby theretofore or thereafter authenticated and delivered hereunder shall be bound thereby.</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9.05 </w:t>
      </w:r>
      <w:r>
        <w:rPr>
          <w:rFonts w:ascii="Times New Roman" w:cs="Times New Roman" w:eastAsia="Times New Roman" w:hAnsi="Times New Roman"/>
          <w:sz w:val="14"/>
          <w:szCs w:val="14"/>
          <w:u w:val="single" w:color="auto"/>
          <w:color w:val="auto"/>
        </w:rPr>
        <w:t>CONFORMITY WITH TRUST INDENTURE ACT</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120" w:right="179" w:firstLine="350"/>
        <w:spacing w:after="0" w:line="292" w:lineRule="auto"/>
        <w:rPr>
          <w:sz w:val="20"/>
          <w:szCs w:val="20"/>
          <w:color w:val="auto"/>
        </w:rPr>
      </w:pPr>
      <w:r>
        <w:rPr>
          <w:rFonts w:ascii="Times New Roman" w:cs="Times New Roman" w:eastAsia="Times New Roman" w:hAnsi="Times New Roman"/>
          <w:sz w:val="14"/>
          <w:szCs w:val="14"/>
          <w:color w:val="auto"/>
        </w:rPr>
        <w:t xml:space="preserve">Every supplemental indenture executed pursuant to this </w:t>
      </w:r>
      <w:r>
        <w:rPr>
          <w:rFonts w:ascii="Times New Roman" w:cs="Times New Roman" w:eastAsia="Times New Roman" w:hAnsi="Times New Roman"/>
          <w:sz w:val="14"/>
          <w:szCs w:val="14"/>
          <w:u w:val="single" w:color="auto"/>
          <w:color w:val="auto"/>
        </w:rPr>
        <w:t>Article IX</w:t>
      </w:r>
      <w:r>
        <w:rPr>
          <w:rFonts w:ascii="Times New Roman" w:cs="Times New Roman" w:eastAsia="Times New Roman" w:hAnsi="Times New Roman"/>
          <w:sz w:val="14"/>
          <w:szCs w:val="14"/>
          <w:color w:val="auto"/>
        </w:rPr>
        <w:t xml:space="preserve"> shall conform to the mandatory requirements of the Trust Indenture Act as then in effect.</w:t>
      </w:r>
    </w:p>
    <w:p>
      <w:pPr>
        <w:spacing w:after="0" w:line="1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9.06 </w:t>
      </w:r>
      <w:r>
        <w:rPr>
          <w:rFonts w:ascii="Times New Roman" w:cs="Times New Roman" w:eastAsia="Times New Roman" w:hAnsi="Times New Roman"/>
          <w:sz w:val="14"/>
          <w:szCs w:val="14"/>
          <w:u w:val="single" w:color="auto"/>
          <w:color w:val="auto"/>
        </w:rPr>
        <w:t>REFERENCE IN SECURITIES TO SUPPLEMENTAL INDENTURES</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120" w:right="179" w:firstLine="350"/>
        <w:spacing w:after="0" w:line="266" w:lineRule="auto"/>
        <w:rPr>
          <w:sz w:val="20"/>
          <w:szCs w:val="20"/>
          <w:color w:val="auto"/>
        </w:rPr>
      </w:pPr>
      <w:r>
        <w:rPr>
          <w:rFonts w:ascii="Times New Roman" w:cs="Times New Roman" w:eastAsia="Times New Roman" w:hAnsi="Times New Roman"/>
          <w:sz w:val="14"/>
          <w:szCs w:val="14"/>
          <w:color w:val="auto"/>
        </w:rPr>
        <w:t xml:space="preserve">Securities of any series authenticated and delivered after the execution of any supplemental indenture pursuant to this </w:t>
      </w:r>
      <w:r>
        <w:rPr>
          <w:rFonts w:ascii="Times New Roman" w:cs="Times New Roman" w:eastAsia="Times New Roman" w:hAnsi="Times New Roman"/>
          <w:sz w:val="14"/>
          <w:szCs w:val="14"/>
          <w:u w:val="single" w:color="auto"/>
          <w:color w:val="auto"/>
        </w:rPr>
        <w:t>Article IX</w:t>
      </w:r>
      <w:r>
        <w:rPr>
          <w:rFonts w:ascii="Times New Roman" w:cs="Times New Roman" w:eastAsia="Times New Roman" w:hAnsi="Times New Roman"/>
          <w:sz w:val="14"/>
          <w:szCs w:val="14"/>
          <w:color w:val="auto"/>
        </w:rPr>
        <w:t xml:space="preserve"> may, and shall if required by the Trustee, bear a notation in form approved by the Trustee as to any matter provided for in such supplemental indenture. If the Company shall so determine, new Securities so modified as to conform, in the opinion of the Trustee and the Board of Directors, to any such supplemental indenture may be prepared and executed by the Company and authenticated and delivered by the Trustee in exchange for Outstanding Securities of such series.</w:t>
      </w:r>
    </w:p>
    <w:p>
      <w:pPr>
        <w:spacing w:after="0" w:line="3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9.07 </w:t>
      </w:r>
      <w:r>
        <w:rPr>
          <w:rFonts w:ascii="Times New Roman" w:cs="Times New Roman" w:eastAsia="Times New Roman" w:hAnsi="Times New Roman"/>
          <w:sz w:val="14"/>
          <w:szCs w:val="14"/>
          <w:u w:val="single" w:color="auto"/>
          <w:color w:val="auto"/>
        </w:rPr>
        <w:t>NOTICE OF SUPPLEMENTAL INDENTURES</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120" w:right="179" w:firstLine="350"/>
        <w:spacing w:after="0" w:line="268" w:lineRule="auto"/>
        <w:rPr>
          <w:sz w:val="20"/>
          <w:szCs w:val="20"/>
          <w:color w:val="auto"/>
        </w:rPr>
      </w:pPr>
      <w:r>
        <w:rPr>
          <w:rFonts w:ascii="Times New Roman" w:cs="Times New Roman" w:eastAsia="Times New Roman" w:hAnsi="Times New Roman"/>
          <w:sz w:val="14"/>
          <w:szCs w:val="14"/>
          <w:color w:val="auto"/>
        </w:rPr>
        <w:t xml:space="preserve">Promptly after the execution by the Company and the Trustee of any supplemental indenture pursuant to the provisions of </w:t>
      </w:r>
      <w:r>
        <w:rPr>
          <w:rFonts w:ascii="Times New Roman" w:cs="Times New Roman" w:eastAsia="Times New Roman" w:hAnsi="Times New Roman"/>
          <w:sz w:val="14"/>
          <w:szCs w:val="14"/>
          <w:u w:val="single" w:color="auto"/>
          <w:color w:val="auto"/>
        </w:rPr>
        <w:t>Section 9.02</w:t>
      </w:r>
      <w:r>
        <w:rPr>
          <w:rFonts w:ascii="Times New Roman" w:cs="Times New Roman" w:eastAsia="Times New Roman" w:hAnsi="Times New Roman"/>
          <w:sz w:val="14"/>
          <w:szCs w:val="14"/>
          <w:color w:val="auto"/>
        </w:rPr>
        <w:t xml:space="preserve">, the Company shall give notice thereof to the Holders of each Outstanding Security of any series affected, in the manner provided for in </w:t>
      </w:r>
      <w:r>
        <w:rPr>
          <w:rFonts w:ascii="Times New Roman" w:cs="Times New Roman" w:eastAsia="Times New Roman" w:hAnsi="Times New Roman"/>
          <w:sz w:val="14"/>
          <w:szCs w:val="14"/>
          <w:u w:val="single" w:color="auto"/>
          <w:color w:val="auto"/>
        </w:rPr>
        <w:t>Section 1.07</w:t>
      </w:r>
      <w:r>
        <w:rPr>
          <w:rFonts w:ascii="Times New Roman" w:cs="Times New Roman" w:eastAsia="Times New Roman" w:hAnsi="Times New Roman"/>
          <w:sz w:val="14"/>
          <w:szCs w:val="14"/>
          <w:color w:val="auto"/>
        </w:rPr>
        <w:t>, setting forth in general terms the substance of such supplemental indenture. Any failure of the Company to mail such notice, or any defect therein, shall not, however, in any way impair or affect the validity of any such supplemental indenture.</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ectPr>
          <w:pgSz w:w="11900" w:h="16838" w:orient="portrait"/>
          <w:cols w:equalWidth="0" w:num="1">
            <w:col w:w="9019"/>
          </w:cols>
          <w:pgMar w:left="1440" w:top="243" w:right="1440" w:bottom="1440" w:gutter="0" w:footer="0" w:header="0"/>
        </w:sectPr>
      </w:pPr>
    </w:p>
    <w:bookmarkStart w:id="163" w:name="page164"/>
    <w:bookmarkEnd w:id="163"/>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9">
                      <a:extLst>
                        <a:ext uri="{28A0092B-C50C-407E-A947-70E740481C1C}"/>
                      </a:extLst>
                    </a:blip>
                    <a:srcRect/>
                    <a:stretch>
                      <a:fillRect/>
                    </a:stretch>
                  </pic:blipFill>
                  <pic:spPr bwMode="auto">
                    <a:xfrm>
                      <a:off x="0" y="0"/>
                      <a:ext cx="7199630" cy="33020"/>
                    </a:xfrm>
                    <a:prstGeom prst="rect">
                      <a:avLst/>
                    </a:prstGeom>
                    <a:noFill/>
                  </pic:spPr>
                </pic:pic>
              </a:graphicData>
            </a:graphic>
          </wp:anchor>
        </w:drawing>
        <w:t>ARTICLE X</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COVENANTS</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10.01 </w:t>
      </w:r>
      <w:r>
        <w:rPr>
          <w:rFonts w:ascii="Times New Roman" w:cs="Times New Roman" w:eastAsia="Times New Roman" w:hAnsi="Times New Roman"/>
          <w:sz w:val="14"/>
          <w:szCs w:val="14"/>
          <w:u w:val="single" w:color="auto"/>
          <w:color w:val="auto"/>
        </w:rPr>
        <w:t>PAYMENT OF PRINCIPAL, PREMIUM AND INTEREST</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jc w:val="both"/>
        <w:ind w:left="120" w:right="279" w:firstLine="350"/>
        <w:spacing w:after="0" w:line="274" w:lineRule="auto"/>
        <w:rPr>
          <w:sz w:val="20"/>
          <w:szCs w:val="20"/>
          <w:color w:val="auto"/>
        </w:rPr>
      </w:pPr>
      <w:r>
        <w:rPr>
          <w:rFonts w:ascii="Times New Roman" w:cs="Times New Roman" w:eastAsia="Times New Roman" w:hAnsi="Times New Roman"/>
          <w:sz w:val="14"/>
          <w:szCs w:val="14"/>
          <w:color w:val="auto"/>
        </w:rPr>
        <w:t xml:space="preserve">The Company shall duly and punctually pay the principal of, premium, if any, and interest on each of the series of Securities in accordance with the terms of the applicable series of the Securities and this Indenture. Unless otherwise specified pursuant to </w:t>
      </w:r>
      <w:r>
        <w:rPr>
          <w:rFonts w:ascii="Times New Roman" w:cs="Times New Roman" w:eastAsia="Times New Roman" w:hAnsi="Times New Roman"/>
          <w:sz w:val="14"/>
          <w:szCs w:val="14"/>
          <w:u w:val="single" w:color="auto"/>
          <w:color w:val="auto"/>
        </w:rPr>
        <w:t>Section 3.01</w:t>
      </w:r>
      <w:r>
        <w:rPr>
          <w:rFonts w:ascii="Times New Roman" w:cs="Times New Roman" w:eastAsia="Times New Roman" w:hAnsi="Times New Roman"/>
          <w:sz w:val="14"/>
          <w:szCs w:val="14"/>
          <w:color w:val="auto"/>
        </w:rPr>
        <w:t>, payments for any Securities may be made by check or wire transfer.</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10.02 </w:t>
      </w:r>
      <w:r>
        <w:rPr>
          <w:rFonts w:ascii="Times New Roman" w:cs="Times New Roman" w:eastAsia="Times New Roman" w:hAnsi="Times New Roman"/>
          <w:sz w:val="14"/>
          <w:szCs w:val="14"/>
          <w:u w:val="single" w:color="auto"/>
          <w:color w:val="auto"/>
        </w:rPr>
        <w:t>MAINTENANCE OF OFFICE OR AGENCY</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120" w:right="139" w:firstLine="350"/>
        <w:spacing w:after="0" w:line="260" w:lineRule="auto"/>
        <w:rPr>
          <w:sz w:val="20"/>
          <w:szCs w:val="20"/>
          <w:color w:val="auto"/>
        </w:rPr>
      </w:pPr>
      <w:r>
        <w:rPr>
          <w:rFonts w:ascii="Times New Roman" w:cs="Times New Roman" w:eastAsia="Times New Roman" w:hAnsi="Times New Roman"/>
          <w:sz w:val="14"/>
          <w:szCs w:val="14"/>
          <w:color w:val="auto"/>
        </w:rPr>
        <w:t>The Company shall maintain an office or agency where Securities may be presented or surrendered for payment, and will also maintain in continental United States an office or agency where Securities may be surrendered for registration of transfer, redemption or exchange and where notices and demands to or upon the Company in respect of the Securities and this Indenture may be served which, in each case, may be an office of the Trustee or an agent of the Trustee. The office of the Trustee will be such office or agency of the Company, unless the Company shall designate and maintain some other office or agency for one or more of such purposes. The Company will give prompt written notice to the Trustee of the location and any change in the location of any such offices or agencies. If at any time the Company shall fail to maintain any such required offices or agencies or shall fail to furnish the Trustee with the address thereof, such presentations, surrenders, notices and demands may be made or served at the Corporate Trust Office of the Trustee and the Company hereby appoints the Trustee as its agent to receive all such presentations, surrenders, notices and demands; provided, however, that the Trustee shall not be deemed an agent of the Company for service of legal process.</w:t>
      </w:r>
    </w:p>
    <w:p>
      <w:pPr>
        <w:spacing w:after="0" w:line="147" w:lineRule="exact"/>
        <w:rPr>
          <w:sz w:val="20"/>
          <w:szCs w:val="20"/>
          <w:color w:val="auto"/>
        </w:rPr>
      </w:pPr>
    </w:p>
    <w:p>
      <w:pPr>
        <w:ind w:left="120" w:right="159" w:firstLine="350"/>
        <w:spacing w:after="0" w:line="274" w:lineRule="auto"/>
        <w:rPr>
          <w:sz w:val="20"/>
          <w:szCs w:val="20"/>
          <w:color w:val="auto"/>
        </w:rPr>
      </w:pPr>
      <w:r>
        <w:rPr>
          <w:rFonts w:ascii="Times New Roman" w:cs="Times New Roman" w:eastAsia="Times New Roman" w:hAnsi="Times New Roman"/>
          <w:sz w:val="14"/>
          <w:szCs w:val="14"/>
          <w:color w:val="auto"/>
        </w:rPr>
        <w:t>The Company may from time to time designate one or more other offices or agencies (in or outside of The City of New York) where the Securities may be presented or surrendered for any or all such purposes, and may from time to time rescind such designation. The Company will give prompt written notice to the Trustee of any such designation or rescission and any change in the location of any such office or agency.</w:t>
      </w:r>
    </w:p>
    <w:p>
      <w:pPr>
        <w:spacing w:after="0" w:line="13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The Trustee or its agent shall initially act as Paying Agent for the Securities.</w:t>
      </w:r>
    </w:p>
    <w:p>
      <w:pPr>
        <w:spacing w:after="0" w:line="1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10.03 </w:t>
      </w:r>
      <w:r>
        <w:rPr>
          <w:rFonts w:ascii="Times New Roman" w:cs="Times New Roman" w:eastAsia="Times New Roman" w:hAnsi="Times New Roman"/>
          <w:sz w:val="14"/>
          <w:szCs w:val="14"/>
          <w:u w:val="single" w:color="auto"/>
          <w:color w:val="auto"/>
        </w:rPr>
        <w:t>MONEY FOR SECURITY PAYMENTS TO BE HELD IN TRUST</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120" w:right="359" w:firstLine="350"/>
        <w:spacing w:after="0" w:line="268" w:lineRule="auto"/>
        <w:rPr>
          <w:sz w:val="20"/>
          <w:szCs w:val="20"/>
          <w:color w:val="auto"/>
        </w:rPr>
      </w:pPr>
      <w:r>
        <w:rPr>
          <w:rFonts w:ascii="Times New Roman" w:cs="Times New Roman" w:eastAsia="Times New Roman" w:hAnsi="Times New Roman"/>
          <w:sz w:val="14"/>
          <w:szCs w:val="14"/>
          <w:color w:val="auto"/>
        </w:rPr>
        <w:t>If the Company or any of its Affiliates shall at any time act as Paying Agent, it will, on or before each due date of the principal of, premium, if any, or interest on any of the Securities, segregate and hold in trust for the benefit of the Holders entitled thereto a sum sufficient to pay the principal, premium, if any, or interest so becoming due until such sums shall be paid to such Persons or otherwise disposed of as herein provided, and will promptly notify the Trustee of its action or failure so to act.</w:t>
      </w:r>
    </w:p>
    <w:p>
      <w:pPr>
        <w:spacing w:after="0" w:line="139" w:lineRule="exact"/>
        <w:rPr>
          <w:sz w:val="20"/>
          <w:szCs w:val="20"/>
          <w:color w:val="auto"/>
        </w:rPr>
      </w:pPr>
    </w:p>
    <w:p>
      <w:pPr>
        <w:ind w:left="120" w:right="219" w:firstLine="350"/>
        <w:spacing w:after="0" w:line="268" w:lineRule="auto"/>
        <w:rPr>
          <w:sz w:val="20"/>
          <w:szCs w:val="20"/>
          <w:color w:val="auto"/>
        </w:rPr>
      </w:pPr>
      <w:r>
        <w:rPr>
          <w:rFonts w:ascii="Times New Roman" w:cs="Times New Roman" w:eastAsia="Times New Roman" w:hAnsi="Times New Roman"/>
          <w:sz w:val="14"/>
          <w:szCs w:val="14"/>
          <w:color w:val="auto"/>
        </w:rPr>
        <w:t>If the Company or any of its Affiliates is not acting as Paying Agent, the Company will, at or before 11:00 a.m. Eastern Time of each due date of the principal of, premium, if any, or interest on any of the Securities, deposit with a Paying Agent a sum in same day funds sufficient to pay the principal, premium, if any, or interest so becoming due, such sum to be held in trust for the benefit of the Persons entitled to such principal, premium or interest, and (unless such Paying Agent is the Trustee or its agent) the Company will promptly notify the Trustee of such action or any failure so to act.</w:t>
      </w:r>
    </w:p>
    <w:p>
      <w:pPr>
        <w:spacing w:after="0" w:line="139" w:lineRule="exact"/>
        <w:rPr>
          <w:sz w:val="20"/>
          <w:szCs w:val="20"/>
          <w:color w:val="auto"/>
        </w:rPr>
      </w:pPr>
    </w:p>
    <w:p>
      <w:pPr>
        <w:ind w:left="120" w:right="339" w:firstLine="350"/>
        <w:spacing w:after="0" w:line="274" w:lineRule="auto"/>
        <w:rPr>
          <w:sz w:val="20"/>
          <w:szCs w:val="20"/>
          <w:color w:val="auto"/>
        </w:rPr>
      </w:pPr>
      <w:r>
        <w:rPr>
          <w:rFonts w:ascii="Times New Roman" w:cs="Times New Roman" w:eastAsia="Times New Roman" w:hAnsi="Times New Roman"/>
          <w:sz w:val="14"/>
          <w:szCs w:val="14"/>
          <w:color w:val="auto"/>
        </w:rPr>
        <w:t xml:space="preserve">If the Company is not acting as Paying Agent, the Company shall cause each Paying Agent other than the Trustee or its agent to execute and deliver to the Trustee an instrument in which such Paying Agent shall agree with the Trustee, subject to the provisions of this </w:t>
      </w:r>
      <w:r>
        <w:rPr>
          <w:rFonts w:ascii="Times New Roman" w:cs="Times New Roman" w:eastAsia="Times New Roman" w:hAnsi="Times New Roman"/>
          <w:sz w:val="14"/>
          <w:szCs w:val="14"/>
          <w:u w:val="single" w:color="auto"/>
          <w:color w:val="auto"/>
        </w:rPr>
        <w:t>Section 10.03</w:t>
      </w:r>
      <w:r>
        <w:rPr>
          <w:rFonts w:ascii="Times New Roman" w:cs="Times New Roman" w:eastAsia="Times New Roman" w:hAnsi="Times New Roman"/>
          <w:sz w:val="14"/>
          <w:szCs w:val="14"/>
          <w:color w:val="auto"/>
        </w:rPr>
        <w:t>, that such Paying Agent will:</w:t>
      </w:r>
    </w:p>
    <w:p>
      <w:pPr>
        <w:spacing w:after="0" w:line="49" w:lineRule="exact"/>
        <w:rPr>
          <w:sz w:val="20"/>
          <w:szCs w:val="20"/>
          <w:color w:val="auto"/>
        </w:rPr>
      </w:pPr>
    </w:p>
    <w:p>
      <w:pPr>
        <w:ind w:left="120" w:right="259" w:firstLine="357"/>
        <w:spacing w:after="0" w:line="292" w:lineRule="auto"/>
        <w:tabs>
          <w:tab w:leader="none" w:pos="664"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hold all sums held by it for the payment of the principal of, premium, if any, or interest on the Securities in trust for the benefit of the Persons entitled thereto until such sums shall be paid to such Persons or otherwise disposed of as herein provided;</w:t>
      </w:r>
    </w:p>
    <w:p>
      <w:pPr>
        <w:spacing w:after="0" w:line="123" w:lineRule="exact"/>
        <w:rPr>
          <w:rFonts w:ascii="Times New Roman" w:cs="Times New Roman" w:eastAsia="Times New Roman" w:hAnsi="Times New Roman"/>
          <w:sz w:val="14"/>
          <w:szCs w:val="14"/>
          <w:color w:val="auto"/>
        </w:rPr>
      </w:pPr>
    </w:p>
    <w:p>
      <w:pPr>
        <w:ind w:left="120" w:right="439" w:firstLine="357"/>
        <w:spacing w:after="0" w:line="292" w:lineRule="auto"/>
        <w:tabs>
          <w:tab w:leader="none" w:pos="672"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give the Trustee prompt notice of any Default by the Company (or any other obligor upon the Securities) in the making of any payment of principal, premium, if any, or interest on the Securities;</w:t>
      </w:r>
    </w:p>
    <w:p>
      <w:pPr>
        <w:spacing w:after="0" w:line="123" w:lineRule="exact"/>
        <w:rPr>
          <w:rFonts w:ascii="Times New Roman" w:cs="Times New Roman" w:eastAsia="Times New Roman" w:hAnsi="Times New Roman"/>
          <w:sz w:val="14"/>
          <w:szCs w:val="14"/>
          <w:color w:val="auto"/>
        </w:rPr>
      </w:pPr>
    </w:p>
    <w:p>
      <w:pPr>
        <w:ind w:left="120" w:right="159" w:firstLine="357"/>
        <w:spacing w:after="0" w:line="292" w:lineRule="auto"/>
        <w:tabs>
          <w:tab w:leader="none" w:pos="664"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any time during the continuance of any such Default, upon the written request of the Trustee, forthwith pay to the Trustee all sums so held in trust by such Paying Agent; and</w:t>
      </w:r>
    </w:p>
    <w:p>
      <w:pPr>
        <w:spacing w:after="0" w:line="123" w:lineRule="exact"/>
        <w:rPr>
          <w:rFonts w:ascii="Times New Roman" w:cs="Times New Roman" w:eastAsia="Times New Roman" w:hAnsi="Times New Roman"/>
          <w:sz w:val="14"/>
          <w:szCs w:val="14"/>
          <w:color w:val="auto"/>
        </w:rPr>
      </w:pPr>
    </w:p>
    <w:p>
      <w:pPr>
        <w:ind w:left="120" w:right="199" w:firstLine="357"/>
        <w:spacing w:after="0" w:line="292" w:lineRule="auto"/>
        <w:tabs>
          <w:tab w:leader="none" w:pos="672"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acknowledge, accept and agree to comply in all aspects with the provisions of this Indenture relating to the duties, rights and liabilities of such Paying Agent.</w:t>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ectPr>
          <w:pgSz w:w="11900" w:h="16838" w:orient="portrait"/>
          <w:cols w:equalWidth="0" w:num="1">
            <w:col w:w="9019"/>
          </w:cols>
          <w:pgMar w:left="1440" w:top="241" w:right="1440" w:bottom="1440" w:gutter="0" w:footer="0" w:header="0"/>
        </w:sectPr>
      </w:pPr>
    </w:p>
    <w:bookmarkStart w:id="164" w:name="page165"/>
    <w:bookmarkEnd w:id="164"/>
    <w:p>
      <w:pPr>
        <w:ind w:left="120" w:right="179" w:firstLine="350"/>
        <w:spacing w:after="0" w:line="26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0">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all further liability with respect to such money.</w:t>
      </w:r>
    </w:p>
    <w:p>
      <w:pPr>
        <w:spacing w:after="0" w:line="139" w:lineRule="exact"/>
        <w:rPr>
          <w:sz w:val="20"/>
          <w:szCs w:val="20"/>
          <w:color w:val="auto"/>
        </w:rPr>
      </w:pPr>
    </w:p>
    <w:p>
      <w:pPr>
        <w:ind w:left="120" w:right="179" w:firstLine="350"/>
        <w:spacing w:after="0" w:line="263" w:lineRule="auto"/>
        <w:rPr>
          <w:sz w:val="20"/>
          <w:szCs w:val="20"/>
          <w:color w:val="auto"/>
        </w:rPr>
      </w:pPr>
      <w:r>
        <w:rPr>
          <w:rFonts w:ascii="Times New Roman" w:cs="Times New Roman" w:eastAsia="Times New Roman" w:hAnsi="Times New Roman"/>
          <w:sz w:val="14"/>
          <w:szCs w:val="14"/>
          <w:color w:val="auto"/>
        </w:rPr>
        <w:t>Except as otherwise provided in the Securities of any series, subject to applicable law, any money deposited with the Trustee or any Paying Agent, or then held by the Company, in trust for the payment of the principal of, premium, if any, or interest on any Security and remaining unclaimed for two years after such principal and premium, if any, or interest has become due and payable shall promptly be paid to the Company on Company Request, or (if then held by the Company) shall be discharged from such trust; and the Holder of such Security shall thereafter, as an unsecured general creditor, look only to the Company for payment thereof, and all liability of the Trustee or such Paying Agent with respect to such trust money, and all liability of the Company as trustee thereof, shall thereupon cease.</w:t>
      </w:r>
    </w:p>
    <w:p>
      <w:pPr>
        <w:spacing w:after="0" w:line="1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10.04 </w:t>
      </w:r>
      <w:r>
        <w:rPr>
          <w:rFonts w:ascii="Times New Roman" w:cs="Times New Roman" w:eastAsia="Times New Roman" w:hAnsi="Times New Roman"/>
          <w:sz w:val="14"/>
          <w:szCs w:val="14"/>
          <w:u w:val="single" w:color="auto"/>
          <w:color w:val="auto"/>
        </w:rPr>
        <w:t>REPORTS OF THE COMPANY AND PROVISION OF FINANCIAL STATEMENTS</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120" w:right="639" w:firstLine="357"/>
        <w:spacing w:after="0" w:line="292" w:lineRule="auto"/>
        <w:tabs>
          <w:tab w:leader="none" w:pos="664"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or not required by the Commission, so long as any Securities are outstanding, the Company, upon request, shall furnish to the Holders, within the time periods specified in the Commission’s rules and regulations:</w:t>
      </w:r>
    </w:p>
    <w:p>
      <w:pPr>
        <w:spacing w:after="0" w:line="37" w:lineRule="exact"/>
        <w:rPr>
          <w:sz w:val="20"/>
          <w:szCs w:val="20"/>
          <w:color w:val="auto"/>
        </w:rPr>
      </w:pPr>
    </w:p>
    <w:p>
      <w:pPr>
        <w:ind w:left="120" w:right="199" w:firstLine="357"/>
        <w:spacing w:after="0" w:line="268" w:lineRule="auto"/>
        <w:tabs>
          <w:tab w:leader="none" w:pos="641"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quarterly and annual financial and other information that would be required to be contained in a filing with the Commission on Forms 10-Q and 10-K if the Company were required to file such Forms, including a “Management’s Discussion and Analysis of Financial Condition and Results of Operations” and, with respect to the annual information only, a report on the annual financial statements by the Company’s certified independent accountants; and</w:t>
      </w:r>
    </w:p>
    <w:p>
      <w:pPr>
        <w:spacing w:after="0" w:line="139" w:lineRule="exact"/>
        <w:rPr>
          <w:rFonts w:ascii="Times New Roman" w:cs="Times New Roman" w:eastAsia="Times New Roman" w:hAnsi="Times New Roman"/>
          <w:sz w:val="14"/>
          <w:szCs w:val="14"/>
          <w:color w:val="auto"/>
        </w:rPr>
      </w:pPr>
    </w:p>
    <w:p>
      <w:pPr>
        <w:ind w:left="680" w:hanging="203"/>
        <w:spacing w:after="0"/>
        <w:tabs>
          <w:tab w:leader="none" w:pos="68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current reports that would be required to be filed with the Commission on Form 8-K if the Company were required to file such reports.</w:t>
      </w:r>
    </w:p>
    <w:p>
      <w:pPr>
        <w:spacing w:after="0" w:line="182" w:lineRule="exact"/>
        <w:rPr>
          <w:sz w:val="20"/>
          <w:szCs w:val="20"/>
          <w:color w:val="auto"/>
        </w:rPr>
      </w:pPr>
    </w:p>
    <w:p>
      <w:pPr>
        <w:ind w:left="120" w:right="439" w:firstLine="357"/>
        <w:spacing w:after="0" w:line="274" w:lineRule="auto"/>
        <w:tabs>
          <w:tab w:leader="none" w:pos="672" w:val="left"/>
        </w:tabs>
        <w:numPr>
          <w:ilvl w:val="1"/>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addition, whether or not required by the Commission, the Company shall file a copy of all of the information and reports referred to in clauses (a)(i) and (ii) above with the Commission for public availability within the time periods specified in the Commission’s rules and regulations (unless the Commission will not accept such a filing) and make such information available to prospective investors upon request.</w:t>
      </w:r>
    </w:p>
    <w:p>
      <w:pPr>
        <w:spacing w:after="0" w:line="135" w:lineRule="exact"/>
        <w:rPr>
          <w:rFonts w:ascii="Times New Roman" w:cs="Times New Roman" w:eastAsia="Times New Roman" w:hAnsi="Times New Roman"/>
          <w:sz w:val="14"/>
          <w:szCs w:val="14"/>
          <w:color w:val="auto"/>
        </w:rPr>
      </w:pPr>
    </w:p>
    <w:p>
      <w:pPr>
        <w:ind w:left="120" w:right="139" w:firstLine="357"/>
        <w:spacing w:after="0" w:line="268" w:lineRule="auto"/>
        <w:tabs>
          <w:tab w:leader="none" w:pos="664" w:val="left"/>
        </w:tabs>
        <w:numPr>
          <w:ilvl w:val="1"/>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the Company has designated any of its Subsidiaries as Unrestricted Subsidiaries, then the quarterly and annual financial information required by </w:t>
      </w:r>
      <w:r>
        <w:rPr>
          <w:rFonts w:ascii="Times New Roman" w:cs="Times New Roman" w:eastAsia="Times New Roman" w:hAnsi="Times New Roman"/>
          <w:sz w:val="14"/>
          <w:szCs w:val="14"/>
          <w:u w:val="single" w:color="auto"/>
          <w:color w:val="auto"/>
        </w:rPr>
        <w:t>Section 10.04(a)</w:t>
      </w:r>
      <w:r>
        <w:rPr>
          <w:rFonts w:ascii="Times New Roman" w:cs="Times New Roman" w:eastAsia="Times New Roman" w:hAnsi="Times New Roman"/>
          <w:sz w:val="14"/>
          <w:szCs w:val="14"/>
          <w:color w:val="auto"/>
        </w:rPr>
        <w:t xml:space="preserve"> shall include a reasonably detailed presentation, either on the face of the financial statements or in the footnotes thereto, and in “Management’s Discussion and Analysis of Financial Condition and Results of Operations,” of the financial condition and results of operations of the Company and its Restricted Subsidiaries separate from the financial condition and results of operations of the Unrestricted Subsidiaries of the Company.</w:t>
      </w:r>
    </w:p>
    <w:p>
      <w:pPr>
        <w:spacing w:after="0" w:line="139" w:lineRule="exact"/>
        <w:rPr>
          <w:rFonts w:ascii="Times New Roman" w:cs="Times New Roman" w:eastAsia="Times New Roman" w:hAnsi="Times New Roman"/>
          <w:sz w:val="14"/>
          <w:szCs w:val="14"/>
          <w:color w:val="auto"/>
        </w:rPr>
      </w:pPr>
    </w:p>
    <w:p>
      <w:pPr>
        <w:jc w:val="both"/>
        <w:ind w:left="120" w:right="419" w:firstLine="357"/>
        <w:spacing w:after="0" w:line="266" w:lineRule="auto"/>
        <w:tabs>
          <w:tab w:leader="none" w:pos="672" w:val="left"/>
        </w:tabs>
        <w:numPr>
          <w:ilvl w:val="1"/>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Notwithstanding </w:t>
      </w:r>
      <w:r>
        <w:rPr>
          <w:rFonts w:ascii="Times New Roman" w:cs="Times New Roman" w:eastAsia="Times New Roman" w:hAnsi="Times New Roman"/>
          <w:sz w:val="14"/>
          <w:szCs w:val="14"/>
          <w:u w:val="single" w:color="auto"/>
          <w:color w:val="auto"/>
        </w:rPr>
        <w:t>Sections 10.04(a)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(b)</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(c)</w:t>
      </w:r>
      <w:r>
        <w:rPr>
          <w:rFonts w:ascii="Times New Roman" w:cs="Times New Roman" w:eastAsia="Times New Roman" w:hAnsi="Times New Roman"/>
          <w:sz w:val="14"/>
          <w:szCs w:val="14"/>
          <w:color w:val="auto"/>
        </w:rPr>
        <w:t xml:space="preserve">, if any direct or indirect parent company of the Company provides a full and unconditional guarantee of the Securities, the reports, information and other documents required to be filed and furnished as required by </w:t>
      </w:r>
      <w:r>
        <w:rPr>
          <w:rFonts w:ascii="Times New Roman" w:cs="Times New Roman" w:eastAsia="Times New Roman" w:hAnsi="Times New Roman"/>
          <w:sz w:val="14"/>
          <w:szCs w:val="14"/>
          <w:u w:val="single" w:color="auto"/>
          <w:color w:val="auto"/>
        </w:rPr>
        <w:t>Sections 10.04(a)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(b)</w:t>
      </w:r>
      <w:r>
        <w:rPr>
          <w:rFonts w:ascii="Times New Roman" w:cs="Times New Roman" w:eastAsia="Times New Roman" w:hAnsi="Times New Roman"/>
          <w:sz w:val="14"/>
          <w:szCs w:val="14"/>
          <w:color w:val="auto"/>
        </w:rPr>
        <w:t xml:space="preserve"> and</w:t>
      </w:r>
    </w:p>
    <w:p>
      <w:pPr>
        <w:ind w:left="120" w:right="259" w:firstLine="7"/>
        <w:spacing w:after="0" w:line="257" w:lineRule="auto"/>
        <w:tabs>
          <w:tab w:leader="none" w:pos="314" w:val="left"/>
        </w:tabs>
        <w:numPr>
          <w:ilvl w:val="0"/>
          <w:numId w:val="102"/>
        </w:numPr>
        <w:rPr>
          <w:rFonts w:ascii="Times New Roman" w:cs="Times New Roman" w:eastAsia="Times New Roman" w:hAnsi="Times New Roman"/>
          <w:sz w:val="14"/>
          <w:szCs w:val="14"/>
          <w:u w:val="single" w:color="auto"/>
          <w:color w:val="auto"/>
        </w:rPr>
      </w:pPr>
      <w:r>
        <w:rPr>
          <w:rFonts w:ascii="Times New Roman" w:cs="Times New Roman" w:eastAsia="Times New Roman" w:hAnsi="Times New Roman"/>
          <w:sz w:val="14"/>
          <w:szCs w:val="14"/>
          <w:color w:val="auto"/>
        </w:rPr>
        <w:t xml:space="preserve">may be those of such parent company, rather than those of the Company; provided that, if and so long as such parent company shall have Independent Assets or Operations, the same is accompanied by consolidating information relating to such parent company, on the one hand, and information relating to the Company and its Restricted Subsidiaries on a standalone basis, on the other hand. The Company shall be deemed to have furnished to the Holders of Securities, and to have delivered to the Trustee, the information and reports referred to in subclauses (i) and (ii) of </w:t>
      </w:r>
      <w:r>
        <w:rPr>
          <w:rFonts w:ascii="Times New Roman" w:cs="Times New Roman" w:eastAsia="Times New Roman" w:hAnsi="Times New Roman"/>
          <w:sz w:val="14"/>
          <w:szCs w:val="14"/>
          <w:u w:val="single" w:color="auto"/>
          <w:color w:val="auto"/>
        </w:rPr>
        <w:t>Section 10.04(a)</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10.04(c)</w:t>
      </w:r>
      <w:r>
        <w:rPr>
          <w:rFonts w:ascii="Times New Roman" w:cs="Times New Roman" w:eastAsia="Times New Roman" w:hAnsi="Times New Roman"/>
          <w:sz w:val="14"/>
          <w:szCs w:val="14"/>
          <w:color w:val="auto"/>
        </w:rPr>
        <w:t xml:space="preserve"> and this </w:t>
      </w:r>
      <w:r>
        <w:rPr>
          <w:rFonts w:ascii="Times New Roman" w:cs="Times New Roman" w:eastAsia="Times New Roman" w:hAnsi="Times New Roman"/>
          <w:sz w:val="14"/>
          <w:szCs w:val="14"/>
          <w:u w:val="single" w:color="auto"/>
          <w:color w:val="auto"/>
        </w:rPr>
        <w:t>clause (d)</w:t>
      </w:r>
      <w:r>
        <w:rPr>
          <w:rFonts w:ascii="Times New Roman" w:cs="Times New Roman" w:eastAsia="Times New Roman" w:hAnsi="Times New Roman"/>
          <w:sz w:val="14"/>
          <w:szCs w:val="14"/>
          <w:color w:val="auto"/>
        </w:rPr>
        <w:t xml:space="preserve"> (or such information and reports of a direct or indirect parent company of the Company, if applicable), if such information and reports have been filed with the Commission via the EDGAR filing system (or any successor filing system of the Commission) and are publicly available (provided that the Trustee shall have no responsibility whatsoever to determine whether such filing has occurred). “</w:t>
      </w:r>
      <w:r>
        <w:rPr>
          <w:rFonts w:ascii="Times New Roman" w:cs="Times New Roman" w:eastAsia="Times New Roman" w:hAnsi="Times New Roman"/>
          <w:sz w:val="14"/>
          <w:szCs w:val="14"/>
          <w:u w:val="single" w:color="auto"/>
          <w:color w:val="auto"/>
        </w:rPr>
        <w:t>Independent Assets or Operations</w:t>
      </w:r>
      <w:r>
        <w:rPr>
          <w:rFonts w:ascii="Times New Roman" w:cs="Times New Roman" w:eastAsia="Times New Roman" w:hAnsi="Times New Roman"/>
          <w:sz w:val="14"/>
          <w:szCs w:val="14"/>
          <w:color w:val="auto"/>
        </w:rPr>
        <w:t>” means, with respect to any direct or indirect parent company of the Company, that each of the total assets, revenues, income from continuing operations before income taxes and cash flows from operating activities of such parent company, determined on a consolidated basis in accordance with GAAP, but excluding in each case amounts related to its investment in the Company and the Restricted Subsidiaries, as shown in the most recent fiscal quarter financial statements of such parent company (measured on a most recent trailing four fiscal quarter basis with respect to revenues, income from continuing operations before income taxes and cash flows from operating activities), is more than 3.0% of such parent company’s corresponding consolidated amount determined in accordance with GAAP.</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ectPr>
          <w:pgSz w:w="11900" w:h="16838" w:orient="portrait"/>
          <w:cols w:equalWidth="0" w:num="1">
            <w:col w:w="9019"/>
          </w:cols>
          <w:pgMar w:left="1440" w:top="243" w:right="1440" w:bottom="1440" w:gutter="0" w:footer="0" w:header="0"/>
        </w:sectPr>
      </w:pPr>
    </w:p>
    <w:bookmarkStart w:id="165" w:name="page166"/>
    <w:bookmarkEnd w:id="165"/>
    <w:p>
      <w:pPr>
        <w:ind w:left="120" w:right="179" w:firstLine="357"/>
        <w:spacing w:after="0" w:line="259" w:lineRule="auto"/>
        <w:tabs>
          <w:tab w:leader="none" w:pos="664"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1">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The Company shall and shall cause each Guarantor (if any) (to the extent that such Guarantor is so required under the Trust Indenture Act) to deliver to the Trustee, within 90 days after the end of each fiscal year, an Officers’ Certificate stating that a review of the activities of the Company and its Subsidiaries during the preceding fiscal year has been made under the supervision of the signing Officers with a view to determining whether the Company has kept, observed, performed and fulfilled its obligations under this Indenture, and further stating, as to each such Officer signing such certificate, that to the best of his or her knowledge, the Company has kept, observed, performed and fulfilled its obligations under this Indenture and is not in default in the performance or observance of any of the terms, provisions and conditions of this Indenture (or, if a Default or Event of Default shall have occurred, describing all such Defaults or Events of Default of which he or she may have knowledge and what action the Company is taking or proposes to take with respect thereto) and that to the best of his or her knowledge no event has occurred and remains in existence by reason of which payments on account of the principal of or interest, if any, on the Securities is prohibited or if such event has occurred, a description of the event and what action the Company is taking or proposes to take with respect thereto.</w:t>
      </w:r>
    </w:p>
    <w:p>
      <w:pPr>
        <w:spacing w:after="0" w:line="151" w:lineRule="exact"/>
        <w:rPr>
          <w:rFonts w:ascii="Times New Roman" w:cs="Times New Roman" w:eastAsia="Times New Roman" w:hAnsi="Times New Roman"/>
          <w:sz w:val="14"/>
          <w:szCs w:val="14"/>
          <w:color w:val="auto"/>
        </w:rPr>
      </w:pPr>
    </w:p>
    <w:p>
      <w:pPr>
        <w:ind w:left="120" w:right="179" w:firstLine="357"/>
        <w:spacing w:after="0" w:line="262" w:lineRule="auto"/>
        <w:tabs>
          <w:tab w:leader="none" w:pos="649"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So long as not contrary to the then current recommendations of the American Institute of Certified Public Accountants, the year-end financial statements delivered pursuant to </w:t>
      </w:r>
      <w:r>
        <w:rPr>
          <w:rFonts w:ascii="Times New Roman" w:cs="Times New Roman" w:eastAsia="Times New Roman" w:hAnsi="Times New Roman"/>
          <w:sz w:val="14"/>
          <w:szCs w:val="14"/>
          <w:u w:val="single" w:color="auto"/>
          <w:color w:val="auto"/>
        </w:rPr>
        <w:t>Section 10.04(a)(i)</w:t>
      </w:r>
      <w:r>
        <w:rPr>
          <w:rFonts w:ascii="Times New Roman" w:cs="Times New Roman" w:eastAsia="Times New Roman" w:hAnsi="Times New Roman"/>
          <w:sz w:val="14"/>
          <w:szCs w:val="14"/>
          <w:color w:val="auto"/>
        </w:rPr>
        <w:t xml:space="preserve"> shall be accompanied by a written statement of the Company’s independent public accountants (which shall be a firm of established national reputation) that in making the examination necessary for certification of such financial statements, nothing has come to their attention that would lead them to believe that the Company has violated any provisions of </w:t>
      </w:r>
      <w:r>
        <w:rPr>
          <w:rFonts w:ascii="Times New Roman" w:cs="Times New Roman" w:eastAsia="Times New Roman" w:hAnsi="Times New Roman"/>
          <w:sz w:val="14"/>
          <w:szCs w:val="14"/>
          <w:u w:val="single" w:color="auto"/>
          <w:color w:val="auto"/>
        </w:rPr>
        <w:t>Article X</w:t>
      </w:r>
      <w:r>
        <w:rPr>
          <w:rFonts w:ascii="Times New Roman" w:cs="Times New Roman" w:eastAsia="Times New Roman" w:hAnsi="Times New Roman"/>
          <w:sz w:val="14"/>
          <w:szCs w:val="14"/>
          <w:color w:val="auto"/>
        </w:rPr>
        <w:t xml:space="preserve"> hereof or any covenants of the Company contained in any amendment or indenture supplemental hereto or, if any such violation has occurred, specifying the nature and period of existence thereof, it being understood that such accountants shall not be liable directly or indirectly to any Person for any failure to obtain knowledge of any such violation.</w:t>
      </w:r>
    </w:p>
    <w:p>
      <w:pPr>
        <w:spacing w:after="0" w:line="318" w:lineRule="exact"/>
        <w:rPr>
          <w:rFonts w:ascii="Times New Roman" w:cs="Times New Roman" w:eastAsia="Times New Roman" w:hAnsi="Times New Roman"/>
          <w:sz w:val="14"/>
          <w:szCs w:val="14"/>
          <w:color w:val="auto"/>
        </w:rPr>
      </w:pPr>
    </w:p>
    <w:p>
      <w:pPr>
        <w:ind w:left="120" w:right="259" w:firstLine="357"/>
        <w:spacing w:after="0" w:line="274" w:lineRule="auto"/>
        <w:tabs>
          <w:tab w:leader="none" w:pos="672"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deliver to the Trustee, forthwith after the Company becomes aware of the occurrence of any Event of Default or an event which, with notice or the lapse of time or both, would constitute an Event of Default, an Officers’ Certificate setting forth the details of such Event of Default or Default and the action which the Company proposes to take with respect thereto.</w:t>
      </w:r>
    </w:p>
    <w:p>
      <w:pPr>
        <w:spacing w:after="0" w:line="135" w:lineRule="exact"/>
        <w:rPr>
          <w:rFonts w:ascii="Times New Roman" w:cs="Times New Roman" w:eastAsia="Times New Roman" w:hAnsi="Times New Roman"/>
          <w:sz w:val="14"/>
          <w:szCs w:val="14"/>
          <w:color w:val="auto"/>
        </w:rPr>
      </w:pPr>
    </w:p>
    <w:p>
      <w:pPr>
        <w:ind w:left="120" w:right="199" w:firstLine="357"/>
        <w:spacing w:after="0" w:line="265" w:lineRule="auto"/>
        <w:tabs>
          <w:tab w:leader="none" w:pos="672"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be under no obligation to analyze or make any credit decision with respect to any financial statements or reports received by it hereunder. Delivery of such reports, information and documents to the Trustee hereunder is for informational purposes only and the Trustee’s receipt of such shall not constitute actual or constructive notice of any information contained therein or determinable from information contained therein, including the Company’s compliance with any of its covenants hereunder (as to which the Trustee is entitled to rely exclusively on Officers’ Certificates). The Trustee shall have no responsibility or liability for the filing, timeliness or content of such reports, information or documents.</w:t>
      </w:r>
    </w:p>
    <w:p>
      <w:pPr>
        <w:spacing w:after="0" w:line="141" w:lineRule="exact"/>
        <w:rPr>
          <w:rFonts w:ascii="Times New Roman" w:cs="Times New Roman" w:eastAsia="Times New Roman" w:hAnsi="Times New Roman"/>
          <w:sz w:val="14"/>
          <w:szCs w:val="14"/>
          <w:color w:val="auto"/>
        </w:rPr>
      </w:pPr>
    </w:p>
    <w:p>
      <w:pPr>
        <w:jc w:val="both"/>
        <w:ind w:left="120" w:right="279" w:firstLine="357"/>
        <w:spacing w:after="0" w:line="274" w:lineRule="auto"/>
        <w:tabs>
          <w:tab w:leader="none" w:pos="641"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Notwithstanding anything herein to the contrary, the Company shall not be deemed to have failed to comply with any of its obligations under this </w:t>
      </w:r>
      <w:r>
        <w:rPr>
          <w:rFonts w:ascii="Times New Roman" w:cs="Times New Roman" w:eastAsia="Times New Roman" w:hAnsi="Times New Roman"/>
          <w:sz w:val="14"/>
          <w:szCs w:val="14"/>
          <w:u w:val="single" w:color="auto"/>
          <w:color w:val="auto"/>
        </w:rPr>
        <w:t>Section 10.04</w:t>
      </w:r>
      <w:r>
        <w:rPr>
          <w:rFonts w:ascii="Times New Roman" w:cs="Times New Roman" w:eastAsia="Times New Roman" w:hAnsi="Times New Roman"/>
          <w:sz w:val="14"/>
          <w:szCs w:val="14"/>
          <w:color w:val="auto"/>
        </w:rPr>
        <w:t xml:space="preserve"> for purposes of </w:t>
      </w:r>
      <w:r>
        <w:rPr>
          <w:rFonts w:ascii="Times New Roman" w:cs="Times New Roman" w:eastAsia="Times New Roman" w:hAnsi="Times New Roman"/>
          <w:sz w:val="14"/>
          <w:szCs w:val="14"/>
          <w:u w:val="single" w:color="auto"/>
          <w:color w:val="auto"/>
        </w:rPr>
        <w:t>Article V</w:t>
      </w:r>
      <w:r>
        <w:rPr>
          <w:rFonts w:ascii="Times New Roman" w:cs="Times New Roman" w:eastAsia="Times New Roman" w:hAnsi="Times New Roman"/>
          <w:sz w:val="14"/>
          <w:szCs w:val="14"/>
          <w:color w:val="auto"/>
        </w:rPr>
        <w:t xml:space="preserve"> of this Indenture until 120 days after the date any report under this </w:t>
      </w:r>
      <w:r>
        <w:rPr>
          <w:rFonts w:ascii="Times New Roman" w:cs="Times New Roman" w:eastAsia="Times New Roman" w:hAnsi="Times New Roman"/>
          <w:sz w:val="14"/>
          <w:szCs w:val="14"/>
          <w:u w:val="single" w:color="auto"/>
          <w:color w:val="auto"/>
        </w:rPr>
        <w:t>Section 10.04</w:t>
      </w:r>
      <w:r>
        <w:rPr>
          <w:rFonts w:ascii="Times New Roman" w:cs="Times New Roman" w:eastAsia="Times New Roman" w:hAnsi="Times New Roman"/>
          <w:sz w:val="14"/>
          <w:szCs w:val="14"/>
          <w:color w:val="auto"/>
        </w:rPr>
        <w:t xml:space="preserve"> is due; provided that this subclause (i) shall not apply to subclauses (e) and (g) of this Section 10.04.</w:t>
      </w: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XI</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REDEMPTION OF SECURITIES</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11.01 </w:t>
      </w:r>
      <w:r>
        <w:rPr>
          <w:rFonts w:ascii="Times New Roman" w:cs="Times New Roman" w:eastAsia="Times New Roman" w:hAnsi="Times New Roman"/>
          <w:sz w:val="14"/>
          <w:szCs w:val="14"/>
          <w:u w:val="single" w:color="auto"/>
          <w:color w:val="auto"/>
        </w:rPr>
        <w:t>RIGHTS OF REDEMPTION</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120" w:right="359" w:firstLine="350"/>
        <w:spacing w:after="0" w:line="292" w:lineRule="auto"/>
        <w:rPr>
          <w:sz w:val="20"/>
          <w:szCs w:val="20"/>
          <w:color w:val="auto"/>
        </w:rPr>
      </w:pPr>
      <w:r>
        <w:rPr>
          <w:rFonts w:ascii="Times New Roman" w:cs="Times New Roman" w:eastAsia="Times New Roman" w:hAnsi="Times New Roman"/>
          <w:sz w:val="14"/>
          <w:szCs w:val="14"/>
          <w:color w:val="auto"/>
        </w:rPr>
        <w:t xml:space="preserve">The Company shall have such rights to redeem the Securities of any series as are set forth, if any, in any amendment or indenture supplemental hereto, pursuant to </w:t>
      </w:r>
      <w:r>
        <w:rPr>
          <w:rFonts w:ascii="Times New Roman" w:cs="Times New Roman" w:eastAsia="Times New Roman" w:hAnsi="Times New Roman"/>
          <w:sz w:val="14"/>
          <w:szCs w:val="14"/>
          <w:u w:val="single" w:color="auto"/>
          <w:color w:val="auto"/>
        </w:rPr>
        <w:t>Section 3.01</w:t>
      </w:r>
      <w:r>
        <w:rPr>
          <w:rFonts w:ascii="Times New Roman" w:cs="Times New Roman" w:eastAsia="Times New Roman" w:hAnsi="Times New Roman"/>
          <w:sz w:val="14"/>
          <w:szCs w:val="14"/>
          <w:color w:val="auto"/>
        </w:rPr>
        <w:t xml:space="preserve">. The provisions of this </w:t>
      </w:r>
      <w:r>
        <w:rPr>
          <w:rFonts w:ascii="Times New Roman" w:cs="Times New Roman" w:eastAsia="Times New Roman" w:hAnsi="Times New Roman"/>
          <w:sz w:val="14"/>
          <w:szCs w:val="14"/>
          <w:u w:val="single" w:color="auto"/>
          <w:color w:val="auto"/>
        </w:rPr>
        <w:t>Article XI</w:t>
      </w:r>
      <w:r>
        <w:rPr>
          <w:rFonts w:ascii="Times New Roman" w:cs="Times New Roman" w:eastAsia="Times New Roman" w:hAnsi="Times New Roman"/>
          <w:sz w:val="14"/>
          <w:szCs w:val="14"/>
          <w:color w:val="auto"/>
        </w:rPr>
        <w:t xml:space="preserve"> shall apply to any redemption of any series of Securities hereunder.</w:t>
      </w:r>
    </w:p>
    <w:p>
      <w:pPr>
        <w:spacing w:after="0" w:line="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44</w:t>
      </w:r>
    </w:p>
    <w:p>
      <w:pPr>
        <w:sectPr>
          <w:pgSz w:w="11900" w:h="16838" w:orient="portrait"/>
          <w:cols w:equalWidth="0" w:num="1">
            <w:col w:w="9019"/>
          </w:cols>
          <w:pgMar w:left="1440" w:top="243" w:right="1440" w:bottom="1440" w:gutter="0" w:footer="0" w:header="0"/>
        </w:sectPr>
      </w:pPr>
    </w:p>
    <w:bookmarkStart w:id="166" w:name="page167"/>
    <w:bookmarkEnd w:id="166"/>
    <w:p>
      <w:pPr>
        <w:ind w:left="1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2">
                      <a:extLst>
                        <a:ext uri="{28A0092B-C50C-407E-A947-70E740481C1C}"/>
                      </a:extLst>
                    </a:blip>
                    <a:srcRect/>
                    <a:stretch>
                      <a:fillRect/>
                    </a:stretch>
                  </pic:blipFill>
                  <pic:spPr bwMode="auto">
                    <a:xfrm>
                      <a:off x="0" y="0"/>
                      <a:ext cx="7199630" cy="33020"/>
                    </a:xfrm>
                    <a:prstGeom prst="rect">
                      <a:avLst/>
                    </a:prstGeom>
                    <a:noFill/>
                  </pic:spPr>
                </pic:pic>
              </a:graphicData>
            </a:graphic>
          </wp:anchor>
        </w:drawing>
        <w:t xml:space="preserve">Section 11.02 </w:t>
      </w:r>
      <w:r>
        <w:rPr>
          <w:rFonts w:ascii="Times New Roman" w:cs="Times New Roman" w:eastAsia="Times New Roman" w:hAnsi="Times New Roman"/>
          <w:sz w:val="14"/>
          <w:szCs w:val="14"/>
          <w:u w:val="single" w:color="auto"/>
          <w:color w:val="auto"/>
        </w:rPr>
        <w:t>APPLICABILITY OF ARTICLE</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120" w:right="279" w:firstLine="350"/>
        <w:spacing w:after="0" w:line="292" w:lineRule="auto"/>
        <w:rPr>
          <w:sz w:val="20"/>
          <w:szCs w:val="20"/>
          <w:color w:val="auto"/>
        </w:rPr>
      </w:pPr>
      <w:r>
        <w:rPr>
          <w:rFonts w:ascii="Times New Roman" w:cs="Times New Roman" w:eastAsia="Times New Roman" w:hAnsi="Times New Roman"/>
          <w:sz w:val="14"/>
          <w:szCs w:val="14"/>
          <w:color w:val="auto"/>
        </w:rPr>
        <w:t xml:space="preserve">Redemption of Securities at the election of the Company or otherwise, as permitted or required by any provision of this Indenture, shall be made in accordance with such provision and this </w:t>
      </w:r>
      <w:r>
        <w:rPr>
          <w:rFonts w:ascii="Times New Roman" w:cs="Times New Roman" w:eastAsia="Times New Roman" w:hAnsi="Times New Roman"/>
          <w:sz w:val="14"/>
          <w:szCs w:val="14"/>
          <w:u w:val="single" w:color="auto"/>
          <w:color w:val="auto"/>
        </w:rPr>
        <w:t>Article XI</w:t>
      </w:r>
      <w:r>
        <w:rPr>
          <w:rFonts w:ascii="Times New Roman" w:cs="Times New Roman" w:eastAsia="Times New Roman" w:hAnsi="Times New Roman"/>
          <w:sz w:val="14"/>
          <w:szCs w:val="14"/>
          <w:color w:val="auto"/>
        </w:rPr>
        <w:t xml:space="preserve"> except as otherwise specified as contemplated by </w:t>
      </w:r>
      <w:r>
        <w:rPr>
          <w:rFonts w:ascii="Times New Roman" w:cs="Times New Roman" w:eastAsia="Times New Roman" w:hAnsi="Times New Roman"/>
          <w:sz w:val="14"/>
          <w:szCs w:val="14"/>
          <w:u w:val="single" w:color="auto"/>
          <w:color w:val="auto"/>
        </w:rPr>
        <w:t>Section 3.01</w:t>
      </w:r>
      <w:r>
        <w:rPr>
          <w:rFonts w:ascii="Times New Roman" w:cs="Times New Roman" w:eastAsia="Times New Roman" w:hAnsi="Times New Roman"/>
          <w:sz w:val="14"/>
          <w:szCs w:val="14"/>
          <w:color w:val="auto"/>
        </w:rPr>
        <w:t xml:space="preserve"> for Securities of any series.</w:t>
      </w:r>
    </w:p>
    <w:p>
      <w:pPr>
        <w:spacing w:after="0" w:line="1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11.03 </w:t>
      </w:r>
      <w:r>
        <w:rPr>
          <w:rFonts w:ascii="Times New Roman" w:cs="Times New Roman" w:eastAsia="Times New Roman" w:hAnsi="Times New Roman"/>
          <w:sz w:val="14"/>
          <w:szCs w:val="14"/>
          <w:u w:val="single" w:color="auto"/>
          <w:color w:val="auto"/>
        </w:rPr>
        <w:t>ELECTION TO REDEEM; NOTICE TO TRUSTEE</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120" w:right="479" w:firstLine="350"/>
        <w:spacing w:after="0" w:line="268" w:lineRule="auto"/>
        <w:rPr>
          <w:sz w:val="20"/>
          <w:szCs w:val="20"/>
          <w:color w:val="auto"/>
        </w:rPr>
      </w:pPr>
      <w:r>
        <w:rPr>
          <w:rFonts w:ascii="Times New Roman" w:cs="Times New Roman" w:eastAsia="Times New Roman" w:hAnsi="Times New Roman"/>
          <w:sz w:val="14"/>
          <w:szCs w:val="14"/>
          <w:color w:val="auto"/>
        </w:rPr>
        <w:t xml:space="preserve">The election of the Company to redeem any Securities shall be evidenced by a Company Order and an Officers’ Certificate. In case of any redemption at the election of the Company, the Company shall, not less than 45 days prior to the Redemption Date fixed by the Company (unless a shorter notice period shall be satisfactory to the Trustee), notify the Trustee in writing of such Redemption Date and of the principal amount of the applicable series of Securities to be redeemed except as otherwise specified as contemplated by </w:t>
      </w:r>
      <w:r>
        <w:rPr>
          <w:rFonts w:ascii="Times New Roman" w:cs="Times New Roman" w:eastAsia="Times New Roman" w:hAnsi="Times New Roman"/>
          <w:sz w:val="14"/>
          <w:szCs w:val="14"/>
          <w:u w:val="single" w:color="auto"/>
          <w:color w:val="auto"/>
        </w:rPr>
        <w:t>Section 3.01</w:t>
      </w:r>
      <w:r>
        <w:rPr>
          <w:rFonts w:ascii="Times New Roman" w:cs="Times New Roman" w:eastAsia="Times New Roman" w:hAnsi="Times New Roman"/>
          <w:sz w:val="14"/>
          <w:szCs w:val="14"/>
          <w:color w:val="auto"/>
        </w:rPr>
        <w:t xml:space="preserve"> for Securities of any series.</w:t>
      </w:r>
    </w:p>
    <w:p>
      <w:pPr>
        <w:spacing w:after="0" w:line="1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11.04 </w:t>
      </w:r>
      <w:r>
        <w:rPr>
          <w:rFonts w:ascii="Times New Roman" w:cs="Times New Roman" w:eastAsia="Times New Roman" w:hAnsi="Times New Roman"/>
          <w:sz w:val="14"/>
          <w:szCs w:val="14"/>
          <w:u w:val="single" w:color="auto"/>
          <w:color w:val="auto"/>
        </w:rPr>
        <w:t>SELECTION BY TRUSTEE OF SECURITIES TO BE REDEEMED</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120" w:right="379" w:firstLine="350"/>
        <w:spacing w:after="0" w:line="274" w:lineRule="auto"/>
        <w:rPr>
          <w:sz w:val="20"/>
          <w:szCs w:val="20"/>
          <w:color w:val="auto"/>
        </w:rPr>
      </w:pPr>
      <w:r>
        <w:rPr>
          <w:rFonts w:ascii="Times New Roman" w:cs="Times New Roman" w:eastAsia="Times New Roman" w:hAnsi="Times New Roman"/>
          <w:sz w:val="14"/>
          <w:szCs w:val="14"/>
          <w:color w:val="auto"/>
        </w:rPr>
        <w:t>If less than all of the applicable series of Securities are to be redeemed, the particular Securities or portions thereof to be redeemed shall be selected not more than 60 nor less than 30 days prior to the Redemption Date. If less than all of the Securities of any series are to be redeemed at any time, the Trustee shall select Securities of such series for redemption as follows:</w:t>
      </w:r>
    </w:p>
    <w:p>
      <w:pPr>
        <w:spacing w:after="0" w:line="49" w:lineRule="exact"/>
        <w:rPr>
          <w:sz w:val="20"/>
          <w:szCs w:val="20"/>
          <w:color w:val="auto"/>
        </w:rPr>
      </w:pPr>
    </w:p>
    <w:p>
      <w:pPr>
        <w:ind w:left="120" w:right="679" w:firstLine="357"/>
        <w:spacing w:after="0" w:line="292" w:lineRule="auto"/>
        <w:tabs>
          <w:tab w:leader="none" w:pos="672"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Securities are listed on any national securities exchange, in compliance with the requirements of the principal national securities exchange on which the Securities are listed; or</w:t>
      </w:r>
    </w:p>
    <w:p>
      <w:pPr>
        <w:spacing w:after="0" w:line="123" w:lineRule="exact"/>
        <w:rPr>
          <w:rFonts w:ascii="Times New Roman" w:cs="Times New Roman" w:eastAsia="Times New Roman" w:hAnsi="Times New Roman"/>
          <w:sz w:val="14"/>
          <w:szCs w:val="14"/>
          <w:color w:val="auto"/>
        </w:rPr>
      </w:pPr>
    </w:p>
    <w:p>
      <w:pPr>
        <w:ind w:left="120" w:right="259" w:firstLine="357"/>
        <w:spacing w:after="0" w:line="263" w:lineRule="auto"/>
        <w:tabs>
          <w:tab w:leader="none" w:pos="672"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Securities are not listed on any national securities exchange, on a pro rata basis (based on amounts tendered), pro rata, by lot or by such method as the Trustee deems fair and appropriate in accordance with DTC procedures. No Securities of $2,000 or less can be redeemed in part. The amounts to be redeemed shall be equal to $2,000 or any integral multiples of $1,000 in excess thereof, unless provided otherwise in any supplemental indenture with respect to any particular series of Securities. No Securities of $2,000 or less can be redeemed in part. The amounts to be redeemed shall be equal to $2,000 or any integral multiples of $1,000 in excess thereof, unless provided otherwise in any supplemental indenture with respect to any particular series of Securities.</w:t>
      </w:r>
    </w:p>
    <w:p>
      <w:pPr>
        <w:spacing w:after="0" w:line="143" w:lineRule="exact"/>
        <w:rPr>
          <w:sz w:val="20"/>
          <w:szCs w:val="20"/>
          <w:color w:val="auto"/>
        </w:rPr>
      </w:pPr>
    </w:p>
    <w:p>
      <w:pPr>
        <w:ind w:left="120" w:right="279" w:firstLine="350"/>
        <w:spacing w:after="0" w:line="292" w:lineRule="auto"/>
        <w:rPr>
          <w:sz w:val="20"/>
          <w:szCs w:val="20"/>
          <w:color w:val="auto"/>
        </w:rPr>
      </w:pPr>
      <w:r>
        <w:rPr>
          <w:rFonts w:ascii="Times New Roman" w:cs="Times New Roman" w:eastAsia="Times New Roman" w:hAnsi="Times New Roman"/>
          <w:sz w:val="14"/>
          <w:szCs w:val="14"/>
          <w:color w:val="auto"/>
        </w:rPr>
        <w:t>The Trustee shall promptly notify the Company and the Security Registrar in writing of the Securities selected for redemption and, in the case of any Securities selected for partial redemption, the principal amount thereof to be redeemed.</w:t>
      </w:r>
    </w:p>
    <w:p>
      <w:pPr>
        <w:spacing w:after="0" w:line="123" w:lineRule="exact"/>
        <w:rPr>
          <w:sz w:val="20"/>
          <w:szCs w:val="20"/>
          <w:color w:val="auto"/>
        </w:rPr>
      </w:pPr>
    </w:p>
    <w:p>
      <w:pPr>
        <w:ind w:left="120" w:right="219" w:firstLine="350"/>
        <w:spacing w:after="0" w:line="292" w:lineRule="auto"/>
        <w:rPr>
          <w:sz w:val="20"/>
          <w:szCs w:val="20"/>
          <w:color w:val="auto"/>
        </w:rPr>
      </w:pPr>
      <w:r>
        <w:rPr>
          <w:rFonts w:ascii="Times New Roman" w:cs="Times New Roman" w:eastAsia="Times New Roman" w:hAnsi="Times New Roman"/>
          <w:sz w:val="14"/>
          <w:szCs w:val="14"/>
          <w:color w:val="auto"/>
        </w:rPr>
        <w:t>For all purposes of this Indenture, unless the context otherwise requires, all provisions relating to redemption of Securities shall relate, in the case of any Security redeemed or to be redeemed only in part, to the portion of the principal amount of such Security which has been or is to be redeemed.</w:t>
      </w:r>
    </w:p>
    <w:p>
      <w:pPr>
        <w:spacing w:after="0" w:line="1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11.05 </w:t>
      </w:r>
      <w:r>
        <w:rPr>
          <w:rFonts w:ascii="Times New Roman" w:cs="Times New Roman" w:eastAsia="Times New Roman" w:hAnsi="Times New Roman"/>
          <w:sz w:val="14"/>
          <w:szCs w:val="14"/>
          <w:u w:val="single" w:color="auto"/>
          <w:color w:val="auto"/>
        </w:rPr>
        <w:t>NOTICE OF REDEMPTION</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120" w:right="219" w:firstLine="350"/>
        <w:spacing w:after="0" w:line="265" w:lineRule="auto"/>
        <w:rPr>
          <w:sz w:val="20"/>
          <w:szCs w:val="20"/>
          <w:color w:val="auto"/>
        </w:rPr>
      </w:pPr>
      <w:r>
        <w:rPr>
          <w:rFonts w:ascii="Times New Roman" w:cs="Times New Roman" w:eastAsia="Times New Roman" w:hAnsi="Times New Roman"/>
          <w:sz w:val="14"/>
          <w:szCs w:val="14"/>
          <w:color w:val="auto"/>
        </w:rPr>
        <w:t xml:space="preserve">Notice of redemption shall be given by first-class mail, postage prepaid, mailed not less than 30 days nor more than 60 days prior to the Redemption Date unless a shorter period is specified by the terms of such series established pursuant to </w:t>
      </w:r>
      <w:r>
        <w:rPr>
          <w:rFonts w:ascii="Times New Roman" w:cs="Times New Roman" w:eastAsia="Times New Roman" w:hAnsi="Times New Roman"/>
          <w:sz w:val="14"/>
          <w:szCs w:val="14"/>
          <w:u w:val="single" w:color="auto"/>
          <w:color w:val="auto"/>
        </w:rPr>
        <w:t>Section 3.01</w:t>
      </w:r>
      <w:r>
        <w:rPr>
          <w:rFonts w:ascii="Times New Roman" w:cs="Times New Roman" w:eastAsia="Times New Roman" w:hAnsi="Times New Roman"/>
          <w:sz w:val="14"/>
          <w:szCs w:val="14"/>
          <w:color w:val="auto"/>
        </w:rPr>
        <w:t>, to each Holder of Securities to be redeemed, at its address appearing in the Security Register. Redemption notices may be mailed more than 60 days prior to a Redemption Date if the notice is issued in connection with a defeasance of the Securities or a satisfaction and discharge of this Indenture. As long as the Securities are issued in global form, notices to be given to Holders will be given to the Depositary, in accordance with its applicable policies as in effect from time to time.</w:t>
      </w:r>
    </w:p>
    <w:p>
      <w:pPr>
        <w:spacing w:after="0" w:line="1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All notices of redemption shall state:</w:t>
      </w:r>
    </w:p>
    <w:p>
      <w:pPr>
        <w:spacing w:after="0" w:line="97" w:lineRule="exact"/>
        <w:rPr>
          <w:sz w:val="20"/>
          <w:szCs w:val="20"/>
          <w:color w:val="auto"/>
        </w:rPr>
      </w:pPr>
    </w:p>
    <w:p>
      <w:pPr>
        <w:ind w:left="680" w:hanging="203"/>
        <w:spacing w:after="0"/>
        <w:tabs>
          <w:tab w:leader="none" w:pos="68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Redemption Date;</w:t>
      </w:r>
    </w:p>
    <w:p>
      <w:pPr>
        <w:spacing w:after="0" w:line="182" w:lineRule="exact"/>
        <w:rPr>
          <w:rFonts w:ascii="Times New Roman" w:cs="Times New Roman" w:eastAsia="Times New Roman" w:hAnsi="Times New Roman"/>
          <w:sz w:val="14"/>
          <w:szCs w:val="14"/>
          <w:color w:val="auto"/>
        </w:rPr>
      </w:pPr>
    </w:p>
    <w:p>
      <w:pPr>
        <w:ind w:left="680" w:hanging="203"/>
        <w:spacing w:after="0"/>
        <w:tabs>
          <w:tab w:leader="none" w:pos="68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Redemption Price or the method by which such Redemption Price shall be determined;</w:t>
      </w:r>
    </w:p>
    <w:p>
      <w:pPr>
        <w:spacing w:after="0" w:line="182" w:lineRule="exact"/>
        <w:rPr>
          <w:rFonts w:ascii="Times New Roman" w:cs="Times New Roman" w:eastAsia="Times New Roman" w:hAnsi="Times New Roman"/>
          <w:sz w:val="14"/>
          <w:szCs w:val="14"/>
          <w:color w:val="auto"/>
        </w:rPr>
      </w:pPr>
    </w:p>
    <w:p>
      <w:pPr>
        <w:jc w:val="center"/>
        <w:ind w:left="4440" w:right="939" w:hanging="3963"/>
        <w:spacing w:after="0" w:line="468" w:lineRule="auto"/>
        <w:tabs>
          <w:tab w:leader="none" w:pos="679"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less than all Outstanding Securities of a series are to be redeemed, the identification of the particular Securities to be redeemed; 45</w:t>
      </w:r>
    </w:p>
    <w:p>
      <w:pPr>
        <w:sectPr>
          <w:pgSz w:w="11900" w:h="16838" w:orient="portrait"/>
          <w:cols w:equalWidth="0" w:num="1">
            <w:col w:w="9019"/>
          </w:cols>
          <w:pgMar w:left="1440" w:top="243" w:right="1440" w:bottom="1440" w:gutter="0" w:footer="0" w:header="0"/>
        </w:sectPr>
      </w:pPr>
    </w:p>
    <w:bookmarkStart w:id="167" w:name="page168"/>
    <w:bookmarkEnd w:id="167"/>
    <w:p>
      <w:pPr>
        <w:ind w:left="120" w:right="159" w:firstLine="357"/>
        <w:spacing w:after="0" w:line="292" w:lineRule="auto"/>
        <w:tabs>
          <w:tab w:leader="none" w:pos="672"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3">
                      <a:extLst>
                        <a:ext uri="{28A0092B-C50C-407E-A947-70E740481C1C}"/>
                      </a:extLst>
                    </a:blip>
                    <a:srcRect/>
                    <a:stretch>
                      <a:fillRect/>
                    </a:stretch>
                  </pic:blipFill>
                  <pic:spPr bwMode="auto">
                    <a:xfrm>
                      <a:off x="0" y="0"/>
                      <a:ext cx="7199630" cy="33020"/>
                    </a:xfrm>
                    <a:prstGeom prst="rect">
                      <a:avLst/>
                    </a:prstGeom>
                    <a:noFill/>
                  </pic:spPr>
                </pic:pic>
              </a:graphicData>
            </a:graphic>
          </wp:anchor>
        </w:drawing>
        <w:t>in the case of a Security to be redeemed in part, the principal amount of such Security to be redeemed and that after the Redemption Date upon surrender of such Security, new Security or Securities in the aggregate principal amount equal to the unredeemed portion thereof will be issued;</w:t>
      </w:r>
    </w:p>
    <w:p>
      <w:pPr>
        <w:spacing w:after="0" w:line="123" w:lineRule="exact"/>
        <w:rPr>
          <w:rFonts w:ascii="Times New Roman" w:cs="Times New Roman" w:eastAsia="Times New Roman" w:hAnsi="Times New Roman"/>
          <w:sz w:val="14"/>
          <w:szCs w:val="14"/>
          <w:color w:val="auto"/>
        </w:rPr>
      </w:pPr>
    </w:p>
    <w:p>
      <w:pPr>
        <w:ind w:left="680" w:hanging="203"/>
        <w:spacing w:after="0"/>
        <w:tabs>
          <w:tab w:leader="none" w:pos="68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Securities called for redemption must be surrendered to the Paying Agent to collect the Redemption Price;</w:t>
      </w:r>
    </w:p>
    <w:p>
      <w:pPr>
        <w:spacing w:after="0" w:line="182" w:lineRule="exact"/>
        <w:rPr>
          <w:rFonts w:ascii="Times New Roman" w:cs="Times New Roman" w:eastAsia="Times New Roman" w:hAnsi="Times New Roman"/>
          <w:sz w:val="14"/>
          <w:szCs w:val="14"/>
          <w:color w:val="auto"/>
        </w:rPr>
      </w:pPr>
    </w:p>
    <w:p>
      <w:pPr>
        <w:ind w:left="120" w:right="279" w:firstLine="357"/>
        <w:spacing w:after="0" w:line="292" w:lineRule="auto"/>
        <w:tabs>
          <w:tab w:leader="none" w:pos="649"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on the Redemption Date, the Redemption Price will become due and payable upon each such Security or portion thereof to be redeemed, and that (unless the Company shall default in payment of the Redemption Price) interest thereon shall cease to accrue on and after said date;</w:t>
      </w:r>
    </w:p>
    <w:p>
      <w:pPr>
        <w:spacing w:after="0" w:line="123" w:lineRule="exact"/>
        <w:rPr>
          <w:rFonts w:ascii="Times New Roman" w:cs="Times New Roman" w:eastAsia="Times New Roman" w:hAnsi="Times New Roman"/>
          <w:sz w:val="14"/>
          <w:szCs w:val="14"/>
          <w:color w:val="auto"/>
        </w:rPr>
      </w:pPr>
    </w:p>
    <w:p>
      <w:pPr>
        <w:ind w:left="120" w:right="779" w:firstLine="357"/>
        <w:spacing w:after="0" w:line="292" w:lineRule="auto"/>
        <w:tabs>
          <w:tab w:leader="none" w:pos="672"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names and addresses of the Paying Agent and the offices or agencies referred to in </w:t>
      </w:r>
      <w:r>
        <w:rPr>
          <w:rFonts w:ascii="Times New Roman" w:cs="Times New Roman" w:eastAsia="Times New Roman" w:hAnsi="Times New Roman"/>
          <w:sz w:val="14"/>
          <w:szCs w:val="14"/>
          <w:u w:val="single" w:color="auto"/>
          <w:color w:val="auto"/>
        </w:rPr>
        <w:t>Section 10.02</w:t>
      </w:r>
      <w:r>
        <w:rPr>
          <w:rFonts w:ascii="Times New Roman" w:cs="Times New Roman" w:eastAsia="Times New Roman" w:hAnsi="Times New Roman"/>
          <w:sz w:val="14"/>
          <w:szCs w:val="14"/>
          <w:color w:val="auto"/>
        </w:rPr>
        <w:t xml:space="preserve"> where such Securities are to be surrendered for payment of the Redemption Price;</w:t>
      </w:r>
    </w:p>
    <w:p>
      <w:pPr>
        <w:spacing w:after="0" w:line="123" w:lineRule="exact"/>
        <w:rPr>
          <w:rFonts w:ascii="Times New Roman" w:cs="Times New Roman" w:eastAsia="Times New Roman" w:hAnsi="Times New Roman"/>
          <w:sz w:val="14"/>
          <w:szCs w:val="14"/>
          <w:color w:val="auto"/>
        </w:rPr>
      </w:pPr>
    </w:p>
    <w:p>
      <w:pPr>
        <w:ind w:left="680" w:hanging="203"/>
        <w:spacing w:after="0"/>
        <w:tabs>
          <w:tab w:leader="none" w:pos="68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CUSIP number, if any, relating to such Securities; and</w:t>
      </w:r>
    </w:p>
    <w:p>
      <w:pPr>
        <w:spacing w:after="0" w:line="182" w:lineRule="exact"/>
        <w:rPr>
          <w:rFonts w:ascii="Times New Roman" w:cs="Times New Roman" w:eastAsia="Times New Roman" w:hAnsi="Times New Roman"/>
          <w:sz w:val="14"/>
          <w:szCs w:val="14"/>
          <w:color w:val="auto"/>
        </w:rPr>
      </w:pPr>
    </w:p>
    <w:p>
      <w:pPr>
        <w:ind w:left="640" w:hanging="163"/>
        <w:spacing w:after="0"/>
        <w:tabs>
          <w:tab w:leader="none" w:pos="64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procedures that a Holder must follow to surrender the Securities to be redeemed.</w:t>
      </w:r>
    </w:p>
    <w:p>
      <w:pPr>
        <w:spacing w:after="0" w:line="182" w:lineRule="exact"/>
        <w:rPr>
          <w:sz w:val="20"/>
          <w:szCs w:val="20"/>
          <w:color w:val="auto"/>
        </w:rPr>
      </w:pPr>
    </w:p>
    <w:p>
      <w:pPr>
        <w:ind w:left="120" w:right="339" w:firstLine="350"/>
        <w:spacing w:after="0" w:line="268" w:lineRule="auto"/>
        <w:rPr>
          <w:sz w:val="20"/>
          <w:szCs w:val="20"/>
          <w:color w:val="auto"/>
        </w:rPr>
      </w:pPr>
      <w:r>
        <w:rPr>
          <w:rFonts w:ascii="Times New Roman" w:cs="Times New Roman" w:eastAsia="Times New Roman" w:hAnsi="Times New Roman"/>
          <w:sz w:val="14"/>
          <w:szCs w:val="14"/>
          <w:color w:val="auto"/>
        </w:rPr>
        <w:t xml:space="preserve">Notice of redemption of Securities to be redeemed at the election of the Company shall be given by the Company or, at the Company’s written request delivered at least 15 days prior to the date such notice is to be given (unless a shorter period shall be reasonably acceptable to the Trustee), by the Trustee in the name and at the expense of the Company. If the Company elects to give notice of redemption, it shall provide the Trustee with a certificate stating that such notice has been given in compliance with the requirements of this </w:t>
      </w:r>
      <w:r>
        <w:rPr>
          <w:rFonts w:ascii="Times New Roman" w:cs="Times New Roman" w:eastAsia="Times New Roman" w:hAnsi="Times New Roman"/>
          <w:sz w:val="14"/>
          <w:szCs w:val="14"/>
          <w:u w:val="single" w:color="auto"/>
          <w:color w:val="auto"/>
        </w:rPr>
        <w:t>Section 11.05</w:t>
      </w:r>
      <w:r>
        <w:rPr>
          <w:rFonts w:ascii="Times New Roman" w:cs="Times New Roman" w:eastAsia="Times New Roman" w:hAnsi="Times New Roman"/>
          <w:sz w:val="14"/>
          <w:szCs w:val="14"/>
          <w:color w:val="auto"/>
        </w:rPr>
        <w:t>.</w:t>
      </w:r>
    </w:p>
    <w:p>
      <w:pPr>
        <w:spacing w:after="0" w:line="139" w:lineRule="exact"/>
        <w:rPr>
          <w:sz w:val="20"/>
          <w:szCs w:val="20"/>
          <w:color w:val="auto"/>
        </w:rPr>
      </w:pPr>
    </w:p>
    <w:p>
      <w:pPr>
        <w:ind w:left="120" w:right="239" w:firstLine="350"/>
        <w:spacing w:after="0" w:line="274" w:lineRule="auto"/>
        <w:rPr>
          <w:sz w:val="20"/>
          <w:szCs w:val="20"/>
          <w:color w:val="auto"/>
        </w:rPr>
      </w:pPr>
      <w:r>
        <w:rPr>
          <w:rFonts w:ascii="Times New Roman" w:cs="Times New Roman" w:eastAsia="Times New Roman" w:hAnsi="Times New Roman"/>
          <w:sz w:val="14"/>
          <w:szCs w:val="14"/>
          <w:color w:val="auto"/>
        </w:rPr>
        <w:t>The notice if mailed in the manner herein provided shall be conclusively presumed to have been given, whether or not the Holder receives such notice. In any case, failure to give such notice by mail or any defect in the notice to the Holder of any Security designated for redemption as a whole or in part shall not affect the validity of the proceedings for the redemption of any other Security.</w:t>
      </w:r>
    </w:p>
    <w:p>
      <w:pPr>
        <w:spacing w:after="0" w:line="135" w:lineRule="exact"/>
        <w:rPr>
          <w:sz w:val="20"/>
          <w:szCs w:val="20"/>
          <w:color w:val="auto"/>
        </w:rPr>
      </w:pPr>
    </w:p>
    <w:p>
      <w:pPr>
        <w:ind w:left="120" w:right="159" w:firstLine="350"/>
        <w:spacing w:after="0" w:line="292" w:lineRule="auto"/>
        <w:rPr>
          <w:sz w:val="20"/>
          <w:szCs w:val="20"/>
          <w:color w:val="auto"/>
        </w:rPr>
      </w:pPr>
      <w:r>
        <w:rPr>
          <w:rFonts w:ascii="Times New Roman" w:cs="Times New Roman" w:eastAsia="Times New Roman" w:hAnsi="Times New Roman"/>
          <w:sz w:val="14"/>
          <w:szCs w:val="14"/>
          <w:color w:val="auto"/>
        </w:rPr>
        <w:t>Once notice of redemption is mailed in accordance with Section 3.03 hereof, Securities called for redemption become irrevocably due and payable on the Redemption Date at the Redemption Price. A notice of redemption may not be conditional.</w:t>
      </w:r>
    </w:p>
    <w:p>
      <w:pPr>
        <w:spacing w:after="0" w:line="1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11.06 </w:t>
      </w:r>
      <w:r>
        <w:rPr>
          <w:rFonts w:ascii="Times New Roman" w:cs="Times New Roman" w:eastAsia="Times New Roman" w:hAnsi="Times New Roman"/>
          <w:sz w:val="14"/>
          <w:szCs w:val="14"/>
          <w:u w:val="single" w:color="auto"/>
          <w:color w:val="auto"/>
        </w:rPr>
        <w:t>DEPOSIT OF REDEMPTION PRICE</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120" w:right="139" w:firstLine="350"/>
        <w:spacing w:after="0" w:line="261" w:lineRule="auto"/>
        <w:rPr>
          <w:sz w:val="20"/>
          <w:szCs w:val="20"/>
          <w:color w:val="auto"/>
        </w:rPr>
      </w:pPr>
      <w:r>
        <w:rPr>
          <w:rFonts w:ascii="Times New Roman" w:cs="Times New Roman" w:eastAsia="Times New Roman" w:hAnsi="Times New Roman"/>
          <w:sz w:val="14"/>
          <w:szCs w:val="14"/>
          <w:color w:val="auto"/>
        </w:rPr>
        <w:t xml:space="preserve">At or prior to 11:00 a.m., Eastern Time, on any Redemption Date, the Company shall deposit with the Trustee or with a Paying Agent (or, if the Company or any of its Affiliates is acting as Paying Agent, segregate and hold in trust as provided in </w:t>
      </w:r>
      <w:r>
        <w:rPr>
          <w:rFonts w:ascii="Times New Roman" w:cs="Times New Roman" w:eastAsia="Times New Roman" w:hAnsi="Times New Roman"/>
          <w:sz w:val="14"/>
          <w:szCs w:val="14"/>
          <w:u w:val="single" w:color="auto"/>
          <w:color w:val="auto"/>
        </w:rPr>
        <w:t>Section 10.03</w:t>
      </w:r>
      <w:r>
        <w:rPr>
          <w:rFonts w:ascii="Times New Roman" w:cs="Times New Roman" w:eastAsia="Times New Roman" w:hAnsi="Times New Roman"/>
          <w:sz w:val="14"/>
          <w:szCs w:val="14"/>
          <w:color w:val="auto"/>
        </w:rPr>
        <w:t xml:space="preserve">) an amount of money in same day funds sufficient to pay the Redemption Price of, and (except if the Redemption Date shall be an Interest Payment Date or Special Payment Date) accrued interest on, all the applicable series of Securities or portions thereof which are to be redeemed. The Trustee or the Paying Agent shall promptly return to the Company any money deposited with the Trustee or the Paying Agent by the Company in excess of the amounts necessary to pay the redemption price of, and accrued interest on, all Securities to be redeemed. The Paying Agent shall promptly mail or deliver to Holders of Securities so redeemed payment in an amount equal to the Redemption Price of the Securities. Subject to </w:t>
      </w:r>
      <w:r>
        <w:rPr>
          <w:rFonts w:ascii="Times New Roman" w:cs="Times New Roman" w:eastAsia="Times New Roman" w:hAnsi="Times New Roman"/>
          <w:sz w:val="14"/>
          <w:szCs w:val="14"/>
          <w:u w:val="single" w:color="auto"/>
          <w:color w:val="auto"/>
        </w:rPr>
        <w:t>Section 6.01(f)</w:t>
      </w:r>
      <w:r>
        <w:rPr>
          <w:rFonts w:ascii="Times New Roman" w:cs="Times New Roman" w:eastAsia="Times New Roman" w:hAnsi="Times New Roman"/>
          <w:sz w:val="14"/>
          <w:szCs w:val="14"/>
          <w:color w:val="auto"/>
        </w:rPr>
        <w:t>, all money, if any, earned on funds held in trust by the Trustee or any Paying Agent shall be remitted to the Company.</w:t>
      </w:r>
    </w:p>
    <w:p>
      <w:pPr>
        <w:spacing w:after="0" w:line="1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11.07 </w:t>
      </w:r>
      <w:r>
        <w:rPr>
          <w:rFonts w:ascii="Times New Roman" w:cs="Times New Roman" w:eastAsia="Times New Roman" w:hAnsi="Times New Roman"/>
          <w:sz w:val="14"/>
          <w:szCs w:val="14"/>
          <w:u w:val="single" w:color="auto"/>
          <w:color w:val="auto"/>
        </w:rPr>
        <w:t>SECURITIES PAYABLE ON REDEMPTION DATE</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120" w:right="179" w:firstLine="350"/>
        <w:spacing w:after="0" w:line="274" w:lineRule="auto"/>
        <w:rPr>
          <w:sz w:val="20"/>
          <w:szCs w:val="20"/>
          <w:color w:val="auto"/>
        </w:rPr>
      </w:pPr>
      <w:r>
        <w:rPr>
          <w:rFonts w:ascii="Times New Roman" w:cs="Times New Roman" w:eastAsia="Times New Roman" w:hAnsi="Times New Roman"/>
          <w:sz w:val="14"/>
          <w:szCs w:val="14"/>
          <w:color w:val="auto"/>
        </w:rPr>
        <w:t xml:space="preserve">Notice of redemption having been given as aforesaid, the Securities of any series so to be redeemed shall, on the Redemption Date, become due and payable at the Redemption Price therein specified and from and after such date (unless the Company shall default in the payment of the Redemption Price and accrued interest) such Securities of such series (except as otherwise specified pursuant to </w:t>
      </w:r>
      <w:r>
        <w:rPr>
          <w:rFonts w:ascii="Times New Roman" w:cs="Times New Roman" w:eastAsia="Times New Roman" w:hAnsi="Times New Roman"/>
          <w:sz w:val="14"/>
          <w:szCs w:val="14"/>
          <w:u w:val="single" w:color="auto"/>
          <w:color w:val="auto"/>
        </w:rPr>
        <w:t>Section 3.01</w:t>
      </w:r>
      <w:r>
        <w:rPr>
          <w:rFonts w:ascii="Times New Roman" w:cs="Times New Roman" w:eastAsia="Times New Roman" w:hAnsi="Times New Roman"/>
          <w:sz w:val="14"/>
          <w:szCs w:val="14"/>
          <w:color w:val="auto"/>
        </w:rPr>
        <w:t>) shall cease to bear interest.</w:t>
      </w:r>
    </w:p>
    <w:p>
      <w:pPr>
        <w:spacing w:after="0" w:line="135" w:lineRule="exact"/>
        <w:rPr>
          <w:sz w:val="20"/>
          <w:szCs w:val="20"/>
          <w:color w:val="auto"/>
        </w:rPr>
      </w:pPr>
    </w:p>
    <w:p>
      <w:pPr>
        <w:ind w:left="120" w:right="139" w:firstLine="350"/>
        <w:spacing w:after="0" w:line="268" w:lineRule="auto"/>
        <w:rPr>
          <w:sz w:val="20"/>
          <w:szCs w:val="20"/>
          <w:color w:val="auto"/>
        </w:rPr>
      </w:pPr>
      <w:r>
        <w:rPr>
          <w:rFonts w:ascii="Times New Roman" w:cs="Times New Roman" w:eastAsia="Times New Roman" w:hAnsi="Times New Roman"/>
          <w:sz w:val="14"/>
          <w:szCs w:val="14"/>
          <w:color w:val="auto"/>
        </w:rPr>
        <w:t xml:space="preserve">Upon surrender of any such Security for redemption in accordance with said notice, such Security shall be paid by the Company at the Redemption Price, together with accrued interest to the Redemption Date; provided, however, that installments of interest whose Stated Maturity is on or prior to the Redemption Date shall be payable to the Holders of such Securities, or one or more Predecessor Securities, registered as such on the relevant Regular Record Dates or Special Record Dates according to the terms and the provisions of </w:t>
      </w:r>
      <w:r>
        <w:rPr>
          <w:rFonts w:ascii="Times New Roman" w:cs="Times New Roman" w:eastAsia="Times New Roman" w:hAnsi="Times New Roman"/>
          <w:sz w:val="14"/>
          <w:szCs w:val="14"/>
          <w:u w:val="single" w:color="auto"/>
          <w:color w:val="auto"/>
        </w:rPr>
        <w:t>Section 3.08</w:t>
      </w:r>
      <w:r>
        <w:rPr>
          <w:rFonts w:ascii="Times New Roman" w:cs="Times New Roman" w:eastAsia="Times New Roman" w:hAnsi="Times New Roman"/>
          <w:sz w:val="14"/>
          <w:szCs w:val="14"/>
          <w:color w:val="auto"/>
        </w:rPr>
        <w:t>.</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46</w:t>
      </w:r>
    </w:p>
    <w:p>
      <w:pPr>
        <w:sectPr>
          <w:pgSz w:w="11900" w:h="16838" w:orient="portrait"/>
          <w:cols w:equalWidth="0" w:num="1">
            <w:col w:w="9019"/>
          </w:cols>
          <w:pgMar w:left="1440" w:top="243" w:right="1440" w:bottom="1440" w:gutter="0" w:footer="0" w:header="0"/>
        </w:sectPr>
      </w:pPr>
    </w:p>
    <w:bookmarkStart w:id="168" w:name="page169"/>
    <w:bookmarkEnd w:id="168"/>
    <w:p>
      <w:pPr>
        <w:ind w:left="120" w:right="399" w:firstLine="350"/>
        <w:spacing w:after="0" w:line="29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4">
                      <a:extLst>
                        <a:ext uri="{28A0092B-C50C-407E-A947-70E740481C1C}"/>
                      </a:extLst>
                    </a:blip>
                    <a:srcRect/>
                    <a:stretch>
                      <a:fillRect/>
                    </a:stretch>
                  </pic:blipFill>
                  <pic:spPr bwMode="auto">
                    <a:xfrm>
                      <a:off x="0" y="0"/>
                      <a:ext cx="7199630" cy="33020"/>
                    </a:xfrm>
                    <a:prstGeom prst="rect">
                      <a:avLst/>
                    </a:prstGeom>
                    <a:noFill/>
                  </pic:spPr>
                </pic:pic>
              </a:graphicData>
            </a:graphic>
          </wp:anchor>
        </w:drawing>
        <w:t>If any Security called for redemption shall not be so paid upon surrender thereof for redemption, the principal and premium, if any, shall, until paid, bear interest from the Redemption Date at the rate borne by such Security.</w:t>
      </w:r>
    </w:p>
    <w:p>
      <w:pPr>
        <w:spacing w:after="0" w:line="1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11.08 </w:t>
      </w:r>
      <w:r>
        <w:rPr>
          <w:rFonts w:ascii="Times New Roman" w:cs="Times New Roman" w:eastAsia="Times New Roman" w:hAnsi="Times New Roman"/>
          <w:sz w:val="14"/>
          <w:szCs w:val="14"/>
          <w:u w:val="single" w:color="auto"/>
          <w:color w:val="auto"/>
        </w:rPr>
        <w:t>SECURITIES REDEEMED OR PURCHASED IN PART</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120" w:right="139" w:firstLine="350"/>
        <w:spacing w:after="0" w:line="263" w:lineRule="auto"/>
        <w:rPr>
          <w:sz w:val="20"/>
          <w:szCs w:val="20"/>
          <w:color w:val="auto"/>
        </w:rPr>
      </w:pPr>
      <w:r>
        <w:rPr>
          <w:rFonts w:ascii="Times New Roman" w:cs="Times New Roman" w:eastAsia="Times New Roman" w:hAnsi="Times New Roman"/>
          <w:sz w:val="14"/>
          <w:szCs w:val="14"/>
          <w:color w:val="auto"/>
        </w:rPr>
        <w:t xml:space="preserve">Any Security which is to be redeemed or purchased only in part shall be surrendered to the Paying Agent at the office or agency maintained for such purpose pursuant to </w:t>
      </w:r>
      <w:r>
        <w:rPr>
          <w:rFonts w:ascii="Times New Roman" w:cs="Times New Roman" w:eastAsia="Times New Roman" w:hAnsi="Times New Roman"/>
          <w:sz w:val="14"/>
          <w:szCs w:val="14"/>
          <w:u w:val="single" w:color="auto"/>
          <w:color w:val="auto"/>
        </w:rPr>
        <w:t>Section 10.02</w:t>
      </w:r>
      <w:r>
        <w:rPr>
          <w:rFonts w:ascii="Times New Roman" w:cs="Times New Roman" w:eastAsia="Times New Roman" w:hAnsi="Times New Roman"/>
          <w:sz w:val="14"/>
          <w:szCs w:val="14"/>
          <w:color w:val="auto"/>
        </w:rPr>
        <w:t xml:space="preserve"> (with, if the Company, the Security Registrar or the Trustee so requires, due endorsement by, or a written instrument of transfer in form satisfactory to the Company, the Security Registrar or the Trustee, as the case may be, duly executed by, the Holder thereof or such Holder’s attorney duly authorized in writing), and the Company shall execute, and the Trustee shall authenticate and deliver to the Holder of such Security without service charge, a new Security or Securities, of any authorized denomination as requested by such Holder in aggregate principal amount equal to, and in exchange for, the unredeemed portion of the principal of the Security so surrendered that is not redeemed or purchased.</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XII</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SATISFACTION AND DISCHARGE</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12.01 </w:t>
      </w:r>
      <w:r>
        <w:rPr>
          <w:rFonts w:ascii="Times New Roman" w:cs="Times New Roman" w:eastAsia="Times New Roman" w:hAnsi="Times New Roman"/>
          <w:sz w:val="14"/>
          <w:szCs w:val="14"/>
          <w:u w:val="single" w:color="auto"/>
          <w:color w:val="auto"/>
        </w:rPr>
        <w:t>SATISFACTION AND DISCHARGE OF INDENTURE</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120" w:right="179" w:firstLine="350"/>
        <w:spacing w:after="0" w:line="268" w:lineRule="auto"/>
        <w:rPr>
          <w:sz w:val="20"/>
          <w:szCs w:val="20"/>
          <w:color w:val="auto"/>
        </w:rPr>
      </w:pPr>
      <w:r>
        <w:rPr>
          <w:rFonts w:ascii="Times New Roman" w:cs="Times New Roman" w:eastAsia="Times New Roman" w:hAnsi="Times New Roman"/>
          <w:sz w:val="14"/>
          <w:szCs w:val="14"/>
          <w:color w:val="auto"/>
        </w:rPr>
        <w:t xml:space="preserve">Unless otherwise specified pursuant to </w:t>
      </w:r>
      <w:r>
        <w:rPr>
          <w:rFonts w:ascii="Times New Roman" w:cs="Times New Roman" w:eastAsia="Times New Roman" w:hAnsi="Times New Roman"/>
          <w:sz w:val="14"/>
          <w:szCs w:val="14"/>
          <w:u w:val="single" w:color="auto"/>
          <w:color w:val="auto"/>
        </w:rPr>
        <w:t>Section 3.01</w:t>
      </w:r>
      <w:r>
        <w:rPr>
          <w:rFonts w:ascii="Times New Roman" w:cs="Times New Roman" w:eastAsia="Times New Roman" w:hAnsi="Times New Roman"/>
          <w:sz w:val="14"/>
          <w:szCs w:val="14"/>
          <w:color w:val="auto"/>
        </w:rPr>
        <w:t>, this Indenture shall, upon Company Request, be discharged and shall cease to be of further effect (except as to surviving rights of registration of transfer or exchange of Securities as expressly provided for herein) as to all Outstanding Securities of any series hereunder specified in such Company Request, and the Trustee, upon Company Request and at the expense of the Company, shall execute proper instruments acknowledging satisfaction and discharge of this Indenture, when:</w:t>
      </w:r>
    </w:p>
    <w:p>
      <w:pPr>
        <w:spacing w:after="0" w:line="5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(a) either:</w:t>
      </w:r>
    </w:p>
    <w:p>
      <w:pPr>
        <w:spacing w:after="0" w:line="97" w:lineRule="exact"/>
        <w:rPr>
          <w:sz w:val="20"/>
          <w:szCs w:val="20"/>
          <w:color w:val="auto"/>
        </w:rPr>
      </w:pPr>
    </w:p>
    <w:p>
      <w:pPr>
        <w:ind w:left="120" w:right="319" w:firstLine="357"/>
        <w:spacing w:after="0" w:line="274" w:lineRule="auto"/>
        <w:tabs>
          <w:tab w:leader="none" w:pos="672"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all the Securities of such series theretofore authenticated and delivered (other than (i) lost, stolen or destroyed Securities of such series that have been replaced or paid as provided in </w:t>
      </w:r>
      <w:r>
        <w:rPr>
          <w:rFonts w:ascii="Times New Roman" w:cs="Times New Roman" w:eastAsia="Times New Roman" w:hAnsi="Times New Roman"/>
          <w:sz w:val="14"/>
          <w:szCs w:val="14"/>
          <w:u w:val="single" w:color="auto"/>
          <w:color w:val="auto"/>
        </w:rPr>
        <w:t>Section 3.07</w:t>
      </w:r>
      <w:r>
        <w:rPr>
          <w:rFonts w:ascii="Times New Roman" w:cs="Times New Roman" w:eastAsia="Times New Roman" w:hAnsi="Times New Roman"/>
          <w:sz w:val="14"/>
          <w:szCs w:val="14"/>
          <w:color w:val="auto"/>
        </w:rPr>
        <w:t xml:space="preserve"> or (ii) all Securities of such series for whose payment money has theretofore been deposited in trust and thereafter repaid to the Company have been delivered to the Trustee for cancellation; or</w:t>
      </w:r>
    </w:p>
    <w:p>
      <w:pPr>
        <w:spacing w:after="0" w:line="135" w:lineRule="exact"/>
        <w:rPr>
          <w:rFonts w:ascii="Times New Roman" w:cs="Times New Roman" w:eastAsia="Times New Roman" w:hAnsi="Times New Roman"/>
          <w:sz w:val="14"/>
          <w:szCs w:val="14"/>
          <w:color w:val="auto"/>
        </w:rPr>
      </w:pPr>
    </w:p>
    <w:p>
      <w:pPr>
        <w:ind w:left="120" w:right="219" w:firstLine="357"/>
        <w:spacing w:after="0" w:line="261" w:lineRule="auto"/>
        <w:tabs>
          <w:tab w:leader="none" w:pos="672"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such Securities of such series not theretofore delivered to the Trustee for cancellation (i) have become due and payable by reason of the mailing of a Notice of Redemption or otherwise or, (ii) will become due and payable within one year; and the Company or any Guarantor has irrevocably deposited or caused to be deposited with the Trustee as trust funds in trust solely for the benefit of the Holders, cash in United States Dollars, non-callable Government Securities, or a combination of cash in United States Dollars and non-callable Government Securities, in amounts as will be sufficient (in the opinion of a nationally recognized firm of independent public accountants expressed in a written certification thereof delivered to the Trustee) to pay and discharge (without consideration of any reinvestment of interest) the entire Indebtedness on the Securities of such series not theretofore delivered to the Trustee for cancellation, including the principal of, premium, if any, and accrued interest on, the Securities of such series to such Maturity, or Redemption Date;</w:t>
      </w:r>
    </w:p>
    <w:p>
      <w:pPr>
        <w:spacing w:after="0" w:line="144" w:lineRule="exact"/>
        <w:rPr>
          <w:sz w:val="20"/>
          <w:szCs w:val="20"/>
          <w:color w:val="auto"/>
        </w:rPr>
      </w:pPr>
    </w:p>
    <w:p>
      <w:pPr>
        <w:ind w:left="120" w:right="239" w:firstLine="357"/>
        <w:spacing w:after="0" w:line="274" w:lineRule="auto"/>
        <w:tabs>
          <w:tab w:leader="none" w:pos="672"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Default or Event of Default has occurred and is continuing on the date of the deposit or will occur as a result of the deposit and the deposit will not result in a breach or violation of, or constitute a default under, any other instrument to which the Company or any Guarantor is a party or by which the Company or any Guarantor is bound;</w:t>
      </w:r>
    </w:p>
    <w:p>
      <w:pPr>
        <w:spacing w:after="0" w:line="135" w:lineRule="exact"/>
        <w:rPr>
          <w:rFonts w:ascii="Times New Roman" w:cs="Times New Roman" w:eastAsia="Times New Roman" w:hAnsi="Times New Roman"/>
          <w:sz w:val="14"/>
          <w:szCs w:val="14"/>
          <w:color w:val="auto"/>
        </w:rPr>
      </w:pPr>
    </w:p>
    <w:p>
      <w:pPr>
        <w:ind w:left="680" w:hanging="203"/>
        <w:spacing w:after="0"/>
        <w:tabs>
          <w:tab w:leader="none" w:pos="68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or any Guarantor of the Securities of such series has paid or caused to be paid all other sums payable by it hereunder;</w:t>
      </w:r>
    </w:p>
    <w:p>
      <w:pPr>
        <w:spacing w:after="0" w:line="182" w:lineRule="exact"/>
        <w:rPr>
          <w:rFonts w:ascii="Times New Roman" w:cs="Times New Roman" w:eastAsia="Times New Roman" w:hAnsi="Times New Roman"/>
          <w:sz w:val="14"/>
          <w:szCs w:val="14"/>
          <w:color w:val="auto"/>
        </w:rPr>
      </w:pPr>
    </w:p>
    <w:p>
      <w:pPr>
        <w:ind w:left="120" w:right="339" w:firstLine="357"/>
        <w:spacing w:after="0" w:line="292" w:lineRule="auto"/>
        <w:tabs>
          <w:tab w:leader="none" w:pos="672"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delivered irrevocable instructions to the Trustee under this Indenture to apply the deposited money toward the payment of the Securities of such series at Maturity or the Redemption Date, as the case may be; and</w:t>
      </w:r>
    </w:p>
    <w:p>
      <w:pPr>
        <w:spacing w:after="0" w:line="123" w:lineRule="exact"/>
        <w:rPr>
          <w:rFonts w:ascii="Times New Roman" w:cs="Times New Roman" w:eastAsia="Times New Roman" w:hAnsi="Times New Roman"/>
          <w:sz w:val="14"/>
          <w:szCs w:val="14"/>
          <w:color w:val="auto"/>
        </w:rPr>
      </w:pPr>
    </w:p>
    <w:p>
      <w:pPr>
        <w:ind w:left="120" w:right="159" w:firstLine="357"/>
        <w:spacing w:after="0" w:line="274" w:lineRule="auto"/>
        <w:tabs>
          <w:tab w:leader="none" w:pos="664"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delivered to the Trustee an Officers’ Certificate and an Opinion of Counsel, each stating that (i) all conditions precedent herein relating to the satisfaction and discharge hereof have been complied with, (ii) no Default with respect to the Securities of such series has occurred and is continuing on the date of such deposit and (iii) such deposit does not result in a breach or violation of, or constitute a Default under, the Indenture.</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ectPr>
          <w:pgSz w:w="11900" w:h="16838" w:orient="portrait"/>
          <w:cols w:equalWidth="0" w:num="1">
            <w:col w:w="9019"/>
          </w:cols>
          <w:pgMar w:left="1440" w:top="243" w:right="1440" w:bottom="1440" w:gutter="0" w:footer="0" w:header="0"/>
        </w:sectPr>
      </w:pPr>
    </w:p>
    <w:bookmarkStart w:id="169" w:name="page170"/>
    <w:bookmarkEnd w:id="169"/>
    <w:p>
      <w:pPr>
        <w:ind w:left="120" w:right="259" w:firstLine="350"/>
        <w:spacing w:after="0" w:line="27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5">
                      <a:extLst>
                        <a:ext uri="{28A0092B-C50C-407E-A947-70E740481C1C}"/>
                      </a:extLst>
                    </a:blip>
                    <a:srcRect/>
                    <a:stretch>
                      <a:fillRect/>
                    </a:stretch>
                  </pic:blipFill>
                  <pic:spPr bwMode="auto">
                    <a:xfrm>
                      <a:off x="0" y="0"/>
                      <a:ext cx="7199630" cy="33020"/>
                    </a:xfrm>
                    <a:prstGeom prst="rect">
                      <a:avLst/>
                    </a:prstGeom>
                    <a:noFill/>
                  </pic:spPr>
                </pic:pic>
              </a:graphicData>
            </a:graphic>
          </wp:anchor>
        </w:drawing>
        <w:t xml:space="preserve">Notwithstanding the satisfaction and discharge hereof, the obligations of the Company to the Trustee under </w:t>
      </w:r>
      <w:r>
        <w:rPr>
          <w:rFonts w:ascii="Times New Roman" w:cs="Times New Roman" w:eastAsia="Times New Roman" w:hAnsi="Times New Roman"/>
          <w:sz w:val="14"/>
          <w:szCs w:val="14"/>
          <w:u w:val="single" w:color="auto"/>
          <w:color w:val="auto"/>
        </w:rPr>
        <w:t>Sections 6.06 and 6.07</w:t>
      </w:r>
      <w:r>
        <w:rPr>
          <w:rFonts w:ascii="Times New Roman" w:cs="Times New Roman" w:eastAsia="Times New Roman" w:hAnsi="Times New Roman"/>
          <w:sz w:val="14"/>
          <w:szCs w:val="14"/>
          <w:color w:val="auto"/>
        </w:rPr>
        <w:t xml:space="preserve"> and, if United States dollars shall have been deposited with the Trustee pursuant to </w:t>
      </w:r>
      <w:r>
        <w:rPr>
          <w:rFonts w:ascii="Times New Roman" w:cs="Times New Roman" w:eastAsia="Times New Roman" w:hAnsi="Times New Roman"/>
          <w:sz w:val="14"/>
          <w:szCs w:val="14"/>
          <w:u w:val="single" w:color="auto"/>
          <w:color w:val="auto"/>
        </w:rPr>
        <w:t>Clause (2)</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Subsection (a)</w:t>
      </w:r>
      <w:r>
        <w:rPr>
          <w:rFonts w:ascii="Times New Roman" w:cs="Times New Roman" w:eastAsia="Times New Roman" w:hAnsi="Times New Roman"/>
          <w:sz w:val="14"/>
          <w:szCs w:val="14"/>
          <w:color w:val="auto"/>
        </w:rPr>
        <w:t xml:space="preserve"> of this </w:t>
      </w:r>
      <w:r>
        <w:rPr>
          <w:rFonts w:ascii="Times New Roman" w:cs="Times New Roman" w:eastAsia="Times New Roman" w:hAnsi="Times New Roman"/>
          <w:sz w:val="14"/>
          <w:szCs w:val="14"/>
          <w:u w:val="single" w:color="auto"/>
          <w:color w:val="auto"/>
        </w:rPr>
        <w:t>Section 12.01</w:t>
      </w:r>
      <w:r>
        <w:rPr>
          <w:rFonts w:ascii="Times New Roman" w:cs="Times New Roman" w:eastAsia="Times New Roman" w:hAnsi="Times New Roman"/>
          <w:sz w:val="14"/>
          <w:szCs w:val="14"/>
          <w:color w:val="auto"/>
        </w:rPr>
        <w:t xml:space="preserve">, the obligations of the Trustee under </w:t>
      </w:r>
      <w:r>
        <w:rPr>
          <w:rFonts w:ascii="Times New Roman" w:cs="Times New Roman" w:eastAsia="Times New Roman" w:hAnsi="Times New Roman"/>
          <w:sz w:val="14"/>
          <w:szCs w:val="14"/>
          <w:u w:val="single" w:color="auto"/>
          <w:color w:val="auto"/>
        </w:rPr>
        <w:t>Section 12.02</w:t>
      </w:r>
      <w:r>
        <w:rPr>
          <w:rFonts w:ascii="Times New Roman" w:cs="Times New Roman" w:eastAsia="Times New Roman" w:hAnsi="Times New Roman"/>
          <w:sz w:val="14"/>
          <w:szCs w:val="14"/>
          <w:color w:val="auto"/>
        </w:rPr>
        <w:t xml:space="preserve"> and the last paragraph of </w:t>
      </w:r>
      <w:r>
        <w:rPr>
          <w:rFonts w:ascii="Times New Roman" w:cs="Times New Roman" w:eastAsia="Times New Roman" w:hAnsi="Times New Roman"/>
          <w:sz w:val="14"/>
          <w:szCs w:val="14"/>
          <w:u w:val="single" w:color="auto"/>
          <w:color w:val="auto"/>
        </w:rPr>
        <w:t>Section 10.03</w:t>
      </w:r>
      <w:r>
        <w:rPr>
          <w:rFonts w:ascii="Times New Roman" w:cs="Times New Roman" w:eastAsia="Times New Roman" w:hAnsi="Times New Roman"/>
          <w:sz w:val="14"/>
          <w:szCs w:val="14"/>
          <w:color w:val="auto"/>
        </w:rPr>
        <w:t xml:space="preserve"> shall survive.</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12.02 </w:t>
      </w:r>
      <w:r>
        <w:rPr>
          <w:rFonts w:ascii="Times New Roman" w:cs="Times New Roman" w:eastAsia="Times New Roman" w:hAnsi="Times New Roman"/>
          <w:sz w:val="14"/>
          <w:szCs w:val="14"/>
          <w:u w:val="single" w:color="auto"/>
          <w:color w:val="auto"/>
        </w:rPr>
        <w:t>APPLICATION OF TRUST MONEY</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120" w:right="159" w:firstLine="350"/>
        <w:spacing w:after="0" w:line="268" w:lineRule="auto"/>
        <w:rPr>
          <w:sz w:val="20"/>
          <w:szCs w:val="20"/>
          <w:color w:val="auto"/>
        </w:rPr>
      </w:pPr>
      <w:r>
        <w:rPr>
          <w:rFonts w:ascii="Times New Roman" w:cs="Times New Roman" w:eastAsia="Times New Roman" w:hAnsi="Times New Roman"/>
          <w:sz w:val="14"/>
          <w:szCs w:val="14"/>
          <w:color w:val="auto"/>
        </w:rPr>
        <w:t xml:space="preserve">Subject to the provisions of the last paragraph of </w:t>
      </w:r>
      <w:r>
        <w:rPr>
          <w:rFonts w:ascii="Times New Roman" w:cs="Times New Roman" w:eastAsia="Times New Roman" w:hAnsi="Times New Roman"/>
          <w:sz w:val="14"/>
          <w:szCs w:val="14"/>
          <w:u w:val="single" w:color="auto"/>
          <w:color w:val="auto"/>
        </w:rPr>
        <w:t>Section 10.03</w:t>
      </w:r>
      <w:r>
        <w:rPr>
          <w:rFonts w:ascii="Times New Roman" w:cs="Times New Roman" w:eastAsia="Times New Roman" w:hAnsi="Times New Roman"/>
          <w:sz w:val="14"/>
          <w:szCs w:val="14"/>
          <w:color w:val="auto"/>
        </w:rPr>
        <w:t xml:space="preserve">, all United States dollars deposited with the Trustee pursuant to </w:t>
      </w:r>
      <w:r>
        <w:rPr>
          <w:rFonts w:ascii="Times New Roman" w:cs="Times New Roman" w:eastAsia="Times New Roman" w:hAnsi="Times New Roman"/>
          <w:sz w:val="14"/>
          <w:szCs w:val="14"/>
          <w:u w:val="single" w:color="auto"/>
          <w:color w:val="auto"/>
        </w:rPr>
        <w:t>Section 12.01</w:t>
      </w:r>
      <w:r>
        <w:rPr>
          <w:rFonts w:ascii="Times New Roman" w:cs="Times New Roman" w:eastAsia="Times New Roman" w:hAnsi="Times New Roman"/>
          <w:sz w:val="14"/>
          <w:szCs w:val="14"/>
          <w:color w:val="auto"/>
        </w:rPr>
        <w:t xml:space="preserve">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of, premium, if any, and interest on, the Securities for whose payment such United States dollars have been deposited with the Trustee.</w:t>
      </w:r>
    </w:p>
    <w:p>
      <w:pPr>
        <w:spacing w:after="0" w:line="1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12.03 </w:t>
      </w:r>
      <w:r>
        <w:rPr>
          <w:rFonts w:ascii="Times New Roman" w:cs="Times New Roman" w:eastAsia="Times New Roman" w:hAnsi="Times New Roman"/>
          <w:sz w:val="14"/>
          <w:szCs w:val="14"/>
          <w:u w:val="single" w:color="auto"/>
          <w:color w:val="auto"/>
        </w:rPr>
        <w:t>REPAYMENT TO THE COMPANY</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120" w:right="139" w:firstLine="350"/>
        <w:spacing w:after="0" w:line="265" w:lineRule="auto"/>
        <w:rPr>
          <w:sz w:val="20"/>
          <w:szCs w:val="20"/>
          <w:color w:val="auto"/>
        </w:rPr>
      </w:pPr>
      <w:r>
        <w:rPr>
          <w:rFonts w:ascii="Times New Roman" w:cs="Times New Roman" w:eastAsia="Times New Roman" w:hAnsi="Times New Roman"/>
          <w:sz w:val="14"/>
          <w:szCs w:val="14"/>
          <w:color w:val="auto"/>
        </w:rPr>
        <w:t>Subject to applicable law, any money deposited with the Trustee or any Paying Agent, or then held by the Company, in trust for the payment of the principal of, or interest on, any Security and remaining unclaimed for two years after such principal, or interest has become due and payable shall be paid to the Company on its request or (if then held by the Company) shall be discharged from such trust; and the Holder of such Security shall thereafter look only to the Company for payment thereof, and all liability of the Trustee or such Paying Agent with respect to such trust money, and all liability of the Company as Trustee thereof, shall thereupon cease.</w:t>
      </w:r>
    </w:p>
    <w:p>
      <w:pPr>
        <w:spacing w:after="0" w:line="31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4"/>
          <w:szCs w:val="14"/>
          <w:b w:val="1"/>
          <w:bCs w:val="1"/>
          <w:color w:val="auto"/>
        </w:rPr>
        <w:t>ARTICLE XIII</w:t>
      </w:r>
    </w:p>
    <w:p>
      <w:pPr>
        <w:spacing w:after="0" w:line="9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4"/>
          <w:szCs w:val="14"/>
          <w:b w:val="1"/>
          <w:bCs w:val="1"/>
          <w:color w:val="auto"/>
        </w:rPr>
        <w:t>GUARANTEES</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13.01 </w:t>
      </w:r>
      <w:r>
        <w:rPr>
          <w:rFonts w:ascii="Times New Roman" w:cs="Times New Roman" w:eastAsia="Times New Roman" w:hAnsi="Times New Roman"/>
          <w:sz w:val="14"/>
          <w:szCs w:val="14"/>
          <w:u w:val="single" w:color="auto"/>
          <w:color w:val="auto"/>
        </w:rPr>
        <w:t>SECURITIES GUARANTEE</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120" w:right="199" w:firstLine="350"/>
        <w:spacing w:after="0" w:line="274" w:lineRule="auto"/>
        <w:rPr>
          <w:sz w:val="20"/>
          <w:szCs w:val="20"/>
          <w:color w:val="auto"/>
        </w:rPr>
      </w:pPr>
      <w:r>
        <w:rPr>
          <w:rFonts w:ascii="Times New Roman" w:cs="Times New Roman" w:eastAsia="Times New Roman" w:hAnsi="Times New Roman"/>
          <w:sz w:val="14"/>
          <w:szCs w:val="14"/>
          <w:color w:val="auto"/>
        </w:rPr>
        <w:t xml:space="preserve">As and to the extent set forth in a supplemental indenture established as contemplated by </w:t>
      </w:r>
      <w:r>
        <w:rPr>
          <w:rFonts w:ascii="Times New Roman" w:cs="Times New Roman" w:eastAsia="Times New Roman" w:hAnsi="Times New Roman"/>
          <w:sz w:val="14"/>
          <w:szCs w:val="14"/>
          <w:u w:val="single" w:color="auto"/>
          <w:color w:val="auto"/>
        </w:rPr>
        <w:t>Section 3.01</w:t>
      </w:r>
      <w:r>
        <w:rPr>
          <w:rFonts w:ascii="Times New Roman" w:cs="Times New Roman" w:eastAsia="Times New Roman" w:hAnsi="Times New Roman"/>
          <w:sz w:val="14"/>
          <w:szCs w:val="14"/>
          <w:color w:val="auto"/>
        </w:rPr>
        <w:t xml:space="preserve"> with respect to any series of Securities, one or more persons (each, a “</w:t>
      </w:r>
      <w:r>
        <w:rPr>
          <w:rFonts w:ascii="Times New Roman" w:cs="Times New Roman" w:eastAsia="Times New Roman" w:hAnsi="Times New Roman"/>
          <w:sz w:val="14"/>
          <w:szCs w:val="14"/>
          <w:u w:val="single" w:color="auto"/>
          <w:color w:val="auto"/>
        </w:rPr>
        <w:t>Guarantor</w:t>
      </w:r>
      <w:r>
        <w:rPr>
          <w:rFonts w:ascii="Times New Roman" w:cs="Times New Roman" w:eastAsia="Times New Roman" w:hAnsi="Times New Roman"/>
          <w:sz w:val="14"/>
          <w:szCs w:val="14"/>
          <w:color w:val="auto"/>
        </w:rPr>
        <w:t>”) may guarantee that series of Securities on the terms and subject to the conditions set forth in such supplemental indenture.</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ectPr>
          <w:pgSz w:w="11900" w:h="16838" w:orient="portrait"/>
          <w:cols w:equalWidth="0" w:num="1">
            <w:col w:w="9019"/>
          </w:cols>
          <w:pgMar w:left="1440" w:top="243" w:right="1440" w:bottom="1440" w:gutter="0" w:footer="0" w:header="0"/>
        </w:sectPr>
      </w:pPr>
    </w:p>
    <w:bookmarkStart w:id="170" w:name="page171"/>
    <w:bookmarkEnd w:id="170"/>
    <w:p>
      <w:pPr>
        <w:ind w:left="48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6">
                      <a:extLst>
                        <a:ext uri="{28A0092B-C50C-407E-A947-70E740481C1C}"/>
                      </a:extLst>
                    </a:blip>
                    <a:srcRect/>
                    <a:stretch>
                      <a:fillRect/>
                    </a:stretch>
                  </pic:blipFill>
                  <pic:spPr bwMode="auto">
                    <a:xfrm>
                      <a:off x="0" y="0"/>
                      <a:ext cx="7199630" cy="33020"/>
                    </a:xfrm>
                    <a:prstGeom prst="rect">
                      <a:avLst/>
                    </a:prstGeom>
                    <a:noFill/>
                  </pic:spPr>
                </pic:pic>
              </a:graphicData>
            </a:graphic>
          </wp:anchor>
        </w:drawing>
        <w:t>IN WITNESS WHEREOF, the parties hereto have caused this Indenture to be duly executed, all as of the day and year first above written.</w:t>
      </w:r>
    </w:p>
    <w:p>
      <w:pPr>
        <w:spacing w:after="0" w:line="2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THE GEO GROUP, INC.</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wp:posOffset>
            </wp:positionH>
            <wp:positionV relativeFrom="paragraph">
              <wp:posOffset>15875</wp:posOffset>
            </wp:positionV>
            <wp:extent cx="2037080" cy="698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7">
                      <a:extLst>
                        <a:ext uri="{28A0092B-C50C-407E-A947-70E740481C1C}"/>
                      </a:extLst>
                    </a:blip>
                    <a:srcRect/>
                    <a:stretch>
                      <a:fillRect/>
                    </a:stretch>
                  </pic:blipFill>
                  <pic:spPr bwMode="auto">
                    <a:xfrm>
                      <a:off x="0" y="0"/>
                      <a:ext cx="2037080" cy="6985"/>
                    </a:xfrm>
                    <a:prstGeom prst="rect">
                      <a:avLst/>
                    </a:prstGeom>
                    <a:noFill/>
                  </pic:spPr>
                </pic:pic>
              </a:graphicData>
            </a:graphic>
          </wp:anchor>
        </w:drawing>
      </w:r>
    </w:p>
    <w:p>
      <w:pPr>
        <w:spacing w:after="0" w:line="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Name:</w:t>
      </w:r>
    </w:p>
    <w:p>
      <w:pPr>
        <w:spacing w:after="0" w:line="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Title:</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ANKURA TRUST COMPANY, LLC</w:t>
      </w:r>
      <w:r>
        <w:rPr>
          <w:rFonts w:ascii="Times New Roman" w:cs="Times New Roman" w:eastAsia="Times New Roman" w:hAnsi="Times New Roman"/>
          <w:sz w:val="14"/>
          <w:szCs w:val="14"/>
          <w:color w:val="auto"/>
        </w:rPr>
        <w:t>, as Trustee</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wp:posOffset>
            </wp:positionH>
            <wp:positionV relativeFrom="paragraph">
              <wp:posOffset>15875</wp:posOffset>
            </wp:positionV>
            <wp:extent cx="2037080" cy="698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8">
                      <a:extLst>
                        <a:ext uri="{28A0092B-C50C-407E-A947-70E740481C1C}"/>
                      </a:extLst>
                    </a:blip>
                    <a:srcRect/>
                    <a:stretch>
                      <a:fillRect/>
                    </a:stretch>
                  </pic:blipFill>
                  <pic:spPr bwMode="auto">
                    <a:xfrm>
                      <a:off x="0" y="0"/>
                      <a:ext cx="2037080" cy="6985"/>
                    </a:xfrm>
                    <a:prstGeom prst="rect">
                      <a:avLst/>
                    </a:prstGeom>
                    <a:noFill/>
                  </pic:spPr>
                </pic:pic>
              </a:graphicData>
            </a:graphic>
          </wp:anchor>
        </w:drawing>
      </w:r>
    </w:p>
    <w:p>
      <w:pPr>
        <w:spacing w:after="0" w:line="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Name:</w:t>
      </w:r>
    </w:p>
    <w:p>
      <w:pPr>
        <w:spacing w:after="0" w:line="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Title:</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49</w:t>
      </w:r>
    </w:p>
    <w:p>
      <w:pPr>
        <w:sectPr>
          <w:pgSz w:w="11900" w:h="16838" w:orient="portrait"/>
          <w:cols w:equalWidth="0" w:num="1">
            <w:col w:w="9019"/>
          </w:cols>
          <w:pgMar w:left="1440" w:top="243" w:right="1440" w:bottom="1440" w:gutter="0" w:footer="0" w:header="0"/>
        </w:sectPr>
      </w:pPr>
    </w:p>
    <w:bookmarkStart w:id="171" w:name="page172"/>
    <w:bookmarkEnd w:id="171"/>
    <w:p>
      <w:pPr>
        <w:jc w:val="right"/>
        <w:ind w:right="139"/>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9">
                      <a:extLst>
                        <a:ext uri="{28A0092B-C50C-407E-A947-70E740481C1C}"/>
                      </a:extLst>
                    </a:blip>
                    <a:srcRect/>
                    <a:stretch>
                      <a:fillRect/>
                    </a:stretch>
                  </pic:blipFill>
                  <pic:spPr bwMode="auto">
                    <a:xfrm>
                      <a:off x="0" y="0"/>
                      <a:ext cx="7199630" cy="33020"/>
                    </a:xfrm>
                    <a:prstGeom prst="rect">
                      <a:avLst/>
                    </a:prstGeom>
                    <a:noFill/>
                  </pic:spPr>
                </pic:pic>
              </a:graphicData>
            </a:graphic>
          </wp:anchor>
        </w:drawing>
        <w:t>EXHIBIT A</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[Legend if Security is a Global Security]</w:t>
      </w:r>
    </w:p>
    <w:p>
      <w:pPr>
        <w:spacing w:after="0" w:line="182" w:lineRule="exact"/>
        <w:rPr>
          <w:sz w:val="20"/>
          <w:szCs w:val="20"/>
          <w:color w:val="auto"/>
        </w:rPr>
      </w:pPr>
    </w:p>
    <w:p>
      <w:pPr>
        <w:ind w:left="120" w:right="159"/>
        <w:spacing w:after="0" w:line="265" w:lineRule="auto"/>
        <w:rPr>
          <w:sz w:val="20"/>
          <w:szCs w:val="20"/>
          <w:color w:val="auto"/>
        </w:rPr>
      </w:pPr>
      <w:r>
        <w:rPr>
          <w:rFonts w:ascii="Times New Roman" w:cs="Times New Roman" w:eastAsia="Times New Roman" w:hAnsi="Times New Roman"/>
          <w:sz w:val="14"/>
          <w:szCs w:val="14"/>
          <w:color w:val="auto"/>
        </w:rPr>
        <w:t xml:space="preserve">THIS SECURITY IS A GLOBAL SECURITY WITHIN THE MEANING OF THE INDENTURE HEREINAFTER REFERRED TO AND IS REGISTERED IN THE NAME OF A DEPOSITARY OR A NOMINEE OF A DEPOSITARY OR A SUCCESSOR DEPOSITARY. TRANSFERS OF THIS GLOBAL SECURITY SHALL BE LIMITED TO TRANSFERS IN WHOLE, BUT NOT IN PART, TO NOMINEES OF CEDE &amp; CO. OR TO A SUCCESSOR THEREOF OR SUCH SUCCESSOR’S NOMINEE AND TRANSFERS OF PORTIONS OF THIS GLOBAL SECURITY SHALL BE LIMITED TO TRANSFERS MADE IN ACCORDANCE WITH THE RESTRICTIONS SET FORTH IN </w:t>
      </w:r>
      <w:r>
        <w:rPr>
          <w:rFonts w:ascii="Times New Roman" w:cs="Times New Roman" w:eastAsia="Times New Roman" w:hAnsi="Times New Roman"/>
          <w:sz w:val="14"/>
          <w:szCs w:val="14"/>
          <w:u w:val="single" w:color="auto"/>
          <w:color w:val="auto"/>
        </w:rPr>
        <w:t>SECTION 3.06</w:t>
      </w:r>
      <w:r>
        <w:rPr>
          <w:rFonts w:ascii="Times New Roman" w:cs="Times New Roman" w:eastAsia="Times New Roman" w:hAnsi="Times New Roman"/>
          <w:sz w:val="14"/>
          <w:szCs w:val="14"/>
          <w:color w:val="auto"/>
        </w:rPr>
        <w:t xml:space="preserve"> OF THE INDENTURE.</w:t>
      </w:r>
    </w:p>
    <w:p>
      <w:pPr>
        <w:spacing w:after="0" w:line="141" w:lineRule="exact"/>
        <w:rPr>
          <w:sz w:val="20"/>
          <w:szCs w:val="20"/>
          <w:color w:val="auto"/>
        </w:rPr>
      </w:pPr>
    </w:p>
    <w:p>
      <w:pPr>
        <w:ind w:left="120" w:right="199"/>
        <w:spacing w:after="0" w:line="261" w:lineRule="auto"/>
        <w:rPr>
          <w:sz w:val="20"/>
          <w:szCs w:val="20"/>
          <w:color w:val="auto"/>
        </w:rPr>
      </w:pPr>
      <w:r>
        <w:rPr>
          <w:rFonts w:ascii="Times New Roman" w:cs="Times New Roman" w:eastAsia="Times New Roman" w:hAnsi="Times New Roman"/>
          <w:sz w:val="14"/>
          <w:szCs w:val="14"/>
          <w:color w:val="auto"/>
        </w:rPr>
        <w:t>UNLESS THIS CERTIFICATE IS PRESENTED BY AN AUTHORIZED REPRESENTATIVE OF THE DEPOSITORY TRUST COMPANY, A NEW YORK CORPORATION (“</w:t>
      </w:r>
      <w:r>
        <w:rPr>
          <w:rFonts w:ascii="Times New Roman" w:cs="Times New Roman" w:eastAsia="Times New Roman" w:hAnsi="Times New Roman"/>
          <w:sz w:val="14"/>
          <w:szCs w:val="14"/>
          <w:u w:val="single" w:color="auto"/>
          <w:color w:val="auto"/>
        </w:rPr>
        <w:t>DTC</w:t>
      </w:r>
      <w:r>
        <w:rPr>
          <w:rFonts w:ascii="Times New Roman" w:cs="Times New Roman" w:eastAsia="Times New Roman" w:hAnsi="Times New Roman"/>
          <w:sz w:val="14"/>
          <w:szCs w:val="14"/>
          <w:color w:val="auto"/>
        </w:rPr>
        <w:t>”), TO THE COMPANY OR ITS AGENT FOR REGISTRATION OF TRANSFER, EXCHANGE, OR PAYMENT AND ANY SUCH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GEO GROUP, INC.</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NOTE DUE</w:t>
      </w:r>
    </w:p>
    <w:p>
      <w:pPr>
        <w:spacing w:after="0" w:line="182" w:lineRule="exact"/>
        <w:rPr>
          <w:sz w:val="20"/>
          <w:szCs w:val="20"/>
          <w:color w:val="auto"/>
        </w:rPr>
      </w:pPr>
    </w:p>
    <w:p>
      <w:pPr>
        <w:jc w:val="right"/>
        <w:ind w:right="139"/>
        <w:spacing w:after="0"/>
        <w:rPr>
          <w:sz w:val="20"/>
          <w:szCs w:val="20"/>
          <w:color w:val="auto"/>
        </w:rPr>
      </w:pPr>
      <w:r>
        <w:rPr>
          <w:rFonts w:ascii="Times New Roman" w:cs="Times New Roman" w:eastAsia="Times New Roman" w:hAnsi="Times New Roman"/>
          <w:sz w:val="14"/>
          <w:szCs w:val="14"/>
          <w:color w:val="auto"/>
        </w:rPr>
        <w:t>CUSIP NO.</w:t>
      </w:r>
    </w:p>
    <w:p>
      <w:pPr>
        <w:spacing w:after="0" w:line="24"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4"/>
          <w:szCs w:val="14"/>
          <w:color w:val="auto"/>
        </w:rPr>
        <w:t>$</w:t>
      </w:r>
    </w:p>
    <w:p>
      <w:pPr>
        <w:spacing w:after="0" w:line="1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No.:</w:t>
      </w:r>
    </w:p>
    <w:p>
      <w:pPr>
        <w:spacing w:after="0" w:line="97" w:lineRule="exact"/>
        <w:rPr>
          <w:sz w:val="20"/>
          <w:szCs w:val="20"/>
          <w:color w:val="auto"/>
        </w:rPr>
      </w:pPr>
    </w:p>
    <w:p>
      <w:pPr>
        <w:ind w:left="120" w:right="179" w:firstLine="350"/>
        <w:spacing w:after="0" w:line="265" w:lineRule="auto"/>
        <w:rPr>
          <w:sz w:val="20"/>
          <w:szCs w:val="20"/>
          <w:color w:val="auto"/>
        </w:rPr>
      </w:pPr>
      <w:r>
        <w:rPr>
          <w:rFonts w:ascii="Times New Roman" w:cs="Times New Roman" w:eastAsia="Times New Roman" w:hAnsi="Times New Roman"/>
          <w:sz w:val="14"/>
          <w:szCs w:val="14"/>
          <w:color w:val="auto"/>
        </w:rPr>
        <w:t>The GEO Group, Inc., a Florida corporation (herein called the “Company,” which term includes any successor Person under the Indenture hereinafter referred to), for value received, hereby promises to pay to CEDE &amp; CO., or registered assigns, the principal sum of ($ ) United States dollars on, at the office or agency of the Company referred to below, and to pay interest thereon from, or from the most recent Interest Payment Date to which interest has been paid or duly provided for, semiannually on and in each year, commencing at the rate of (%) per annum, in United States dollars, until the principal hereof is paid or duly provided for. Interest shall be computed on the basis of a 360-day year comprised of twelve 30-day months.</w:t>
      </w:r>
    </w:p>
    <w:p>
      <w:pPr>
        <w:spacing w:after="0" w:line="141" w:lineRule="exact"/>
        <w:rPr>
          <w:sz w:val="20"/>
          <w:szCs w:val="20"/>
          <w:color w:val="auto"/>
        </w:rPr>
      </w:pPr>
    </w:p>
    <w:p>
      <w:pPr>
        <w:ind w:left="120" w:right="159" w:firstLine="350"/>
        <w:spacing w:after="0" w:line="259" w:lineRule="auto"/>
        <w:rPr>
          <w:sz w:val="20"/>
          <w:szCs w:val="20"/>
          <w:color w:val="auto"/>
        </w:rPr>
      </w:pPr>
      <w:r>
        <w:rPr>
          <w:rFonts w:ascii="Times New Roman" w:cs="Times New Roman" w:eastAsia="Times New Roman" w:hAnsi="Times New Roman"/>
          <w:sz w:val="14"/>
          <w:szCs w:val="14"/>
          <w:color w:val="auto"/>
        </w:rPr>
        <w:t>The Company shall pay interest semi-annually in arrears on and of each year, or if any such day is not a Business Day, on the next succeeding Business Day (each an “Interest Payment Date”). The interest so payable, and punctually paid or duly provided for, on any Interest Payment Date will, as provided in such Indenture, be paid to the Person in whose name this Security is registered at the close of business on the Regular Record Date for such interest, which shall be the or (whether or not a Business Day), as the case may be, next preceding such Interest Payment Date. Any such interest not so punctually paid, or duly provided for, and interest on such defaulted interest at the interest rate borne by the Securities, to the extent lawful, shall forthwith cease to be payable to the Holder on such Regular Record Date, and may either be paid to the Person in whose name this Security (or any Predecessor Securities) is registered at the close of business on a Special Record Date for the payment of such defaulted interest to be fixed by the Trustee, notice thereof shall be given to Holders of Securities not less than 10 days prior to such Special Record Date, or be paid at any time in any other lawful manner not inconsistent with the requirements of any securities exchange on which the Securities may be listed, and upon such notice as may be required by such exchange, all as more fully provided in this Indenture.</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A-1</w:t>
      </w:r>
    </w:p>
    <w:p>
      <w:pPr>
        <w:sectPr>
          <w:pgSz w:w="11900" w:h="16838" w:orient="portrait"/>
          <w:cols w:equalWidth="0" w:num="1">
            <w:col w:w="9019"/>
          </w:cols>
          <w:pgMar w:left="1440" w:top="243" w:right="1440" w:bottom="1440" w:gutter="0" w:footer="0" w:header="0"/>
        </w:sectPr>
      </w:pPr>
    </w:p>
    <w:bookmarkStart w:id="172" w:name="page173"/>
    <w:bookmarkEnd w:id="172"/>
    <w:p>
      <w:pPr>
        <w:ind w:left="120" w:right="239" w:firstLine="350"/>
        <w:spacing w:after="0" w:line="26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0">
                      <a:extLst>
                        <a:ext uri="{28A0092B-C50C-407E-A947-70E740481C1C}"/>
                      </a:extLst>
                    </a:blip>
                    <a:srcRect/>
                    <a:stretch>
                      <a:fillRect/>
                    </a:stretch>
                  </pic:blipFill>
                  <pic:spPr bwMode="auto">
                    <a:xfrm>
                      <a:off x="0" y="0"/>
                      <a:ext cx="7199630" cy="33020"/>
                    </a:xfrm>
                    <a:prstGeom prst="rect">
                      <a:avLst/>
                    </a:prstGeom>
                    <a:noFill/>
                  </pic:spPr>
                </pic:pic>
              </a:graphicData>
            </a:graphic>
          </wp:anchor>
        </w:drawing>
        <w:t>Payment of the principal of, premium, if any, and interest on, this Security, and exchange or transfer of this Security, will be made at the office or agency of the Company in continental United States maintained for such purpose (which initially will be a Corporate Trust Office of the Paying Agent and Security Registrar), or at such other office or agency as may be maintained for such purpose, in such coin or currency of the United States of America as at the time of payment is legal tender for payment of public and private debts; provided, however, that payment of interest may be made at the option of the Company by check mailed to the address of the Person entitled thereto as such address shall appear on the Security Register.</w:t>
      </w:r>
    </w:p>
    <w:p>
      <w:pPr>
        <w:spacing w:after="0" w:line="141" w:lineRule="exact"/>
        <w:rPr>
          <w:sz w:val="20"/>
          <w:szCs w:val="20"/>
          <w:color w:val="auto"/>
        </w:rPr>
      </w:pPr>
    </w:p>
    <w:p>
      <w:pPr>
        <w:ind w:left="120" w:right="279" w:firstLine="350"/>
        <w:spacing w:after="0" w:line="292" w:lineRule="auto"/>
        <w:rPr>
          <w:sz w:val="20"/>
          <w:szCs w:val="20"/>
          <w:color w:val="auto"/>
        </w:rPr>
      </w:pPr>
      <w:r>
        <w:rPr>
          <w:rFonts w:ascii="Times New Roman" w:cs="Times New Roman" w:eastAsia="Times New Roman" w:hAnsi="Times New Roman"/>
          <w:sz w:val="14"/>
          <w:szCs w:val="14"/>
          <w:color w:val="auto"/>
        </w:rPr>
        <w:t>Reference is hereby made to the further provisions of this Security set forth on the reverse hereof, which further provisions shall for all purposes have the same effect as if set forth at this place.</w:t>
      </w:r>
    </w:p>
    <w:p>
      <w:pPr>
        <w:spacing w:after="0" w:line="123" w:lineRule="exact"/>
        <w:rPr>
          <w:sz w:val="20"/>
          <w:szCs w:val="20"/>
          <w:color w:val="auto"/>
        </w:rPr>
      </w:pPr>
    </w:p>
    <w:p>
      <w:pPr>
        <w:jc w:val="both"/>
        <w:ind w:left="120" w:right="399" w:firstLine="350"/>
        <w:spacing w:after="0" w:line="274" w:lineRule="auto"/>
        <w:rPr>
          <w:sz w:val="20"/>
          <w:szCs w:val="20"/>
          <w:color w:val="auto"/>
        </w:rPr>
      </w:pPr>
      <w:r>
        <w:rPr>
          <w:rFonts w:ascii="Times New Roman" w:cs="Times New Roman" w:eastAsia="Times New Roman" w:hAnsi="Times New Roman"/>
          <w:sz w:val="14"/>
          <w:szCs w:val="14"/>
          <w:color w:val="auto"/>
        </w:rPr>
        <w:t>Unless the certificate of authentication hereon has been duly executed by the Trustee referred to on the reverse hereof or by the Authenticating Agent appointed as provided in the Indenture by manual signature of an authorized signer, this Security shall not be entitled to any benefit under the Indenture, or be valid or obligatory for any purpose.</w:t>
      </w:r>
    </w:p>
    <w:p>
      <w:pPr>
        <w:spacing w:after="0" w:line="135" w:lineRule="exact"/>
        <w:rPr>
          <w:sz w:val="20"/>
          <w:szCs w:val="20"/>
          <w:color w:val="auto"/>
        </w:rPr>
      </w:pPr>
    </w:p>
    <w:p>
      <w:pPr>
        <w:jc w:val="both"/>
        <w:ind w:left="120" w:right="399" w:firstLine="350"/>
        <w:spacing w:after="0" w:line="292" w:lineRule="auto"/>
        <w:rPr>
          <w:sz w:val="20"/>
          <w:szCs w:val="20"/>
          <w:color w:val="auto"/>
        </w:rPr>
      </w:pPr>
      <w:r>
        <w:rPr>
          <w:rFonts w:ascii="Times New Roman" w:cs="Times New Roman" w:eastAsia="Times New Roman" w:hAnsi="Times New Roman"/>
          <w:sz w:val="14"/>
          <w:szCs w:val="14"/>
          <w:color w:val="auto"/>
        </w:rPr>
        <w:t>IN WITNESS WHEREOF, the Company has caused this instrument to be duly executed by the manual or facsimile signature of its authorized officer.</w:t>
      </w:r>
    </w:p>
    <w:p>
      <w:pPr>
        <w:spacing w:after="0" w:line="1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THE GEO GROUP, INC.</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wp:posOffset>
            </wp:positionH>
            <wp:positionV relativeFrom="paragraph">
              <wp:posOffset>15875</wp:posOffset>
            </wp:positionV>
            <wp:extent cx="2037080" cy="698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1">
                      <a:extLst>
                        <a:ext uri="{28A0092B-C50C-407E-A947-70E740481C1C}"/>
                      </a:extLst>
                    </a:blip>
                    <a:srcRect/>
                    <a:stretch>
                      <a:fillRect/>
                    </a:stretch>
                  </pic:blipFill>
                  <pic:spPr bwMode="auto">
                    <a:xfrm>
                      <a:off x="0" y="0"/>
                      <a:ext cx="2037080" cy="6985"/>
                    </a:xfrm>
                    <a:prstGeom prst="rect">
                      <a:avLst/>
                    </a:prstGeom>
                    <a:noFill/>
                  </pic:spPr>
                </pic:pic>
              </a:graphicData>
            </a:graphic>
          </wp:anchor>
        </w:drawing>
      </w:r>
    </w:p>
    <w:p>
      <w:pPr>
        <w:spacing w:after="0" w:line="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Name:</w:t>
      </w:r>
    </w:p>
    <w:p>
      <w:pPr>
        <w:spacing w:after="0" w:line="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Title:</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TRUSTEE’S CERTIFICATE OF AUTHENTICATION</w:t>
      </w:r>
    </w:p>
    <w:p>
      <w:pPr>
        <w:spacing w:after="0" w:line="18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This is one of the (%) Notes due referred to in the within-mentioned Indenture (as such Indenture may be supplemented or amended).</w:t>
      </w:r>
    </w:p>
    <w:p>
      <w:pPr>
        <w:spacing w:after="0" w:line="2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ANKURA TRUST COMPANY, LLC, AS TRUSTEE</w:t>
      </w:r>
    </w:p>
    <w:p>
      <w:pPr>
        <w:spacing w:after="0" w:line="1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wp:posOffset>
            </wp:positionH>
            <wp:positionV relativeFrom="paragraph">
              <wp:posOffset>15875</wp:posOffset>
            </wp:positionV>
            <wp:extent cx="2037080" cy="698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2">
                      <a:extLst>
                        <a:ext uri="{28A0092B-C50C-407E-A947-70E740481C1C}"/>
                      </a:extLst>
                    </a:blip>
                    <a:srcRect/>
                    <a:stretch>
                      <a:fillRect/>
                    </a:stretch>
                  </pic:blipFill>
                  <pic:spPr bwMode="auto">
                    <a:xfrm>
                      <a:off x="0" y="0"/>
                      <a:ext cx="2037080" cy="6985"/>
                    </a:xfrm>
                    <a:prstGeom prst="rect">
                      <a:avLst/>
                    </a:prstGeom>
                    <a:noFill/>
                  </pic:spPr>
                </pic:pic>
              </a:graphicData>
            </a:graphic>
          </wp:anchor>
        </w:drawing>
      </w:r>
    </w:p>
    <w:p>
      <w:pPr>
        <w:spacing w:after="0" w:line="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AUTHORIZED SIGNATORY</w:t>
      </w:r>
    </w:p>
    <w:p>
      <w:pPr>
        <w:spacing w:after="0" w:line="1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Dated:</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A-2</w:t>
      </w:r>
    </w:p>
    <w:p>
      <w:pPr>
        <w:sectPr>
          <w:pgSz w:w="11900" w:h="16838" w:orient="portrait"/>
          <w:cols w:equalWidth="0" w:num="1">
            <w:col w:w="9019"/>
          </w:cols>
          <w:pgMar w:left="1440" w:top="243" w:right="1440" w:bottom="1440" w:gutter="0" w:footer="0" w:header="0"/>
        </w:sectPr>
      </w:pPr>
    </w:p>
    <w:bookmarkStart w:id="173" w:name="page174"/>
    <w:bookmarkEnd w:id="173"/>
    <w:p>
      <w:pPr>
        <w:jc w:val="center"/>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3">
                      <a:extLst>
                        <a:ext uri="{28A0092B-C50C-407E-A947-70E740481C1C}"/>
                      </a:extLst>
                    </a:blip>
                    <a:srcRect/>
                    <a:stretch>
                      <a:fillRect/>
                    </a:stretch>
                  </pic:blipFill>
                  <pic:spPr bwMode="auto">
                    <a:xfrm>
                      <a:off x="0" y="0"/>
                      <a:ext cx="7199630" cy="33020"/>
                    </a:xfrm>
                    <a:prstGeom prst="rect">
                      <a:avLst/>
                    </a:prstGeom>
                    <a:noFill/>
                  </pic:spPr>
                </pic:pic>
              </a:graphicData>
            </a:graphic>
          </wp:anchor>
        </w:drawing>
        <w:t>[FORM OF REVERSE SIDE OF SECURITY]*</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GEO GROUP, INC.</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Note due</w:t>
      </w:r>
    </w:p>
    <w:p>
      <w:pPr>
        <w:spacing w:after="0" w:line="1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This Security is one of a duly authorized issue of Securities of the Company designated as its (%) Notes due (herein called the “</w:t>
      </w:r>
      <w:r>
        <w:rPr>
          <w:rFonts w:ascii="Times New Roman" w:cs="Times New Roman" w:eastAsia="Times New Roman" w:hAnsi="Times New Roman"/>
          <w:sz w:val="14"/>
          <w:szCs w:val="14"/>
          <w:u w:val="single" w:color="auto"/>
          <w:color w:val="auto"/>
        </w:rPr>
        <w:t>Securities</w:t>
      </w:r>
      <w:r>
        <w:rPr>
          <w:rFonts w:ascii="Times New Roman" w:cs="Times New Roman" w:eastAsia="Times New Roman" w:hAnsi="Times New Roman"/>
          <w:sz w:val="14"/>
          <w:szCs w:val="14"/>
          <w:color w:val="auto"/>
        </w:rPr>
        <w:t>”),</w:t>
      </w:r>
    </w:p>
    <w:p>
      <w:pPr>
        <w:spacing w:after="0" w:line="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limited (except as otherwise provided in the Indenture referred to below) in aggregate principal amount to ($ ), issued under and subject to the terms of</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an indenture (herein called the “</w:t>
      </w:r>
      <w:r>
        <w:rPr>
          <w:rFonts w:ascii="Times New Roman" w:cs="Times New Roman" w:eastAsia="Times New Roman" w:hAnsi="Times New Roman"/>
          <w:sz w:val="14"/>
          <w:szCs w:val="14"/>
          <w:u w:val="single" w:color="auto"/>
          <w:color w:val="auto"/>
        </w:rPr>
        <w:t>Indenture</w:t>
      </w:r>
      <w:r>
        <w:rPr>
          <w:rFonts w:ascii="Times New Roman" w:cs="Times New Roman" w:eastAsia="Times New Roman" w:hAnsi="Times New Roman"/>
          <w:sz w:val="14"/>
          <w:szCs w:val="14"/>
          <w:color w:val="auto"/>
        </w:rPr>
        <w:t>”) dated as of , , between the Company and Ankura Trust Company, LLC, as trustee (herein called the</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Trustee</w:t>
      </w:r>
      <w:r>
        <w:rPr>
          <w:rFonts w:ascii="Times New Roman" w:cs="Times New Roman" w:eastAsia="Times New Roman" w:hAnsi="Times New Roman"/>
          <w:sz w:val="14"/>
          <w:szCs w:val="14"/>
          <w:color w:val="auto"/>
        </w:rPr>
        <w:t>,” which term includes any successor trustee under the Indenture), to which Indenture and all indentures supplemental thereto reference is</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hereby made for a statement of the respective rights, limitations of rights, duties, obligations and immunities thereunder of the Company, the Trustee and</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the Holders of the Securities, and of the terms upon which the Securities are, and are to be, authenticated and delivered.</w:t>
      </w:r>
    </w:p>
    <w:p>
      <w:pPr>
        <w:spacing w:after="0" w:line="169" w:lineRule="exact"/>
        <w:rPr>
          <w:sz w:val="20"/>
          <w:szCs w:val="20"/>
          <w:color w:val="auto"/>
        </w:rPr>
      </w:pPr>
    </w:p>
    <w:p>
      <w:pPr>
        <w:ind w:left="120" w:right="379" w:firstLine="350"/>
        <w:spacing w:after="0" w:line="274" w:lineRule="auto"/>
        <w:rPr>
          <w:sz w:val="20"/>
          <w:szCs w:val="20"/>
          <w:color w:val="auto"/>
        </w:rPr>
      </w:pPr>
      <w:r>
        <w:rPr>
          <w:rFonts w:ascii="Times New Roman" w:cs="Times New Roman" w:eastAsia="Times New Roman" w:hAnsi="Times New Roman"/>
          <w:sz w:val="14"/>
          <w:szCs w:val="14"/>
          <w:color w:val="auto"/>
        </w:rPr>
        <w:t>If less than all of the applicable series of Securities are to be redeemed, the particular Securities or portions thereof to be redeemed shall be selected not more than 60 nor less than 30 days prior to the Redemption Date. If less than all of the Securities of any series are to be redeemed at any time, the Trustee shall select Securities of such series for redemption as follows:</w:t>
      </w:r>
    </w:p>
    <w:p>
      <w:pPr>
        <w:spacing w:after="0" w:line="49" w:lineRule="exact"/>
        <w:rPr>
          <w:sz w:val="20"/>
          <w:szCs w:val="20"/>
          <w:color w:val="auto"/>
        </w:rPr>
      </w:pPr>
    </w:p>
    <w:p>
      <w:pPr>
        <w:ind w:left="120" w:right="679" w:firstLine="357"/>
        <w:spacing w:after="0" w:line="292" w:lineRule="auto"/>
        <w:tabs>
          <w:tab w:leader="none" w:pos="672"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Securities are listed on any national securities exchange, in compliance with the requirements of the principal national securities exchange on which the Securities are listed; or</w:t>
      </w:r>
    </w:p>
    <w:p>
      <w:pPr>
        <w:spacing w:after="0" w:line="123" w:lineRule="exact"/>
        <w:rPr>
          <w:rFonts w:ascii="Times New Roman" w:cs="Times New Roman" w:eastAsia="Times New Roman" w:hAnsi="Times New Roman"/>
          <w:sz w:val="14"/>
          <w:szCs w:val="14"/>
          <w:color w:val="auto"/>
        </w:rPr>
      </w:pPr>
    </w:p>
    <w:p>
      <w:pPr>
        <w:ind w:left="120" w:right="159" w:firstLine="357"/>
        <w:spacing w:after="0" w:line="268" w:lineRule="auto"/>
        <w:tabs>
          <w:tab w:leader="none" w:pos="672"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Securities are not listed on any national securities exchange, on a pro rata basis (based on amounts tendered), by lot or by such method as the Trustee deems fair and appropriate in accordance with DTC procedures. No Securities of $2,000 or less can be redeemed in part. The amounts to be redeemed shall be equal to $2,000 or any integral multiples of $1,000 in excess thereof, unless provided otherwise in any supplemental indenture with respect to any particular series of Securities.</w:t>
      </w:r>
    </w:p>
    <w:p>
      <w:pPr>
        <w:spacing w:after="0" w:line="139" w:lineRule="exact"/>
        <w:rPr>
          <w:sz w:val="20"/>
          <w:szCs w:val="20"/>
          <w:color w:val="auto"/>
        </w:rPr>
      </w:pPr>
    </w:p>
    <w:p>
      <w:pPr>
        <w:ind w:left="120" w:right="179" w:firstLine="350"/>
        <w:spacing w:after="0" w:line="268" w:lineRule="auto"/>
        <w:rPr>
          <w:sz w:val="20"/>
          <w:szCs w:val="20"/>
          <w:color w:val="auto"/>
        </w:rPr>
      </w:pPr>
      <w:r>
        <w:rPr>
          <w:rFonts w:ascii="Times New Roman" w:cs="Times New Roman" w:eastAsia="Times New Roman" w:hAnsi="Times New Roman"/>
          <w:sz w:val="14"/>
          <w:szCs w:val="14"/>
          <w:color w:val="auto"/>
        </w:rPr>
        <w:t>In the case of any redemption of Securities in accordance with the Indenture, interest installments whose Stated Maturity is on or prior to the Redemption Date will be payable to the Holders of Record of such Securities as of the close of business on the relevant Regular Record Date referred to on the face hereof or Special Record Date, as applicable. Securities (or portions thereof) for whose redemption and payment provision is made in accordance with the Indenture shall cease to bear interest from and after the Redemption Date.</w:t>
      </w:r>
    </w:p>
    <w:p>
      <w:pPr>
        <w:spacing w:after="0" w:line="139" w:lineRule="exact"/>
        <w:rPr>
          <w:sz w:val="20"/>
          <w:szCs w:val="20"/>
          <w:color w:val="auto"/>
        </w:rPr>
      </w:pPr>
    </w:p>
    <w:p>
      <w:pPr>
        <w:ind w:left="120" w:right="619" w:firstLine="350"/>
        <w:spacing w:after="0" w:line="292" w:lineRule="auto"/>
        <w:rPr>
          <w:sz w:val="20"/>
          <w:szCs w:val="20"/>
          <w:color w:val="auto"/>
        </w:rPr>
      </w:pPr>
      <w:r>
        <w:rPr>
          <w:rFonts w:ascii="Times New Roman" w:cs="Times New Roman" w:eastAsia="Times New Roman" w:hAnsi="Times New Roman"/>
          <w:sz w:val="14"/>
          <w:szCs w:val="14"/>
          <w:color w:val="auto"/>
        </w:rPr>
        <w:t>In the event of redemption or repurchase of this Security in accordance with the Indenture in part only, a new Security or Securities for the unredeemed portion hereof shall be issued in the name of the Holder hereof upon the cancellation hereof.</w:t>
      </w:r>
    </w:p>
    <w:p>
      <w:pPr>
        <w:spacing w:after="0" w:line="123" w:lineRule="exact"/>
        <w:rPr>
          <w:sz w:val="20"/>
          <w:szCs w:val="20"/>
          <w:color w:val="auto"/>
        </w:rPr>
      </w:pPr>
    </w:p>
    <w:p>
      <w:pPr>
        <w:ind w:left="120" w:right="159" w:firstLine="350"/>
        <w:spacing w:after="0" w:line="292" w:lineRule="auto"/>
        <w:rPr>
          <w:sz w:val="20"/>
          <w:szCs w:val="20"/>
          <w:color w:val="auto"/>
        </w:rPr>
      </w:pPr>
      <w:r>
        <w:rPr>
          <w:rFonts w:ascii="Times New Roman" w:cs="Times New Roman" w:eastAsia="Times New Roman" w:hAnsi="Times New Roman"/>
          <w:sz w:val="14"/>
          <w:szCs w:val="14"/>
          <w:color w:val="auto"/>
        </w:rPr>
        <w:t>If an Event of Default shall occur and be continuing, the principal amount of all the Securities may be declared due and payable in the manner and with the effect provided in the Indenture.</w:t>
      </w:r>
    </w:p>
    <w:p>
      <w:pPr>
        <w:spacing w:after="0" w:line="123" w:lineRule="exact"/>
        <w:rPr>
          <w:sz w:val="20"/>
          <w:szCs w:val="20"/>
          <w:color w:val="auto"/>
        </w:rPr>
      </w:pPr>
    </w:p>
    <w:p>
      <w:pPr>
        <w:ind w:left="120" w:right="639" w:firstLine="350"/>
        <w:spacing w:after="0" w:line="292" w:lineRule="auto"/>
        <w:rPr>
          <w:sz w:val="20"/>
          <w:szCs w:val="20"/>
          <w:color w:val="auto"/>
        </w:rPr>
      </w:pPr>
      <w:r>
        <w:rPr>
          <w:rFonts w:ascii="Times New Roman" w:cs="Times New Roman" w:eastAsia="Times New Roman" w:hAnsi="Times New Roman"/>
          <w:sz w:val="14"/>
          <w:szCs w:val="14"/>
          <w:color w:val="auto"/>
        </w:rPr>
        <w:t>The Indenture contains provisions for defeasance at any time of (a) the entire Indebtedness on the Securities and (b) certain covenants and Defaults and Events of Default, in each case upon compliance with certain conditions set forth therein.</w:t>
      </w:r>
    </w:p>
    <w:p>
      <w:pPr>
        <w:spacing w:after="0" w:line="123" w:lineRule="exact"/>
        <w:rPr>
          <w:sz w:val="20"/>
          <w:szCs w:val="20"/>
          <w:color w:val="auto"/>
        </w:rPr>
      </w:pPr>
    </w:p>
    <w:p>
      <w:pPr>
        <w:ind w:left="120" w:right="199" w:firstLine="350"/>
        <w:spacing w:after="0" w:line="259" w:lineRule="auto"/>
        <w:rPr>
          <w:sz w:val="20"/>
          <w:szCs w:val="20"/>
          <w:color w:val="auto"/>
        </w:rPr>
      </w:pPr>
      <w:r>
        <w:rPr>
          <w:rFonts w:ascii="Times New Roman" w:cs="Times New Roman" w:eastAsia="Times New Roman" w:hAnsi="Times New Roman"/>
          <w:sz w:val="14"/>
          <w:szCs w:val="14"/>
          <w:color w:val="auto"/>
        </w:rPr>
        <w:t>The Indenture permits, with certain exceptions (including certain amendments permitted without the consent of any Holders and certain amendments which require the consent of all of the Holders) as therein provided, the amendment thereof and the modification of the rights and obligations of the Company and the rights of the Holders under the Indenture and the Securities at any time by the Company and the Trustee with the consent of the Holders of at least a majority in aggregate principal amount of the Securities of any series at the time Outstanding. The Indenture also contains provisions permitting the Holders of at least a majority in aggregate principal amount of the Securities of any series (100% of the Holders of such series in certain circumstances) at the time Outstanding, on behalf of the Holders of all the Securities of such affected series, to waive compliance by the Company with certain provisions of the Indenture and the Securities of such series and certain past Defaults and Events of Default under the Indenture and the Securities of such series and their consequences. Any such consent or waiver by or on behalf of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A-3</w:t>
      </w:r>
    </w:p>
    <w:p>
      <w:pPr>
        <w:sectPr>
          <w:pgSz w:w="11900" w:h="16838" w:orient="portrait"/>
          <w:cols w:equalWidth="0" w:num="1">
            <w:col w:w="9019"/>
          </w:cols>
          <w:pgMar w:left="1440" w:top="243" w:right="1440" w:bottom="1440" w:gutter="0" w:footer="0" w:header="0"/>
        </w:sectPr>
      </w:pPr>
    </w:p>
    <w:bookmarkStart w:id="174" w:name="page175"/>
    <w:bookmarkEnd w:id="174"/>
    <w:p>
      <w:pPr>
        <w:ind w:left="120" w:right="219" w:firstLine="350"/>
        <w:spacing w:after="0" w:line="26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4">
                      <a:extLst>
                        <a:ext uri="{28A0092B-C50C-407E-A947-70E740481C1C}"/>
                      </a:extLst>
                    </a:blip>
                    <a:srcRect/>
                    <a:stretch>
                      <a:fillRect/>
                    </a:stretch>
                  </pic:blipFill>
                  <pic:spPr bwMode="auto">
                    <a:xfrm>
                      <a:off x="0" y="0"/>
                      <a:ext cx="7199630" cy="33020"/>
                    </a:xfrm>
                    <a:prstGeom prst="rect">
                      <a:avLst/>
                    </a:prstGeom>
                    <a:noFill/>
                  </pic:spPr>
                </pic:pic>
              </a:graphicData>
            </a:graphic>
          </wp:anchor>
        </w:drawing>
        <w:t>No reference herein to the Indenture and no provision of this Security or of the Indenture shall alter or impair the obligation of the Company or any other obligor on the Securities (in the event such other obligor is obligated to make payments in respect of the Securities), which is absolute and unconditional, to pay the principal of, and premium, if any, and interest on, this Security at the times, place, and rate, and in the coin or currency, herein prescribed.</w:t>
      </w:r>
    </w:p>
    <w:p>
      <w:pPr>
        <w:spacing w:after="0" w:line="139" w:lineRule="exact"/>
        <w:rPr>
          <w:sz w:val="20"/>
          <w:szCs w:val="20"/>
          <w:color w:val="auto"/>
        </w:rPr>
      </w:pPr>
    </w:p>
    <w:p>
      <w:pPr>
        <w:ind w:left="120" w:right="239" w:firstLine="350"/>
        <w:spacing w:after="0" w:line="265" w:lineRule="auto"/>
        <w:rPr>
          <w:sz w:val="20"/>
          <w:szCs w:val="20"/>
          <w:color w:val="auto"/>
        </w:rPr>
      </w:pPr>
      <w:r>
        <w:rPr>
          <w:rFonts w:ascii="Times New Roman" w:cs="Times New Roman" w:eastAsia="Times New Roman" w:hAnsi="Times New Roman"/>
          <w:sz w:val="14"/>
          <w:szCs w:val="14"/>
          <w:color w:val="auto"/>
        </w:rPr>
        <w:t>As provided in the Indenture and subject to certain limitations therein set forth, the transfer of this Security is registrable in the Security Register, upon surrender of this Security for registration of transfer at the office or agency of the Company in the Borough of Manhattan, The City of New York, duly endorsed by, or accompanied by a written instrument of transfer in form satisfactory to the Company and the Security Registrar duly executed by, the Holder hereof or its attorney duly authorized in writing, and thereupon one or more new Securities, of authorized denominations and for the same aggregate principal amount, will be issued to the designated transferee or transferees.</w:t>
      </w:r>
    </w:p>
    <w:p>
      <w:pPr>
        <w:spacing w:after="0" w:line="141" w:lineRule="exact"/>
        <w:rPr>
          <w:sz w:val="20"/>
          <w:szCs w:val="20"/>
          <w:color w:val="auto"/>
        </w:rPr>
      </w:pPr>
    </w:p>
    <w:p>
      <w:pPr>
        <w:ind w:left="120" w:right="139" w:firstLine="350"/>
        <w:spacing w:after="0" w:line="274" w:lineRule="auto"/>
        <w:rPr>
          <w:sz w:val="20"/>
          <w:szCs w:val="20"/>
          <w:color w:val="auto"/>
        </w:rPr>
      </w:pPr>
      <w:r>
        <w:rPr>
          <w:rFonts w:ascii="Times New Roman" w:cs="Times New Roman" w:eastAsia="Times New Roman" w:hAnsi="Times New Roman"/>
          <w:sz w:val="14"/>
          <w:szCs w:val="14"/>
          <w:color w:val="auto"/>
        </w:rPr>
        <w:t>The Securities in certificated form are issuable only in registered form without coupons in minimum denominations of $2,000 and integral multiples of $1,000 in excess thereof. As provided in the Indenture and subject to certain limitations therein set forth, the Securities are exchangeable for a like aggregate principal amount of Securities of a differing authorized denomination, as requested by the Holder surrendering the same.</w:t>
      </w:r>
    </w:p>
    <w:p>
      <w:pPr>
        <w:spacing w:after="0" w:line="135" w:lineRule="exact"/>
        <w:rPr>
          <w:sz w:val="20"/>
          <w:szCs w:val="20"/>
          <w:color w:val="auto"/>
        </w:rPr>
      </w:pPr>
    </w:p>
    <w:p>
      <w:pPr>
        <w:ind w:left="120" w:right="299" w:firstLine="350"/>
        <w:spacing w:after="0" w:line="292" w:lineRule="auto"/>
        <w:rPr>
          <w:sz w:val="20"/>
          <w:szCs w:val="20"/>
          <w:color w:val="auto"/>
        </w:rPr>
      </w:pPr>
      <w:r>
        <w:rPr>
          <w:rFonts w:ascii="Times New Roman" w:cs="Times New Roman" w:eastAsia="Times New Roman" w:hAnsi="Times New Roman"/>
          <w:sz w:val="14"/>
          <w:szCs w:val="14"/>
          <w:color w:val="auto"/>
        </w:rPr>
        <w:t>Except as indicated in the Indenture, no service charge shall be made for any registration of transfer or exchange of Securities, but the Company may require payment of a sum sufficient to cover any tax or other governmental charge payable in connection therewith.</w:t>
      </w:r>
    </w:p>
    <w:p>
      <w:pPr>
        <w:spacing w:after="0" w:line="123" w:lineRule="exact"/>
        <w:rPr>
          <w:sz w:val="20"/>
          <w:szCs w:val="20"/>
          <w:color w:val="auto"/>
        </w:rPr>
      </w:pPr>
    </w:p>
    <w:p>
      <w:pPr>
        <w:ind w:left="120" w:right="279" w:firstLine="350"/>
        <w:spacing w:after="0" w:line="265" w:lineRule="auto"/>
        <w:rPr>
          <w:sz w:val="20"/>
          <w:szCs w:val="20"/>
          <w:color w:val="auto"/>
        </w:rPr>
      </w:pPr>
      <w:r>
        <w:rPr>
          <w:rFonts w:ascii="Times New Roman" w:cs="Times New Roman" w:eastAsia="Times New Roman" w:hAnsi="Times New Roman"/>
          <w:sz w:val="14"/>
          <w:szCs w:val="14"/>
          <w:color w:val="auto"/>
        </w:rPr>
        <w:t>No director, officer, manager, employee, incorporator, stockholder, member or partner of the Company or any Guarantor, as such, shall have any liability for any obligations of the Company or of the Guarantors under the Securities, the Indenture or the Guarantees, if any, of the Securities, or for any claim based on, in respect of, or by reason of, such obligations or their creation. Each Holder of Securities by accepting a Security waives and releases all such liability. The waiver and release are part of the consideration for issuance of the Securities. The waiver may not be effective to waive liabilities under the federal securities laws.</w:t>
      </w:r>
    </w:p>
    <w:p>
      <w:pPr>
        <w:spacing w:after="0" w:line="141" w:lineRule="exact"/>
        <w:rPr>
          <w:sz w:val="20"/>
          <w:szCs w:val="20"/>
          <w:color w:val="auto"/>
        </w:rPr>
      </w:pPr>
    </w:p>
    <w:p>
      <w:pPr>
        <w:jc w:val="both"/>
        <w:ind w:left="120" w:right="279" w:firstLine="350"/>
        <w:spacing w:after="0" w:line="274" w:lineRule="auto"/>
        <w:rPr>
          <w:sz w:val="20"/>
          <w:szCs w:val="20"/>
          <w:color w:val="auto"/>
        </w:rPr>
      </w:pPr>
      <w:r>
        <w:rPr>
          <w:rFonts w:ascii="Times New Roman" w:cs="Times New Roman" w:eastAsia="Times New Roman" w:hAnsi="Times New Roman"/>
          <w:sz w:val="14"/>
          <w:szCs w:val="14"/>
          <w:color w:val="auto"/>
        </w:rPr>
        <w:t>Prior to due presentment of this Security for registration of transfer, the Company, the Trustee and any agent of the Company or the Trustee may treat the Person in whose name this Security is registered as the owner hereof for all purposes, whether or not this Security is overdue, and neither the Company, the Trustee nor any such agent shall be affected by notice to the contrary.</w:t>
      </w:r>
    </w:p>
    <w:p>
      <w:pPr>
        <w:spacing w:after="0" w:line="135" w:lineRule="exact"/>
        <w:rPr>
          <w:sz w:val="20"/>
          <w:szCs w:val="20"/>
          <w:color w:val="auto"/>
        </w:rPr>
      </w:pPr>
    </w:p>
    <w:p>
      <w:pPr>
        <w:ind w:left="120" w:right="559" w:firstLine="350"/>
        <w:spacing w:after="0" w:line="292" w:lineRule="auto"/>
        <w:rPr>
          <w:sz w:val="20"/>
          <w:szCs w:val="20"/>
          <w:color w:val="auto"/>
        </w:rPr>
      </w:pPr>
      <w:r>
        <w:rPr>
          <w:rFonts w:ascii="Times New Roman" w:cs="Times New Roman" w:eastAsia="Times New Roman" w:hAnsi="Times New Roman"/>
          <w:sz w:val="14"/>
          <w:szCs w:val="14"/>
          <w:color w:val="auto"/>
        </w:rPr>
        <w:t>THIS SECURITY SHALL BE GOVERNED BY AND CONSTRUED IN ACCORDANCE WITH THE LAWS OF THE STATE OF NEW YORK.</w:t>
      </w:r>
    </w:p>
    <w:p>
      <w:pPr>
        <w:spacing w:after="0" w:line="123" w:lineRule="exact"/>
        <w:rPr>
          <w:sz w:val="20"/>
          <w:szCs w:val="20"/>
          <w:color w:val="auto"/>
        </w:rPr>
      </w:pPr>
    </w:p>
    <w:p>
      <w:pPr>
        <w:jc w:val="both"/>
        <w:ind w:left="120" w:right="339" w:firstLine="350"/>
        <w:spacing w:after="0" w:line="274" w:lineRule="auto"/>
        <w:rPr>
          <w:sz w:val="20"/>
          <w:szCs w:val="20"/>
          <w:color w:val="auto"/>
        </w:rPr>
      </w:pPr>
      <w:r>
        <w:rPr>
          <w:rFonts w:ascii="Times New Roman" w:cs="Times New Roman" w:eastAsia="Times New Roman" w:hAnsi="Times New Roman"/>
          <w:sz w:val="14"/>
          <w:szCs w:val="14"/>
          <w:color w:val="auto"/>
        </w:rPr>
        <w:t>All terms used in this Security which are defined in the Indenture and not otherwise defined herein shall have the meanings assigned to them in the Indenture. To the extent any provision of this Security conflicts with the express provisions of the Indenture, the provisions of the Indenture shall govern and be controlling.</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A-4</w:t>
      </w:r>
    </w:p>
    <w:p>
      <w:pPr>
        <w:sectPr>
          <w:pgSz w:w="11900" w:h="16838" w:orient="portrait"/>
          <w:cols w:equalWidth="0" w:num="1">
            <w:col w:w="9019"/>
          </w:cols>
          <w:pgMar w:left="1440" w:top="243" w:right="1440" w:bottom="1440" w:gutter="0" w:footer="0" w:header="0"/>
        </w:sectPr>
      </w:pPr>
    </w:p>
    <w:bookmarkStart w:id="175" w:name="page176"/>
    <w:bookmarkEnd w:id="175"/>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Exhibit 4.2</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GEO GROUP, INC., AS ISSUER</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AND</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ANKURA TRUST COMPANY, LLC, AS TRUSTEE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INDENTURE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DATED AS OF ,</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PROVIDING FOR THE ISSUANCE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OF</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SUBORDINATE DEBT SECURITIES</w:t>
      </w:r>
    </w:p>
    <w:p>
      <w:pPr>
        <w:sectPr>
          <w:pgSz w:w="11900" w:h="16838" w:orient="portrait"/>
          <w:cols w:equalWidth="0" w:num="1">
            <w:col w:w="9019"/>
          </w:cols>
          <w:pgMar w:left="1440" w:top="123" w:right="1440" w:bottom="1440" w:gutter="0" w:footer="0" w:header="0"/>
        </w:sectPr>
      </w:pPr>
    </w:p>
    <w:bookmarkStart w:id="176" w:name="page177"/>
    <w:bookmarkEnd w:id="176"/>
    <w:tbl>
      <w:tblPr>
        <w:tblLayout w:type="fixed"/>
        <w:tblInd w:w="120" w:type="dxa"/>
        <w:tblCellMar>
          <w:top w:w="0" w:type="dxa"/>
          <w:left w:w="0" w:type="dxa"/>
          <w:bottom w:w="0" w:type="dxa"/>
          <w:right w:w="0" w:type="dxa"/>
        </w:tblCellMar>
      </w:tblPr>
      <w:tr>
        <w:trPr>
          <w:trHeight w:val="187"/>
        </w:trPr>
        <w:tc>
          <w:tcPr>
            <w:tcW w:w="1860" w:type="dxa"/>
            <w:vAlign w:val="bottom"/>
          </w:tcPr>
          <w:p>
            <w:pPr>
              <w:spacing w:after="0"/>
              <w:rPr>
                <w:sz w:val="16"/>
                <w:szCs w:val="16"/>
                <w:color w:val="auto"/>
              </w:rPr>
            </w:pPr>
          </w:p>
        </w:tc>
        <w:tc>
          <w:tcPr>
            <w:tcW w:w="6900" w:type="dxa"/>
            <w:vAlign w:val="bottom"/>
          </w:tcPr>
          <w:p>
            <w:pPr>
              <w:jc w:val="right"/>
              <w:ind w:right="3529"/>
              <w:spacing w:after="0"/>
              <w:rPr>
                <w:sz w:val="20"/>
                <w:szCs w:val="20"/>
                <w:color w:val="auto"/>
              </w:rPr>
            </w:pPr>
            <w:r>
              <w:rPr>
                <w:rFonts w:ascii="Times New Roman" w:cs="Times New Roman" w:eastAsia="Times New Roman" w:hAnsi="Times New Roman"/>
                <w:sz w:val="14"/>
                <w:szCs w:val="14"/>
                <w:b w:val="1"/>
                <w:bCs w:val="1"/>
                <w:color w:val="auto"/>
              </w:rPr>
              <w:t>THE GEO GROUP, INC.</w:t>
            </w:r>
          </w:p>
        </w:tc>
      </w:tr>
      <w:tr>
        <w:trPr>
          <w:trHeight w:val="257"/>
        </w:trPr>
        <w:tc>
          <w:tcPr>
            <w:tcW w:w="1860" w:type="dxa"/>
            <w:vAlign w:val="bottom"/>
          </w:tcPr>
          <w:p>
            <w:pPr>
              <w:spacing w:after="0"/>
              <w:rPr>
                <w:sz w:val="22"/>
                <w:szCs w:val="22"/>
                <w:color w:val="auto"/>
              </w:rPr>
            </w:pPr>
          </w:p>
        </w:tc>
        <w:tc>
          <w:tcPr>
            <w:tcW w:w="6900" w:type="dxa"/>
            <w:vAlign w:val="bottom"/>
          </w:tcPr>
          <w:p>
            <w:pPr>
              <w:jc w:val="right"/>
              <w:ind w:right="1809"/>
              <w:spacing w:after="0"/>
              <w:rPr>
                <w:sz w:val="20"/>
                <w:szCs w:val="20"/>
                <w:color w:val="auto"/>
              </w:rPr>
            </w:pPr>
            <w:r>
              <w:rPr>
                <w:rFonts w:ascii="Times New Roman" w:cs="Times New Roman" w:eastAsia="Times New Roman" w:hAnsi="Times New Roman"/>
                <w:sz w:val="14"/>
                <w:szCs w:val="14"/>
                <w:b w:val="1"/>
                <w:bCs w:val="1"/>
                <w:color w:val="auto"/>
              </w:rPr>
              <w:t>RECONCILIATION AND TIE WITH THE TRUST INDENTURE ACT OF 1939</w:t>
            </w:r>
          </w:p>
        </w:tc>
      </w:tr>
      <w:tr>
        <w:trPr>
          <w:trHeight w:val="297"/>
        </w:trPr>
        <w:tc>
          <w:tcPr>
            <w:tcW w:w="1860" w:type="dxa"/>
            <w:vAlign w:val="bottom"/>
          </w:tcPr>
          <w:p>
            <w:pPr>
              <w:spacing w:after="0"/>
              <w:rPr>
                <w:sz w:val="20"/>
                <w:szCs w:val="20"/>
                <w:color w:val="auto"/>
              </w:rPr>
            </w:pPr>
            <w:r>
              <w:rPr>
                <w:rFonts w:ascii="Times New Roman" w:cs="Times New Roman" w:eastAsia="Times New Roman" w:hAnsi="Times New Roman"/>
                <w:sz w:val="11"/>
                <w:szCs w:val="11"/>
                <w:color w:val="auto"/>
              </w:rPr>
              <w:t>TRUST INDENTURE ACT SECTION</w:t>
            </w:r>
          </w:p>
        </w:tc>
        <w:tc>
          <w:tcPr>
            <w:tcW w:w="6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INDENTURE SECTION</w:t>
            </w:r>
          </w:p>
        </w:tc>
      </w:tr>
      <w:tr>
        <w:trPr>
          <w:trHeight w:val="172"/>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Section 310</w:t>
            </w:r>
          </w:p>
        </w:tc>
        <w:tc>
          <w:tcPr>
            <w:tcW w:w="6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w:t>
            </w:r>
          </w:p>
        </w:tc>
      </w:tr>
      <w:tr>
        <w:trPr>
          <w:trHeight w:val="172"/>
        </w:trPr>
        <w:tc>
          <w:tcPr>
            <w:tcW w:w="18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(a)(1)</w:t>
            </w:r>
          </w:p>
        </w:tc>
        <w:tc>
          <w:tcPr>
            <w:tcW w:w="6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6.09, 6.12</w:t>
            </w:r>
          </w:p>
        </w:tc>
      </w:tr>
      <w:tr>
        <w:trPr>
          <w:trHeight w:val="172"/>
        </w:trPr>
        <w:tc>
          <w:tcPr>
            <w:tcW w:w="18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(a)(2)</w:t>
            </w:r>
          </w:p>
        </w:tc>
        <w:tc>
          <w:tcPr>
            <w:tcW w:w="6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w:t>
            </w:r>
          </w:p>
        </w:tc>
      </w:tr>
      <w:tr>
        <w:trPr>
          <w:trHeight w:val="172"/>
        </w:trPr>
        <w:tc>
          <w:tcPr>
            <w:tcW w:w="18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(a)(3)</w:t>
            </w:r>
          </w:p>
        </w:tc>
        <w:tc>
          <w:tcPr>
            <w:tcW w:w="6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w:t>
            </w:r>
          </w:p>
        </w:tc>
      </w:tr>
      <w:tr>
        <w:trPr>
          <w:trHeight w:val="172"/>
        </w:trPr>
        <w:tc>
          <w:tcPr>
            <w:tcW w:w="18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(b)</w:t>
            </w:r>
          </w:p>
        </w:tc>
        <w:tc>
          <w:tcPr>
            <w:tcW w:w="6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6.08, 6.10</w:t>
            </w:r>
          </w:p>
        </w:tc>
      </w:tr>
      <w:tr>
        <w:trPr>
          <w:trHeight w:val="172"/>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Section 311</w:t>
            </w:r>
          </w:p>
        </w:tc>
        <w:tc>
          <w:tcPr>
            <w:tcW w:w="6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w:t>
            </w:r>
          </w:p>
        </w:tc>
      </w:tr>
      <w:tr>
        <w:trPr>
          <w:trHeight w:val="172"/>
        </w:trPr>
        <w:tc>
          <w:tcPr>
            <w:tcW w:w="18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w:t>
            </w:r>
          </w:p>
        </w:tc>
        <w:tc>
          <w:tcPr>
            <w:tcW w:w="6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6.13</w:t>
            </w:r>
          </w:p>
        </w:tc>
      </w:tr>
      <w:tr>
        <w:trPr>
          <w:trHeight w:val="172"/>
        </w:trPr>
        <w:tc>
          <w:tcPr>
            <w:tcW w:w="18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(b)</w:t>
            </w:r>
          </w:p>
        </w:tc>
        <w:tc>
          <w:tcPr>
            <w:tcW w:w="6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6.13</w:t>
            </w:r>
          </w:p>
        </w:tc>
      </w:tr>
      <w:tr>
        <w:trPr>
          <w:trHeight w:val="172"/>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Section 312(a)</w:t>
            </w:r>
          </w:p>
        </w:tc>
        <w:tc>
          <w:tcPr>
            <w:tcW w:w="6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7.01</w:t>
            </w:r>
          </w:p>
        </w:tc>
      </w:tr>
      <w:tr>
        <w:trPr>
          <w:trHeight w:val="172"/>
        </w:trPr>
        <w:tc>
          <w:tcPr>
            <w:tcW w:w="18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(b)</w:t>
            </w:r>
          </w:p>
        </w:tc>
        <w:tc>
          <w:tcPr>
            <w:tcW w:w="6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7.02</w:t>
            </w:r>
          </w:p>
        </w:tc>
      </w:tr>
      <w:tr>
        <w:trPr>
          <w:trHeight w:val="172"/>
        </w:trPr>
        <w:tc>
          <w:tcPr>
            <w:tcW w:w="18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w:t>
            </w:r>
          </w:p>
        </w:tc>
        <w:tc>
          <w:tcPr>
            <w:tcW w:w="6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7.02</w:t>
            </w:r>
          </w:p>
        </w:tc>
      </w:tr>
      <w:tr>
        <w:trPr>
          <w:trHeight w:val="172"/>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Section 313(a)</w:t>
            </w:r>
          </w:p>
        </w:tc>
        <w:tc>
          <w:tcPr>
            <w:tcW w:w="6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7.03(a)</w:t>
            </w:r>
          </w:p>
        </w:tc>
      </w:tr>
      <w:tr>
        <w:trPr>
          <w:trHeight w:val="172"/>
        </w:trPr>
        <w:tc>
          <w:tcPr>
            <w:tcW w:w="18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(b)</w:t>
            </w:r>
          </w:p>
        </w:tc>
        <w:tc>
          <w:tcPr>
            <w:tcW w:w="6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7.03(a)</w:t>
            </w:r>
          </w:p>
        </w:tc>
      </w:tr>
      <w:tr>
        <w:trPr>
          <w:trHeight w:val="172"/>
        </w:trPr>
        <w:tc>
          <w:tcPr>
            <w:tcW w:w="18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w:t>
            </w:r>
          </w:p>
        </w:tc>
        <w:tc>
          <w:tcPr>
            <w:tcW w:w="6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 7.03(a)</w:t>
            </w:r>
          </w:p>
        </w:tc>
      </w:tr>
      <w:tr>
        <w:trPr>
          <w:trHeight w:val="172"/>
        </w:trPr>
        <w:tc>
          <w:tcPr>
            <w:tcW w:w="18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(d)</w:t>
            </w:r>
          </w:p>
        </w:tc>
        <w:tc>
          <w:tcPr>
            <w:tcW w:w="6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7.03(b)</w:t>
            </w:r>
          </w:p>
        </w:tc>
      </w:tr>
      <w:tr>
        <w:trPr>
          <w:trHeight w:val="172"/>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Section 314(a)</w:t>
            </w:r>
          </w:p>
        </w:tc>
        <w:tc>
          <w:tcPr>
            <w:tcW w:w="6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10.04</w:t>
            </w:r>
          </w:p>
        </w:tc>
      </w:tr>
      <w:tr>
        <w:trPr>
          <w:trHeight w:val="172"/>
        </w:trPr>
        <w:tc>
          <w:tcPr>
            <w:tcW w:w="18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(a)(4)</w:t>
            </w:r>
          </w:p>
        </w:tc>
        <w:tc>
          <w:tcPr>
            <w:tcW w:w="6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10.04(e)</w:t>
            </w:r>
          </w:p>
        </w:tc>
      </w:tr>
      <w:tr>
        <w:trPr>
          <w:trHeight w:val="172"/>
        </w:trPr>
        <w:tc>
          <w:tcPr>
            <w:tcW w:w="18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(c)(1)</w:t>
            </w:r>
          </w:p>
        </w:tc>
        <w:tc>
          <w:tcPr>
            <w:tcW w:w="6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r>
      <w:tr>
        <w:trPr>
          <w:trHeight w:val="172"/>
        </w:trPr>
        <w:tc>
          <w:tcPr>
            <w:tcW w:w="18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(c)(2)</w:t>
            </w:r>
          </w:p>
        </w:tc>
        <w:tc>
          <w:tcPr>
            <w:tcW w:w="6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r>
      <w:tr>
        <w:trPr>
          <w:trHeight w:val="172"/>
        </w:trPr>
        <w:tc>
          <w:tcPr>
            <w:tcW w:w="18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(e)</w:t>
            </w:r>
          </w:p>
        </w:tc>
        <w:tc>
          <w:tcPr>
            <w:tcW w:w="6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r>
      <w:tr>
        <w:trPr>
          <w:trHeight w:val="172"/>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Section 315</w:t>
            </w:r>
          </w:p>
        </w:tc>
        <w:tc>
          <w:tcPr>
            <w:tcW w:w="6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5.12, 6.01, 6.03, 9.03</w:t>
            </w:r>
          </w:p>
        </w:tc>
      </w:tr>
      <w:tr>
        <w:trPr>
          <w:trHeight w:val="172"/>
        </w:trPr>
        <w:tc>
          <w:tcPr>
            <w:tcW w:w="18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w:t>
            </w:r>
          </w:p>
        </w:tc>
        <w:tc>
          <w:tcPr>
            <w:tcW w:w="6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w:t>
            </w:r>
          </w:p>
        </w:tc>
      </w:tr>
      <w:tr>
        <w:trPr>
          <w:trHeight w:val="172"/>
        </w:trPr>
        <w:tc>
          <w:tcPr>
            <w:tcW w:w="18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(b)</w:t>
            </w:r>
          </w:p>
        </w:tc>
        <w:tc>
          <w:tcPr>
            <w:tcW w:w="6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w:t>
            </w:r>
          </w:p>
        </w:tc>
      </w:tr>
      <w:tr>
        <w:trPr>
          <w:trHeight w:val="172"/>
        </w:trPr>
        <w:tc>
          <w:tcPr>
            <w:tcW w:w="18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w:t>
            </w:r>
          </w:p>
        </w:tc>
        <w:tc>
          <w:tcPr>
            <w:tcW w:w="6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6.01(a)</w:t>
            </w:r>
          </w:p>
        </w:tc>
      </w:tr>
      <w:tr>
        <w:trPr>
          <w:trHeight w:val="172"/>
        </w:trPr>
        <w:tc>
          <w:tcPr>
            <w:tcW w:w="18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(d)</w:t>
            </w:r>
          </w:p>
        </w:tc>
        <w:tc>
          <w:tcPr>
            <w:tcW w:w="6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6.01, 6.03</w:t>
            </w:r>
          </w:p>
        </w:tc>
      </w:tr>
      <w:tr>
        <w:trPr>
          <w:trHeight w:val="172"/>
        </w:trPr>
        <w:tc>
          <w:tcPr>
            <w:tcW w:w="18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(e)</w:t>
            </w:r>
          </w:p>
        </w:tc>
        <w:tc>
          <w:tcPr>
            <w:tcW w:w="6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w:t>
            </w:r>
          </w:p>
        </w:tc>
      </w:tr>
      <w:tr>
        <w:trPr>
          <w:trHeight w:val="172"/>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Section 316(a) (last sentence)</w:t>
            </w:r>
          </w:p>
        </w:tc>
        <w:tc>
          <w:tcPr>
            <w:tcW w:w="6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 (“Outstanding”)</w:t>
            </w:r>
          </w:p>
        </w:tc>
      </w:tr>
      <w:tr>
        <w:trPr>
          <w:trHeight w:val="172"/>
        </w:trPr>
        <w:tc>
          <w:tcPr>
            <w:tcW w:w="18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(a)(1)(A)</w:t>
            </w:r>
          </w:p>
        </w:tc>
        <w:tc>
          <w:tcPr>
            <w:tcW w:w="6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5.02, 5.12</w:t>
            </w:r>
          </w:p>
        </w:tc>
      </w:tr>
      <w:tr>
        <w:trPr>
          <w:trHeight w:val="172"/>
        </w:trPr>
        <w:tc>
          <w:tcPr>
            <w:tcW w:w="18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(a)(1)(B)</w:t>
            </w:r>
          </w:p>
        </w:tc>
        <w:tc>
          <w:tcPr>
            <w:tcW w:w="6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5.13, 9.02</w:t>
            </w:r>
          </w:p>
        </w:tc>
      </w:tr>
      <w:tr>
        <w:trPr>
          <w:trHeight w:val="172"/>
        </w:trPr>
        <w:tc>
          <w:tcPr>
            <w:tcW w:w="18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(b)</w:t>
            </w:r>
          </w:p>
        </w:tc>
        <w:tc>
          <w:tcPr>
            <w:tcW w:w="6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w:t>
            </w:r>
          </w:p>
        </w:tc>
      </w:tr>
      <w:tr>
        <w:trPr>
          <w:trHeight w:val="172"/>
        </w:trPr>
        <w:tc>
          <w:tcPr>
            <w:tcW w:w="18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w:t>
            </w:r>
          </w:p>
        </w:tc>
        <w:tc>
          <w:tcPr>
            <w:tcW w:w="6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r>
      <w:tr>
        <w:trPr>
          <w:trHeight w:val="172"/>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Section 317(a)(1)</w:t>
            </w:r>
          </w:p>
        </w:tc>
        <w:tc>
          <w:tcPr>
            <w:tcW w:w="6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w:t>
            </w:r>
          </w:p>
        </w:tc>
      </w:tr>
      <w:tr>
        <w:trPr>
          <w:trHeight w:val="172"/>
        </w:trPr>
        <w:tc>
          <w:tcPr>
            <w:tcW w:w="18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(a)(2)</w:t>
            </w:r>
          </w:p>
        </w:tc>
        <w:tc>
          <w:tcPr>
            <w:tcW w:w="6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w:t>
            </w:r>
          </w:p>
        </w:tc>
      </w:tr>
      <w:tr>
        <w:trPr>
          <w:trHeight w:val="172"/>
        </w:trPr>
        <w:tc>
          <w:tcPr>
            <w:tcW w:w="18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(b)</w:t>
            </w:r>
          </w:p>
        </w:tc>
        <w:tc>
          <w:tcPr>
            <w:tcW w:w="6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10.03</w:t>
            </w:r>
          </w:p>
        </w:tc>
      </w:tr>
      <w:tr>
        <w:trPr>
          <w:trHeight w:val="185"/>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Section 318(a)</w:t>
            </w:r>
          </w:p>
        </w:tc>
        <w:tc>
          <w:tcPr>
            <w:tcW w:w="6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r>
    </w:tbl>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5">
                      <a:extLst>
                        <a:ext uri="{28A0092B-C50C-407E-A947-70E740481C1C}"/>
                      </a:extLst>
                    </a:blip>
                    <a:srcRect/>
                    <a:stretch>
                      <a:fillRect/>
                    </a:stretch>
                  </pic:blipFill>
                  <pic:spPr bwMode="auto">
                    <a:xfrm>
                      <a:off x="0" y="0"/>
                      <a:ext cx="7199630" cy="3302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4"/>
          <w:szCs w:val="14"/>
          <w:color w:val="auto"/>
        </w:rPr>
        <w:t>Note: This reconciliation and tie shall not, for any purpose, be deemed to be a part of the Indenture.</w:t>
      </w:r>
    </w:p>
    <w:p>
      <w:pPr>
        <w:sectPr>
          <w:pgSz w:w="11900" w:h="16838" w:orient="portrait"/>
          <w:cols w:equalWidth="0" w:num="1">
            <w:col w:w="9019"/>
          </w:cols>
          <w:pgMar w:left="1440" w:top="241" w:right="1440" w:bottom="1440" w:gutter="0" w:footer="0" w:header="0"/>
        </w:sectPr>
      </w:pPr>
    </w:p>
    <w:bookmarkStart w:id="177" w:name="page178"/>
    <w:bookmarkEnd w:id="17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6">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126"/>
        </w:trPr>
        <w:tc>
          <w:tcPr>
            <w:tcW w:w="6920" w:type="dxa"/>
            <w:vAlign w:val="bottom"/>
          </w:tcPr>
          <w:p>
            <w:pPr>
              <w:spacing w:after="0"/>
              <w:rPr>
                <w:sz w:val="11"/>
                <w:szCs w:val="1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185"/>
        </w:trPr>
        <w:tc>
          <w:tcPr>
            <w:tcW w:w="6920" w:type="dxa"/>
            <w:vAlign w:val="bottom"/>
          </w:tcPr>
          <w:p>
            <w:pPr>
              <w:spacing w:after="0"/>
              <w:rPr>
                <w:sz w:val="20"/>
                <w:szCs w:val="20"/>
                <w:color w:val="auto"/>
              </w:rPr>
            </w:pPr>
            <w:r>
              <w:rPr>
                <w:rFonts w:ascii="Times New Roman" w:cs="Times New Roman" w:eastAsia="Times New Roman" w:hAnsi="Times New Roman"/>
                <w:sz w:val="14"/>
                <w:szCs w:val="14"/>
                <w:color w:val="auto"/>
              </w:rPr>
              <w:t>ARTICLE I DEFINITIONS AND OTHER PROVISIONS OF GENERAL APPLICATION</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54"/>
        </w:trPr>
        <w:tc>
          <w:tcPr>
            <w:tcW w:w="69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1.01 DEFINITIONS</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2"/>
        </w:trPr>
        <w:tc>
          <w:tcPr>
            <w:tcW w:w="69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1.02 OTHER DEFINITIONS</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82"/>
        </w:trPr>
        <w:tc>
          <w:tcPr>
            <w:tcW w:w="69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1.03 COMPLIANCE CERTIFICATES AND OPINIONS</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72"/>
        </w:trPr>
        <w:tc>
          <w:tcPr>
            <w:tcW w:w="69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1.04 FORM OF DOCUMENTS DELIVERED TO TRUSTEE</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72"/>
        </w:trPr>
        <w:tc>
          <w:tcPr>
            <w:tcW w:w="69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1.05 ACTS OF HOLDERS</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72"/>
        </w:trPr>
        <w:tc>
          <w:tcPr>
            <w:tcW w:w="69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1.06 NOTICES, ETC., TO THE TRUSTEE, THE COMPANY</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72"/>
        </w:trPr>
        <w:tc>
          <w:tcPr>
            <w:tcW w:w="69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1.07 NOTICE TO HOLDERS; WAIVER</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72"/>
        </w:trPr>
        <w:tc>
          <w:tcPr>
            <w:tcW w:w="69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1.08 CONFLICT WITH TRUST INDENTURE ACT</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72"/>
        </w:trPr>
        <w:tc>
          <w:tcPr>
            <w:tcW w:w="69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1.09 EFFECT OF HEADINGS AND TABLE OF CONTENTS</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72"/>
        </w:trPr>
        <w:tc>
          <w:tcPr>
            <w:tcW w:w="69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1.10 SUCCESSORS AND ASSIGNS</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72"/>
        </w:trPr>
        <w:tc>
          <w:tcPr>
            <w:tcW w:w="69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1.11 SEPARABILITY CLAUSE</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72"/>
        </w:trPr>
        <w:tc>
          <w:tcPr>
            <w:tcW w:w="69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1.12 BENEFITS OF INDENTURE</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72"/>
        </w:trPr>
        <w:tc>
          <w:tcPr>
            <w:tcW w:w="69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1.13 GOVERNING LAW</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72"/>
        </w:trPr>
        <w:tc>
          <w:tcPr>
            <w:tcW w:w="69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1.14 LEGAL HOLIDAYS</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72"/>
        </w:trPr>
        <w:tc>
          <w:tcPr>
            <w:tcW w:w="69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1.15 INDEPENDENCE OF COVENANTS</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72"/>
        </w:trPr>
        <w:tc>
          <w:tcPr>
            <w:tcW w:w="69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1.16 SCHEDULES AND EXHIBITS</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72"/>
        </w:trPr>
        <w:tc>
          <w:tcPr>
            <w:tcW w:w="69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1.17 COUNTERPARTS</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72"/>
        </w:trPr>
        <w:tc>
          <w:tcPr>
            <w:tcW w:w="69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1.18 CONSENT TO JURISDICTION</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72"/>
        </w:trPr>
        <w:tc>
          <w:tcPr>
            <w:tcW w:w="69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1.19 WAIVER OF JURY TRIAL</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85"/>
        </w:trPr>
        <w:tc>
          <w:tcPr>
            <w:tcW w:w="69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1.20 FORCE MAJEURE</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258"/>
        </w:trPr>
        <w:tc>
          <w:tcPr>
            <w:tcW w:w="6920" w:type="dxa"/>
            <w:vAlign w:val="bottom"/>
          </w:tcPr>
          <w:p>
            <w:pPr>
              <w:spacing w:after="0"/>
              <w:rPr>
                <w:sz w:val="20"/>
                <w:szCs w:val="20"/>
                <w:color w:val="auto"/>
              </w:rPr>
            </w:pPr>
            <w:r>
              <w:rPr>
                <w:rFonts w:ascii="Times New Roman" w:cs="Times New Roman" w:eastAsia="Times New Roman" w:hAnsi="Times New Roman"/>
                <w:sz w:val="14"/>
                <w:szCs w:val="14"/>
                <w:color w:val="auto"/>
              </w:rPr>
              <w:t>ARTICLE II SECURITY FORMS</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244"/>
        </w:trPr>
        <w:tc>
          <w:tcPr>
            <w:tcW w:w="69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2.01 FORMS OF SECURITIES</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85"/>
        </w:trPr>
        <w:tc>
          <w:tcPr>
            <w:tcW w:w="69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2.02 FORM OF TRUSTEE’S CERTIFICATE OF AUTHENTICATION</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258"/>
        </w:trPr>
        <w:tc>
          <w:tcPr>
            <w:tcW w:w="6920" w:type="dxa"/>
            <w:vAlign w:val="bottom"/>
          </w:tcPr>
          <w:p>
            <w:pPr>
              <w:spacing w:after="0"/>
              <w:rPr>
                <w:sz w:val="20"/>
                <w:szCs w:val="20"/>
                <w:color w:val="auto"/>
              </w:rPr>
            </w:pPr>
            <w:r>
              <w:rPr>
                <w:rFonts w:ascii="Times New Roman" w:cs="Times New Roman" w:eastAsia="Times New Roman" w:hAnsi="Times New Roman"/>
                <w:sz w:val="14"/>
                <w:szCs w:val="14"/>
                <w:color w:val="auto"/>
              </w:rPr>
              <w:t>ARTICLE III THE SECURITIES</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244"/>
        </w:trPr>
        <w:tc>
          <w:tcPr>
            <w:tcW w:w="69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3.01 AMOUNT UNLIMITED; ISSUABLE IN SERIES</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72"/>
        </w:trPr>
        <w:tc>
          <w:tcPr>
            <w:tcW w:w="69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3.02 DENOMINATIONS</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72"/>
        </w:trPr>
        <w:tc>
          <w:tcPr>
            <w:tcW w:w="69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3.03 EXECUTION, AUTHENTICATION, DELIVERY AND DATING</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72"/>
        </w:trPr>
        <w:tc>
          <w:tcPr>
            <w:tcW w:w="69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3.04 TEMPORARY SECURITIES</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72"/>
        </w:trPr>
        <w:tc>
          <w:tcPr>
            <w:tcW w:w="69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3.05 REGISTRATION, REGISTRATION OF TRANSFER AND EXCHANGE</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72"/>
        </w:trPr>
        <w:tc>
          <w:tcPr>
            <w:tcW w:w="69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3.06 BOOK ENTRY PROVISIONS FOR GLOBAL SECURITIES</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72"/>
        </w:trPr>
        <w:tc>
          <w:tcPr>
            <w:tcW w:w="69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3.07 MUTILATED, DESTROYED, LOST AND STOLEN SECURITIES</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72"/>
        </w:trPr>
        <w:tc>
          <w:tcPr>
            <w:tcW w:w="69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3.08 PAYMENT OF INTEREST; INTEREST RIGHTS PRESERVED</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72"/>
        </w:trPr>
        <w:tc>
          <w:tcPr>
            <w:tcW w:w="69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3.09 CUSIP NUMBERS</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172"/>
        </w:trPr>
        <w:tc>
          <w:tcPr>
            <w:tcW w:w="69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3.10 PERSONS DEEMED OWNERS</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172"/>
        </w:trPr>
        <w:tc>
          <w:tcPr>
            <w:tcW w:w="69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3.11 CANCELLATION</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185"/>
        </w:trPr>
        <w:tc>
          <w:tcPr>
            <w:tcW w:w="69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3.12 COMPUTATION OF INTEREST</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bl>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9019"/>
          </w:cols>
          <w:pgMar w:left="1440" w:top="241" w:right="1440" w:bottom="1440" w:gutter="0" w:footer="0" w:header="0"/>
        </w:sectPr>
      </w:pPr>
    </w:p>
    <w:bookmarkStart w:id="178" w:name="page179"/>
    <w:bookmarkEnd w:id="178"/>
    <w:tbl>
      <w:tblPr>
        <w:tblLayout w:type="fixed"/>
        <w:tblInd w:w="120" w:type="dxa"/>
        <w:tblCellMar>
          <w:top w:w="0" w:type="dxa"/>
          <w:left w:w="0" w:type="dxa"/>
          <w:bottom w:w="0" w:type="dxa"/>
          <w:right w:w="0" w:type="dxa"/>
        </w:tblCellMar>
      </w:tblPr>
      <w:tr>
        <w:trPr>
          <w:trHeight w:val="126"/>
        </w:trPr>
        <w:tc>
          <w:tcPr>
            <w:tcW w:w="844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185"/>
        </w:trPr>
        <w:tc>
          <w:tcPr>
            <w:tcW w:w="8440" w:type="dxa"/>
            <w:vAlign w:val="bottom"/>
          </w:tcPr>
          <w:p>
            <w:pPr>
              <w:spacing w:after="0"/>
              <w:rPr>
                <w:sz w:val="20"/>
                <w:szCs w:val="20"/>
                <w:color w:val="auto"/>
              </w:rPr>
            </w:pPr>
            <w:r>
              <w:rPr>
                <w:rFonts w:ascii="Times New Roman" w:cs="Times New Roman" w:eastAsia="Times New Roman" w:hAnsi="Times New Roman"/>
                <w:sz w:val="14"/>
                <w:szCs w:val="14"/>
                <w:color w:val="auto"/>
              </w:rPr>
              <w:t>ARTICLE IV DEFEASANCE AND COVENANT DEFEASANCE</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244"/>
        </w:trPr>
        <w:tc>
          <w:tcPr>
            <w:tcW w:w="84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4.01 APPLICABILITY OF ARTICLE; COMPANY’S OPTION TO EFFECT DEFEASANCE OR COVENANT DEFEASANCE</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172"/>
        </w:trPr>
        <w:tc>
          <w:tcPr>
            <w:tcW w:w="84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4.02 DEFEASANCE AND DISCHARGE</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172"/>
        </w:trPr>
        <w:tc>
          <w:tcPr>
            <w:tcW w:w="84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4.03 COVENANT DEFEASANCE</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172"/>
        </w:trPr>
        <w:tc>
          <w:tcPr>
            <w:tcW w:w="84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4.04 CONDITIONS TO DEFEASANCE OR COVENANT DEFEASANCE</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172"/>
        </w:trPr>
        <w:tc>
          <w:tcPr>
            <w:tcW w:w="84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4.05 DEPOSITED MONEY AND U.S. GOVERNMENT OBLIGATIONS TO BE HELD IN TRUST; OTHER MISCELLANEOUS</w:t>
            </w:r>
          </w:p>
        </w:tc>
        <w:tc>
          <w:tcPr>
            <w:tcW w:w="280" w:type="dxa"/>
            <w:vAlign w:val="bottom"/>
          </w:tcPr>
          <w:p>
            <w:pPr>
              <w:spacing w:after="0"/>
              <w:rPr>
                <w:sz w:val="14"/>
                <w:szCs w:val="14"/>
                <w:color w:val="auto"/>
              </w:rPr>
            </w:pPr>
          </w:p>
        </w:tc>
      </w:tr>
      <w:tr>
        <w:trPr>
          <w:trHeight w:val="172"/>
        </w:trPr>
        <w:tc>
          <w:tcPr>
            <w:tcW w:w="844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PROVISIONS</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85"/>
        </w:trPr>
        <w:tc>
          <w:tcPr>
            <w:tcW w:w="84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4.06 REINSTATEMENT</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257"/>
        </w:trPr>
        <w:tc>
          <w:tcPr>
            <w:tcW w:w="8440" w:type="dxa"/>
            <w:vAlign w:val="bottom"/>
          </w:tcPr>
          <w:p>
            <w:pPr>
              <w:spacing w:after="0"/>
              <w:rPr>
                <w:sz w:val="20"/>
                <w:szCs w:val="20"/>
                <w:color w:val="auto"/>
              </w:rPr>
            </w:pPr>
            <w:r>
              <w:rPr>
                <w:rFonts w:ascii="Times New Roman" w:cs="Times New Roman" w:eastAsia="Times New Roman" w:hAnsi="Times New Roman"/>
                <w:sz w:val="14"/>
                <w:szCs w:val="14"/>
                <w:color w:val="auto"/>
              </w:rPr>
              <w:t>ARTICLE V REMEDIES</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244"/>
        </w:trPr>
        <w:tc>
          <w:tcPr>
            <w:tcW w:w="84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5.01 EVENTS OF DEFAULT</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72"/>
        </w:trPr>
        <w:tc>
          <w:tcPr>
            <w:tcW w:w="84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5.02 ACCELERATION OF MATURITY; RESCISSION AND ANNULMENT</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72"/>
        </w:trPr>
        <w:tc>
          <w:tcPr>
            <w:tcW w:w="84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5.03 COLLECTION OF INDEBTEDNESS AND SUITS FOR ENFORCEMENT BY TRUSTEE</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72"/>
        </w:trPr>
        <w:tc>
          <w:tcPr>
            <w:tcW w:w="84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5.04 TRUSTEE MAY FILE PROOFS OF CLAIM</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72"/>
        </w:trPr>
        <w:tc>
          <w:tcPr>
            <w:tcW w:w="84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5.05 TRUSTEE MAY ENFORCE CLAIMS WITHOUT POSSESSION OF SECURITIES</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72"/>
        </w:trPr>
        <w:tc>
          <w:tcPr>
            <w:tcW w:w="84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5.06 APPLICATION OF MONEY COLLECTED</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172"/>
        </w:trPr>
        <w:tc>
          <w:tcPr>
            <w:tcW w:w="84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5.07 LIMITATION ON SUITS</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172"/>
        </w:trPr>
        <w:tc>
          <w:tcPr>
            <w:tcW w:w="84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5.08 UNCONDITIONAL RIGHT OF HOLDERS TO RECEIVE PRINCIPAL, PREMIUM AND INTEREST</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172"/>
        </w:trPr>
        <w:tc>
          <w:tcPr>
            <w:tcW w:w="84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5.09 RESTORATION OF RIGHTS AND REMEDIES</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172"/>
        </w:trPr>
        <w:tc>
          <w:tcPr>
            <w:tcW w:w="84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5.10 RIGHTS AND REMEDIES CUMULATIVE</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172"/>
        </w:trPr>
        <w:tc>
          <w:tcPr>
            <w:tcW w:w="84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5.11 DELAY OR OMISSION NOT WAIVER</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172"/>
        </w:trPr>
        <w:tc>
          <w:tcPr>
            <w:tcW w:w="84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5.12 CONTROL BY HOLDERS</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172"/>
        </w:trPr>
        <w:tc>
          <w:tcPr>
            <w:tcW w:w="84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5.13 WAIVER OF PAST DEFAULTS</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172"/>
        </w:trPr>
        <w:tc>
          <w:tcPr>
            <w:tcW w:w="84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5.14 UNDERTAKING FOR COSTS</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172"/>
        </w:trPr>
        <w:tc>
          <w:tcPr>
            <w:tcW w:w="84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5.15 WAIVER OF STAY, EXTENSION OR USURY LAWS</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185"/>
        </w:trPr>
        <w:tc>
          <w:tcPr>
            <w:tcW w:w="84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5.16 REMEDIES SUBJECT TO APPLICABLE LAW</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257"/>
        </w:trPr>
        <w:tc>
          <w:tcPr>
            <w:tcW w:w="8440" w:type="dxa"/>
            <w:vAlign w:val="bottom"/>
          </w:tcPr>
          <w:p>
            <w:pPr>
              <w:spacing w:after="0"/>
              <w:rPr>
                <w:sz w:val="20"/>
                <w:szCs w:val="20"/>
                <w:color w:val="auto"/>
              </w:rPr>
            </w:pPr>
            <w:r>
              <w:rPr>
                <w:rFonts w:ascii="Times New Roman" w:cs="Times New Roman" w:eastAsia="Times New Roman" w:hAnsi="Times New Roman"/>
                <w:sz w:val="14"/>
                <w:szCs w:val="14"/>
                <w:color w:val="auto"/>
              </w:rPr>
              <w:t>ARTICLE VI THE TRUSTEE</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244"/>
        </w:trPr>
        <w:tc>
          <w:tcPr>
            <w:tcW w:w="84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6.01 DUTIES OF TRUSTEE</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172"/>
        </w:trPr>
        <w:tc>
          <w:tcPr>
            <w:tcW w:w="84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6.02 NOTICE OF DEFAULTS</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172"/>
        </w:trPr>
        <w:tc>
          <w:tcPr>
            <w:tcW w:w="84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6.03 CERTAIN RIGHTS OF TRUSTEE</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172"/>
        </w:trPr>
        <w:tc>
          <w:tcPr>
            <w:tcW w:w="84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6.04 TRUSTEE NOT RESPONSIBLE FOR RECITALS, DISPOSITIONS OF SECURITIES OR APPLICATION OF PROCEEDS</w:t>
            </w:r>
          </w:p>
        </w:tc>
        <w:tc>
          <w:tcPr>
            <w:tcW w:w="280" w:type="dxa"/>
            <w:vAlign w:val="bottom"/>
          </w:tcPr>
          <w:p>
            <w:pPr>
              <w:spacing w:after="0"/>
              <w:rPr>
                <w:sz w:val="14"/>
                <w:szCs w:val="14"/>
                <w:color w:val="auto"/>
              </w:rPr>
            </w:pPr>
          </w:p>
        </w:tc>
      </w:tr>
      <w:tr>
        <w:trPr>
          <w:trHeight w:val="172"/>
        </w:trPr>
        <w:tc>
          <w:tcPr>
            <w:tcW w:w="844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THEREOF</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172"/>
        </w:trPr>
        <w:tc>
          <w:tcPr>
            <w:tcW w:w="84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6.05 TRUSTEE AND AGENTS MAY HOLD SECURITIES; COLLECTIONS; ETC</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172"/>
        </w:trPr>
        <w:tc>
          <w:tcPr>
            <w:tcW w:w="84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6.06 MONEY HELD IN TRUST</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172"/>
        </w:trPr>
        <w:tc>
          <w:tcPr>
            <w:tcW w:w="84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6.07 COMPENSATION AND INDEMNIFICATION OF TRUSTEE AND ITS PRIOR CLAIM</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172"/>
        </w:trPr>
        <w:tc>
          <w:tcPr>
            <w:tcW w:w="84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6.08 CONFLICTING INTERESTS</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185"/>
        </w:trPr>
        <w:tc>
          <w:tcPr>
            <w:tcW w:w="84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6.09 TRUSTEE ELIGIBILITY</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r>
    </w:tbl>
    <w:p>
      <w:pPr>
        <w:spacing w:after="0" w:line="10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7">
                      <a:extLst>
                        <a:ext uri="{28A0092B-C50C-407E-A947-70E740481C1C}"/>
                      </a:extLst>
                    </a:blip>
                    <a:srcRect/>
                    <a:stretch>
                      <a:fillRect/>
                    </a:stretch>
                  </pic:blipFill>
                  <pic:spPr bwMode="auto">
                    <a:xfrm>
                      <a:off x="0" y="0"/>
                      <a:ext cx="7199630" cy="3302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4"/>
          <w:szCs w:val="14"/>
          <w:color w:val="auto"/>
        </w:rPr>
        <w:t>ii</w:t>
      </w:r>
    </w:p>
    <w:p>
      <w:pPr>
        <w:sectPr>
          <w:pgSz w:w="11900" w:h="16838" w:orient="portrait"/>
          <w:cols w:equalWidth="0" w:num="1">
            <w:col w:w="9019"/>
          </w:cols>
          <w:pgMar w:left="1440" w:top="235" w:right="1440" w:bottom="1440" w:gutter="0" w:footer="0" w:header="0"/>
        </w:sectPr>
      </w:pPr>
    </w:p>
    <w:bookmarkStart w:id="179" w:name="page180"/>
    <w:bookmarkEnd w:id="179"/>
    <w:tbl>
      <w:tblPr>
        <w:tblLayout w:type="fixed"/>
        <w:tblInd w:w="120" w:type="dxa"/>
        <w:tblCellMar>
          <w:top w:w="0" w:type="dxa"/>
          <w:left w:w="0" w:type="dxa"/>
          <w:bottom w:w="0" w:type="dxa"/>
          <w:right w:w="0" w:type="dxa"/>
        </w:tblCellMar>
      </w:tblPr>
      <w:tr>
        <w:trPr>
          <w:trHeight w:val="126"/>
        </w:trPr>
        <w:tc>
          <w:tcPr>
            <w:tcW w:w="1120" w:type="dxa"/>
            <w:vAlign w:val="bottom"/>
          </w:tcPr>
          <w:p>
            <w:pPr>
              <w:spacing w:after="0"/>
              <w:rPr>
                <w:sz w:val="11"/>
                <w:szCs w:val="11"/>
                <w:color w:val="auto"/>
              </w:rPr>
            </w:pPr>
          </w:p>
        </w:tc>
        <w:tc>
          <w:tcPr>
            <w:tcW w:w="654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172"/>
        </w:trPr>
        <w:tc>
          <w:tcPr>
            <w:tcW w:w="11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6.10</w:t>
            </w:r>
          </w:p>
        </w:tc>
        <w:tc>
          <w:tcPr>
            <w:tcW w:w="65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RESIGNATION AND REMOVAL; APPOINTMENT OF SUCCESSOR TRUSTEE</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172"/>
        </w:trPr>
        <w:tc>
          <w:tcPr>
            <w:tcW w:w="11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6.11</w:t>
            </w:r>
          </w:p>
        </w:tc>
        <w:tc>
          <w:tcPr>
            <w:tcW w:w="65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ACCEPTANCE OF APPOINTMENT BY SUCCESSOR</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172"/>
        </w:trPr>
        <w:tc>
          <w:tcPr>
            <w:tcW w:w="11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6.12</w:t>
            </w:r>
          </w:p>
        </w:tc>
        <w:tc>
          <w:tcPr>
            <w:tcW w:w="65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MERGER, CONVERSION, CONSOLIDATION OR SUCCESSION TO BUSINESS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172"/>
        </w:trPr>
        <w:tc>
          <w:tcPr>
            <w:tcW w:w="11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6.13</w:t>
            </w:r>
          </w:p>
        </w:tc>
        <w:tc>
          <w:tcPr>
            <w:tcW w:w="65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PREFERENTIAL COLLECTION OF CLAIMS AGAINST COMPANY</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172"/>
        </w:trPr>
        <w:tc>
          <w:tcPr>
            <w:tcW w:w="11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6.14</w:t>
            </w:r>
          </w:p>
        </w:tc>
        <w:tc>
          <w:tcPr>
            <w:tcW w:w="65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APPOINTMENT OF AUTHENTICATING AGENT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185"/>
        </w:trPr>
        <w:tc>
          <w:tcPr>
            <w:tcW w:w="11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6.15</w:t>
            </w:r>
          </w:p>
        </w:tc>
        <w:tc>
          <w:tcPr>
            <w:tcW w:w="65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APPOINTMENT OF CO-TRUSTEE</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258"/>
        </w:trPr>
        <w:tc>
          <w:tcPr>
            <w:tcW w:w="7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VII HOLDERS’ LISTS AND REPORTS BY TRUSTEE</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244"/>
        </w:trPr>
        <w:tc>
          <w:tcPr>
            <w:tcW w:w="11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7.01</w:t>
            </w:r>
          </w:p>
        </w:tc>
        <w:tc>
          <w:tcPr>
            <w:tcW w:w="65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COMPANY TO FURNISH TRUSTEE NAMES AND ADDRESSES OF HOLDERS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172"/>
        </w:trPr>
        <w:tc>
          <w:tcPr>
            <w:tcW w:w="11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7.02</w:t>
            </w:r>
          </w:p>
        </w:tc>
        <w:tc>
          <w:tcPr>
            <w:tcW w:w="65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DISCLOSURE OF NAMES AND ADDRESSES OF HOLDERS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172"/>
        </w:trPr>
        <w:tc>
          <w:tcPr>
            <w:tcW w:w="11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7.03</w:t>
            </w:r>
          </w:p>
        </w:tc>
        <w:tc>
          <w:tcPr>
            <w:tcW w:w="65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REPORTS BY TRUSTEE</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85"/>
        </w:trPr>
        <w:tc>
          <w:tcPr>
            <w:tcW w:w="11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7.04</w:t>
            </w:r>
          </w:p>
        </w:tc>
        <w:tc>
          <w:tcPr>
            <w:tcW w:w="65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CALCULATION OF ORIGINAL ISSUE DISCOUNT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257"/>
        </w:trPr>
        <w:tc>
          <w:tcPr>
            <w:tcW w:w="7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VIII CONSOLIDATION, MERGER, SALE OF ASSETS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258"/>
        </w:trPr>
        <w:tc>
          <w:tcPr>
            <w:tcW w:w="11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8.01</w:t>
            </w:r>
          </w:p>
        </w:tc>
        <w:tc>
          <w:tcPr>
            <w:tcW w:w="65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COMPANY MAY CONSOLIDATE, ETC., ONLY ON CERTAIN TERMS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258"/>
        </w:trPr>
        <w:tc>
          <w:tcPr>
            <w:tcW w:w="7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IX SUPPLEMENTAL INDENTURES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244"/>
        </w:trPr>
        <w:tc>
          <w:tcPr>
            <w:tcW w:w="11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9.01</w:t>
            </w:r>
          </w:p>
        </w:tc>
        <w:tc>
          <w:tcPr>
            <w:tcW w:w="65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SUPPLEMENTAL INDENTURES AND AGREEMENTS WITHOUT CONSENT OF HOLDERS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72"/>
        </w:trPr>
        <w:tc>
          <w:tcPr>
            <w:tcW w:w="11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9.02</w:t>
            </w:r>
          </w:p>
        </w:tc>
        <w:tc>
          <w:tcPr>
            <w:tcW w:w="65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SUPPLEMENTAL INDENTURES AND AGREEMENTS WITH CONSENT OF HOLDERS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172"/>
        </w:trPr>
        <w:tc>
          <w:tcPr>
            <w:tcW w:w="11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9.03</w:t>
            </w:r>
          </w:p>
        </w:tc>
        <w:tc>
          <w:tcPr>
            <w:tcW w:w="65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EXECUTION OF SUPPLEMENTAL INDENTURES AND AGREEMENTS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172"/>
        </w:trPr>
        <w:tc>
          <w:tcPr>
            <w:tcW w:w="11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9.04</w:t>
            </w:r>
          </w:p>
        </w:tc>
        <w:tc>
          <w:tcPr>
            <w:tcW w:w="65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EFFECT OF SUPPLEMENTAL INDENTURES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172"/>
        </w:trPr>
        <w:tc>
          <w:tcPr>
            <w:tcW w:w="11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9.05</w:t>
            </w:r>
          </w:p>
        </w:tc>
        <w:tc>
          <w:tcPr>
            <w:tcW w:w="65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CONFORMITY WITH TRUST INDENTURE ACT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172"/>
        </w:trPr>
        <w:tc>
          <w:tcPr>
            <w:tcW w:w="11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9.06</w:t>
            </w:r>
          </w:p>
        </w:tc>
        <w:tc>
          <w:tcPr>
            <w:tcW w:w="65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REFERENCE IN SECURITIES TO SUPPLEMENTAL INDENTURES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185"/>
        </w:trPr>
        <w:tc>
          <w:tcPr>
            <w:tcW w:w="11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9.07</w:t>
            </w:r>
          </w:p>
        </w:tc>
        <w:tc>
          <w:tcPr>
            <w:tcW w:w="65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NOTICE OF SUPPLEMENTAL INDENTURES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257"/>
        </w:trPr>
        <w:tc>
          <w:tcPr>
            <w:tcW w:w="7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X COVENANTS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244"/>
        </w:trPr>
        <w:tc>
          <w:tcPr>
            <w:tcW w:w="11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10.01</w:t>
            </w:r>
          </w:p>
        </w:tc>
        <w:tc>
          <w:tcPr>
            <w:tcW w:w="65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PAYMENT OF PRINCIPAL, PREMIUM AND INTEREST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172"/>
        </w:trPr>
        <w:tc>
          <w:tcPr>
            <w:tcW w:w="11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10.02</w:t>
            </w:r>
          </w:p>
        </w:tc>
        <w:tc>
          <w:tcPr>
            <w:tcW w:w="65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MAINTENANCE OF OFFICE OR AGENCY</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172"/>
        </w:trPr>
        <w:tc>
          <w:tcPr>
            <w:tcW w:w="11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10.03</w:t>
            </w:r>
          </w:p>
        </w:tc>
        <w:tc>
          <w:tcPr>
            <w:tcW w:w="65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MONEY FOR SECURITY PAYMENTS TO BE HELD IN TRUST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185"/>
        </w:trPr>
        <w:tc>
          <w:tcPr>
            <w:tcW w:w="11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10.04</w:t>
            </w:r>
          </w:p>
        </w:tc>
        <w:tc>
          <w:tcPr>
            <w:tcW w:w="65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REPORTS OF THE COMPANY AND PROVISION OF FINANCIAL STATEMENTS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257"/>
        </w:trPr>
        <w:tc>
          <w:tcPr>
            <w:tcW w:w="7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XI REDEMPTION OF SECURITIES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244"/>
        </w:trPr>
        <w:tc>
          <w:tcPr>
            <w:tcW w:w="11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11.01</w:t>
            </w:r>
          </w:p>
        </w:tc>
        <w:tc>
          <w:tcPr>
            <w:tcW w:w="65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RIGHTS OF REDEMPTION</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172"/>
        </w:trPr>
        <w:tc>
          <w:tcPr>
            <w:tcW w:w="11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11.02</w:t>
            </w:r>
          </w:p>
        </w:tc>
        <w:tc>
          <w:tcPr>
            <w:tcW w:w="65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APPLICABILITY OF ARTICLE</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172"/>
        </w:trPr>
        <w:tc>
          <w:tcPr>
            <w:tcW w:w="11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11.03</w:t>
            </w:r>
          </w:p>
        </w:tc>
        <w:tc>
          <w:tcPr>
            <w:tcW w:w="65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ELECTION TO REDEEM; NOTICE TO TRUSTEE</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172"/>
        </w:trPr>
        <w:tc>
          <w:tcPr>
            <w:tcW w:w="11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11.04</w:t>
            </w:r>
          </w:p>
        </w:tc>
        <w:tc>
          <w:tcPr>
            <w:tcW w:w="65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SELECTION BY TRUSTEE OF SECURITIES TO BE REDEEMED</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172"/>
        </w:trPr>
        <w:tc>
          <w:tcPr>
            <w:tcW w:w="11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11.05</w:t>
            </w:r>
          </w:p>
        </w:tc>
        <w:tc>
          <w:tcPr>
            <w:tcW w:w="65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NOTICE OF REDEMPTION</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172"/>
        </w:trPr>
        <w:tc>
          <w:tcPr>
            <w:tcW w:w="11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11.06</w:t>
            </w:r>
          </w:p>
        </w:tc>
        <w:tc>
          <w:tcPr>
            <w:tcW w:w="65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DEPOSIT OF REDEMPTION PRICE</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172"/>
        </w:trPr>
        <w:tc>
          <w:tcPr>
            <w:tcW w:w="11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11.07</w:t>
            </w:r>
          </w:p>
        </w:tc>
        <w:tc>
          <w:tcPr>
            <w:tcW w:w="65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SECURITIES PAYABLE ON REDEMPTION DATE</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185"/>
        </w:trPr>
        <w:tc>
          <w:tcPr>
            <w:tcW w:w="11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11.08</w:t>
            </w:r>
          </w:p>
        </w:tc>
        <w:tc>
          <w:tcPr>
            <w:tcW w:w="65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SECURITIES REDEEMED OR PURCHASED IN PART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r>
    </w:tbl>
    <w:p>
      <w:pPr>
        <w:spacing w:after="0" w:line="10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8">
                      <a:extLst>
                        <a:ext uri="{28A0092B-C50C-407E-A947-70E740481C1C}"/>
                      </a:extLst>
                    </a:blip>
                    <a:srcRect/>
                    <a:stretch>
                      <a:fillRect/>
                    </a:stretch>
                  </pic:blipFill>
                  <pic:spPr bwMode="auto">
                    <a:xfrm>
                      <a:off x="0" y="0"/>
                      <a:ext cx="7199630" cy="3302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4"/>
          <w:szCs w:val="14"/>
          <w:color w:val="auto"/>
        </w:rPr>
        <w:t>iii</w:t>
      </w:r>
    </w:p>
    <w:p>
      <w:pPr>
        <w:sectPr>
          <w:pgSz w:w="11900" w:h="16838" w:orient="portrait"/>
          <w:cols w:equalWidth="0" w:num="1">
            <w:col w:w="9019"/>
          </w:cols>
          <w:pgMar w:left="1440" w:top="234" w:right="1440" w:bottom="1440" w:gutter="0" w:footer="0" w:header="0"/>
        </w:sectPr>
      </w:pPr>
    </w:p>
    <w:bookmarkStart w:id="180" w:name="page181"/>
    <w:bookmarkEnd w:id="180"/>
    <w:tbl>
      <w:tblPr>
        <w:tblLayout w:type="fixed"/>
        <w:tblInd w:w="120" w:type="dxa"/>
        <w:tblCellMar>
          <w:top w:w="0" w:type="dxa"/>
          <w:left w:w="0" w:type="dxa"/>
          <w:bottom w:w="0" w:type="dxa"/>
          <w:right w:w="0" w:type="dxa"/>
        </w:tblCellMar>
      </w:tblPr>
      <w:tr>
        <w:trPr>
          <w:trHeight w:val="126"/>
        </w:trPr>
        <w:tc>
          <w:tcPr>
            <w:tcW w:w="762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185"/>
        </w:trPr>
        <w:tc>
          <w:tcPr>
            <w:tcW w:w="7620" w:type="dxa"/>
            <w:vAlign w:val="bottom"/>
          </w:tcPr>
          <w:p>
            <w:pPr>
              <w:spacing w:after="0"/>
              <w:rPr>
                <w:sz w:val="20"/>
                <w:szCs w:val="20"/>
                <w:color w:val="auto"/>
              </w:rPr>
            </w:pPr>
            <w:r>
              <w:rPr>
                <w:rFonts w:ascii="Times New Roman" w:cs="Times New Roman" w:eastAsia="Times New Roman" w:hAnsi="Times New Roman"/>
                <w:sz w:val="14"/>
                <w:szCs w:val="14"/>
                <w:color w:val="auto"/>
              </w:rPr>
              <w:t>ARTICLE XII SATISFACTION AND DISCHARGE</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244"/>
        </w:trPr>
        <w:tc>
          <w:tcPr>
            <w:tcW w:w="76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12.01 SATISFACTION AND DISCHARGE OF INDENTURE</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172"/>
        </w:trPr>
        <w:tc>
          <w:tcPr>
            <w:tcW w:w="76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12.02 APPLICATION OF TRUST MONEY</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185"/>
        </w:trPr>
        <w:tc>
          <w:tcPr>
            <w:tcW w:w="76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12.03 REPAYMENT TO THE COMPANY</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258"/>
        </w:trPr>
        <w:tc>
          <w:tcPr>
            <w:tcW w:w="7620" w:type="dxa"/>
            <w:vAlign w:val="bottom"/>
          </w:tcPr>
          <w:p>
            <w:pPr>
              <w:spacing w:after="0"/>
              <w:rPr>
                <w:sz w:val="20"/>
                <w:szCs w:val="20"/>
                <w:color w:val="auto"/>
              </w:rPr>
            </w:pPr>
            <w:r>
              <w:rPr>
                <w:rFonts w:ascii="Times New Roman" w:cs="Times New Roman" w:eastAsia="Times New Roman" w:hAnsi="Times New Roman"/>
                <w:sz w:val="14"/>
                <w:szCs w:val="14"/>
                <w:color w:val="auto"/>
              </w:rPr>
              <w:t>ARTICLE XIII GUARANTEES</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258"/>
        </w:trPr>
        <w:tc>
          <w:tcPr>
            <w:tcW w:w="76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13.01 SECURITIES GUARANTEE</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257"/>
        </w:trPr>
        <w:tc>
          <w:tcPr>
            <w:tcW w:w="7620" w:type="dxa"/>
            <w:vAlign w:val="bottom"/>
          </w:tcPr>
          <w:p>
            <w:pPr>
              <w:spacing w:after="0"/>
              <w:rPr>
                <w:sz w:val="20"/>
                <w:szCs w:val="20"/>
                <w:color w:val="auto"/>
              </w:rPr>
            </w:pPr>
            <w:r>
              <w:rPr>
                <w:rFonts w:ascii="Times New Roman" w:cs="Times New Roman" w:eastAsia="Times New Roman" w:hAnsi="Times New Roman"/>
                <w:sz w:val="14"/>
                <w:szCs w:val="14"/>
                <w:color w:val="auto"/>
              </w:rPr>
              <w:t>ARTICLE XIV SUBORDINATION OF SECURITIES</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244"/>
        </w:trPr>
        <w:tc>
          <w:tcPr>
            <w:tcW w:w="76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14.01 SECURITIES SUBORDINATE TO SENIOR DEBT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172"/>
        </w:trPr>
        <w:tc>
          <w:tcPr>
            <w:tcW w:w="76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14.02 PAYMENT OVER OF PROCEEDS UPON DISSOLUTION, ETC.</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172"/>
        </w:trPr>
        <w:tc>
          <w:tcPr>
            <w:tcW w:w="76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14.03 NO PAYMENT WHEN SENIOR DEBT IN DEFAULT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172"/>
        </w:trPr>
        <w:tc>
          <w:tcPr>
            <w:tcW w:w="76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14.04 PAYMENT PERMITTED IF NO DEFAULT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r>
      <w:tr>
        <w:trPr>
          <w:trHeight w:val="172"/>
        </w:trPr>
        <w:tc>
          <w:tcPr>
            <w:tcW w:w="76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14.05 SUBROGATION TO RIGHTS OF HOLDERS OF SENIOR DEBT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r>
      <w:tr>
        <w:trPr>
          <w:trHeight w:val="172"/>
        </w:trPr>
        <w:tc>
          <w:tcPr>
            <w:tcW w:w="76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14.06 PROVISIONS SOLELY TO DEFINE RELATIVE RIGHTS</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172"/>
        </w:trPr>
        <w:tc>
          <w:tcPr>
            <w:tcW w:w="76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14.07 TRUSTEE TO EFFECTUATE SUBORDINATION</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172"/>
        </w:trPr>
        <w:tc>
          <w:tcPr>
            <w:tcW w:w="76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14.08 NO WAIVER OF SUBORDINATION PROVISIONS</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172"/>
        </w:trPr>
        <w:tc>
          <w:tcPr>
            <w:tcW w:w="76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14.09 NOTICE TO TRUSTEE</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172"/>
        </w:trPr>
        <w:tc>
          <w:tcPr>
            <w:tcW w:w="76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14.10 RELIANCE ON JUDICIAL ORDER OR CERTIFICATE OF LIQUIDATING AGENT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r>
      <w:tr>
        <w:trPr>
          <w:trHeight w:val="172"/>
        </w:trPr>
        <w:tc>
          <w:tcPr>
            <w:tcW w:w="76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14.11 TRUSTEE NOT FIDUCIARY FOR HOLDERS OF SENIOR DEBT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r>
      <w:tr>
        <w:trPr>
          <w:trHeight w:val="172"/>
        </w:trPr>
        <w:tc>
          <w:tcPr>
            <w:tcW w:w="76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14.12 RIGHTS OF TRUSTEE AS HOLDER OF SENIOR DEBT; PRESERVATION OF TRUSTEE’S RIGHTS</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r>
      <w:tr>
        <w:trPr>
          <w:trHeight w:val="172"/>
        </w:trPr>
        <w:tc>
          <w:tcPr>
            <w:tcW w:w="76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14.13 ARTICLE APPLICABLE TO PAYING AGENTS</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r>
      <w:tr>
        <w:trPr>
          <w:trHeight w:val="185"/>
        </w:trPr>
        <w:tc>
          <w:tcPr>
            <w:tcW w:w="76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Section 14.14 DEFEASANCE OF THIS ARTICLE XIV</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r>
      <w:tr>
        <w:trPr>
          <w:trHeight w:val="343"/>
        </w:trPr>
        <w:tc>
          <w:tcPr>
            <w:tcW w:w="7620" w:type="dxa"/>
            <w:vAlign w:val="bottom"/>
          </w:tcPr>
          <w:p>
            <w:pPr>
              <w:spacing w:after="0"/>
              <w:rPr>
                <w:sz w:val="20"/>
                <w:szCs w:val="20"/>
                <w:color w:val="auto"/>
              </w:rPr>
            </w:pPr>
            <w:r>
              <w:rPr>
                <w:rFonts w:ascii="Times New Roman" w:cs="Times New Roman" w:eastAsia="Times New Roman" w:hAnsi="Times New Roman"/>
                <w:sz w:val="14"/>
                <w:szCs w:val="14"/>
                <w:color w:val="auto"/>
              </w:rPr>
              <w:t>FORM OF SECURITY</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EXHIBIT A</w:t>
            </w:r>
          </w:p>
        </w:tc>
      </w:tr>
      <w:tr>
        <w:trPr>
          <w:trHeight w:val="290"/>
        </w:trPr>
        <w:tc>
          <w:tcPr>
            <w:tcW w:w="7620" w:type="dxa"/>
            <w:vAlign w:val="bottom"/>
          </w:tcPr>
          <w:p>
            <w:pPr>
              <w:ind w:left="4320"/>
              <w:spacing w:after="0"/>
              <w:rPr>
                <w:sz w:val="20"/>
                <w:szCs w:val="20"/>
                <w:color w:val="auto"/>
              </w:rPr>
            </w:pPr>
            <w:r>
              <w:rPr>
                <w:rFonts w:ascii="Times New Roman" w:cs="Times New Roman" w:eastAsia="Times New Roman" w:hAnsi="Times New Roman"/>
                <w:sz w:val="14"/>
                <w:szCs w:val="14"/>
                <w:color w:val="auto"/>
              </w:rPr>
              <w:t>iv</w:t>
            </w:r>
          </w:p>
        </w:tc>
        <w:tc>
          <w:tcPr>
            <w:tcW w:w="10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9019"/>
          </w:cols>
          <w:pgMar w:left="1440" w:top="234" w:right="1440" w:bottom="1440" w:gutter="0" w:footer="0" w:header="0"/>
        </w:sect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9">
                      <a:extLst>
                        <a:ext uri="{28A0092B-C50C-407E-A947-70E740481C1C}"/>
                      </a:extLst>
                    </a:blip>
                    <a:srcRect/>
                    <a:stretch>
                      <a:fillRect/>
                    </a:stretch>
                  </pic:blipFill>
                  <pic:spPr bwMode="auto">
                    <a:xfrm>
                      <a:off x="0" y="0"/>
                      <a:ext cx="7199630" cy="33020"/>
                    </a:xfrm>
                    <a:prstGeom prst="rect">
                      <a:avLst/>
                    </a:prstGeom>
                    <a:noFill/>
                  </pic:spPr>
                </pic:pic>
              </a:graphicData>
            </a:graphic>
          </wp:anchor>
        </w:drawing>
      </w:r>
    </w:p>
    <w:bookmarkStart w:id="181" w:name="page182"/>
    <w:bookmarkEnd w:id="181"/>
    <w:p>
      <w:pPr>
        <w:ind w:left="48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0">
                      <a:extLst>
                        <a:ext uri="{28A0092B-C50C-407E-A947-70E740481C1C}"/>
                      </a:extLst>
                    </a:blip>
                    <a:srcRect/>
                    <a:stretch>
                      <a:fillRect/>
                    </a:stretch>
                  </pic:blipFill>
                  <pic:spPr bwMode="auto">
                    <a:xfrm>
                      <a:off x="0" y="0"/>
                      <a:ext cx="7199630" cy="33020"/>
                    </a:xfrm>
                    <a:prstGeom prst="rect">
                      <a:avLst/>
                    </a:prstGeom>
                    <a:noFill/>
                  </pic:spPr>
                </pic:pic>
              </a:graphicData>
            </a:graphic>
          </wp:anchor>
        </w:drawing>
        <w:t>INDENTURE, dated as of , , between The GEO Group, Inc. and Ankura Trust Company, LLC, as trustee (the “</w:t>
      </w:r>
      <w:r>
        <w:rPr>
          <w:rFonts w:ascii="Times New Roman" w:cs="Times New Roman" w:eastAsia="Times New Roman" w:hAnsi="Times New Roman"/>
          <w:sz w:val="14"/>
          <w:szCs w:val="14"/>
          <w:u w:val="single" w:color="auto"/>
          <w:color w:val="auto"/>
        </w:rPr>
        <w:t>Trustee</w:t>
      </w:r>
      <w:r>
        <w:rPr>
          <w:rFonts w:ascii="Times New Roman" w:cs="Times New Roman" w:eastAsia="Times New Roman" w:hAnsi="Times New Roman"/>
          <w:sz w:val="14"/>
          <w:szCs w:val="14"/>
          <w:color w:val="auto"/>
        </w:rPr>
        <w:t>”).</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RECITALS OF THE COMPANY</w:t>
      </w:r>
    </w:p>
    <w:p>
      <w:pPr>
        <w:spacing w:after="0" w:line="184" w:lineRule="exact"/>
        <w:rPr>
          <w:sz w:val="20"/>
          <w:szCs w:val="20"/>
          <w:color w:val="auto"/>
        </w:rPr>
      </w:pPr>
    </w:p>
    <w:p>
      <w:pPr>
        <w:ind w:left="120" w:right="259" w:firstLine="350"/>
        <w:spacing w:after="0" w:line="268" w:lineRule="auto"/>
        <w:rPr>
          <w:sz w:val="20"/>
          <w:szCs w:val="20"/>
          <w:color w:val="auto"/>
        </w:rPr>
      </w:pPr>
      <w:r>
        <w:rPr>
          <w:rFonts w:ascii="Times New Roman" w:cs="Times New Roman" w:eastAsia="Times New Roman" w:hAnsi="Times New Roman"/>
          <w:sz w:val="14"/>
          <w:szCs w:val="14"/>
          <w:color w:val="auto"/>
        </w:rPr>
        <w:t>WHEREAS, the Company deems it necessary to issue from time to time for its lawful purposes debt securities (the “</w:t>
      </w:r>
      <w:r>
        <w:rPr>
          <w:rFonts w:ascii="Times New Roman" w:cs="Times New Roman" w:eastAsia="Times New Roman" w:hAnsi="Times New Roman"/>
          <w:sz w:val="14"/>
          <w:szCs w:val="14"/>
          <w:u w:val="single" w:color="auto"/>
          <w:color w:val="auto"/>
        </w:rPr>
        <w:t>Securities</w:t>
      </w:r>
      <w:r>
        <w:rPr>
          <w:rFonts w:ascii="Times New Roman" w:cs="Times New Roman" w:eastAsia="Times New Roman" w:hAnsi="Times New Roman"/>
          <w:sz w:val="14"/>
          <w:szCs w:val="14"/>
          <w:color w:val="auto"/>
        </w:rPr>
        <w:t>”) evidencing its unsecured indebtedness, and has duly authorized the execution and delivery of this Indenture to provide for the issuance from time to time of the Securities, unlimited as to principal amount, to bear such rates of interest, to mature at such times and to have such other provisions as shall be fixed as hereinafter provided;</w:t>
      </w:r>
    </w:p>
    <w:p>
      <w:pPr>
        <w:spacing w:after="0" w:line="139" w:lineRule="exact"/>
        <w:rPr>
          <w:sz w:val="20"/>
          <w:szCs w:val="20"/>
          <w:color w:val="auto"/>
        </w:rPr>
      </w:pPr>
    </w:p>
    <w:p>
      <w:pPr>
        <w:ind w:left="120" w:right="279" w:firstLine="350"/>
        <w:spacing w:after="0" w:line="292" w:lineRule="auto"/>
        <w:rPr>
          <w:sz w:val="20"/>
          <w:szCs w:val="20"/>
          <w:color w:val="auto"/>
        </w:rPr>
      </w:pPr>
      <w:r>
        <w:rPr>
          <w:rFonts w:ascii="Times New Roman" w:cs="Times New Roman" w:eastAsia="Times New Roman" w:hAnsi="Times New Roman"/>
          <w:sz w:val="14"/>
          <w:szCs w:val="14"/>
          <w:color w:val="auto"/>
        </w:rPr>
        <w:t>WHEREAS, this Indenture is subject to, and shall be governed by, the provisions of the Trust Indenture Act that are required to be part of and to govern indentures qualified under the Trust Indenture Act; and</w:t>
      </w:r>
    </w:p>
    <w:p>
      <w:pPr>
        <w:spacing w:after="0" w:line="123" w:lineRule="exact"/>
        <w:rPr>
          <w:sz w:val="20"/>
          <w:szCs w:val="20"/>
          <w:color w:val="auto"/>
        </w:rPr>
      </w:pPr>
    </w:p>
    <w:p>
      <w:pPr>
        <w:ind w:left="120" w:right="679" w:firstLine="350"/>
        <w:spacing w:after="0" w:line="292" w:lineRule="auto"/>
        <w:rPr>
          <w:sz w:val="20"/>
          <w:szCs w:val="20"/>
          <w:color w:val="auto"/>
        </w:rPr>
      </w:pPr>
      <w:r>
        <w:rPr>
          <w:rFonts w:ascii="Times New Roman" w:cs="Times New Roman" w:eastAsia="Times New Roman" w:hAnsi="Times New Roman"/>
          <w:sz w:val="14"/>
          <w:szCs w:val="14"/>
          <w:color w:val="auto"/>
        </w:rPr>
        <w:t>WHEREAS, all acts and things necessary have been done to make (i) the Securities, when duly issued and executed by the Company and authenticated and delivered hereunder, the valid obligations of the Company and (ii) this Indenture a valid agreement of the Company;</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NOW, THEREFORE, THIS INDENTURE WITNESSETH:</w:t>
      </w:r>
    </w:p>
    <w:p>
      <w:pPr>
        <w:spacing w:after="0" w:line="184" w:lineRule="exact"/>
        <w:rPr>
          <w:sz w:val="20"/>
          <w:szCs w:val="20"/>
          <w:color w:val="auto"/>
        </w:rPr>
      </w:pPr>
    </w:p>
    <w:p>
      <w:pPr>
        <w:ind w:left="120" w:right="339" w:firstLine="350"/>
        <w:spacing w:after="0" w:line="292" w:lineRule="auto"/>
        <w:rPr>
          <w:sz w:val="20"/>
          <w:szCs w:val="20"/>
          <w:color w:val="auto"/>
        </w:rPr>
      </w:pPr>
      <w:r>
        <w:rPr>
          <w:rFonts w:ascii="Times New Roman" w:cs="Times New Roman" w:eastAsia="Times New Roman" w:hAnsi="Times New Roman"/>
          <w:sz w:val="14"/>
          <w:szCs w:val="14"/>
          <w:color w:val="auto"/>
        </w:rPr>
        <w:t>For and in consideration of the premises and the purchase of the Securities by the Holders thereof, it is mutually covenanted and agreed, for the equal and proportionate benefit of all Holders of the Securities, as follows:</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I</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DEFINITIONS AND OTHER PROVISIONS OF GENERAL APPLICATION</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1.01 </w:t>
      </w:r>
      <w:r>
        <w:rPr>
          <w:rFonts w:ascii="Times New Roman" w:cs="Times New Roman" w:eastAsia="Times New Roman" w:hAnsi="Times New Roman"/>
          <w:sz w:val="14"/>
          <w:szCs w:val="14"/>
          <w:u w:val="single" w:color="auto"/>
          <w:color w:val="auto"/>
        </w:rPr>
        <w:t>DEFINITIONS</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120" w:right="459" w:firstLine="350"/>
        <w:spacing w:after="0" w:line="292" w:lineRule="auto"/>
        <w:rPr>
          <w:sz w:val="20"/>
          <w:szCs w:val="20"/>
          <w:color w:val="auto"/>
        </w:rPr>
      </w:pPr>
      <w:r>
        <w:rPr>
          <w:rFonts w:ascii="Times New Roman" w:cs="Times New Roman" w:eastAsia="Times New Roman" w:hAnsi="Times New Roman"/>
          <w:sz w:val="14"/>
          <w:szCs w:val="14"/>
          <w:color w:val="auto"/>
        </w:rPr>
        <w:t>For all purposes of this Indenture, except as otherwise expressly provided or unless the context otherwise requires or unless such definition is changed or amended in a supplement or amendment to this Indenture:</w:t>
      </w:r>
    </w:p>
    <w:p>
      <w:pPr>
        <w:spacing w:after="0" w:line="37" w:lineRule="exact"/>
        <w:rPr>
          <w:sz w:val="20"/>
          <w:szCs w:val="20"/>
          <w:color w:val="auto"/>
        </w:rPr>
      </w:pPr>
    </w:p>
    <w:p>
      <w:pPr>
        <w:ind w:left="680" w:hanging="203"/>
        <w:spacing w:after="0"/>
        <w:tabs>
          <w:tab w:leader="none" w:pos="68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defined in this Article have the meanings assigned to them in this Article, and include the plural as well as the singular;</w:t>
      </w:r>
    </w:p>
    <w:p>
      <w:pPr>
        <w:spacing w:after="0" w:line="182" w:lineRule="exact"/>
        <w:rPr>
          <w:rFonts w:ascii="Times New Roman" w:cs="Times New Roman" w:eastAsia="Times New Roman" w:hAnsi="Times New Roman"/>
          <w:sz w:val="14"/>
          <w:szCs w:val="14"/>
          <w:color w:val="auto"/>
        </w:rPr>
      </w:pPr>
    </w:p>
    <w:p>
      <w:pPr>
        <w:ind w:left="120" w:right="239" w:firstLine="357"/>
        <w:spacing w:after="0" w:line="292" w:lineRule="auto"/>
        <w:tabs>
          <w:tab w:leader="none" w:pos="672"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other terms used herein which are defined in the Trust Indenture Act, either directly or by reference therein, have the meanings assigned to them therein;</w:t>
      </w:r>
    </w:p>
    <w:p>
      <w:pPr>
        <w:spacing w:after="0" w:line="123" w:lineRule="exact"/>
        <w:rPr>
          <w:rFonts w:ascii="Times New Roman" w:cs="Times New Roman" w:eastAsia="Times New Roman" w:hAnsi="Times New Roman"/>
          <w:sz w:val="14"/>
          <w:szCs w:val="14"/>
          <w:color w:val="auto"/>
        </w:rPr>
      </w:pPr>
    </w:p>
    <w:p>
      <w:pPr>
        <w:ind w:left="680" w:hanging="203"/>
        <w:spacing w:after="0"/>
        <w:tabs>
          <w:tab w:leader="none" w:pos="68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accounting terms not otherwise defined herein have the meanings assigned to them in accordance with GAAP;</w:t>
      </w:r>
    </w:p>
    <w:p>
      <w:pPr>
        <w:spacing w:after="0" w:line="182" w:lineRule="exact"/>
        <w:rPr>
          <w:rFonts w:ascii="Times New Roman" w:cs="Times New Roman" w:eastAsia="Times New Roman" w:hAnsi="Times New Roman"/>
          <w:sz w:val="14"/>
          <w:szCs w:val="14"/>
          <w:color w:val="auto"/>
        </w:rPr>
      </w:pPr>
    </w:p>
    <w:p>
      <w:pPr>
        <w:ind w:left="120" w:right="399" w:firstLine="357"/>
        <w:spacing w:after="0" w:line="292" w:lineRule="auto"/>
        <w:tabs>
          <w:tab w:leader="none" w:pos="672"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words “herein,” “hereof” and “hereunder” and other words of similar import refer to this Indenture as a whole and not to any particular Article, Section or other subdivision;</w:t>
      </w:r>
    </w:p>
    <w:p>
      <w:pPr>
        <w:spacing w:after="0" w:line="123" w:lineRule="exact"/>
        <w:rPr>
          <w:rFonts w:ascii="Times New Roman" w:cs="Times New Roman" w:eastAsia="Times New Roman" w:hAnsi="Times New Roman"/>
          <w:sz w:val="14"/>
          <w:szCs w:val="14"/>
          <w:color w:val="auto"/>
        </w:rPr>
      </w:pPr>
    </w:p>
    <w:p>
      <w:pPr>
        <w:ind w:left="680" w:hanging="203"/>
        <w:spacing w:after="0"/>
        <w:tabs>
          <w:tab w:leader="none" w:pos="68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references to $, US$, dollars or United States dollars shall refer to the lawful currency of the United States of America; and</w:t>
      </w:r>
    </w:p>
    <w:p>
      <w:pPr>
        <w:spacing w:after="0" w:line="182" w:lineRule="exact"/>
        <w:rPr>
          <w:rFonts w:ascii="Times New Roman" w:cs="Times New Roman" w:eastAsia="Times New Roman" w:hAnsi="Times New Roman"/>
          <w:sz w:val="14"/>
          <w:szCs w:val="14"/>
          <w:color w:val="auto"/>
        </w:rPr>
      </w:pPr>
    </w:p>
    <w:p>
      <w:pPr>
        <w:ind w:left="660" w:hanging="183"/>
        <w:spacing w:after="0"/>
        <w:tabs>
          <w:tab w:leader="none" w:pos="66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references herein to particular Sections or Articles refer to this Indenture unless otherwise so indicated.</w:t>
      </w:r>
    </w:p>
    <w:p>
      <w:pPr>
        <w:spacing w:after="0" w:line="1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Certain terms used principally in various articles herein are defined in those articles.</w:t>
      </w:r>
    </w:p>
    <w:p>
      <w:pPr>
        <w:spacing w:after="0" w:line="1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Act</w:t>
      </w:r>
      <w:r>
        <w:rPr>
          <w:rFonts w:ascii="Times New Roman" w:cs="Times New Roman" w:eastAsia="Times New Roman" w:hAnsi="Times New Roman"/>
          <w:sz w:val="14"/>
          <w:szCs w:val="14"/>
          <w:color w:val="auto"/>
        </w:rPr>
        <w:t xml:space="preserve">”, when used with respect to any Holder, has the meaning specified in </w:t>
      </w:r>
      <w:r>
        <w:rPr>
          <w:rFonts w:ascii="Times New Roman" w:cs="Times New Roman" w:eastAsia="Times New Roman" w:hAnsi="Times New Roman"/>
          <w:sz w:val="14"/>
          <w:szCs w:val="14"/>
          <w:u w:val="single" w:color="auto"/>
          <w:color w:val="auto"/>
        </w:rPr>
        <w:t>Section 1.05</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120" w:right="199" w:firstLine="350"/>
        <w:spacing w:after="0" w:line="26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Affiliate</w:t>
      </w:r>
      <w:r>
        <w:rPr>
          <w:rFonts w:ascii="Times New Roman" w:cs="Times New Roman" w:eastAsia="Times New Roman" w:hAnsi="Times New Roman"/>
          <w:sz w:val="14"/>
          <w:szCs w:val="14"/>
          <w:color w:val="auto"/>
        </w:rPr>
        <w:t xml:space="preserve">” of any specified Person means any other Person directly or indirectly controlling or controlled by or under direct or indirect common control with such specified Person. For purposes of this definition, “control,” as used with respect to any Person, shall mean the possession, directly or indirectly, of the power to direct or cause the direction of the management or policies of such Person, whether through the ownership of voting securities, by agreement or otherwise;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beneficial ownership of 10% or more of the Voting Stock of a Person will be deemed to be control. For purposes of this definition, the terms “controlling,” “controlled by” and “under common control with” shall have correlative meanings.</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9019"/>
          </w:cols>
          <w:pgMar w:left="1440" w:top="243" w:right="1440" w:bottom="1440" w:gutter="0" w:footer="0" w:header="0"/>
        </w:sectPr>
      </w:pPr>
    </w:p>
    <w:bookmarkStart w:id="182" w:name="page183"/>
    <w:bookmarkEnd w:id="182"/>
    <w:p>
      <w:pPr>
        <w:jc w:val="both"/>
        <w:ind w:left="120" w:right="199" w:firstLine="350"/>
        <w:spacing w:after="0" w:line="27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1">
                      <a:extLst>
                        <a:ext uri="{28A0092B-C50C-407E-A947-70E740481C1C}"/>
                      </a:extLst>
                    </a:blip>
                    <a:srcRect/>
                    <a:stretch>
                      <a:fillRect/>
                    </a:stretch>
                  </pic:blipFill>
                  <pic:spPr bwMode="auto">
                    <a:xfrm>
                      <a:off x="0" y="0"/>
                      <a:ext cx="7199630" cy="33020"/>
                    </a:xfrm>
                    <a:prstGeom prst="rect">
                      <a:avLst/>
                    </a:prstGeom>
                    <a:noFill/>
                  </pic:spPr>
                </pic:pic>
              </a:graphicData>
            </a:graphic>
          </wp:anchor>
        </w:drawing>
        <w:t>“</w:t>
      </w:r>
      <w:r>
        <w:rPr>
          <w:rFonts w:ascii="Times New Roman" w:cs="Times New Roman" w:eastAsia="Times New Roman" w:hAnsi="Times New Roman"/>
          <w:sz w:val="14"/>
          <w:szCs w:val="14"/>
          <w:u w:val="single" w:color="auto"/>
          <w:color w:val="auto"/>
        </w:rPr>
        <w:t>Applicable Procedures</w:t>
      </w:r>
      <w:r>
        <w:rPr>
          <w:rFonts w:ascii="Times New Roman" w:cs="Times New Roman" w:eastAsia="Times New Roman" w:hAnsi="Times New Roman"/>
          <w:sz w:val="14"/>
          <w:szCs w:val="14"/>
          <w:color w:val="auto"/>
        </w:rPr>
        <w:t>” means, with respect to any transfer or transaction involving a Global Security or beneficial interest therein, the rules and procedures of the Depositary for such Security and of Euroclear and Clearstream, to the extent applicable to such transfer or transaction and as in effect at the time of such transfer or transaction.</w:t>
      </w:r>
    </w:p>
    <w:p>
      <w:pPr>
        <w:spacing w:after="0" w:line="135" w:lineRule="exact"/>
        <w:rPr>
          <w:sz w:val="20"/>
          <w:szCs w:val="20"/>
          <w:color w:val="auto"/>
        </w:rPr>
      </w:pPr>
    </w:p>
    <w:p>
      <w:pPr>
        <w:ind w:left="120" w:right="179" w:firstLine="350"/>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Attributable Debt</w:t>
      </w:r>
      <w:r>
        <w:rPr>
          <w:rFonts w:ascii="Times New Roman" w:cs="Times New Roman" w:eastAsia="Times New Roman" w:hAnsi="Times New Roman"/>
          <w:sz w:val="14"/>
          <w:szCs w:val="14"/>
          <w:color w:val="auto"/>
        </w:rPr>
        <w:t>” means, when used in connection with a Sale and Leaseback Transaction, at any date of determination, the present value of the obligation of the lessee for net rental payments during the remaining term of the lease included in such Sale and Leaseback Transaction including any period for which such lease has been extended or may, at the option of the lessor, be extended. Such present value shall be calculated using a discount rate equal to the rate of interest implicit in such transaction, determined in accordance with GAAP.</w:t>
      </w:r>
    </w:p>
    <w:p>
      <w:pPr>
        <w:spacing w:after="0" w:line="139" w:lineRule="exact"/>
        <w:rPr>
          <w:sz w:val="20"/>
          <w:szCs w:val="20"/>
          <w:color w:val="auto"/>
        </w:rPr>
      </w:pPr>
    </w:p>
    <w:p>
      <w:pPr>
        <w:ind w:left="120" w:right="239" w:firstLine="350"/>
        <w:spacing w:after="0" w:line="29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Bankruptcy Law</w:t>
      </w:r>
      <w:r>
        <w:rPr>
          <w:rFonts w:ascii="Times New Roman" w:cs="Times New Roman" w:eastAsia="Times New Roman" w:hAnsi="Times New Roman"/>
          <w:sz w:val="14"/>
          <w:szCs w:val="14"/>
          <w:color w:val="auto"/>
        </w:rPr>
        <w:t>” means Title 11, United States Bankruptcy Code of 1978, as amended, or any similar United States Federal or state law for the relief of debtors.</w:t>
      </w:r>
    </w:p>
    <w:p>
      <w:pPr>
        <w:spacing w:after="0" w:line="123" w:lineRule="exact"/>
        <w:rPr>
          <w:sz w:val="20"/>
          <w:szCs w:val="20"/>
          <w:color w:val="auto"/>
        </w:rPr>
      </w:pPr>
    </w:p>
    <w:p>
      <w:pPr>
        <w:ind w:left="120" w:right="199" w:firstLine="350"/>
        <w:spacing w:after="0" w:line="27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Board of Directors</w:t>
      </w:r>
      <w:r>
        <w:rPr>
          <w:rFonts w:ascii="Times New Roman" w:cs="Times New Roman" w:eastAsia="Times New Roman" w:hAnsi="Times New Roman"/>
          <w:sz w:val="14"/>
          <w:szCs w:val="14"/>
          <w:color w:val="auto"/>
        </w:rPr>
        <w:t>” means (1) with respect to a corporation, the board of directors of the corporation; (2) with respect to a partnership, the board of directors of the general partner of the partnership; and (3) with respect to any other Person, the board or committee of such Person serving a similar function.</w:t>
      </w:r>
    </w:p>
    <w:p>
      <w:pPr>
        <w:spacing w:after="0" w:line="135" w:lineRule="exact"/>
        <w:rPr>
          <w:sz w:val="20"/>
          <w:szCs w:val="20"/>
          <w:color w:val="auto"/>
        </w:rPr>
      </w:pPr>
    </w:p>
    <w:p>
      <w:pPr>
        <w:ind w:left="120" w:right="239" w:firstLine="350"/>
        <w:spacing w:after="0" w:line="29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Board Resolution</w:t>
      </w:r>
      <w:r>
        <w:rPr>
          <w:rFonts w:ascii="Times New Roman" w:cs="Times New Roman" w:eastAsia="Times New Roman" w:hAnsi="Times New Roman"/>
          <w:sz w:val="14"/>
          <w:szCs w:val="14"/>
          <w:color w:val="auto"/>
        </w:rPr>
        <w:t>” means as of any date of determination, a resolution duly adopted by the Board of Directors of the Company or, if the context otherwise requires, of the applicable Person and which is in full force and effect as of such date.</w:t>
      </w:r>
    </w:p>
    <w:p>
      <w:pPr>
        <w:spacing w:after="0" w:line="123" w:lineRule="exact"/>
        <w:rPr>
          <w:sz w:val="20"/>
          <w:szCs w:val="20"/>
          <w:color w:val="auto"/>
        </w:rPr>
      </w:pPr>
    </w:p>
    <w:p>
      <w:pPr>
        <w:ind w:left="120" w:right="159" w:firstLine="350"/>
        <w:spacing w:after="0" w:line="27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Book-Entry Security</w:t>
      </w:r>
      <w:r>
        <w:rPr>
          <w:rFonts w:ascii="Times New Roman" w:cs="Times New Roman" w:eastAsia="Times New Roman" w:hAnsi="Times New Roman"/>
          <w:sz w:val="14"/>
          <w:szCs w:val="14"/>
          <w:color w:val="auto"/>
        </w:rPr>
        <w:t xml:space="preserve">” means any Global Security in the form of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or such other form established pursuant to </w:t>
      </w:r>
      <w:r>
        <w:rPr>
          <w:rFonts w:ascii="Times New Roman" w:cs="Times New Roman" w:eastAsia="Times New Roman" w:hAnsi="Times New Roman"/>
          <w:sz w:val="14"/>
          <w:szCs w:val="14"/>
          <w:u w:val="single" w:color="auto"/>
          <w:color w:val="auto"/>
        </w:rPr>
        <w:t>Section 2.01</w:t>
      </w:r>
      <w:r>
        <w:rPr>
          <w:rFonts w:ascii="Times New Roman" w:cs="Times New Roman" w:eastAsia="Times New Roman" w:hAnsi="Times New Roman"/>
          <w:sz w:val="14"/>
          <w:szCs w:val="14"/>
          <w:color w:val="auto"/>
        </w:rPr>
        <w:t>, evidencing all or part of a series of Securities, authenticated and delivered to the Depositary for such series or its nominee, and registered in the name of such Depositary or nominee.</w:t>
      </w:r>
    </w:p>
    <w:p>
      <w:pPr>
        <w:spacing w:after="0" w:line="13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Business Day</w:t>
      </w:r>
      <w:r>
        <w:rPr>
          <w:rFonts w:ascii="Times New Roman" w:cs="Times New Roman" w:eastAsia="Times New Roman" w:hAnsi="Times New Roman"/>
          <w:sz w:val="14"/>
          <w:szCs w:val="14"/>
          <w:color w:val="auto"/>
        </w:rPr>
        <w:t>” means any day which is not a Legal Holiday.</w:t>
      </w:r>
    </w:p>
    <w:p>
      <w:pPr>
        <w:spacing w:after="0" w:line="182" w:lineRule="exact"/>
        <w:rPr>
          <w:sz w:val="20"/>
          <w:szCs w:val="20"/>
          <w:color w:val="auto"/>
        </w:rPr>
      </w:pPr>
    </w:p>
    <w:p>
      <w:pPr>
        <w:ind w:left="120" w:right="139" w:firstLine="350"/>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Capital Stock</w:t>
      </w:r>
      <w:r>
        <w:rPr>
          <w:rFonts w:ascii="Times New Roman" w:cs="Times New Roman" w:eastAsia="Times New Roman" w:hAnsi="Times New Roman"/>
          <w:sz w:val="14"/>
          <w:szCs w:val="14"/>
          <w:color w:val="auto"/>
        </w:rPr>
        <w:t>” means, (1) in the case of a corporation, corporate stock; (2) in the case of an association or business entity, any and all shares, interests, participations, rights or other equivalents (however designated) of corporate stock; (3) in the case of a partnership or limited liability company, partnership or membership interests (whether general or limited); and (4) any other interest or participation that confers on a Person the right to receive a share of the profits and losses of, or distributions of assets of, the issuing Person.</w:t>
      </w:r>
    </w:p>
    <w:p>
      <w:pPr>
        <w:spacing w:after="0" w:line="139" w:lineRule="exact"/>
        <w:rPr>
          <w:sz w:val="20"/>
          <w:szCs w:val="20"/>
          <w:color w:val="auto"/>
        </w:rPr>
      </w:pPr>
    </w:p>
    <w:p>
      <w:pPr>
        <w:ind w:left="120" w:right="179" w:firstLine="350"/>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Cash Equivalents</w:t>
      </w:r>
      <w:r>
        <w:rPr>
          <w:rFonts w:ascii="Times New Roman" w:cs="Times New Roman" w:eastAsia="Times New Roman" w:hAnsi="Times New Roman"/>
          <w:sz w:val="14"/>
          <w:szCs w:val="14"/>
          <w:color w:val="auto"/>
        </w:rPr>
        <w:t>” means: (1) United States dollars; (2) Government Securities having maturities of not more than one year from the date of acquisition; (3) readily marketable direct obligations issued by any state of the United States of America or any political subdivision thereof having one of the two highest ratings obtainable from either Moody’s or Standard &amp; Poor’s with maturities of 12 months or less from the date of acquisition;(4) certificates of deposit and eurodollar time deposits with maturities of one year or less from the date of acquisition, bankers’ acceptances with maturities not exceeding one year and overnight bank deposits, in each case, with any lender party to any Credit Facilities or with any domestic commercial bank having capital and surplus in excess of $500.0 million and a Thomson Bank Watch Rating of “B” or better; (5) repurchase obligations with a term of not more than seven days for underlying securities of the types described in clauses (2), (3) and (4) above entered into with any financial institution meeting the qualifications specified in clause (4) above; (6) commercial paper having the highest rating obtainable from Moody’s or Standard &amp; Poor’s and in each case maturing within one year after the date of acquisition; (7) money market funds at least 95% of the assets of which constitute Cash Equivalents of the kinds described in clauses (1) through (6) of this definition; and (8) with respect to any Foreign Subsidiary, deposit accounts held by such Foreign Subsidiary in local currency at local commercial banks or savings banks or saving and loan associations in the ordinary course of business.</w:t>
      </w:r>
    </w:p>
    <w:p>
      <w:pPr>
        <w:spacing w:after="0" w:line="14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Clearstream</w:t>
      </w:r>
      <w:r>
        <w:rPr>
          <w:rFonts w:ascii="Times New Roman" w:cs="Times New Roman" w:eastAsia="Times New Roman" w:hAnsi="Times New Roman"/>
          <w:sz w:val="14"/>
          <w:szCs w:val="14"/>
          <w:color w:val="auto"/>
        </w:rPr>
        <w:t>” means Clearstream Banking, société anonyme, or its successor.</w:t>
      </w:r>
    </w:p>
    <w:p>
      <w:pPr>
        <w:spacing w:after="0" w:line="12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43" w:right="1440" w:bottom="1440" w:gutter="0" w:footer="0" w:header="0"/>
        </w:sectPr>
      </w:pPr>
    </w:p>
    <w:bookmarkStart w:id="183" w:name="page184"/>
    <w:bookmarkEnd w:id="183"/>
    <w:p>
      <w:pPr>
        <w:ind w:left="120" w:right="399" w:firstLine="350"/>
        <w:spacing w:after="0" w:line="27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2">
                      <a:extLst>
                        <a:ext uri="{28A0092B-C50C-407E-A947-70E740481C1C}"/>
                      </a:extLst>
                    </a:blip>
                    <a:srcRect/>
                    <a:stretch>
                      <a:fillRect/>
                    </a:stretch>
                  </pic:blipFill>
                  <pic:spPr bwMode="auto">
                    <a:xfrm>
                      <a:off x="0" y="0"/>
                      <a:ext cx="7199630" cy="33020"/>
                    </a:xfrm>
                    <a:prstGeom prst="rect">
                      <a:avLst/>
                    </a:prstGeom>
                    <a:noFill/>
                  </pic:spPr>
                </pic:pic>
              </a:graphicData>
            </a:graphic>
          </wp:anchor>
        </w:drawing>
        <w:t>“</w:t>
      </w:r>
      <w:r>
        <w:rPr>
          <w:rFonts w:ascii="Times New Roman" w:cs="Times New Roman" w:eastAsia="Times New Roman" w:hAnsi="Times New Roman"/>
          <w:sz w:val="14"/>
          <w:szCs w:val="14"/>
          <w:u w:val="single" w:color="auto"/>
          <w:color w:val="auto"/>
        </w:rPr>
        <w:t>Commission</w:t>
      </w:r>
      <w:r>
        <w:rPr>
          <w:rFonts w:ascii="Times New Roman" w:cs="Times New Roman" w:eastAsia="Times New Roman" w:hAnsi="Times New Roman"/>
          <w:sz w:val="14"/>
          <w:szCs w:val="14"/>
          <w:color w:val="auto"/>
        </w:rPr>
        <w:t>” means the Securities and Exchange Commission, as from time to time constituted, created under the Exchange Act, or if at any time after the execution of this Indenture such Commission is not existing and performing the duties now assigned to it under the Securities Act, Exchange Act and Trust Indenture Act, then the body performing such duties at such time.</w:t>
      </w:r>
    </w:p>
    <w:p>
      <w:pPr>
        <w:spacing w:after="0" w:line="135" w:lineRule="exact"/>
        <w:rPr>
          <w:sz w:val="20"/>
          <w:szCs w:val="20"/>
          <w:color w:val="auto"/>
        </w:rPr>
      </w:pPr>
    </w:p>
    <w:p>
      <w:pPr>
        <w:ind w:left="120" w:right="199" w:firstLine="350"/>
        <w:spacing w:after="0" w:line="29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means The GEO Group, Inc., until a successor Person shall have become such pursuant to the applicable provisions of this Indenture, and thereafter “Company” shall mean such successor Person.</w:t>
      </w:r>
    </w:p>
    <w:p>
      <w:pPr>
        <w:spacing w:after="0" w:line="123" w:lineRule="exact"/>
        <w:rPr>
          <w:sz w:val="20"/>
          <w:szCs w:val="20"/>
          <w:color w:val="auto"/>
        </w:rPr>
      </w:pPr>
    </w:p>
    <w:p>
      <w:pPr>
        <w:ind w:left="120" w:right="179" w:firstLine="350"/>
        <w:spacing w:after="0" w:line="29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Request</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u w:val="single" w:color="auto"/>
          <w:color w:val="auto"/>
        </w:rPr>
        <w:t>Company Order</w:t>
      </w:r>
      <w:r>
        <w:rPr>
          <w:rFonts w:ascii="Times New Roman" w:cs="Times New Roman" w:eastAsia="Times New Roman" w:hAnsi="Times New Roman"/>
          <w:sz w:val="14"/>
          <w:szCs w:val="14"/>
          <w:color w:val="auto"/>
        </w:rPr>
        <w:t>” means a written request or order signed in the name of the Company by an Officer of the Company and delivered to the Trustee.</w:t>
      </w:r>
    </w:p>
    <w:p>
      <w:pPr>
        <w:spacing w:after="0" w:line="123" w:lineRule="exact"/>
        <w:rPr>
          <w:sz w:val="20"/>
          <w:szCs w:val="20"/>
          <w:color w:val="auto"/>
        </w:rPr>
      </w:pPr>
    </w:p>
    <w:p>
      <w:pPr>
        <w:ind w:left="120" w:right="179" w:firstLine="350"/>
        <w:spacing w:after="0" w:line="27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Consolidation</w:t>
      </w:r>
      <w:r>
        <w:rPr>
          <w:rFonts w:ascii="Times New Roman" w:cs="Times New Roman" w:eastAsia="Times New Roman" w:hAnsi="Times New Roman"/>
          <w:sz w:val="14"/>
          <w:szCs w:val="14"/>
          <w:color w:val="auto"/>
        </w:rPr>
        <w:t>” means, with respect to any Person, the consolidation of the accounts of such Person and each of its subsidiaries if and to the extent the accounts of such Person and each of its subsidiaries would normally be consolidated with those of such Person, all in accordance with GAAP. The term “Consolidated” shall have a similar meaning.</w:t>
      </w:r>
    </w:p>
    <w:p>
      <w:pPr>
        <w:spacing w:after="0" w:line="135" w:lineRule="exact"/>
        <w:rPr>
          <w:sz w:val="20"/>
          <w:szCs w:val="20"/>
          <w:color w:val="auto"/>
        </w:rPr>
      </w:pPr>
    </w:p>
    <w:p>
      <w:pPr>
        <w:ind w:left="120" w:right="139" w:firstLine="350"/>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Corporate Trust Office</w:t>
      </w:r>
      <w:r>
        <w:rPr>
          <w:rFonts w:ascii="Times New Roman" w:cs="Times New Roman" w:eastAsia="Times New Roman" w:hAnsi="Times New Roman"/>
          <w:sz w:val="14"/>
          <w:szCs w:val="14"/>
          <w:color w:val="auto"/>
        </w:rPr>
        <w:t>” means the designated office of the Trustee at which at any time its corporate trust business shall be administered, which office at the date of execution of this Indenture is located at, or such other address as the Trustee may designate from time to time by notice to the Holders and the Company, or the principal corporate trust office of any successor Trustee (or such other address as such successor Trustee may designate from time to time by notice to the Holders and the Company).</w:t>
      </w:r>
    </w:p>
    <w:p>
      <w:pPr>
        <w:spacing w:after="0" w:line="139" w:lineRule="exact"/>
        <w:rPr>
          <w:sz w:val="20"/>
          <w:szCs w:val="20"/>
          <w:color w:val="auto"/>
        </w:rPr>
      </w:pPr>
    </w:p>
    <w:p>
      <w:pPr>
        <w:ind w:left="120" w:right="139" w:firstLine="350"/>
        <w:spacing w:after="0" w:line="26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Credit Facilities</w:t>
      </w:r>
      <w:r>
        <w:rPr>
          <w:rFonts w:ascii="Times New Roman" w:cs="Times New Roman" w:eastAsia="Times New Roman" w:hAnsi="Times New Roman"/>
          <w:sz w:val="14"/>
          <w:szCs w:val="14"/>
          <w:color w:val="auto"/>
        </w:rPr>
        <w:t>” means one or more debt facilities or commercial paper facilities, in each case with banks or other institutional lenders providing for revolving credit loans, term loans, project financings, receivables financing (including through the sale of receivables to such lenders or to special purpose entities formed to borrow from such lenders against such receivables) or letters of credit, in each case, as amended (and/or amended and restated), restated, modified, renewed, refunded, replaced or refinanced in whole or in part from time to time, but excluding, in each case any debt securities.</w:t>
      </w:r>
    </w:p>
    <w:p>
      <w:pPr>
        <w:spacing w:after="0" w:line="3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Default</w:t>
      </w:r>
      <w:r>
        <w:rPr>
          <w:rFonts w:ascii="Times New Roman" w:cs="Times New Roman" w:eastAsia="Times New Roman" w:hAnsi="Times New Roman"/>
          <w:sz w:val="14"/>
          <w:szCs w:val="14"/>
          <w:color w:val="auto"/>
        </w:rPr>
        <w:t>” means any event that is, or with the passage of time or the giving of notice or both would be, an Event of Default.</w:t>
      </w:r>
    </w:p>
    <w:p>
      <w:pPr>
        <w:spacing w:after="0" w:line="182" w:lineRule="exact"/>
        <w:rPr>
          <w:sz w:val="20"/>
          <w:szCs w:val="20"/>
          <w:color w:val="auto"/>
        </w:rPr>
      </w:pPr>
    </w:p>
    <w:p>
      <w:pPr>
        <w:ind w:left="120" w:right="379" w:firstLine="350"/>
        <w:spacing w:after="0" w:line="27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Depositary</w:t>
      </w:r>
      <w:r>
        <w:rPr>
          <w:rFonts w:ascii="Times New Roman" w:cs="Times New Roman" w:eastAsia="Times New Roman" w:hAnsi="Times New Roman"/>
          <w:sz w:val="14"/>
          <w:szCs w:val="14"/>
          <w:color w:val="auto"/>
        </w:rPr>
        <w:t>” means, with respect to the Securities issuable or issued in whole or in part in the form of one or more Book-Entry Securities, The Depository Trust Company (“</w:t>
      </w:r>
      <w:r>
        <w:rPr>
          <w:rFonts w:ascii="Times New Roman" w:cs="Times New Roman" w:eastAsia="Times New Roman" w:hAnsi="Times New Roman"/>
          <w:sz w:val="14"/>
          <w:szCs w:val="14"/>
          <w:u w:val="single" w:color="auto"/>
          <w:color w:val="auto"/>
        </w:rPr>
        <w:t>DTC</w:t>
      </w:r>
      <w:r>
        <w:rPr>
          <w:rFonts w:ascii="Times New Roman" w:cs="Times New Roman" w:eastAsia="Times New Roman" w:hAnsi="Times New Roman"/>
          <w:sz w:val="14"/>
          <w:szCs w:val="14"/>
          <w:color w:val="auto"/>
        </w:rPr>
        <w:t>”), its nominees and successors, or another Person designated as Depositary by the Company, pursuant to the applicable provisions of this Indenture which must be a clearing agency registered under the Exchange Act.</w:t>
      </w:r>
    </w:p>
    <w:p>
      <w:pPr>
        <w:spacing w:after="0" w:line="135" w:lineRule="exact"/>
        <w:rPr>
          <w:sz w:val="20"/>
          <w:szCs w:val="20"/>
          <w:color w:val="auto"/>
        </w:rPr>
      </w:pPr>
    </w:p>
    <w:p>
      <w:pPr>
        <w:ind w:left="120" w:right="139" w:firstLine="350"/>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Disqualified Stock</w:t>
      </w:r>
      <w:r>
        <w:rPr>
          <w:rFonts w:ascii="Times New Roman" w:cs="Times New Roman" w:eastAsia="Times New Roman" w:hAnsi="Times New Roman"/>
          <w:sz w:val="14"/>
          <w:szCs w:val="14"/>
          <w:color w:val="auto"/>
        </w:rPr>
        <w:t>” means with reference to any series of Securities any Capital Stock that, by its terms (or by the terms of any security into which it is convertible, or for which it is exchangeable, in each case at the option of the holder of the Capital Stock), or upon the happening of any event, matures or is mandatorily redeemable, pursuant to a sinking fund obligation or otherwise, or redeemable at the option of the holder of the Capital Stock, in whole or in part, on or prior to the date that is 91 days after the Stated Maturity of such referenced series of Securities.</w:t>
      </w:r>
    </w:p>
    <w:p>
      <w:pPr>
        <w:spacing w:after="0" w:line="139" w:lineRule="exact"/>
        <w:rPr>
          <w:sz w:val="20"/>
          <w:szCs w:val="20"/>
          <w:color w:val="auto"/>
        </w:rPr>
      </w:pPr>
    </w:p>
    <w:p>
      <w:pPr>
        <w:ind w:left="120" w:right="339" w:firstLine="350"/>
        <w:spacing w:after="0" w:line="29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Equity Interests</w:t>
      </w:r>
      <w:r>
        <w:rPr>
          <w:rFonts w:ascii="Times New Roman" w:cs="Times New Roman" w:eastAsia="Times New Roman" w:hAnsi="Times New Roman"/>
          <w:sz w:val="14"/>
          <w:szCs w:val="14"/>
          <w:color w:val="auto"/>
        </w:rPr>
        <w:t>” means Capital Stock and all warrants, options or other rights to acquire Capital Stock (but excluding any debt security that is convertible into, or exchangeable for, Capital Stock).</w:t>
      </w:r>
    </w:p>
    <w:p>
      <w:pPr>
        <w:spacing w:after="0" w:line="1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Euroclear</w:t>
      </w:r>
      <w:r>
        <w:rPr>
          <w:rFonts w:ascii="Times New Roman" w:cs="Times New Roman" w:eastAsia="Times New Roman" w:hAnsi="Times New Roman"/>
          <w:sz w:val="14"/>
          <w:szCs w:val="14"/>
          <w:color w:val="auto"/>
        </w:rPr>
        <w:t>” means Euroclear Bank S.A./N.V., as operator of Euroclear System, and any successor thereto.</w:t>
      </w:r>
    </w:p>
    <w:p>
      <w:pPr>
        <w:spacing w:after="0" w:line="1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Event of Default</w:t>
      </w:r>
      <w:r>
        <w:rPr>
          <w:rFonts w:ascii="Times New Roman" w:cs="Times New Roman" w:eastAsia="Times New Roman" w:hAnsi="Times New Roman"/>
          <w:sz w:val="14"/>
          <w:szCs w:val="14"/>
          <w:color w:val="auto"/>
        </w:rPr>
        <w:t xml:space="preserve">” has the meaning specified in </w:t>
      </w:r>
      <w:r>
        <w:rPr>
          <w:rFonts w:ascii="Times New Roman" w:cs="Times New Roman" w:eastAsia="Times New Roman" w:hAnsi="Times New Roman"/>
          <w:sz w:val="14"/>
          <w:szCs w:val="14"/>
          <w:u w:val="single" w:color="auto"/>
          <w:color w:val="auto"/>
        </w:rPr>
        <w:t>Section 5.01</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Exchange Act</w:t>
      </w:r>
      <w:r>
        <w:rPr>
          <w:rFonts w:ascii="Times New Roman" w:cs="Times New Roman" w:eastAsia="Times New Roman" w:hAnsi="Times New Roman"/>
          <w:sz w:val="14"/>
          <w:szCs w:val="14"/>
          <w:color w:val="auto"/>
        </w:rPr>
        <w:t>” means the Securities Exchange Act of 1934, as amended.</w:t>
      </w:r>
    </w:p>
    <w:p>
      <w:pPr>
        <w:spacing w:after="0" w:line="182" w:lineRule="exact"/>
        <w:rPr>
          <w:sz w:val="20"/>
          <w:szCs w:val="20"/>
          <w:color w:val="auto"/>
        </w:rPr>
      </w:pPr>
    </w:p>
    <w:p>
      <w:pPr>
        <w:ind w:left="120" w:right="179" w:firstLine="350"/>
        <w:spacing w:after="0" w:line="29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Finance Lease Obligation</w:t>
      </w:r>
      <w:r>
        <w:rPr>
          <w:rFonts w:ascii="Times New Roman" w:cs="Times New Roman" w:eastAsia="Times New Roman" w:hAnsi="Times New Roman"/>
          <w:sz w:val="14"/>
          <w:szCs w:val="14"/>
          <w:color w:val="auto"/>
        </w:rPr>
        <w:t>” means, at the time any determination thereof is to be made, the amount of the liability in respect of a capital lease that would at that time be required to be capitalized on a balance sheet in accordance with GAAP.</w:t>
      </w:r>
    </w:p>
    <w:p>
      <w:pPr>
        <w:spacing w:after="0" w:line="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43" w:right="1440" w:bottom="1440" w:gutter="0" w:footer="0" w:header="0"/>
        </w:sectPr>
      </w:pPr>
    </w:p>
    <w:bookmarkStart w:id="184" w:name="page185"/>
    <w:bookmarkEnd w:id="184"/>
    <w:p>
      <w:pPr>
        <w:ind w:left="120" w:right="279" w:firstLine="350"/>
        <w:spacing w:after="0" w:line="26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3">
                      <a:extLst>
                        <a:ext uri="{28A0092B-C50C-407E-A947-70E740481C1C}"/>
                      </a:extLst>
                    </a:blip>
                    <a:srcRect/>
                    <a:stretch>
                      <a:fillRect/>
                    </a:stretch>
                  </pic:blipFill>
                  <pic:spPr bwMode="auto">
                    <a:xfrm>
                      <a:off x="0" y="0"/>
                      <a:ext cx="7199630" cy="33020"/>
                    </a:xfrm>
                    <a:prstGeom prst="rect">
                      <a:avLst/>
                    </a:prstGeom>
                    <a:noFill/>
                  </pic:spPr>
                </pic:pic>
              </a:graphicData>
            </a:graphic>
          </wp:anchor>
        </w:drawing>
        <w:t>“</w:t>
      </w:r>
      <w:r>
        <w:rPr>
          <w:rFonts w:ascii="Times New Roman" w:cs="Times New Roman" w:eastAsia="Times New Roman" w:hAnsi="Times New Roman"/>
          <w:sz w:val="14"/>
          <w:szCs w:val="14"/>
          <w:u w:val="single" w:color="auto"/>
          <w:color w:val="auto"/>
        </w:rPr>
        <w:t>Generally Accepted Accounting Principles</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u w:val="single" w:color="auto"/>
          <w:color w:val="auto"/>
        </w:rPr>
        <w:t>GAAP</w:t>
      </w:r>
      <w:r>
        <w:rPr>
          <w:rFonts w:ascii="Times New Roman" w:cs="Times New Roman" w:eastAsia="Times New Roman" w:hAnsi="Times New Roman"/>
          <w:sz w:val="14"/>
          <w:szCs w:val="14"/>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as amended and/or modified from time to time. All ratios and computations contained or referred to herein shall be computed in conformity with GAAP applied on a consistent basis.</w:t>
      </w:r>
    </w:p>
    <w:p>
      <w:pPr>
        <w:spacing w:after="0" w:line="1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Global Securities</w:t>
      </w:r>
      <w:r>
        <w:rPr>
          <w:rFonts w:ascii="Times New Roman" w:cs="Times New Roman" w:eastAsia="Times New Roman" w:hAnsi="Times New Roman"/>
          <w:sz w:val="14"/>
          <w:szCs w:val="14"/>
          <w:color w:val="auto"/>
        </w:rPr>
        <w:t xml:space="preserve">” means global Securities to be issued as Book-Entry Securities issued to the Depositary in accordance with </w:t>
      </w:r>
      <w:r>
        <w:rPr>
          <w:rFonts w:ascii="Times New Roman" w:cs="Times New Roman" w:eastAsia="Times New Roman" w:hAnsi="Times New Roman"/>
          <w:sz w:val="14"/>
          <w:szCs w:val="14"/>
          <w:u w:val="single" w:color="auto"/>
          <w:color w:val="auto"/>
        </w:rPr>
        <w:t>Section 3.06</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120" w:right="299" w:firstLine="350"/>
        <w:spacing w:after="0" w:line="29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Government Operating Agreement</w:t>
      </w:r>
      <w:r>
        <w:rPr>
          <w:rFonts w:ascii="Times New Roman" w:cs="Times New Roman" w:eastAsia="Times New Roman" w:hAnsi="Times New Roman"/>
          <w:sz w:val="14"/>
          <w:szCs w:val="14"/>
          <w:color w:val="auto"/>
        </w:rPr>
        <w:t>” means any management services contract, operating agreement, use agreement, lease or similar agreement with a Governmental Authority relating to a facility in a Permitted Business.</w:t>
      </w:r>
    </w:p>
    <w:p>
      <w:pPr>
        <w:spacing w:after="0" w:line="123" w:lineRule="exact"/>
        <w:rPr>
          <w:sz w:val="20"/>
          <w:szCs w:val="20"/>
          <w:color w:val="auto"/>
        </w:rPr>
      </w:pPr>
    </w:p>
    <w:p>
      <w:pPr>
        <w:ind w:left="120" w:right="379" w:firstLine="350"/>
        <w:spacing w:after="0" w:line="29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Government Securities</w:t>
      </w:r>
      <w:r>
        <w:rPr>
          <w:rFonts w:ascii="Times New Roman" w:cs="Times New Roman" w:eastAsia="Times New Roman" w:hAnsi="Times New Roman"/>
          <w:sz w:val="14"/>
          <w:szCs w:val="14"/>
          <w:color w:val="auto"/>
        </w:rPr>
        <w:t xml:space="preserve">” means securities issued or directly and fully guaranteed or insured by the United States government or any agency or instrumentality of the United States government;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the full faith and credit of the United States is pledged in support of those securities.</w:t>
      </w:r>
    </w:p>
    <w:p>
      <w:pPr>
        <w:spacing w:after="0" w:line="123" w:lineRule="exact"/>
        <w:rPr>
          <w:sz w:val="20"/>
          <w:szCs w:val="20"/>
          <w:color w:val="auto"/>
        </w:rPr>
      </w:pPr>
    </w:p>
    <w:p>
      <w:pPr>
        <w:ind w:left="120" w:right="239" w:firstLine="350"/>
        <w:spacing w:after="0" w:line="27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Governmental Authority</w:t>
      </w:r>
      <w:r>
        <w:rPr>
          <w:rFonts w:ascii="Times New Roman" w:cs="Times New Roman" w:eastAsia="Times New Roman" w:hAnsi="Times New Roman"/>
          <w:sz w:val="14"/>
          <w:szCs w:val="14"/>
          <w:color w:val="auto"/>
        </w:rPr>
        <w:t>” means any nation, province, state, municipality or political subdivision thereof, and any government or any agency or instrumentality thereof exercising executive, legislative, regulatory or administrative functions of or pertaining to government, and any corporation or other entity owned or controlled, through stock or capital ownership or otherwise, by any of the foregoing.</w:t>
      </w:r>
    </w:p>
    <w:p>
      <w:pPr>
        <w:spacing w:after="0" w:line="135" w:lineRule="exact"/>
        <w:rPr>
          <w:sz w:val="20"/>
          <w:szCs w:val="20"/>
          <w:color w:val="auto"/>
        </w:rPr>
      </w:pPr>
    </w:p>
    <w:p>
      <w:pPr>
        <w:jc w:val="both"/>
        <w:ind w:left="120" w:right="259" w:firstLine="350"/>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Guarantee</w:t>
      </w:r>
      <w:r>
        <w:rPr>
          <w:rFonts w:ascii="Times New Roman" w:cs="Times New Roman" w:eastAsia="Times New Roman" w:hAnsi="Times New Roman"/>
          <w:sz w:val="14"/>
          <w:szCs w:val="14"/>
          <w:color w:val="auto"/>
        </w:rPr>
        <w:t xml:space="preserve">” means a guarantee other than by endorsement of negotiable instruments for collection or deposit in the ordinary course of business, direct or indirect, in any manner including, without limitation, by way of a pledge of assets or through letters of credit or reimbursement agreements in respect thereof, of all or any part of any Indebtedness,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the pledge of any Government Operating Agreement with respect to any facility to secure Non-Recourse Project Financing Indebtedness related to such facility shall not be deemed a Guarantee.</w:t>
      </w:r>
    </w:p>
    <w:p>
      <w:pPr>
        <w:spacing w:after="0" w:line="13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Hedging Obligations</w:t>
      </w:r>
      <w:r>
        <w:rPr>
          <w:rFonts w:ascii="Times New Roman" w:cs="Times New Roman" w:eastAsia="Times New Roman" w:hAnsi="Times New Roman"/>
          <w:sz w:val="14"/>
          <w:szCs w:val="14"/>
          <w:color w:val="auto"/>
        </w:rPr>
        <w:t>” means, with respect to any specified Person, the obligations of such Person under:</w:t>
      </w:r>
    </w:p>
    <w:p>
      <w:pPr>
        <w:spacing w:after="0" w:line="97" w:lineRule="exact"/>
        <w:rPr>
          <w:sz w:val="20"/>
          <w:szCs w:val="20"/>
          <w:color w:val="auto"/>
        </w:rPr>
      </w:pPr>
    </w:p>
    <w:p>
      <w:pPr>
        <w:ind w:left="680" w:hanging="203"/>
        <w:spacing w:after="0"/>
        <w:tabs>
          <w:tab w:leader="none" w:pos="68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rate swap agreements, interest rate cap agreements and interest rate collar agreements;</w:t>
      </w:r>
    </w:p>
    <w:p>
      <w:pPr>
        <w:spacing w:after="0" w:line="182" w:lineRule="exact"/>
        <w:rPr>
          <w:rFonts w:ascii="Times New Roman" w:cs="Times New Roman" w:eastAsia="Times New Roman" w:hAnsi="Times New Roman"/>
          <w:sz w:val="14"/>
          <w:szCs w:val="14"/>
          <w:color w:val="auto"/>
        </w:rPr>
      </w:pPr>
    </w:p>
    <w:p>
      <w:pPr>
        <w:ind w:left="680" w:hanging="203"/>
        <w:spacing w:after="0"/>
        <w:tabs>
          <w:tab w:leader="none" w:pos="68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agreements or arrangements designed to protect such Person against fluctuations in interest rates; and</w:t>
      </w:r>
    </w:p>
    <w:p>
      <w:pPr>
        <w:spacing w:after="0" w:line="182" w:lineRule="exact"/>
        <w:rPr>
          <w:rFonts w:ascii="Times New Roman" w:cs="Times New Roman" w:eastAsia="Times New Roman" w:hAnsi="Times New Roman"/>
          <w:sz w:val="14"/>
          <w:szCs w:val="14"/>
          <w:color w:val="auto"/>
        </w:rPr>
      </w:pPr>
    </w:p>
    <w:p>
      <w:pPr>
        <w:ind w:left="120" w:right="459" w:firstLine="357"/>
        <w:spacing w:after="0" w:line="292" w:lineRule="auto"/>
        <w:tabs>
          <w:tab w:leader="none" w:pos="672"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foreign exchange contracts, currency swap agreements, currency option agreements and other agreements or arrangements with respect to foreign currency exchange rates.</w:t>
      </w:r>
    </w:p>
    <w:p>
      <w:pPr>
        <w:spacing w:after="0" w:line="1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Holder</w:t>
      </w:r>
      <w:r>
        <w:rPr>
          <w:rFonts w:ascii="Times New Roman" w:cs="Times New Roman" w:eastAsia="Times New Roman" w:hAnsi="Times New Roman"/>
          <w:sz w:val="14"/>
          <w:szCs w:val="14"/>
          <w:color w:val="auto"/>
        </w:rPr>
        <w:t>” means a Person in whose name a Security is registered.</w:t>
      </w:r>
    </w:p>
    <w:p>
      <w:pPr>
        <w:spacing w:after="0" w:line="1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Indebtedness</w:t>
      </w:r>
      <w:r>
        <w:rPr>
          <w:rFonts w:ascii="Times New Roman" w:cs="Times New Roman" w:eastAsia="Times New Roman" w:hAnsi="Times New Roman"/>
          <w:sz w:val="14"/>
          <w:szCs w:val="14"/>
          <w:color w:val="auto"/>
        </w:rPr>
        <w:t>” means, with respect to any specified Person, any indebtedness of such Person, whether or not contingent:</w:t>
      </w:r>
    </w:p>
    <w:p>
      <w:pPr>
        <w:spacing w:after="0" w:line="97" w:lineRule="exact"/>
        <w:rPr>
          <w:sz w:val="20"/>
          <w:szCs w:val="20"/>
          <w:color w:val="auto"/>
        </w:rPr>
      </w:pPr>
    </w:p>
    <w:p>
      <w:pPr>
        <w:ind w:left="680" w:hanging="203"/>
        <w:spacing w:after="0"/>
        <w:tabs>
          <w:tab w:leader="none" w:pos="68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respect of borrowed money;</w:t>
      </w:r>
    </w:p>
    <w:p>
      <w:pPr>
        <w:spacing w:after="0" w:line="182" w:lineRule="exact"/>
        <w:rPr>
          <w:rFonts w:ascii="Times New Roman" w:cs="Times New Roman" w:eastAsia="Times New Roman" w:hAnsi="Times New Roman"/>
          <w:sz w:val="14"/>
          <w:szCs w:val="14"/>
          <w:color w:val="auto"/>
        </w:rPr>
      </w:pPr>
    </w:p>
    <w:p>
      <w:pPr>
        <w:ind w:left="680" w:hanging="203"/>
        <w:spacing w:after="0"/>
        <w:tabs>
          <w:tab w:leader="none" w:pos="68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evidenced by bonds, notes, debentures or similar instruments or letters of credit (or reimbursement agreements in respect thereof);</w:t>
      </w:r>
    </w:p>
    <w:p>
      <w:pPr>
        <w:spacing w:after="0" w:line="182" w:lineRule="exact"/>
        <w:rPr>
          <w:rFonts w:ascii="Times New Roman" w:cs="Times New Roman" w:eastAsia="Times New Roman" w:hAnsi="Times New Roman"/>
          <w:sz w:val="14"/>
          <w:szCs w:val="14"/>
          <w:color w:val="auto"/>
        </w:rPr>
      </w:pPr>
    </w:p>
    <w:p>
      <w:pPr>
        <w:ind w:left="680" w:hanging="203"/>
        <w:spacing w:after="0"/>
        <w:tabs>
          <w:tab w:leader="none" w:pos="68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respect of banker’s acceptances;</w:t>
      </w:r>
    </w:p>
    <w:p>
      <w:pPr>
        <w:spacing w:after="0" w:line="182" w:lineRule="exact"/>
        <w:rPr>
          <w:rFonts w:ascii="Times New Roman" w:cs="Times New Roman" w:eastAsia="Times New Roman" w:hAnsi="Times New Roman"/>
          <w:sz w:val="14"/>
          <w:szCs w:val="14"/>
          <w:color w:val="auto"/>
        </w:rPr>
      </w:pPr>
    </w:p>
    <w:p>
      <w:pPr>
        <w:ind w:left="680" w:hanging="203"/>
        <w:spacing w:after="0"/>
        <w:tabs>
          <w:tab w:leader="none" w:pos="68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representing Finance Lease Obligations;</w:t>
      </w:r>
    </w:p>
    <w:p>
      <w:pPr>
        <w:spacing w:after="0" w:line="182" w:lineRule="exact"/>
        <w:rPr>
          <w:rFonts w:ascii="Times New Roman" w:cs="Times New Roman" w:eastAsia="Times New Roman" w:hAnsi="Times New Roman"/>
          <w:sz w:val="14"/>
          <w:szCs w:val="14"/>
          <w:color w:val="auto"/>
        </w:rPr>
      </w:pPr>
    </w:p>
    <w:p>
      <w:pPr>
        <w:ind w:left="120" w:right="619" w:firstLine="357"/>
        <w:spacing w:after="0" w:line="292" w:lineRule="auto"/>
        <w:tabs>
          <w:tab w:leader="none" w:pos="672"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representing the balance deferred and unpaid of the purchase price of any property, except any such balance that constitutes an accrued expense or trade payable; or</w:t>
      </w:r>
    </w:p>
    <w:p>
      <w:pPr>
        <w:spacing w:after="0" w:line="123" w:lineRule="exact"/>
        <w:rPr>
          <w:rFonts w:ascii="Times New Roman" w:cs="Times New Roman" w:eastAsia="Times New Roman" w:hAnsi="Times New Roman"/>
          <w:sz w:val="14"/>
          <w:szCs w:val="14"/>
          <w:color w:val="auto"/>
        </w:rPr>
      </w:pPr>
    </w:p>
    <w:p>
      <w:pPr>
        <w:ind w:left="680" w:hanging="203"/>
        <w:spacing w:after="0"/>
        <w:tabs>
          <w:tab w:leader="none" w:pos="68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representing any Hedging Obligations,</w:t>
      </w:r>
    </w:p>
    <w:p>
      <w:pPr>
        <w:spacing w:after="0" w:line="182" w:lineRule="exact"/>
        <w:rPr>
          <w:sz w:val="20"/>
          <w:szCs w:val="20"/>
          <w:color w:val="auto"/>
        </w:rPr>
      </w:pPr>
    </w:p>
    <w:p>
      <w:pPr>
        <w:ind w:left="120" w:right="259"/>
        <w:spacing w:after="0" w:line="263" w:lineRule="auto"/>
        <w:rPr>
          <w:sz w:val="20"/>
          <w:szCs w:val="20"/>
          <w:color w:val="auto"/>
        </w:rPr>
      </w:pPr>
      <w:r>
        <w:rPr>
          <w:rFonts w:ascii="Times New Roman" w:cs="Times New Roman" w:eastAsia="Times New Roman" w:hAnsi="Times New Roman"/>
          <w:sz w:val="14"/>
          <w:szCs w:val="14"/>
          <w:color w:val="auto"/>
        </w:rPr>
        <w:t xml:space="preserve">if and to the extent any of the preceding items (other than letters of credit and Hedging Obligations) would appear as a liability upon a balance sheet of the specified Person prepared in accordance with GAAP. In addition, the term “Indebtedness” includes all Indebtedness of others secured by a Lien on any asset of the specified Person (whether or not such Indebtedness is assumed by the specified Person;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the pledge of any Government Operating Agreement to secure Non-Recourse Project Financing Indebtedness related to the facility that is the subject of such Government Operating Agreement shall not be deemed Indebtedness) and, to the extent not otherwise included, the Guarantee by the specified Person of any Indebtedness of any other Person.</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243" w:right="1440" w:bottom="1440" w:gutter="0" w:footer="0" w:header="0"/>
        </w:sectPr>
      </w:pPr>
    </w:p>
    <w:bookmarkStart w:id="185" w:name="page186"/>
    <w:bookmarkEnd w:id="185"/>
    <w:p>
      <w:pPr>
        <w:ind w:left="1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4">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The amount of any Indebtedness outstanding as of any date will be:</w:t>
      </w:r>
    </w:p>
    <w:p>
      <w:pPr>
        <w:spacing w:after="0" w:line="97" w:lineRule="exact"/>
        <w:rPr>
          <w:sz w:val="20"/>
          <w:szCs w:val="20"/>
          <w:color w:val="auto"/>
        </w:rPr>
      </w:pPr>
    </w:p>
    <w:p>
      <w:pPr>
        <w:ind w:left="680" w:hanging="203"/>
        <w:spacing w:after="0"/>
        <w:tabs>
          <w:tab w:leader="none" w:pos="68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accreted value of the Indebtedness, in the case of any Indebtedness issued with original issue discount; and</w:t>
      </w:r>
    </w:p>
    <w:p>
      <w:pPr>
        <w:spacing w:after="0" w:line="182" w:lineRule="exact"/>
        <w:rPr>
          <w:rFonts w:ascii="Times New Roman" w:cs="Times New Roman" w:eastAsia="Times New Roman" w:hAnsi="Times New Roman"/>
          <w:sz w:val="14"/>
          <w:szCs w:val="14"/>
          <w:color w:val="auto"/>
        </w:rPr>
      </w:pPr>
    </w:p>
    <w:p>
      <w:pPr>
        <w:ind w:left="120" w:right="259" w:firstLine="357"/>
        <w:spacing w:after="0" w:line="292" w:lineRule="auto"/>
        <w:tabs>
          <w:tab w:leader="none" w:pos="672"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principal amount of the Indebtedness, together with any interest on the Indebtedness that is more than 30 days past due, in the case of any other Indebtedness.</w:t>
      </w:r>
    </w:p>
    <w:p>
      <w:pPr>
        <w:spacing w:after="0" w:line="123" w:lineRule="exact"/>
        <w:rPr>
          <w:sz w:val="20"/>
          <w:szCs w:val="20"/>
          <w:color w:val="auto"/>
        </w:rPr>
      </w:pPr>
    </w:p>
    <w:p>
      <w:pPr>
        <w:ind w:left="120" w:right="679" w:firstLine="350"/>
        <w:spacing w:after="0" w:line="29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Indenture</w:t>
      </w:r>
      <w:r>
        <w:rPr>
          <w:rFonts w:ascii="Times New Roman" w:cs="Times New Roman" w:eastAsia="Times New Roman" w:hAnsi="Times New Roman"/>
          <w:sz w:val="14"/>
          <w:szCs w:val="14"/>
          <w:color w:val="auto"/>
        </w:rPr>
        <w:t>” means this instrument as originally executed (including all exhibits and schedules thereto) and as it may from time to time be supplemented or amended by one or more indentures supplemental hereto entered into pursuant to the applicable provisions hereof.</w:t>
      </w:r>
    </w:p>
    <w:p>
      <w:pPr>
        <w:spacing w:after="0" w:line="123" w:lineRule="exact"/>
        <w:rPr>
          <w:sz w:val="20"/>
          <w:szCs w:val="20"/>
          <w:color w:val="auto"/>
        </w:rPr>
      </w:pPr>
    </w:p>
    <w:p>
      <w:pPr>
        <w:ind w:left="120" w:right="179" w:firstLine="350"/>
        <w:spacing w:after="0" w:line="29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Interest Payment Date</w:t>
      </w:r>
      <w:r>
        <w:rPr>
          <w:rFonts w:ascii="Times New Roman" w:cs="Times New Roman" w:eastAsia="Times New Roman" w:hAnsi="Times New Roman"/>
          <w:sz w:val="14"/>
          <w:szCs w:val="14"/>
          <w:color w:val="auto"/>
        </w:rPr>
        <w:t>” means, with respect to any Security, the Stated Maturity of an installment of interest on such Security, as set forth in such Security.</w:t>
      </w:r>
    </w:p>
    <w:p>
      <w:pPr>
        <w:spacing w:after="0" w:line="123" w:lineRule="exact"/>
        <w:rPr>
          <w:sz w:val="20"/>
          <w:szCs w:val="20"/>
          <w:color w:val="auto"/>
        </w:rPr>
      </w:pPr>
    </w:p>
    <w:p>
      <w:pPr>
        <w:ind w:left="120" w:right="159" w:firstLine="350"/>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Investments</w:t>
      </w:r>
      <w:r>
        <w:rPr>
          <w:rFonts w:ascii="Times New Roman" w:cs="Times New Roman" w:eastAsia="Times New Roman" w:hAnsi="Times New Roman"/>
          <w:sz w:val="14"/>
          <w:szCs w:val="14"/>
          <w:color w:val="auto"/>
        </w:rPr>
        <w:t xml:space="preserve">” means, with respect to any Person, all direct or indirect investments by such Person in other Persons (including Affiliates) in the forms of loans (including Guarantees or other obligations), advances or capital contributions (excluding commission, travel and similar advances to officers and employees made in the ordinary course of business), purchases or other acquisitions for consideration of Indebtedness, Equity Interests or other securities, together with all items that are or would be classified as investments on a balance sheet prepared in accordance with GAAP and including the designation of a Restricted Subsidiary as an Unrestricted Subsidiary. If the Company or any Restricted Subsidiary of the Company sells or otherwise disposes of any Equity Interests of any direct or indirect Restricted Subsidiary of the Company such that, after giving effect to any such sale or disposition, such Person is no longer a Restricted Subsidiary of the Company, the Company will be deemed to have made an Investment on the date of any such sale or disposition equal to the fair market value of all Investments in such Restricted Subsidiary not sold or disposed of in an amount determined as may be provided pursuant to </w:t>
      </w:r>
      <w:r>
        <w:rPr>
          <w:rFonts w:ascii="Times New Roman" w:cs="Times New Roman" w:eastAsia="Times New Roman" w:hAnsi="Times New Roman"/>
          <w:sz w:val="14"/>
          <w:szCs w:val="14"/>
          <w:u w:val="single" w:color="auto"/>
          <w:color w:val="auto"/>
        </w:rPr>
        <w:t>Section 3.01</w:t>
      </w:r>
      <w:r>
        <w:rPr>
          <w:rFonts w:ascii="Times New Roman" w:cs="Times New Roman" w:eastAsia="Times New Roman" w:hAnsi="Times New Roman"/>
          <w:sz w:val="14"/>
          <w:szCs w:val="14"/>
          <w:color w:val="auto"/>
        </w:rPr>
        <w:t xml:space="preserve"> or in any amendment or supplemental indenture hereto. The acquisition by the Company or any Restricted Subsidiary of the Company of a Person that holds an Investment in a third Person will be deemed to be an Investment by the Company or such Restricted Subsidiary in such third Person in an amount equal to the fair market value of the Investment held by the acquired Person in such third Person in an amount determined as may be provided pursuant to </w:t>
      </w:r>
      <w:r>
        <w:rPr>
          <w:rFonts w:ascii="Times New Roman" w:cs="Times New Roman" w:eastAsia="Times New Roman" w:hAnsi="Times New Roman"/>
          <w:sz w:val="14"/>
          <w:szCs w:val="14"/>
          <w:u w:val="single" w:color="auto"/>
          <w:color w:val="auto"/>
        </w:rPr>
        <w:t>Section 3.01</w:t>
      </w:r>
      <w:r>
        <w:rPr>
          <w:rFonts w:ascii="Times New Roman" w:cs="Times New Roman" w:eastAsia="Times New Roman" w:hAnsi="Times New Roman"/>
          <w:sz w:val="14"/>
          <w:szCs w:val="14"/>
          <w:color w:val="auto"/>
        </w:rPr>
        <w:t xml:space="preserve"> or in any amendment or supplemental indenture hereto.</w:t>
      </w:r>
    </w:p>
    <w:p>
      <w:pPr>
        <w:spacing w:after="0" w:line="147" w:lineRule="exact"/>
        <w:rPr>
          <w:sz w:val="20"/>
          <w:szCs w:val="20"/>
          <w:color w:val="auto"/>
        </w:rPr>
      </w:pPr>
    </w:p>
    <w:p>
      <w:pPr>
        <w:ind w:left="120" w:right="259" w:firstLine="350"/>
        <w:spacing w:after="0" w:line="27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Legal Holiday</w:t>
      </w:r>
      <w:r>
        <w:rPr>
          <w:rFonts w:ascii="Times New Roman" w:cs="Times New Roman" w:eastAsia="Times New Roman" w:hAnsi="Times New Roman"/>
          <w:sz w:val="14"/>
          <w:szCs w:val="14"/>
          <w:color w:val="auto"/>
        </w:rPr>
        <w:t>” means a Saturday, a Sunday or a day on which banking institutions in The City of New York or at a place of payment are authorized by law, regulation or executive order to remain closed. If a payment date is a Legal Holiday at a place of payment, payment may be made at that place on the next succeeding day that is not a Legal Holiday, and no interest shall accrue on such payment for the intervening period.</w:t>
      </w:r>
    </w:p>
    <w:p>
      <w:pPr>
        <w:spacing w:after="0" w:line="135" w:lineRule="exact"/>
        <w:rPr>
          <w:sz w:val="20"/>
          <w:szCs w:val="20"/>
          <w:color w:val="auto"/>
        </w:rPr>
      </w:pPr>
    </w:p>
    <w:p>
      <w:pPr>
        <w:ind w:left="120" w:right="199" w:firstLine="350"/>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Lien</w:t>
      </w:r>
      <w:r>
        <w:rPr>
          <w:rFonts w:ascii="Times New Roman" w:cs="Times New Roman" w:eastAsia="Times New Roman" w:hAnsi="Times New Roman"/>
          <w:sz w:val="14"/>
          <w:szCs w:val="14"/>
          <w:color w:val="auto"/>
        </w:rPr>
        <w:t>” means, with respect to any asset, any mortgage, lien, pledge, charge, security interest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w:t>
      </w:r>
    </w:p>
    <w:p>
      <w:pPr>
        <w:spacing w:after="0" w:line="139" w:lineRule="exact"/>
        <w:rPr>
          <w:sz w:val="20"/>
          <w:szCs w:val="20"/>
          <w:color w:val="auto"/>
        </w:rPr>
      </w:pPr>
    </w:p>
    <w:p>
      <w:pPr>
        <w:ind w:left="120" w:right="319" w:firstLine="350"/>
        <w:spacing w:after="0" w:line="27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Maturity</w:t>
      </w:r>
      <w:r>
        <w:rPr>
          <w:rFonts w:ascii="Times New Roman" w:cs="Times New Roman" w:eastAsia="Times New Roman" w:hAnsi="Times New Roman"/>
          <w:sz w:val="14"/>
          <w:szCs w:val="14"/>
          <w:color w:val="auto"/>
        </w:rPr>
        <w:t>” means, when used with respect to any Security, the date on which the principal of such Security becomes due and payable as therein provided or as provided in this Indenture or any supplement or amendment hereto, whether at Stated Maturity by declaration of acceleration, call for redemption or otherwise.</w:t>
      </w:r>
    </w:p>
    <w:p>
      <w:pPr>
        <w:spacing w:after="0" w:line="13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Moody’s</w:t>
      </w:r>
      <w:r>
        <w:rPr>
          <w:rFonts w:ascii="Times New Roman" w:cs="Times New Roman" w:eastAsia="Times New Roman" w:hAnsi="Times New Roman"/>
          <w:sz w:val="14"/>
          <w:szCs w:val="14"/>
          <w:color w:val="auto"/>
        </w:rPr>
        <w:t>” means Moody’s Investors Service, Inc.</w:t>
      </w:r>
    </w:p>
    <w:p>
      <w:pPr>
        <w:spacing w:after="0" w:line="182" w:lineRule="exact"/>
        <w:rPr>
          <w:sz w:val="20"/>
          <w:szCs w:val="20"/>
          <w:color w:val="auto"/>
        </w:rPr>
      </w:pPr>
    </w:p>
    <w:p>
      <w:pPr>
        <w:ind w:left="120" w:right="279" w:firstLine="350"/>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Non-Recourse Project Financing Indebtedness</w:t>
      </w:r>
      <w:r>
        <w:rPr>
          <w:rFonts w:ascii="Times New Roman" w:cs="Times New Roman" w:eastAsia="Times New Roman" w:hAnsi="Times New Roman"/>
          <w:sz w:val="14"/>
          <w:szCs w:val="14"/>
          <w:color w:val="auto"/>
        </w:rPr>
        <w:t>” means any Indebtedness of a Subsidiary (the “</w:t>
      </w:r>
      <w:r>
        <w:rPr>
          <w:rFonts w:ascii="Times New Roman" w:cs="Times New Roman" w:eastAsia="Times New Roman" w:hAnsi="Times New Roman"/>
          <w:sz w:val="14"/>
          <w:szCs w:val="14"/>
          <w:u w:val="single" w:color="auto"/>
          <w:color w:val="auto"/>
        </w:rPr>
        <w:t>Project Financing Subsidiary</w:t>
      </w:r>
      <w:r>
        <w:rPr>
          <w:rFonts w:ascii="Times New Roman" w:cs="Times New Roman" w:eastAsia="Times New Roman" w:hAnsi="Times New Roman"/>
          <w:sz w:val="14"/>
          <w:szCs w:val="14"/>
          <w:color w:val="auto"/>
        </w:rPr>
        <w:t>”) incurred in connection with the acquisition, construction or development of any facility (and any Attributable Debt in respect of a Sale and Leaseback Transaction entered into in connection with (i) the acquisition, construction or development of any facility by the Company and its Restricted Subsidiaries after the date of this Indenture or (ii) any vacant land upon which a facility related to any Permitted Business is to be built):</w:t>
      </w:r>
    </w:p>
    <w:p>
      <w:pPr>
        <w:spacing w:after="0" w:line="53" w:lineRule="exact"/>
        <w:rPr>
          <w:sz w:val="20"/>
          <w:szCs w:val="20"/>
          <w:color w:val="auto"/>
        </w:rPr>
      </w:pPr>
    </w:p>
    <w:p>
      <w:pPr>
        <w:ind w:left="120" w:right="459" w:firstLine="357"/>
        <w:spacing w:after="0" w:line="292" w:lineRule="auto"/>
        <w:tabs>
          <w:tab w:leader="none" w:pos="672"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either the Company, a Restricted Subsidiary or such Project Financing Subsidiary operates or is responsible for the operation of the facility pursuant to a Government Operating Agreement;</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243" w:right="1440" w:bottom="1440" w:gutter="0" w:footer="0" w:header="0"/>
        </w:sectPr>
      </w:pPr>
    </w:p>
    <w:bookmarkStart w:id="186" w:name="page187"/>
    <w:bookmarkEnd w:id="186"/>
    <w:p>
      <w:pPr>
        <w:ind w:left="120" w:right="139" w:firstLine="357"/>
        <w:spacing w:after="0" w:line="265" w:lineRule="auto"/>
        <w:tabs>
          <w:tab w:leader="none" w:pos="672"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5">
                      <a:extLst>
                        <a:ext uri="{28A0092B-C50C-407E-A947-70E740481C1C}"/>
                      </a:extLst>
                    </a:blip>
                    <a:srcRect/>
                    <a:stretch>
                      <a:fillRect/>
                    </a:stretch>
                  </pic:blipFill>
                  <pic:spPr bwMode="auto">
                    <a:xfrm>
                      <a:off x="0" y="0"/>
                      <a:ext cx="7199630" cy="33020"/>
                    </a:xfrm>
                    <a:prstGeom prst="rect">
                      <a:avLst/>
                    </a:prstGeom>
                    <a:noFill/>
                  </pic:spPr>
                </pic:pic>
              </a:graphicData>
            </a:graphic>
          </wp:anchor>
        </w:drawing>
        <w:t>as to which neither the Company nor any of its Restricted Subsidiaries, other than such Project Financing Subsidiary, (a) provides credit support of any kind (including any undertaking, agreement or instrument that would constitute Indebtedness or Attributable Debt), it being understood that neither (i) equity Investments funded at the time of or prior to the incurrence of such Indebtedness or Attributable Debt, nor (ii) the pledge by the Company or any Restricted Subsidiary of the Government Operating Agreement relating to such facility shall be deemed credit support or an Investment or (b) is directly or indirectly liable as a guarantor or otherwise;</w:t>
      </w:r>
    </w:p>
    <w:p>
      <w:pPr>
        <w:spacing w:after="0" w:line="141" w:lineRule="exact"/>
        <w:rPr>
          <w:rFonts w:ascii="Times New Roman" w:cs="Times New Roman" w:eastAsia="Times New Roman" w:hAnsi="Times New Roman"/>
          <w:sz w:val="14"/>
          <w:szCs w:val="14"/>
          <w:color w:val="auto"/>
        </w:rPr>
      </w:pPr>
    </w:p>
    <w:p>
      <w:pPr>
        <w:jc w:val="both"/>
        <w:ind w:left="120" w:right="279" w:firstLine="357"/>
        <w:spacing w:after="0" w:line="274" w:lineRule="auto"/>
        <w:tabs>
          <w:tab w:leader="none" w:pos="672"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upon the termination of the management services contract with respect to such facility, neither the Company nor any of its Restricted Subsidiaries, other than the Project Financing Subsidiary, will be liable, directly or indirectly, to make any payments with respect to such Indebtedness or Attributable Debt (or, in each case, any portion thereof);</w:t>
      </w:r>
    </w:p>
    <w:p>
      <w:pPr>
        <w:spacing w:after="0" w:line="135" w:lineRule="exact"/>
        <w:rPr>
          <w:rFonts w:ascii="Times New Roman" w:cs="Times New Roman" w:eastAsia="Times New Roman" w:hAnsi="Times New Roman"/>
          <w:sz w:val="14"/>
          <w:szCs w:val="14"/>
          <w:color w:val="auto"/>
        </w:rPr>
      </w:pPr>
    </w:p>
    <w:p>
      <w:pPr>
        <w:ind w:left="120" w:right="479" w:firstLine="357"/>
        <w:spacing w:after="0" w:line="292" w:lineRule="auto"/>
        <w:tabs>
          <w:tab w:leader="none" w:pos="672"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expense related to such Indebtedness or Attributable Debt is fully serviced by a payment pursuant to a Government Operating Agreement with respect to such facility (the “</w:t>
      </w:r>
      <w:r>
        <w:rPr>
          <w:rFonts w:ascii="Times New Roman" w:cs="Times New Roman" w:eastAsia="Times New Roman" w:hAnsi="Times New Roman"/>
          <w:sz w:val="14"/>
          <w:szCs w:val="14"/>
          <w:u w:val="single" w:color="auto"/>
          <w:color w:val="auto"/>
        </w:rPr>
        <w:t>Non-Recourse Interest Payment</w:t>
      </w:r>
      <w:r>
        <w:rPr>
          <w:rFonts w:ascii="Times New Roman" w:cs="Times New Roman" w:eastAsia="Times New Roman" w:hAnsi="Times New Roman"/>
          <w:sz w:val="14"/>
          <w:szCs w:val="14"/>
          <w:color w:val="auto"/>
        </w:rPr>
        <w:t>”); and</w:t>
      </w:r>
    </w:p>
    <w:p>
      <w:pPr>
        <w:spacing w:after="0" w:line="123" w:lineRule="exact"/>
        <w:rPr>
          <w:rFonts w:ascii="Times New Roman" w:cs="Times New Roman" w:eastAsia="Times New Roman" w:hAnsi="Times New Roman"/>
          <w:sz w:val="14"/>
          <w:szCs w:val="14"/>
          <w:color w:val="auto"/>
        </w:rPr>
      </w:pPr>
    </w:p>
    <w:p>
      <w:pPr>
        <w:ind w:left="120" w:right="319" w:firstLine="357"/>
        <w:spacing w:after="0" w:line="292" w:lineRule="auto"/>
        <w:tabs>
          <w:tab w:leader="none" w:pos="672"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Project Financing Subsidiary has no assets other than the assets, including any ownership or leasehold interests in such facility and any working capital, reasonably related to the design, construction, management and financing of the facility.</w:t>
      </w:r>
    </w:p>
    <w:p>
      <w:pPr>
        <w:spacing w:after="0" w:line="123" w:lineRule="exact"/>
        <w:rPr>
          <w:sz w:val="20"/>
          <w:szCs w:val="20"/>
          <w:color w:val="auto"/>
        </w:rPr>
      </w:pPr>
    </w:p>
    <w:p>
      <w:pPr>
        <w:ind w:left="120" w:right="279" w:firstLine="350"/>
        <w:spacing w:after="0" w:line="27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Officer</w:t>
      </w:r>
      <w:r>
        <w:rPr>
          <w:rFonts w:ascii="Times New Roman" w:cs="Times New Roman" w:eastAsia="Times New Roman" w:hAnsi="Times New Roman"/>
          <w:sz w:val="14"/>
          <w:szCs w:val="14"/>
          <w:color w:val="auto"/>
        </w:rPr>
        <w:t>” means, with respect to any Person, the Chairman of the Board of Directors, the Chief Executive Officer, the President, the Chief Operating Officer, the Chief Financial Officer, the Treasurer, any Assistant Treasurer, the Controller, the Secretary, an Assistant Secretary or any Vice-President (whether or not designated by a number or numbers or word or words added before or after the title “Vice President”) of such Person.</w:t>
      </w:r>
    </w:p>
    <w:p>
      <w:pPr>
        <w:spacing w:after="0" w:line="135" w:lineRule="exact"/>
        <w:rPr>
          <w:sz w:val="20"/>
          <w:szCs w:val="20"/>
          <w:color w:val="auto"/>
        </w:rPr>
      </w:pPr>
    </w:p>
    <w:p>
      <w:pPr>
        <w:ind w:left="120" w:right="159" w:firstLine="350"/>
        <w:spacing w:after="0" w:line="27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Officers’ Certificate</w:t>
      </w:r>
      <w:r>
        <w:rPr>
          <w:rFonts w:ascii="Times New Roman" w:cs="Times New Roman" w:eastAsia="Times New Roman" w:hAnsi="Times New Roman"/>
          <w:sz w:val="14"/>
          <w:szCs w:val="14"/>
          <w:color w:val="auto"/>
        </w:rPr>
        <w:t xml:space="preserve">” means a certificate signed on behalf of the Company by at least two Officers of the Company, one of whom must be the principal executive officer, the principal financial officer or the principal accounting officer of the Company, that meets the requirements of </w:t>
      </w:r>
      <w:r>
        <w:rPr>
          <w:rFonts w:ascii="Times New Roman" w:cs="Times New Roman" w:eastAsia="Times New Roman" w:hAnsi="Times New Roman"/>
          <w:sz w:val="14"/>
          <w:szCs w:val="14"/>
          <w:u w:val="single" w:color="auto"/>
          <w:color w:val="auto"/>
        </w:rPr>
        <w:t>Section 1.03</w:t>
      </w:r>
      <w:r>
        <w:rPr>
          <w:rFonts w:ascii="Times New Roman" w:cs="Times New Roman" w:eastAsia="Times New Roman" w:hAnsi="Times New Roman"/>
          <w:sz w:val="14"/>
          <w:szCs w:val="14"/>
          <w:color w:val="auto"/>
        </w:rPr>
        <w:t xml:space="preserve"> hereof.</w:t>
      </w:r>
    </w:p>
    <w:p>
      <w:pPr>
        <w:spacing w:after="0" w:line="135" w:lineRule="exact"/>
        <w:rPr>
          <w:sz w:val="20"/>
          <w:szCs w:val="20"/>
          <w:color w:val="auto"/>
        </w:rPr>
      </w:pPr>
    </w:p>
    <w:p>
      <w:pPr>
        <w:ind w:left="120" w:right="819" w:firstLine="350"/>
        <w:spacing w:after="0" w:line="29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Opinion of Counsel</w:t>
      </w:r>
      <w:r>
        <w:rPr>
          <w:rFonts w:ascii="Times New Roman" w:cs="Times New Roman" w:eastAsia="Times New Roman" w:hAnsi="Times New Roman"/>
          <w:sz w:val="14"/>
          <w:szCs w:val="14"/>
          <w:color w:val="auto"/>
        </w:rPr>
        <w:t xml:space="preserve">” means an opinion from legal counsel who is reasonably acceptable to the Trustee, that meets the requirements of </w:t>
      </w:r>
      <w:r>
        <w:rPr>
          <w:rFonts w:ascii="Times New Roman" w:cs="Times New Roman" w:eastAsia="Times New Roman" w:hAnsi="Times New Roman"/>
          <w:sz w:val="14"/>
          <w:szCs w:val="14"/>
          <w:u w:val="single" w:color="auto"/>
          <w:color w:val="auto"/>
        </w:rPr>
        <w:t>Section 1.03</w:t>
      </w:r>
      <w:r>
        <w:rPr>
          <w:rFonts w:ascii="Times New Roman" w:cs="Times New Roman" w:eastAsia="Times New Roman" w:hAnsi="Times New Roman"/>
          <w:sz w:val="14"/>
          <w:szCs w:val="14"/>
          <w:color w:val="auto"/>
        </w:rPr>
        <w:t xml:space="preserve"> hereof. The counsel may be an employee of or counsel to the Company or any Subsidiary of the Company.</w:t>
      </w:r>
    </w:p>
    <w:p>
      <w:pPr>
        <w:spacing w:after="0" w:line="123" w:lineRule="exact"/>
        <w:rPr>
          <w:sz w:val="20"/>
          <w:szCs w:val="20"/>
          <w:color w:val="auto"/>
        </w:rPr>
      </w:pPr>
    </w:p>
    <w:p>
      <w:pPr>
        <w:ind w:left="120" w:right="839" w:firstLine="350"/>
        <w:spacing w:after="0" w:line="29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Outstanding</w:t>
      </w:r>
      <w:r>
        <w:rPr>
          <w:rFonts w:ascii="Times New Roman" w:cs="Times New Roman" w:eastAsia="Times New Roman" w:hAnsi="Times New Roman"/>
          <w:sz w:val="14"/>
          <w:szCs w:val="14"/>
          <w:color w:val="auto"/>
        </w:rPr>
        <w:t>” when used with respect to any series of Securities means, as of the date of determination, all such Securities theretofore authenticated and delivered under this Indenture, except:</w:t>
      </w:r>
    </w:p>
    <w:p>
      <w:pPr>
        <w:spacing w:after="0" w:line="37" w:lineRule="exact"/>
        <w:rPr>
          <w:sz w:val="20"/>
          <w:szCs w:val="20"/>
          <w:color w:val="auto"/>
        </w:rPr>
      </w:pPr>
    </w:p>
    <w:p>
      <w:pPr>
        <w:ind w:left="680" w:hanging="203"/>
        <w:spacing w:after="0"/>
        <w:tabs>
          <w:tab w:leader="none" w:pos="68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Securities theretofore canceled by the Trustee or delivered to the Trustee for cancellation;</w:t>
      </w:r>
    </w:p>
    <w:p>
      <w:pPr>
        <w:spacing w:after="0" w:line="182" w:lineRule="exact"/>
        <w:rPr>
          <w:rFonts w:ascii="Times New Roman" w:cs="Times New Roman" w:eastAsia="Times New Roman" w:hAnsi="Times New Roman"/>
          <w:sz w:val="14"/>
          <w:szCs w:val="14"/>
          <w:color w:val="auto"/>
        </w:rPr>
      </w:pPr>
    </w:p>
    <w:p>
      <w:pPr>
        <w:ind w:left="120" w:right="159" w:firstLine="357"/>
        <w:spacing w:after="0" w:line="292" w:lineRule="auto"/>
        <w:tabs>
          <w:tab w:leader="none" w:pos="672"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reduction in principal amount of a Global Security, which has been reduced by the Trustee pursuant to </w:t>
      </w:r>
      <w:r>
        <w:rPr>
          <w:rFonts w:ascii="Times New Roman" w:cs="Times New Roman" w:eastAsia="Times New Roman" w:hAnsi="Times New Roman"/>
          <w:sz w:val="14"/>
          <w:szCs w:val="14"/>
          <w:u w:val="single" w:color="auto"/>
          <w:color w:val="auto"/>
        </w:rPr>
        <w:t>Section 3.06</w:t>
      </w:r>
      <w:r>
        <w:rPr>
          <w:rFonts w:ascii="Times New Roman" w:cs="Times New Roman" w:eastAsia="Times New Roman" w:hAnsi="Times New Roman"/>
          <w:sz w:val="14"/>
          <w:szCs w:val="14"/>
          <w:color w:val="auto"/>
        </w:rPr>
        <w:t xml:space="preserve"> or any other applicable provision of this Indenture or any indenture supplemental hereto;</w:t>
      </w:r>
    </w:p>
    <w:p>
      <w:pPr>
        <w:spacing w:after="0" w:line="123" w:lineRule="exact"/>
        <w:rPr>
          <w:rFonts w:ascii="Times New Roman" w:cs="Times New Roman" w:eastAsia="Times New Roman" w:hAnsi="Times New Roman"/>
          <w:sz w:val="14"/>
          <w:szCs w:val="14"/>
          <w:color w:val="auto"/>
        </w:rPr>
      </w:pPr>
    </w:p>
    <w:p>
      <w:pPr>
        <w:ind w:left="120" w:right="139" w:firstLine="357"/>
        <w:spacing w:after="0" w:line="268" w:lineRule="auto"/>
        <w:tabs>
          <w:tab w:leader="none" w:pos="664"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Securities, or portions thereof, for whose payment or redemption money in the necessary amount has been theretofore deposited with the Trustee or any Paying Agent (other than the Company or any Affiliate thereof) in trust for the Holders of such Securities; provided that if such Securities are to be redeemed, notice of such redemption has been duly given pursuant to this Indenture or provision therefor reasonably satisfactory to the Trustee has been made;</w:t>
      </w:r>
    </w:p>
    <w:p>
      <w:pPr>
        <w:spacing w:after="0" w:line="139" w:lineRule="exact"/>
        <w:rPr>
          <w:rFonts w:ascii="Times New Roman" w:cs="Times New Roman" w:eastAsia="Times New Roman" w:hAnsi="Times New Roman"/>
          <w:sz w:val="14"/>
          <w:szCs w:val="14"/>
          <w:color w:val="auto"/>
        </w:rPr>
      </w:pPr>
    </w:p>
    <w:p>
      <w:pPr>
        <w:ind w:left="120" w:right="779" w:firstLine="357"/>
        <w:spacing w:after="0" w:line="292" w:lineRule="auto"/>
        <w:tabs>
          <w:tab w:leader="none" w:pos="672"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Securities, to the extent provided in </w:t>
      </w:r>
      <w:r>
        <w:rPr>
          <w:rFonts w:ascii="Times New Roman" w:cs="Times New Roman" w:eastAsia="Times New Roman" w:hAnsi="Times New Roman"/>
          <w:sz w:val="14"/>
          <w:szCs w:val="14"/>
          <w:u w:val="single" w:color="auto"/>
          <w:color w:val="auto"/>
        </w:rPr>
        <w:t>Sections 4.02</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4.03</w:t>
      </w:r>
      <w:r>
        <w:rPr>
          <w:rFonts w:ascii="Times New Roman" w:cs="Times New Roman" w:eastAsia="Times New Roman" w:hAnsi="Times New Roman"/>
          <w:sz w:val="14"/>
          <w:szCs w:val="14"/>
          <w:color w:val="auto"/>
        </w:rPr>
        <w:t xml:space="preserve">, with respect to which the Company has effected defeasance or covenant defeasance as provided in </w:t>
      </w:r>
      <w:r>
        <w:rPr>
          <w:rFonts w:ascii="Times New Roman" w:cs="Times New Roman" w:eastAsia="Times New Roman" w:hAnsi="Times New Roman"/>
          <w:sz w:val="14"/>
          <w:szCs w:val="14"/>
          <w:u w:val="single" w:color="auto"/>
          <w:color w:val="auto"/>
        </w:rPr>
        <w:t>Article IV</w:t>
      </w:r>
      <w:r>
        <w:rPr>
          <w:rFonts w:ascii="Times New Roman" w:cs="Times New Roman" w:eastAsia="Times New Roman" w:hAnsi="Times New Roman"/>
          <w:sz w:val="14"/>
          <w:szCs w:val="14"/>
          <w:color w:val="auto"/>
        </w:rPr>
        <w:t>; and</w:t>
      </w:r>
    </w:p>
    <w:p>
      <w:pPr>
        <w:spacing w:after="0" w:line="123" w:lineRule="exact"/>
        <w:rPr>
          <w:rFonts w:ascii="Times New Roman" w:cs="Times New Roman" w:eastAsia="Times New Roman" w:hAnsi="Times New Roman"/>
          <w:sz w:val="14"/>
          <w:szCs w:val="14"/>
          <w:color w:val="auto"/>
        </w:rPr>
      </w:pPr>
    </w:p>
    <w:p>
      <w:pPr>
        <w:ind w:left="120" w:right="159" w:firstLine="357"/>
        <w:spacing w:after="0" w:line="268" w:lineRule="auto"/>
        <w:tabs>
          <w:tab w:leader="none" w:pos="664"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Securities paid pursuant to </w:t>
      </w:r>
      <w:r>
        <w:rPr>
          <w:rFonts w:ascii="Times New Roman" w:cs="Times New Roman" w:eastAsia="Times New Roman" w:hAnsi="Times New Roman"/>
          <w:sz w:val="14"/>
          <w:szCs w:val="14"/>
          <w:u w:val="single" w:color="auto"/>
          <w:color w:val="auto"/>
        </w:rPr>
        <w:t>Section 3.07</w:t>
      </w:r>
      <w:r>
        <w:rPr>
          <w:rFonts w:ascii="Times New Roman" w:cs="Times New Roman" w:eastAsia="Times New Roman" w:hAnsi="Times New Roman"/>
          <w:sz w:val="14"/>
          <w:szCs w:val="14"/>
          <w:color w:val="auto"/>
        </w:rPr>
        <w:t xml:space="preserve"> or Securities in exchange for or in lieu of which other Securities have been authenticated and delivered pursuant to this Indenture, other than any such Securities in respect of which there shall have been presented to the Trustee and the Company proof reasonably satisfactory to each of them that such Securities are held by a bona fide purchaser in whose hands the Securities are valid obligations of the Company;</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243" w:right="1440" w:bottom="1440" w:gutter="0" w:footer="0" w:header="0"/>
        </w:sectPr>
      </w:pPr>
    </w:p>
    <w:bookmarkStart w:id="187" w:name="page188"/>
    <w:bookmarkEnd w:id="187"/>
    <w:p>
      <w:pPr>
        <w:ind w:left="120" w:right="179"/>
        <w:spacing w:after="0" w:line="26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6">
                      <a:extLst>
                        <a:ext uri="{28A0092B-C50C-407E-A947-70E740481C1C}"/>
                      </a:extLst>
                    </a:blip>
                    <a:srcRect/>
                    <a:stretch>
                      <a:fillRect/>
                    </a:stretch>
                  </pic:blipFill>
                  <pic:spPr bwMode="auto">
                    <a:xfrm>
                      <a:off x="0" y="0"/>
                      <a:ext cx="7199630" cy="33020"/>
                    </a:xfrm>
                    <a:prstGeom prst="rect">
                      <a:avLst/>
                    </a:prstGeom>
                    <a:noFill/>
                  </pic:spPr>
                </pic:pic>
              </a:graphicData>
            </a:graphic>
          </wp:anchor>
        </w:drawing>
        <w:t>provided, however, that in determining whether the Holders of the requisite principal amount of Outstanding Securities have given any request, demand, authorization, direction, notice, consent or waiver hereunder, Securities owned by the Company or any Affiliate of the Company shall be disregarded and deemed not to be Outstanding, except that, in determining whether the Trustee shall be protected in relying upon any such request, demand, authorization, direction, notice, consent or waiver, only Securities which a Responsible Officer of the Trustee actually knows to be so owned shall be so disregarded. Securities so owned which have been pledged in good faith may be regarded as Outstanding if the pledgee establishes to the reasonable satisfaction of the Trustee the pledgee’s right so to act with respect to such Securities and that the pledgee is not the Company or any Affiliate of the Company.</w:t>
      </w:r>
    </w:p>
    <w:p>
      <w:pPr>
        <w:spacing w:after="0" w:line="319" w:lineRule="exact"/>
        <w:rPr>
          <w:sz w:val="20"/>
          <w:szCs w:val="20"/>
          <w:color w:val="auto"/>
        </w:rPr>
      </w:pPr>
    </w:p>
    <w:p>
      <w:pPr>
        <w:ind w:left="120" w:right="339" w:firstLine="350"/>
        <w:spacing w:after="0" w:line="29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Paying Agent</w:t>
      </w:r>
      <w:r>
        <w:rPr>
          <w:rFonts w:ascii="Times New Roman" w:cs="Times New Roman" w:eastAsia="Times New Roman" w:hAnsi="Times New Roman"/>
          <w:sz w:val="14"/>
          <w:szCs w:val="14"/>
          <w:color w:val="auto"/>
        </w:rPr>
        <w:t>” means any Person (including the Company) authorized by the Company to pay the principal of, premium, if any, or interest on, any Securities on behalf of the Company, and at the offices of which any Securities may be presented or surrendered for payment.</w:t>
      </w:r>
    </w:p>
    <w:p>
      <w:pPr>
        <w:spacing w:after="0" w:line="123" w:lineRule="exact"/>
        <w:rPr>
          <w:sz w:val="20"/>
          <w:szCs w:val="20"/>
          <w:color w:val="auto"/>
        </w:rPr>
      </w:pPr>
    </w:p>
    <w:p>
      <w:pPr>
        <w:ind w:left="120" w:right="539" w:firstLine="350"/>
        <w:spacing w:after="0" w:line="29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Person</w:t>
      </w:r>
      <w:r>
        <w:rPr>
          <w:rFonts w:ascii="Times New Roman" w:cs="Times New Roman" w:eastAsia="Times New Roman" w:hAnsi="Times New Roman"/>
          <w:sz w:val="14"/>
          <w:szCs w:val="14"/>
          <w:color w:val="auto"/>
        </w:rPr>
        <w:t>” means any individual, corporation, partnership, joint venture, association, joint-stock company, trust, unincorporated organization, limited liability company, or government or other entity.</w:t>
      </w:r>
    </w:p>
    <w:p>
      <w:pPr>
        <w:spacing w:after="0" w:line="123" w:lineRule="exact"/>
        <w:rPr>
          <w:sz w:val="20"/>
          <w:szCs w:val="20"/>
          <w:color w:val="auto"/>
        </w:rPr>
      </w:pPr>
    </w:p>
    <w:p>
      <w:pPr>
        <w:jc w:val="both"/>
        <w:ind w:left="120" w:right="159" w:firstLine="350"/>
        <w:spacing w:after="0" w:line="27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Predecessor Security</w:t>
      </w:r>
      <w:r>
        <w:rPr>
          <w:rFonts w:ascii="Times New Roman" w:cs="Times New Roman" w:eastAsia="Times New Roman" w:hAnsi="Times New Roman"/>
          <w:sz w:val="14"/>
          <w:szCs w:val="14"/>
          <w:color w:val="auto"/>
        </w:rPr>
        <w:t xml:space="preserve">” of any particular Security means every previous Security evidencing all or a portion of the same debt as that evidenced by such particular Security; and, for the purposes of this definition, any Security authenticated and delivered under </w:t>
      </w:r>
      <w:r>
        <w:rPr>
          <w:rFonts w:ascii="Times New Roman" w:cs="Times New Roman" w:eastAsia="Times New Roman" w:hAnsi="Times New Roman"/>
          <w:sz w:val="14"/>
          <w:szCs w:val="14"/>
          <w:u w:val="single" w:color="auto"/>
          <w:color w:val="auto"/>
        </w:rPr>
        <w:t>Section 3.07</w:t>
      </w:r>
      <w:r>
        <w:rPr>
          <w:rFonts w:ascii="Times New Roman" w:cs="Times New Roman" w:eastAsia="Times New Roman" w:hAnsi="Times New Roman"/>
          <w:sz w:val="14"/>
          <w:szCs w:val="14"/>
          <w:color w:val="auto"/>
        </w:rPr>
        <w:t xml:space="preserve"> in exchange for a mutilated Security or in lieu of a lost, destroyed or stolen Security shall be deemed to evidence the same debt as the mutilated, lost, destroyed or stolen Security.</w:t>
      </w:r>
    </w:p>
    <w:p>
      <w:pPr>
        <w:spacing w:after="0" w:line="135" w:lineRule="exact"/>
        <w:rPr>
          <w:sz w:val="20"/>
          <w:szCs w:val="20"/>
          <w:color w:val="auto"/>
        </w:rPr>
      </w:pPr>
    </w:p>
    <w:p>
      <w:pPr>
        <w:ind w:left="120" w:right="519" w:firstLine="350"/>
        <w:spacing w:after="0" w:line="29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Redemption Date</w:t>
      </w:r>
      <w:r>
        <w:rPr>
          <w:rFonts w:ascii="Times New Roman" w:cs="Times New Roman" w:eastAsia="Times New Roman" w:hAnsi="Times New Roman"/>
          <w:sz w:val="14"/>
          <w:szCs w:val="14"/>
          <w:color w:val="auto"/>
        </w:rPr>
        <w:t>” when used with respect to any Security to be redeemed pursuant to any provision in this Indenture or any supplement or amendment hereto means the date fixed for such redemption by or pursuant to this Indenture or any supplement or amendment hereto.</w:t>
      </w:r>
    </w:p>
    <w:p>
      <w:pPr>
        <w:spacing w:after="0" w:line="123" w:lineRule="exact"/>
        <w:rPr>
          <w:sz w:val="20"/>
          <w:szCs w:val="20"/>
          <w:color w:val="auto"/>
        </w:rPr>
      </w:pPr>
    </w:p>
    <w:p>
      <w:pPr>
        <w:ind w:left="120" w:right="479" w:firstLine="350"/>
        <w:spacing w:after="0" w:line="29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Redemption Price</w:t>
      </w:r>
      <w:r>
        <w:rPr>
          <w:rFonts w:ascii="Times New Roman" w:cs="Times New Roman" w:eastAsia="Times New Roman" w:hAnsi="Times New Roman"/>
          <w:sz w:val="14"/>
          <w:szCs w:val="14"/>
          <w:color w:val="auto"/>
        </w:rPr>
        <w:t>” when used with respect to any Security to be redeemed pursuant to any provision in this Indenture or any supplement or amendment hereto means the price at which it is to be redeemed pursuant to this Indenture or any supplement or amendment hereto.</w:t>
      </w:r>
    </w:p>
    <w:p>
      <w:pPr>
        <w:spacing w:after="0" w:line="123" w:lineRule="exact"/>
        <w:rPr>
          <w:sz w:val="20"/>
          <w:szCs w:val="20"/>
          <w:color w:val="auto"/>
        </w:rPr>
      </w:pPr>
    </w:p>
    <w:p>
      <w:pPr>
        <w:ind w:left="120" w:right="379" w:firstLine="350"/>
        <w:spacing w:after="0" w:line="29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Regular Record Date</w:t>
      </w:r>
      <w:r>
        <w:rPr>
          <w:rFonts w:ascii="Times New Roman" w:cs="Times New Roman" w:eastAsia="Times New Roman" w:hAnsi="Times New Roman"/>
          <w:sz w:val="14"/>
          <w:szCs w:val="14"/>
          <w:color w:val="auto"/>
        </w:rPr>
        <w:t xml:space="preserve">” for the interest payable on any Interest Payment Date on any Security means the date specified for that purpose in such Security or as contemplated by </w:t>
      </w:r>
      <w:r>
        <w:rPr>
          <w:rFonts w:ascii="Times New Roman" w:cs="Times New Roman" w:eastAsia="Times New Roman" w:hAnsi="Times New Roman"/>
          <w:sz w:val="14"/>
          <w:szCs w:val="14"/>
          <w:u w:val="single" w:color="auto"/>
          <w:color w:val="auto"/>
        </w:rPr>
        <w:t>Section 3.01</w:t>
      </w:r>
      <w:r>
        <w:rPr>
          <w:rFonts w:ascii="Times New Roman" w:cs="Times New Roman" w:eastAsia="Times New Roman" w:hAnsi="Times New Roman"/>
          <w:sz w:val="14"/>
          <w:szCs w:val="14"/>
          <w:color w:val="auto"/>
        </w:rPr>
        <w:t xml:space="preserve"> (whether or not a Business Day) next preceding such Interest Payment Date.</w:t>
      </w:r>
    </w:p>
    <w:p>
      <w:pPr>
        <w:spacing w:after="0" w:line="123" w:lineRule="exact"/>
        <w:rPr>
          <w:sz w:val="20"/>
          <w:szCs w:val="20"/>
          <w:color w:val="auto"/>
        </w:rPr>
      </w:pPr>
    </w:p>
    <w:p>
      <w:pPr>
        <w:ind w:left="120" w:right="139" w:firstLine="350"/>
        <w:spacing w:after="0" w:line="26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Responsible Officer</w:t>
      </w:r>
      <w:r>
        <w:rPr>
          <w:rFonts w:ascii="Times New Roman" w:cs="Times New Roman" w:eastAsia="Times New Roman" w:hAnsi="Times New Roman"/>
          <w:sz w:val="14"/>
          <w:szCs w:val="14"/>
          <w:color w:val="auto"/>
        </w:rPr>
        <w:t>” when used with respect to the Trustee, means any vice president, assistant vice president or other trust officer within the Corporate Trust Office of the Trustee (or any successor group of the Trustee) or any other officer of the Trustee customarily performing functions similar to those performed by any of the above designated officers and also means, with respect to a particular corporate trust matter, any other officer to whom such matter is referred because of his or her knowledge of and familiarity with the particular subject and, in each case, who shall have direct responsibility for the administration of this Indenture.</w:t>
      </w:r>
    </w:p>
    <w:p>
      <w:pPr>
        <w:spacing w:after="0" w:line="1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Restricted Subsidiary</w:t>
      </w:r>
      <w:r>
        <w:rPr>
          <w:rFonts w:ascii="Times New Roman" w:cs="Times New Roman" w:eastAsia="Times New Roman" w:hAnsi="Times New Roman"/>
          <w:sz w:val="14"/>
          <w:szCs w:val="14"/>
          <w:color w:val="auto"/>
        </w:rPr>
        <w:t>” means any Subsidiary of the Company that is not an Unrestricted Subsidiary.</w:t>
      </w:r>
    </w:p>
    <w:p>
      <w:pPr>
        <w:spacing w:after="0" w:line="182" w:lineRule="exact"/>
        <w:rPr>
          <w:sz w:val="20"/>
          <w:szCs w:val="20"/>
          <w:color w:val="auto"/>
        </w:rPr>
      </w:pPr>
    </w:p>
    <w:p>
      <w:pPr>
        <w:ind w:left="120" w:right="219" w:firstLine="350"/>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Sale and Leaseback Transaction</w:t>
      </w:r>
      <w:r>
        <w:rPr>
          <w:rFonts w:ascii="Times New Roman" w:cs="Times New Roman" w:eastAsia="Times New Roman" w:hAnsi="Times New Roman"/>
          <w:sz w:val="14"/>
          <w:szCs w:val="14"/>
          <w:color w:val="auto"/>
        </w:rPr>
        <w:t>” means any direct or indirect arrangement relating to property now owned or hereafter acquired whereby the Company or a Restricted Subsidiary transfers such property to another Person and the Company or a Restricted Subsidiary leases it from such Person other than a lease properly characterized pursuant to GAAP as a Finance Lease Obligation, other than transfers and leases among the Company and any Restricted Subsidiaries or among Restricted Subsidiaries.</w:t>
      </w:r>
    </w:p>
    <w:p>
      <w:pPr>
        <w:spacing w:after="0" w:line="139" w:lineRule="exact"/>
        <w:rPr>
          <w:sz w:val="20"/>
          <w:szCs w:val="20"/>
          <w:color w:val="auto"/>
        </w:rPr>
      </w:pPr>
    </w:p>
    <w:p>
      <w:pPr>
        <w:ind w:left="120" w:right="199" w:firstLine="350"/>
        <w:spacing w:after="0" w:line="26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Security</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u w:val="single" w:color="auto"/>
          <w:color w:val="auto"/>
        </w:rPr>
        <w:t>Securities</w:t>
      </w:r>
      <w:r>
        <w:rPr>
          <w:rFonts w:ascii="Times New Roman" w:cs="Times New Roman" w:eastAsia="Times New Roman" w:hAnsi="Times New Roman"/>
          <w:sz w:val="14"/>
          <w:szCs w:val="14"/>
          <w:color w:val="auto"/>
        </w:rPr>
        <w:t>” has the meaning stated in the first recital of this Indenture and, more particularly, means any Security or Securities duly authenticated and delivered under this Indenture; provided, however, that, if at any time there is more than one Person acting as Trustee under this Indenture, “Securities” with respect to the Indenture as to which such Person is Trustee shall have the meaning stated in the first recital of this Indenture and shall more particularly mean Securities authenticated and delivered under this Indenture, exclusive, however, of Securities of any series as to which such Person is not Trustee.</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243" w:right="1440" w:bottom="1440" w:gutter="0" w:footer="0" w:header="0"/>
        </w:sectPr>
      </w:pPr>
    </w:p>
    <w:bookmarkStart w:id="188" w:name="page189"/>
    <w:bookmarkEnd w:id="188"/>
    <w:p>
      <w:pPr>
        <w:ind w:left="48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7">
                      <a:extLst>
                        <a:ext uri="{28A0092B-C50C-407E-A947-70E740481C1C}"/>
                      </a:extLst>
                    </a:blip>
                    <a:srcRect/>
                    <a:stretch>
                      <a:fillRect/>
                    </a:stretch>
                  </pic:blipFill>
                  <pic:spPr bwMode="auto">
                    <a:xfrm>
                      <a:off x="0" y="0"/>
                      <a:ext cx="7199630" cy="33020"/>
                    </a:xfrm>
                    <a:prstGeom prst="rect">
                      <a:avLst/>
                    </a:prstGeom>
                    <a:noFill/>
                  </pic:spPr>
                </pic:pic>
              </a:graphicData>
            </a:graphic>
          </wp:anchor>
        </w:drawing>
        <w:t>“</w:t>
      </w:r>
      <w:r>
        <w:rPr>
          <w:rFonts w:ascii="Times New Roman" w:cs="Times New Roman" w:eastAsia="Times New Roman" w:hAnsi="Times New Roman"/>
          <w:sz w:val="14"/>
          <w:szCs w:val="14"/>
          <w:u w:val="single" w:color="auto"/>
          <w:color w:val="auto"/>
        </w:rPr>
        <w:t>Securities Act</w:t>
      </w:r>
      <w:r>
        <w:rPr>
          <w:rFonts w:ascii="Times New Roman" w:cs="Times New Roman" w:eastAsia="Times New Roman" w:hAnsi="Times New Roman"/>
          <w:sz w:val="14"/>
          <w:szCs w:val="14"/>
          <w:color w:val="auto"/>
        </w:rPr>
        <w:t>” means the Securities Act of 1933, as amended.</w:t>
      </w:r>
    </w:p>
    <w:p>
      <w:pPr>
        <w:spacing w:after="0" w:line="182" w:lineRule="exact"/>
        <w:rPr>
          <w:sz w:val="20"/>
          <w:szCs w:val="20"/>
          <w:color w:val="auto"/>
        </w:rPr>
      </w:pPr>
    </w:p>
    <w:p>
      <w:pPr>
        <w:ind w:left="120" w:right="179" w:firstLine="350"/>
        <w:spacing w:after="0" w:line="27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Senior Bank Debt</w:t>
      </w:r>
      <w:r>
        <w:rPr>
          <w:rFonts w:ascii="Times New Roman" w:cs="Times New Roman" w:eastAsia="Times New Roman" w:hAnsi="Times New Roman"/>
          <w:sz w:val="14"/>
          <w:szCs w:val="14"/>
          <w:color w:val="auto"/>
        </w:rPr>
        <w:t>” means (i) the Indebtedness outstanding under any Credit Facilities, and (ii) all obligations incurred by or owning to the holders or their agent or representatives of such Indebtedness outstanding under any Credit Facilities (including, but not limited to, all fees and expenses of counsel and all other interest, charges, fees and expenses).</w:t>
      </w:r>
    </w:p>
    <w:p>
      <w:pPr>
        <w:spacing w:after="0" w:line="13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Senior Debt</w:t>
      </w:r>
      <w:r>
        <w:rPr>
          <w:rFonts w:ascii="Times New Roman" w:cs="Times New Roman" w:eastAsia="Times New Roman" w:hAnsi="Times New Roman"/>
          <w:sz w:val="14"/>
          <w:szCs w:val="14"/>
          <w:color w:val="auto"/>
        </w:rPr>
        <w:t>” means</w:t>
      </w:r>
    </w:p>
    <w:p>
      <w:pPr>
        <w:spacing w:after="0" w:line="182" w:lineRule="exact"/>
        <w:rPr>
          <w:sz w:val="20"/>
          <w:szCs w:val="20"/>
          <w:color w:val="auto"/>
        </w:rPr>
      </w:pPr>
    </w:p>
    <w:p>
      <w:pPr>
        <w:ind w:left="120" w:right="179" w:firstLine="357"/>
        <w:spacing w:after="0" w:line="259" w:lineRule="auto"/>
        <w:tabs>
          <w:tab w:leader="none" w:pos="641"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the Company, the principal of and interest (including post-petition interest whether or not allowed as a claim) on, and all other amounts owing in respect of, (a) Senior Bank Debt, and (b) any other Indebtedness of the Company, whether outstanding on the date of issuance of the Securities of any series or thereafter created, incurred or assumed (including, but not limited to, reasonable fees and expenses of counsel and all other charges, fees and expenses incurred in connection with such Indebtedness), unless the instrument creating or evidencing such Indebtedness or pursuant to which such Indebtedness is outstanding expressly provides that such Indebtedness is on a parity with or subordinated in right of payment to the Securities; and with respect to any Guarantor, the principal of and interest (including post-petition interest whether or not allowed as a claim) on, and all other amounts owing in respect of, (a) Senior Bank Debt and (b) any other Indebtedness of such Guarantor, whether outstanding on the date of issuance of the Securities of any series or thereafter created, incurred or assumed (including, but not limited to, reasonable fees and expenses of counsel and all other charges, fees and expenses incurred in connection with such Indebtedness), unless the instrument creating or evidencing such Indebtedness or pursuant to which such Indebtedness is outstanding expressly provides that such Indebtedness is on a parity with or subordinated in right of payment to the Guarantee of such Guarantor of any series of Securities.</w:t>
      </w:r>
    </w:p>
    <w:p>
      <w:pPr>
        <w:spacing w:after="0" w:line="149" w:lineRule="exact"/>
        <w:rPr>
          <w:sz w:val="20"/>
          <w:szCs w:val="20"/>
          <w:color w:val="auto"/>
        </w:rPr>
      </w:pPr>
    </w:p>
    <w:p>
      <w:pPr>
        <w:ind w:left="120" w:right="159" w:firstLine="350"/>
        <w:spacing w:after="0" w:line="265" w:lineRule="auto"/>
        <w:rPr>
          <w:sz w:val="20"/>
          <w:szCs w:val="20"/>
          <w:color w:val="auto"/>
        </w:rPr>
      </w:pPr>
      <w:r>
        <w:rPr>
          <w:rFonts w:ascii="Times New Roman" w:cs="Times New Roman" w:eastAsia="Times New Roman" w:hAnsi="Times New Roman"/>
          <w:sz w:val="14"/>
          <w:szCs w:val="14"/>
          <w:color w:val="auto"/>
        </w:rPr>
        <w:t>Notwithstanding the foregoing, Senior Debt shall not include (v) any Indebtedness that is represented by Disqualified Stock, (w) any liability for federal, state, local, or other taxes, (x) any Indebtedness among or between the Company, any Restricted Subsidiary or any of their Affiliates, (y) any trade payables and any Indebtedness to trade creditors (other than amounts accrued thereon) incurred for the purchase of goods or materials, or for services obtained, in the ordinary course of business or any obligations to trade creditors in respect of any such Indebtedness, or (z) any Indebtedness (other than Senior Bank Debt) that is incurred in violation of any covenant applicable to the Securities of any series established pursuant to Section 3.01.</w:t>
      </w:r>
    </w:p>
    <w:p>
      <w:pPr>
        <w:spacing w:after="0" w:line="141" w:lineRule="exact"/>
        <w:rPr>
          <w:sz w:val="20"/>
          <w:szCs w:val="20"/>
          <w:color w:val="auto"/>
        </w:rPr>
      </w:pPr>
    </w:p>
    <w:p>
      <w:pPr>
        <w:ind w:left="120" w:right="479" w:firstLine="350"/>
        <w:spacing w:after="0" w:line="29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Significant Subsidiary</w:t>
      </w:r>
      <w:r>
        <w:rPr>
          <w:rFonts w:ascii="Times New Roman" w:cs="Times New Roman" w:eastAsia="Times New Roman" w:hAnsi="Times New Roman"/>
          <w:sz w:val="14"/>
          <w:szCs w:val="14"/>
          <w:color w:val="auto"/>
        </w:rPr>
        <w:t>” means any Subsidiary that would be a “significant subsidiary” as defined in Article 1, Rule 1-02 of Regulation S-X, promulgated pursuant to the Securities Act, as such Regulation is in effect on the date hereof.</w:t>
      </w:r>
    </w:p>
    <w:p>
      <w:pPr>
        <w:spacing w:after="0" w:line="1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Special Record Date</w:t>
      </w:r>
      <w:r>
        <w:rPr>
          <w:rFonts w:ascii="Times New Roman" w:cs="Times New Roman" w:eastAsia="Times New Roman" w:hAnsi="Times New Roman"/>
          <w:sz w:val="14"/>
          <w:szCs w:val="14"/>
          <w:color w:val="auto"/>
        </w:rPr>
        <w:t xml:space="preserve">” for the payment of any Defaulted Interest means a date fixed by the Trustee pursuant to </w:t>
      </w:r>
      <w:r>
        <w:rPr>
          <w:rFonts w:ascii="Times New Roman" w:cs="Times New Roman" w:eastAsia="Times New Roman" w:hAnsi="Times New Roman"/>
          <w:sz w:val="14"/>
          <w:szCs w:val="14"/>
          <w:u w:val="single" w:color="auto"/>
          <w:color w:val="auto"/>
        </w:rPr>
        <w:t>Section 3.08</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Standard &amp; P</w:t>
      </w:r>
      <w:r>
        <w:rPr>
          <w:rFonts w:ascii="Times New Roman" w:cs="Times New Roman" w:eastAsia="Times New Roman" w:hAnsi="Times New Roman"/>
          <w:sz w:val="14"/>
          <w:szCs w:val="14"/>
          <w:color w:val="auto"/>
        </w:rPr>
        <w:t>oor’s” means Standard &amp; Poor’s Ratings Services, a division of McGraw-Hill Financial, Inc.</w:t>
      </w:r>
    </w:p>
    <w:p>
      <w:pPr>
        <w:spacing w:after="0" w:line="182" w:lineRule="exact"/>
        <w:rPr>
          <w:sz w:val="20"/>
          <w:szCs w:val="20"/>
          <w:color w:val="auto"/>
        </w:rPr>
      </w:pPr>
    </w:p>
    <w:p>
      <w:pPr>
        <w:ind w:left="120" w:right="199" w:firstLine="350"/>
        <w:spacing w:after="0" w:line="27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Stated Maturity</w:t>
      </w:r>
      <w:r>
        <w:rPr>
          <w:rFonts w:ascii="Times New Roman" w:cs="Times New Roman" w:eastAsia="Times New Roman" w:hAnsi="Times New Roman"/>
          <w:sz w:val="14"/>
          <w:szCs w:val="14"/>
          <w:color w:val="auto"/>
        </w:rPr>
        <w:t>” means, with respect to any installment of interest or principal on any series of Indebtedness, the date on which such payment of interest or principal was scheduled to be paid in the original documentation governing such Indebtedness, and shall not include any contingent obligations to repay, redeem or repurchase any such interest or principal prior to the date originally scheduled for the payment thereof.</w:t>
      </w:r>
    </w:p>
    <w:p>
      <w:pPr>
        <w:spacing w:after="0" w:line="135" w:lineRule="exact"/>
        <w:rPr>
          <w:sz w:val="20"/>
          <w:szCs w:val="20"/>
          <w:color w:val="auto"/>
        </w:rPr>
      </w:pPr>
    </w:p>
    <w:p>
      <w:pPr>
        <w:ind w:left="120" w:right="159" w:firstLine="350"/>
        <w:spacing w:after="0" w:line="26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Subsidiary</w:t>
      </w:r>
      <w:r>
        <w:rPr>
          <w:rFonts w:ascii="Times New Roman" w:cs="Times New Roman" w:eastAsia="Times New Roman" w:hAnsi="Times New Roman"/>
          <w:sz w:val="14"/>
          <w:szCs w:val="14"/>
          <w:color w:val="auto"/>
        </w:rPr>
        <w:t>” means, with respect to any specified Person: (1) any corporation,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 and (2) any partnership (a) the sole general partner or the managing general partner of which is such Person or a Subsidiary of such Person or (b) the only general partners of which are such Person or one or more Subsidiaries of such Person (or any combination thereof).</w:t>
      </w:r>
    </w:p>
    <w:p>
      <w:pPr>
        <w:spacing w:after="0" w:line="141" w:lineRule="exact"/>
        <w:rPr>
          <w:sz w:val="20"/>
          <w:szCs w:val="20"/>
          <w:color w:val="auto"/>
        </w:rPr>
      </w:pPr>
    </w:p>
    <w:p>
      <w:pPr>
        <w:ind w:left="120" w:right="559" w:firstLine="350"/>
        <w:spacing w:after="0" w:line="29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Trustee</w:t>
      </w:r>
      <w:r>
        <w:rPr>
          <w:rFonts w:ascii="Times New Roman" w:cs="Times New Roman" w:eastAsia="Times New Roman" w:hAnsi="Times New Roman"/>
          <w:sz w:val="14"/>
          <w:szCs w:val="14"/>
          <w:color w:val="auto"/>
        </w:rPr>
        <w:t>” means the Person named as the “Trustee” in the first paragraph of this Indenture, until a successor trustee shall have become such pursuant to the applicable provisions of this Indenture, and thereafter “Trustee” shall mean such successor trustee.</w:t>
      </w:r>
    </w:p>
    <w:p>
      <w:pPr>
        <w:spacing w:after="0" w:line="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243" w:right="1440" w:bottom="1440" w:gutter="0" w:footer="0" w:header="0"/>
        </w:sectPr>
      </w:pPr>
    </w:p>
    <w:bookmarkStart w:id="189" w:name="page190"/>
    <w:bookmarkEnd w:id="189"/>
    <w:p>
      <w:pPr>
        <w:ind w:left="48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8">
                      <a:extLst>
                        <a:ext uri="{28A0092B-C50C-407E-A947-70E740481C1C}"/>
                      </a:extLst>
                    </a:blip>
                    <a:srcRect/>
                    <a:stretch>
                      <a:fillRect/>
                    </a:stretch>
                  </pic:blipFill>
                  <pic:spPr bwMode="auto">
                    <a:xfrm>
                      <a:off x="0" y="0"/>
                      <a:ext cx="7199630" cy="33020"/>
                    </a:xfrm>
                    <a:prstGeom prst="rect">
                      <a:avLst/>
                    </a:prstGeom>
                    <a:noFill/>
                  </pic:spPr>
                </pic:pic>
              </a:graphicData>
            </a:graphic>
          </wp:anchor>
        </w:drawing>
        <w:t>“</w:t>
      </w:r>
      <w:r>
        <w:rPr>
          <w:rFonts w:ascii="Times New Roman" w:cs="Times New Roman" w:eastAsia="Times New Roman" w:hAnsi="Times New Roman"/>
          <w:sz w:val="14"/>
          <w:szCs w:val="14"/>
          <w:u w:val="single" w:color="auto"/>
          <w:color w:val="auto"/>
        </w:rPr>
        <w:t>Trust Indenture Act</w:t>
      </w:r>
      <w:r>
        <w:rPr>
          <w:rFonts w:ascii="Times New Roman" w:cs="Times New Roman" w:eastAsia="Times New Roman" w:hAnsi="Times New Roman"/>
          <w:sz w:val="14"/>
          <w:szCs w:val="14"/>
          <w:color w:val="auto"/>
        </w:rPr>
        <w:t>” means the Trust Indenture Act of 1939, as amended, or any successor statute.</w:t>
      </w:r>
    </w:p>
    <w:p>
      <w:pPr>
        <w:spacing w:after="0" w:line="182" w:lineRule="exact"/>
        <w:rPr>
          <w:sz w:val="20"/>
          <w:szCs w:val="20"/>
          <w:color w:val="auto"/>
        </w:rPr>
      </w:pPr>
    </w:p>
    <w:p>
      <w:pPr>
        <w:ind w:left="120" w:right="179" w:firstLine="350"/>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Unrestricted Subsidiary</w:t>
      </w:r>
      <w:r>
        <w:rPr>
          <w:rFonts w:ascii="Times New Roman" w:cs="Times New Roman" w:eastAsia="Times New Roman" w:hAnsi="Times New Roman"/>
          <w:sz w:val="14"/>
          <w:szCs w:val="14"/>
          <w:color w:val="auto"/>
        </w:rPr>
        <w:t>” means (a) CSC of Tacoma, LLC, GEO International Holdings, LLC, Florina Insurance Company, Inc., GEO Design Services, Inc., WCC Financial, Inc., WCC Development, Inc., GEO/FL/01, Inc., GEO/FL/02, Inc., GEO/FL/03, Inc., The GEO Group UK Ltd., The GEO Group Ltd., South African Custodial Holdings Pty. Ltd., The GEO Group Australasia Pty, Ltd., GEO Australasia Pty, Ltd., The GEO Group Australia Pty, Ltd., Australasian Correctional Investment, Ltd., Pacific Rim Employment Pty, Ltd., Canadian Correctional Management, Inc., South African Custodial Services (Louis Trichardt) Pty, Ltd., South African Custodial Management Pty, Ltd., GEO Australia Management Services Pty, Ltd., Australasian Correctional Services Pty, Ltd., Sentencing Concepts, Inc., BI Puerto Rico, Inc., BI of Australia Pty Ltd., Clearstream Development Courthouse Commons, LLC, Cypress-Spring Investments, LLC, Four Streams Investment, LLC, GEO Amey Ltd., GEO-CDR Baker, LLC, GEO FIC Holdings, LLC, GEO Healthcare Plus Pty Ltd., GEO Secure Baker, LLC, GEO/DE/MC/03 LLC, Park 19 Holdings, LLC, Patriotic Partners Inc., LLC, Premier Custodial Group Ltd., Premier Custodial Services Group Ltd., Premier Custodial Services Ltd, Premier Prison Services Ltd., Strategic Portfolio Solutions, LLC, and Strategic Portfolio Solutions San Diego, LLC; and (b) any other Subsidiary of the Company that is designated by the Board of Directors of the Company as an Unrestricted Subsidiary pursuant to a Board Resolution; and (c) any direct or indirect Subsidiary of any Subsidiary described in clauses (a) or (b).</w:t>
      </w:r>
    </w:p>
    <w:p>
      <w:pPr>
        <w:spacing w:after="0" w:line="321" w:lineRule="exact"/>
        <w:rPr>
          <w:sz w:val="20"/>
          <w:szCs w:val="20"/>
          <w:color w:val="auto"/>
        </w:rPr>
      </w:pPr>
    </w:p>
    <w:p>
      <w:pPr>
        <w:ind w:left="120" w:right="259" w:firstLine="350"/>
        <w:spacing w:after="0" w:line="274" w:lineRule="auto"/>
        <w:rPr>
          <w:sz w:val="20"/>
          <w:szCs w:val="20"/>
          <w:color w:val="auto"/>
        </w:rPr>
      </w:pPr>
      <w:r>
        <w:rPr>
          <w:rFonts w:ascii="Times New Roman" w:cs="Times New Roman" w:eastAsia="Times New Roman" w:hAnsi="Times New Roman"/>
          <w:sz w:val="14"/>
          <w:szCs w:val="14"/>
          <w:color w:val="auto"/>
        </w:rPr>
        <w:t>The Board of Directors of the Company may designate any Subsidiary of the Company (including any newly acquired or newly formed Subsidiary or a Person becoming a Subsidiary through merger, consolidation or other business combination transaction, or Investment therein) to be an Unrestricted Subsidiary only if:</w:t>
      </w:r>
    </w:p>
    <w:p>
      <w:pPr>
        <w:spacing w:after="0" w:line="49" w:lineRule="exact"/>
        <w:rPr>
          <w:sz w:val="20"/>
          <w:szCs w:val="20"/>
          <w:color w:val="auto"/>
        </w:rPr>
      </w:pPr>
    </w:p>
    <w:p>
      <w:pPr>
        <w:ind w:left="120" w:right="239" w:firstLine="357"/>
        <w:spacing w:after="0" w:line="274" w:lineRule="auto"/>
        <w:tabs>
          <w:tab w:leader="none" w:pos="672"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Subsidiary or any of its Subsidiaries does not own any Capital Stock or Indebtedness of, or own or hold any Lien on any property of, the Company or any other Subsidiary of the Company which is not a Subsidiary of the Subsidiary to be so designated or otherwise an Unrestricted Subsidiary; and</w:t>
      </w:r>
    </w:p>
    <w:p>
      <w:pPr>
        <w:spacing w:after="0" w:line="135" w:lineRule="exact"/>
        <w:rPr>
          <w:rFonts w:ascii="Times New Roman" w:cs="Times New Roman" w:eastAsia="Times New Roman" w:hAnsi="Times New Roman"/>
          <w:sz w:val="14"/>
          <w:szCs w:val="14"/>
          <w:color w:val="auto"/>
        </w:rPr>
      </w:pPr>
    </w:p>
    <w:p>
      <w:pPr>
        <w:ind w:left="120" w:right="879" w:firstLine="357"/>
        <w:spacing w:after="0" w:line="292" w:lineRule="auto"/>
        <w:tabs>
          <w:tab w:leader="none" w:pos="672"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designation and the Investment of the Company in such Subsidiary complies with the applicable provisions, if any, under any supplemental indenture hereto governing Investments.</w:t>
      </w:r>
    </w:p>
    <w:p>
      <w:pPr>
        <w:spacing w:after="0" w:line="123" w:lineRule="exact"/>
        <w:rPr>
          <w:sz w:val="20"/>
          <w:szCs w:val="20"/>
          <w:color w:val="auto"/>
        </w:rPr>
      </w:pPr>
    </w:p>
    <w:p>
      <w:pPr>
        <w:ind w:left="120" w:right="199" w:firstLine="350"/>
        <w:spacing w:after="0" w:line="259" w:lineRule="auto"/>
        <w:rPr>
          <w:sz w:val="20"/>
          <w:szCs w:val="20"/>
          <w:color w:val="auto"/>
        </w:rPr>
      </w:pPr>
      <w:r>
        <w:rPr>
          <w:rFonts w:ascii="Times New Roman" w:cs="Times New Roman" w:eastAsia="Times New Roman" w:hAnsi="Times New Roman"/>
          <w:sz w:val="14"/>
          <w:szCs w:val="14"/>
          <w:color w:val="auto"/>
        </w:rPr>
        <w:t xml:space="preserve">Any designation of a Subsidiary of the Company as an Unrestricted Subsidiary will be evidenced to the Trustee by filing with the Trustee a certified copy of the Board Resolution giving effect to such designation and an Officers’ Certificate certifying that such designation complied with the preceding conditions and was permitted hereunder, including pursuant to any applicable provisions, if any, under any supplemental indenture hereto governing Investments. If, at any time, any Unrestricted Subsidiary would fail to meet the preceding requirements as an Unrestricted Subsidiary, it shall thereafter cease to be an Unrestricted Subsidiary for purposes of this Indenture and any Indebtedness of such Subsidiary shall be deemed to be incurred by a Restricted Subsidiary of the Company as of such date and, if such Indebtedness is not permitted to be incurred as of such date under the applicable provisions, if any, under any supplemental indenture hereto, the Company will be in default of such provisions, if any. The Board of Directors of the Company may at any time designate any Unrestricted Subsidiary to be a Restricted Subsidiary;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such designation will be deemed to be an incurrence of Indebtedness by a Restricted Subsidiary of the Company of any outstanding Indebtedness of such Unrestricted Subsidiary and such designation will only be permitted if (1) such Indebtedness is permitted under any applicable provisions of any supplemental indenture hereto, calculated on a pro forma basis as if such designation had occurred at the beginning of the four-quarter reference period; and (2) no Default or Event of Default would be in existence following such designation.</w:t>
      </w:r>
    </w:p>
    <w:p>
      <w:pPr>
        <w:spacing w:after="0" w:line="147" w:lineRule="exact"/>
        <w:rPr>
          <w:sz w:val="20"/>
          <w:szCs w:val="20"/>
          <w:color w:val="auto"/>
        </w:rPr>
      </w:pPr>
    </w:p>
    <w:p>
      <w:pPr>
        <w:ind w:left="120" w:right="219" w:firstLine="350"/>
        <w:spacing w:after="0" w:line="29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Voting Stock</w:t>
      </w:r>
      <w:r>
        <w:rPr>
          <w:rFonts w:ascii="Times New Roman" w:cs="Times New Roman" w:eastAsia="Times New Roman" w:hAnsi="Times New Roman"/>
          <w:sz w:val="14"/>
          <w:szCs w:val="14"/>
          <w:color w:val="auto"/>
        </w:rPr>
        <w:t>” of any Person as of any date means the Capital Stock of such Person that is at the time entitled to vote in the election of the Board of Directors of such Person.</w:t>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9019"/>
          </w:cols>
          <w:pgMar w:left="1440" w:top="243" w:right="1440" w:bottom="1440" w:gutter="0" w:footer="0" w:header="0"/>
        </w:sectPr>
      </w:pPr>
    </w:p>
    <w:bookmarkStart w:id="190" w:name="page191"/>
    <w:bookmarkEnd w:id="190"/>
    <w:p>
      <w:pPr>
        <w:ind w:left="1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9">
                      <a:extLst>
                        <a:ext uri="{28A0092B-C50C-407E-A947-70E740481C1C}"/>
                      </a:extLst>
                    </a:blip>
                    <a:srcRect/>
                    <a:stretch>
                      <a:fillRect/>
                    </a:stretch>
                  </pic:blipFill>
                  <pic:spPr bwMode="auto">
                    <a:xfrm>
                      <a:off x="0" y="0"/>
                      <a:ext cx="7199630" cy="33020"/>
                    </a:xfrm>
                    <a:prstGeom prst="rect">
                      <a:avLst/>
                    </a:prstGeom>
                    <a:noFill/>
                  </pic:spPr>
                </pic:pic>
              </a:graphicData>
            </a:graphic>
          </wp:anchor>
        </w:drawing>
        <w:t xml:space="preserve">Section 1.02 </w:t>
      </w:r>
      <w:r>
        <w:rPr>
          <w:rFonts w:ascii="Times New Roman" w:cs="Times New Roman" w:eastAsia="Times New Roman" w:hAnsi="Times New Roman"/>
          <w:sz w:val="14"/>
          <w:szCs w:val="14"/>
          <w:u w:val="single" w:color="auto"/>
          <w:color w:val="auto"/>
        </w:rPr>
        <w:t>OTHER DEFINITIONS.</w:t>
      </w:r>
    </w:p>
    <w:p>
      <w:pPr>
        <w:spacing w:after="0" w:line="193" w:lineRule="exact"/>
        <w:rPr>
          <w:sz w:val="20"/>
          <w:szCs w:val="20"/>
          <w:color w:val="auto"/>
        </w:rPr>
      </w:pPr>
    </w:p>
    <w:tbl>
      <w:tblPr>
        <w:tblLayout w:type="fixed"/>
        <w:tblInd w:w="1540" w:type="dxa"/>
        <w:tblCellMar>
          <w:top w:w="0" w:type="dxa"/>
          <w:left w:w="0" w:type="dxa"/>
          <w:bottom w:w="0" w:type="dxa"/>
          <w:right w:w="0" w:type="dxa"/>
        </w:tblCellMar>
      </w:tblPr>
      <w:tr>
        <w:trPr>
          <w:trHeight w:val="126"/>
        </w:trPr>
        <w:tc>
          <w:tcPr>
            <w:tcW w:w="32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w w:val="98"/>
              </w:rPr>
              <w:t>TERM</w:t>
            </w:r>
          </w:p>
        </w:tc>
        <w:tc>
          <w:tcPr>
            <w:tcW w:w="3220" w:type="dxa"/>
            <w:vAlign w:val="bottom"/>
            <w:vMerge w:val="restart"/>
          </w:tcPr>
          <w:p>
            <w:pPr>
              <w:spacing w:after="0"/>
              <w:rPr>
                <w:sz w:val="11"/>
                <w:szCs w:val="11"/>
                <w:color w:val="auto"/>
              </w:rPr>
            </w:pPr>
          </w:p>
        </w:tc>
        <w:tc>
          <w:tcPr>
            <w:tcW w:w="2400" w:type="dxa"/>
            <w:vAlign w:val="bottom"/>
            <w:gridSpan w:val="3"/>
          </w:tcPr>
          <w:p>
            <w:pPr>
              <w:jc w:val="center"/>
              <w:ind w:left="1609"/>
              <w:spacing w:after="0"/>
              <w:rPr>
                <w:sz w:val="20"/>
                <w:szCs w:val="20"/>
                <w:color w:val="auto"/>
              </w:rPr>
            </w:pPr>
            <w:r>
              <w:rPr>
                <w:rFonts w:ascii="Times New Roman" w:cs="Times New Roman" w:eastAsia="Times New Roman" w:hAnsi="Times New Roman"/>
                <w:sz w:val="11"/>
                <w:szCs w:val="11"/>
                <w:color w:val="auto"/>
              </w:rPr>
              <w:t>DEFINED IN</w:t>
            </w:r>
          </w:p>
        </w:tc>
        <w:tc>
          <w:tcPr>
            <w:tcW w:w="0" w:type="dxa"/>
            <w:vAlign w:val="bottom"/>
          </w:tcPr>
          <w:p>
            <w:pPr>
              <w:spacing w:after="0"/>
              <w:rPr>
                <w:sz w:val="1"/>
                <w:szCs w:val="1"/>
                <w:color w:val="auto"/>
              </w:rPr>
            </w:pPr>
          </w:p>
        </w:tc>
      </w:tr>
      <w:tr>
        <w:trPr>
          <w:trHeight w:val="145"/>
        </w:trPr>
        <w:tc>
          <w:tcPr>
            <w:tcW w:w="320" w:type="dxa"/>
            <w:vAlign w:val="bottom"/>
            <w:tcBorders>
              <w:bottom w:val="single" w:sz="8" w:color="auto"/>
            </w:tcBorders>
            <w:vMerge w:val="continue"/>
          </w:tcPr>
          <w:p>
            <w:pPr>
              <w:spacing w:after="0"/>
              <w:rPr>
                <w:sz w:val="12"/>
                <w:szCs w:val="12"/>
                <w:color w:val="auto"/>
              </w:rPr>
            </w:pPr>
          </w:p>
        </w:tc>
        <w:tc>
          <w:tcPr>
            <w:tcW w:w="3220" w:type="dxa"/>
            <w:vAlign w:val="bottom"/>
            <w:vMerge w:val="continue"/>
          </w:tcPr>
          <w:p>
            <w:pPr>
              <w:spacing w:after="0"/>
              <w:rPr>
                <w:sz w:val="12"/>
                <w:szCs w:val="12"/>
                <w:color w:val="auto"/>
              </w:rPr>
            </w:pPr>
          </w:p>
        </w:tc>
        <w:tc>
          <w:tcPr>
            <w:tcW w:w="1720" w:type="dxa"/>
            <w:vAlign w:val="bottom"/>
          </w:tcPr>
          <w:p>
            <w:pPr>
              <w:spacing w:after="0"/>
              <w:rPr>
                <w:sz w:val="12"/>
                <w:szCs w:val="12"/>
                <w:color w:val="auto"/>
              </w:rPr>
            </w:pPr>
          </w:p>
        </w:tc>
        <w:tc>
          <w:tcPr>
            <w:tcW w:w="680" w:type="dxa"/>
            <w:vAlign w:val="bottom"/>
            <w:gridSpan w:val="2"/>
          </w:tcPr>
          <w:p>
            <w:pPr>
              <w:jc w:val="center"/>
              <w:ind w:right="60"/>
              <w:spacing w:after="0" w:line="125" w:lineRule="exact"/>
              <w:rPr>
                <w:sz w:val="20"/>
                <w:szCs w:val="20"/>
                <w:color w:val="auto"/>
              </w:rPr>
            </w:pPr>
            <w:r>
              <w:rPr>
                <w:rFonts w:ascii="Times New Roman" w:cs="Times New Roman" w:eastAsia="Times New Roman" w:hAnsi="Times New Roman"/>
                <w:sz w:val="11"/>
                <w:szCs w:val="11"/>
                <w:color w:val="auto"/>
              </w:rPr>
              <w:t>SECTION</w:t>
            </w:r>
          </w:p>
        </w:tc>
        <w:tc>
          <w:tcPr>
            <w:tcW w:w="0" w:type="dxa"/>
            <w:vAlign w:val="bottom"/>
          </w:tcPr>
          <w:p>
            <w:pPr>
              <w:spacing w:after="0"/>
              <w:rPr>
                <w:sz w:val="1"/>
                <w:szCs w:val="1"/>
                <w:color w:val="auto"/>
              </w:rPr>
            </w:pPr>
          </w:p>
        </w:tc>
      </w:tr>
      <w:tr>
        <w:trPr>
          <w:trHeight w:val="153"/>
        </w:trPr>
        <w:tc>
          <w:tcPr>
            <w:tcW w:w="3540" w:type="dxa"/>
            <w:vAlign w:val="bottom"/>
            <w:tcBorders>
              <w:top w:val="single" w:sz="8" w:color="CCEEFF"/>
            </w:tcBorders>
            <w:gridSpan w:val="2"/>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“Act”</w:t>
            </w:r>
          </w:p>
        </w:tc>
        <w:tc>
          <w:tcPr>
            <w:tcW w:w="172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spacing w:after="0" w:line="153" w:lineRule="exact"/>
              <w:rPr>
                <w:sz w:val="20"/>
                <w:szCs w:val="20"/>
                <w:color w:val="auto"/>
              </w:rPr>
            </w:pPr>
            <w:r>
              <w:rPr>
                <w:rFonts w:ascii="Times New Roman" w:cs="Times New Roman" w:eastAsia="Times New Roman" w:hAnsi="Times New Roman"/>
                <w:sz w:val="14"/>
                <w:szCs w:val="14"/>
                <w:color w:val="auto"/>
              </w:rPr>
              <w:t>1.05</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“Agent Members”</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“Authenticating Agent”</w:t>
            </w:r>
          </w:p>
        </w:tc>
        <w:tc>
          <w:tcPr>
            <w:tcW w:w="2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“blockage period”</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14.03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“CUSIP”</w:t>
            </w:r>
          </w:p>
        </w:tc>
        <w:tc>
          <w:tcPr>
            <w:tcW w:w="2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“Defaulted Interest”</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“Defeased Securities”</w:t>
            </w:r>
          </w:p>
        </w:tc>
        <w:tc>
          <w:tcPr>
            <w:tcW w:w="2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“Guarantor”</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13.01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“Indemnitees”</w:t>
            </w:r>
          </w:p>
        </w:tc>
        <w:tc>
          <w:tcPr>
            <w:tcW w:w="2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“Securities Payment”</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14.02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“Security Register”</w:t>
            </w:r>
          </w:p>
        </w:tc>
        <w:tc>
          <w:tcPr>
            <w:tcW w:w="2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“Security Registrar”</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“Senior Nonmonetary Default”</w:t>
            </w:r>
          </w:p>
        </w:tc>
        <w:tc>
          <w:tcPr>
            <w:tcW w:w="2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14.03</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“Senior Payment Default”</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14.03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“Special Payment Date”</w:t>
            </w:r>
          </w:p>
        </w:tc>
        <w:tc>
          <w:tcPr>
            <w:tcW w:w="2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“Successor Company”</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8.01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“U.S. Government Obligations”</w:t>
            </w:r>
          </w:p>
        </w:tc>
        <w:tc>
          <w:tcPr>
            <w:tcW w:w="2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1.03 </w:t>
      </w:r>
      <w:r>
        <w:rPr>
          <w:rFonts w:ascii="Times New Roman" w:cs="Times New Roman" w:eastAsia="Times New Roman" w:hAnsi="Times New Roman"/>
          <w:sz w:val="14"/>
          <w:szCs w:val="14"/>
          <w:u w:val="single" w:color="auto"/>
          <w:color w:val="auto"/>
        </w:rPr>
        <w:t>COMPLIANCE CERTIFICATES AND OPINIONS</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120" w:right="179" w:firstLine="350"/>
        <w:spacing w:after="0" w:line="263" w:lineRule="auto"/>
        <w:rPr>
          <w:sz w:val="20"/>
          <w:szCs w:val="20"/>
          <w:color w:val="auto"/>
        </w:rPr>
      </w:pPr>
      <w:r>
        <w:rPr>
          <w:rFonts w:ascii="Times New Roman" w:cs="Times New Roman" w:eastAsia="Times New Roman" w:hAnsi="Times New Roman"/>
          <w:sz w:val="14"/>
          <w:szCs w:val="14"/>
          <w:color w:val="auto"/>
        </w:rPr>
        <w:t>Upon any application or request by the Company to the Trustee to take any action under any provision of this Indenture, the Trustee shall be entitled to receive an Officers’ Certificate and an Opinion of Counsel in a form and substance reasonably acceptable to the Trustee, each stating that all conditions precedent, if any, provided for in this Indenture (including any covenant compliance with which constitutes a condition precedent) relating to the proposed action have been complied with, except that, in the case of any such application or request as to which the furnishing of such certificates or opinions is specifically required by any provision of this Indenture relating to such particular application or request, no additional certificate or opinion need be furnished.</w:t>
      </w:r>
    </w:p>
    <w:p>
      <w:pPr>
        <w:spacing w:after="0" w:line="1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Every certificate or opinion with respect to compliance with a condition or covenant provided for in this Indenture shall include:</w:t>
      </w:r>
    </w:p>
    <w:p>
      <w:pPr>
        <w:spacing w:after="0" w:line="97" w:lineRule="exact"/>
        <w:rPr>
          <w:sz w:val="20"/>
          <w:szCs w:val="20"/>
          <w:color w:val="auto"/>
        </w:rPr>
      </w:pPr>
    </w:p>
    <w:p>
      <w:pPr>
        <w:ind w:left="120" w:right="199" w:firstLine="357"/>
        <w:spacing w:after="0" w:line="292" w:lineRule="auto"/>
        <w:tabs>
          <w:tab w:leader="none" w:pos="664"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statement that each individual signing such certificate or individual or firm signing such opinion has read such covenant or condition and the definitions herein relating thereto;</w:t>
      </w:r>
    </w:p>
    <w:p>
      <w:pPr>
        <w:spacing w:after="0" w:line="123" w:lineRule="exact"/>
        <w:rPr>
          <w:rFonts w:ascii="Times New Roman" w:cs="Times New Roman" w:eastAsia="Times New Roman" w:hAnsi="Times New Roman"/>
          <w:sz w:val="14"/>
          <w:szCs w:val="14"/>
          <w:color w:val="auto"/>
        </w:rPr>
      </w:pPr>
    </w:p>
    <w:p>
      <w:pPr>
        <w:ind w:left="120" w:right="559" w:firstLine="357"/>
        <w:spacing w:after="0" w:line="292" w:lineRule="auto"/>
        <w:tabs>
          <w:tab w:leader="none" w:pos="672"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brief statement as to the nature and scope of the examination or investigation upon which the statements or opinions contained in such certificate or opinion are based;</w:t>
      </w:r>
    </w:p>
    <w:p>
      <w:pPr>
        <w:spacing w:after="0" w:line="123" w:lineRule="exact"/>
        <w:rPr>
          <w:rFonts w:ascii="Times New Roman" w:cs="Times New Roman" w:eastAsia="Times New Roman" w:hAnsi="Times New Roman"/>
          <w:sz w:val="14"/>
          <w:szCs w:val="14"/>
          <w:color w:val="auto"/>
        </w:rPr>
      </w:pPr>
    </w:p>
    <w:p>
      <w:pPr>
        <w:ind w:left="120" w:right="439" w:firstLine="357"/>
        <w:spacing w:after="0" w:line="292" w:lineRule="auto"/>
        <w:tabs>
          <w:tab w:leader="none" w:pos="664"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statement that, in the opinion of each such individual or such firm, he or it has made such examination or investigation as is necessary to enable him or it to express an informed opinion as to whether or not such covenant or condition has been complied with; and</w:t>
      </w:r>
    </w:p>
    <w:p>
      <w:pPr>
        <w:spacing w:after="0" w:line="123" w:lineRule="exact"/>
        <w:rPr>
          <w:rFonts w:ascii="Times New Roman" w:cs="Times New Roman" w:eastAsia="Times New Roman" w:hAnsi="Times New Roman"/>
          <w:sz w:val="14"/>
          <w:szCs w:val="14"/>
          <w:color w:val="auto"/>
        </w:rPr>
      </w:pPr>
    </w:p>
    <w:p>
      <w:pPr>
        <w:ind w:left="680" w:hanging="203"/>
        <w:spacing w:after="0"/>
        <w:tabs>
          <w:tab w:leader="none" w:pos="68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statement as to whether, in the opinion of each such individual or such firm, such condition or covenant has been complied with.</w:t>
      </w:r>
    </w:p>
    <w:p>
      <w:pPr>
        <w:spacing w:after="0" w:line="1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1.04 </w:t>
      </w:r>
      <w:r>
        <w:rPr>
          <w:rFonts w:ascii="Times New Roman" w:cs="Times New Roman" w:eastAsia="Times New Roman" w:hAnsi="Times New Roman"/>
          <w:sz w:val="14"/>
          <w:szCs w:val="14"/>
          <w:u w:val="single" w:color="auto"/>
          <w:color w:val="auto"/>
        </w:rPr>
        <w:t>FORM OF DOCUMENTS DELIVERED TO TRUSTEE</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120" w:right="159" w:firstLine="350"/>
        <w:spacing w:after="0" w:line="268" w:lineRule="auto"/>
        <w:rPr>
          <w:sz w:val="20"/>
          <w:szCs w:val="20"/>
          <w:color w:val="auto"/>
        </w:rPr>
      </w:pPr>
      <w:r>
        <w:rPr>
          <w:rFonts w:ascii="Times New Roman" w:cs="Times New Roman" w:eastAsia="Times New Roman" w:hAnsi="Times New Roman"/>
          <w:sz w:val="14"/>
          <w:szCs w:val="14"/>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39" w:lineRule="exact"/>
        <w:rPr>
          <w:sz w:val="20"/>
          <w:szCs w:val="20"/>
          <w:color w:val="auto"/>
        </w:rPr>
      </w:pPr>
    </w:p>
    <w:p>
      <w:pPr>
        <w:ind w:left="120" w:right="199" w:firstLine="350"/>
        <w:spacing w:after="0" w:line="268" w:lineRule="auto"/>
        <w:rPr>
          <w:sz w:val="20"/>
          <w:szCs w:val="20"/>
          <w:color w:val="auto"/>
        </w:rPr>
      </w:pPr>
      <w:r>
        <w:rPr>
          <w:rFonts w:ascii="Times New Roman" w:cs="Times New Roman" w:eastAsia="Times New Roman" w:hAnsi="Times New Roman"/>
          <w:sz w:val="14"/>
          <w:szCs w:val="14"/>
          <w:color w:val="auto"/>
        </w:rPr>
        <w:t>Any certificate of an Officer of the Company or other obligor on the Securities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certificate or opinion is based are erroneous. Any such certificate or opinion may be based, insofar as it relates to factual matters, upon a certificate or opinion of, or representations by, an Officer or Officers of</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9019"/>
          </w:cols>
          <w:pgMar w:left="1440" w:top="243" w:right="1440" w:bottom="1440" w:gutter="0" w:footer="0" w:header="0"/>
        </w:sectPr>
      </w:pPr>
    </w:p>
    <w:bookmarkStart w:id="191" w:name="page192"/>
    <w:bookmarkEnd w:id="191"/>
    <w:p>
      <w:pPr>
        <w:ind w:left="120" w:right="179"/>
        <w:spacing w:after="0" w:line="26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0">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the Company or other obligor on the Securities stating that the information with respect to such factual matters is in the possession of the Company or other obligor on the Securities, unless such Officer or counsel knows, or in the exercise of reasonable care should know, that the certificate or opinion or representations with respect to such matters are erroneous. Opinions of Counsel required to be delivered to the Trustee may have qualifications customary for opinions of the type required and counsel delivering such Opinions of Counsel may rely on certificates of the Company or government or other officials customary for opinions of the type required, including certificates certifying as to matters of fact, including that various financial covenants have been complied with.</w:t>
      </w:r>
    </w:p>
    <w:p>
      <w:pPr>
        <w:spacing w:after="0" w:line="143" w:lineRule="exact"/>
        <w:rPr>
          <w:sz w:val="20"/>
          <w:szCs w:val="20"/>
          <w:color w:val="auto"/>
        </w:rPr>
      </w:pPr>
    </w:p>
    <w:p>
      <w:pPr>
        <w:ind w:left="120" w:right="139" w:firstLine="350"/>
        <w:spacing w:after="0" w:line="265" w:lineRule="auto"/>
        <w:rPr>
          <w:sz w:val="20"/>
          <w:szCs w:val="20"/>
          <w:color w:val="auto"/>
        </w:rPr>
      </w:pPr>
      <w:r>
        <w:rPr>
          <w:rFonts w:ascii="Times New Roman" w:cs="Times New Roman" w:eastAsia="Times New Roman" w:hAnsi="Times New Roman"/>
          <w:sz w:val="14"/>
          <w:szCs w:val="14"/>
          <w:color w:val="auto"/>
        </w:rPr>
        <w:t>Any certificate or opinion of an Officer of the Company or other obligor on the Securities may be based, insofar as it relates to accounting matters, upon a certificate or opinion of, or representations by, an accountant or firm of accountants in the employ of the Company, unless such Officer knows, or in the exercise of reasonable care should know, that the certificate or opinion or representations with respect to the accounting matters upon which his certificate or opinion may be based are erroneous. Any certificate or opinion of any independent firm of public accountants filed with the Trustee shall contain a statement that such firm is independent with respect to the Company.</w:t>
      </w:r>
    </w:p>
    <w:p>
      <w:pPr>
        <w:spacing w:after="0" w:line="141" w:lineRule="exact"/>
        <w:rPr>
          <w:sz w:val="20"/>
          <w:szCs w:val="20"/>
          <w:color w:val="auto"/>
        </w:rPr>
      </w:pPr>
    </w:p>
    <w:p>
      <w:pPr>
        <w:ind w:left="120" w:right="419" w:firstLine="350"/>
        <w:spacing w:after="0" w:line="292" w:lineRule="auto"/>
        <w:rPr>
          <w:sz w:val="20"/>
          <w:szCs w:val="20"/>
          <w:color w:val="auto"/>
        </w:rPr>
      </w:pPr>
      <w:r>
        <w:rPr>
          <w:rFonts w:ascii="Times New Roman" w:cs="Times New Roman" w:eastAsia="Times New Roman" w:hAnsi="Times New Roman"/>
          <w:sz w:val="14"/>
          <w:szCs w:val="14"/>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1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1.05 </w:t>
      </w:r>
      <w:r>
        <w:rPr>
          <w:rFonts w:ascii="Times New Roman" w:cs="Times New Roman" w:eastAsia="Times New Roman" w:hAnsi="Times New Roman"/>
          <w:sz w:val="14"/>
          <w:szCs w:val="14"/>
          <w:u w:val="single" w:color="auto"/>
          <w:color w:val="auto"/>
        </w:rPr>
        <w:t>ACTS OF HOLDERS</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120" w:right="219" w:firstLine="357"/>
        <w:spacing w:after="0" w:line="261" w:lineRule="auto"/>
        <w:tabs>
          <w:tab w:leader="none" w:pos="664"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request, demand, authorization, direction, notice, consent, waiver or other action provided by this Indenture to be given or taken by Holders of the Outstanding Securities of all series or one or more series, as the case may be, may be embodied in and evidenced by one or more instruments of substantially similar tenor signed by such Holders in person or by an agent duly appointed in writing; and, except as herein otherwise expressly provided, such action shall become effective when such instrument or instruments are delivered to the Trustee and, where it is hereby expressly required, to the Company. Such instrument or instruments (and the action embodied therein and evidenced thereby) are herein sometimes referred to as the “</w:t>
      </w:r>
      <w:r>
        <w:rPr>
          <w:rFonts w:ascii="Times New Roman" w:cs="Times New Roman" w:eastAsia="Times New Roman" w:hAnsi="Times New Roman"/>
          <w:sz w:val="14"/>
          <w:szCs w:val="14"/>
          <w:u w:val="single" w:color="auto"/>
          <w:color w:val="auto"/>
        </w:rPr>
        <w:t>Act</w:t>
      </w:r>
      <w:r>
        <w:rPr>
          <w:rFonts w:ascii="Times New Roman" w:cs="Times New Roman" w:eastAsia="Times New Roman" w:hAnsi="Times New Roman"/>
          <w:sz w:val="14"/>
          <w:szCs w:val="14"/>
          <w:color w:val="auto"/>
        </w:rPr>
        <w:t xml:space="preserve">” of the Holders signing such instrument or instruments. Proof of execution of any such instrument or of a writing appointing any such agent shall be sufficient for any purpose of this Indenture and conclusive in favor of the Trustee and the Company, if made in the manner provided in this </w:t>
      </w:r>
      <w:r>
        <w:rPr>
          <w:rFonts w:ascii="Times New Roman" w:cs="Times New Roman" w:eastAsia="Times New Roman" w:hAnsi="Times New Roman"/>
          <w:sz w:val="14"/>
          <w:szCs w:val="14"/>
          <w:u w:val="single" w:color="auto"/>
          <w:color w:val="auto"/>
        </w:rPr>
        <w:t>Section 1.05</w:t>
      </w:r>
      <w:r>
        <w:rPr>
          <w:rFonts w:ascii="Times New Roman" w:cs="Times New Roman" w:eastAsia="Times New Roman" w:hAnsi="Times New Roman"/>
          <w:sz w:val="14"/>
          <w:szCs w:val="14"/>
          <w:color w:val="auto"/>
        </w:rPr>
        <w:t>.</w:t>
      </w:r>
    </w:p>
    <w:p>
      <w:pPr>
        <w:spacing w:after="0" w:line="319" w:lineRule="exact"/>
        <w:rPr>
          <w:rFonts w:ascii="Times New Roman" w:cs="Times New Roman" w:eastAsia="Times New Roman" w:hAnsi="Times New Roman"/>
          <w:sz w:val="14"/>
          <w:szCs w:val="14"/>
          <w:color w:val="auto"/>
        </w:rPr>
      </w:pPr>
    </w:p>
    <w:p>
      <w:pPr>
        <w:ind w:left="680" w:hanging="203"/>
        <w:spacing w:after="0"/>
        <w:tabs>
          <w:tab w:leader="none" w:pos="68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ownership of Securities shall be proved by the Security Register.</w:t>
      </w:r>
    </w:p>
    <w:p>
      <w:pPr>
        <w:spacing w:after="0" w:line="182" w:lineRule="exact"/>
        <w:rPr>
          <w:rFonts w:ascii="Times New Roman" w:cs="Times New Roman" w:eastAsia="Times New Roman" w:hAnsi="Times New Roman"/>
          <w:sz w:val="14"/>
          <w:szCs w:val="14"/>
          <w:color w:val="auto"/>
        </w:rPr>
      </w:pPr>
    </w:p>
    <w:p>
      <w:pPr>
        <w:ind w:left="120" w:right="399" w:firstLine="357"/>
        <w:spacing w:after="0" w:line="268" w:lineRule="auto"/>
        <w:tabs>
          <w:tab w:leader="none" w:pos="664"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request, demand, authorization, direction, notice, consent, waiver or other Act by the Holder of any Security shall bind every future Holder of the same Security and the Holder of every Security issued upon the transfer thereof or in exchange therefor or in lieu thereof, in respect of anything done, suffered or omitted to be done by the Trustee, any Paying Agent or the Company or any other obligor of the Securities in reliance thereon, whether or not notation of such action is made upon such Security.</w:t>
      </w:r>
    </w:p>
    <w:p>
      <w:pPr>
        <w:spacing w:after="0" w:line="139" w:lineRule="exact"/>
        <w:rPr>
          <w:rFonts w:ascii="Times New Roman" w:cs="Times New Roman" w:eastAsia="Times New Roman" w:hAnsi="Times New Roman"/>
          <w:sz w:val="14"/>
          <w:szCs w:val="14"/>
          <w:color w:val="auto"/>
        </w:rPr>
      </w:pPr>
    </w:p>
    <w:p>
      <w:pPr>
        <w:ind w:left="120" w:right="319" w:firstLine="357"/>
        <w:spacing w:after="0" w:line="265" w:lineRule="auto"/>
        <w:tabs>
          <w:tab w:leader="none" w:pos="672"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the execution thereof. Where such execution is by a signer acting in a capacity other than his individual capacity, such certificate or affidavit shall also constitute sufficient proof of his authority. The fact and date of the execution of any such instrument or writing, or the authority of the Person executing the same, may also be proved in any other manner which the Trustee deems sufficient.</w:t>
      </w:r>
    </w:p>
    <w:p>
      <w:pPr>
        <w:spacing w:after="0" w:line="141" w:lineRule="exact"/>
        <w:rPr>
          <w:rFonts w:ascii="Times New Roman" w:cs="Times New Roman" w:eastAsia="Times New Roman" w:hAnsi="Times New Roman"/>
          <w:sz w:val="14"/>
          <w:szCs w:val="14"/>
          <w:color w:val="auto"/>
        </w:rPr>
      </w:pPr>
    </w:p>
    <w:p>
      <w:pPr>
        <w:ind w:left="120" w:right="179" w:firstLine="357"/>
        <w:spacing w:after="0" w:line="264" w:lineRule="auto"/>
        <w:tabs>
          <w:tab w:leader="none" w:pos="664"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Company shall solicit from the Holders any request, demand, authorization, direction, notice, consent, waiver or other Act, the Company may, at its option, by or pursuant to a Board Resolution, fix in advance a record date for the determination of such Holders entitled to give such request, demand, authorization, direction, notice, consent, waiver or other Act, but the Company shall have no obligation to do so. Notwithstanding Trust Indenture Act Section 316(c), any such record date shall be the record date specified in or pursuant to such Board Resolution, which shall be a date not more than 30 days prior to the first solicitation of Holders generally in connection therewith and no later than the date such first solicitation is completed.</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9019"/>
          </w:cols>
          <w:pgMar w:left="1440" w:top="243" w:right="1440" w:bottom="1440" w:gutter="0" w:footer="0" w:header="0"/>
        </w:sectPr>
      </w:pPr>
    </w:p>
    <w:bookmarkStart w:id="192" w:name="page193"/>
    <w:bookmarkEnd w:id="192"/>
    <w:p>
      <w:pPr>
        <w:ind w:left="120" w:right="259" w:firstLine="350"/>
        <w:spacing w:after="0" w:line="26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1">
                      <a:extLst>
                        <a:ext uri="{28A0092B-C50C-407E-A947-70E740481C1C}"/>
                      </a:extLst>
                    </a:blip>
                    <a:srcRect/>
                    <a:stretch>
                      <a:fillRect/>
                    </a:stretch>
                  </pic:blipFill>
                  <pic:spPr bwMode="auto">
                    <a:xfrm>
                      <a:off x="0" y="0"/>
                      <a:ext cx="7199630" cy="33020"/>
                    </a:xfrm>
                    <a:prstGeom prst="rect">
                      <a:avLst/>
                    </a:prstGeom>
                    <a:noFill/>
                  </pic:spPr>
                </pic:pic>
              </a:graphicData>
            </a:graphic>
          </wp:anchor>
        </w:drawing>
        <w:t>If such a record date is fixed, such request, demand, authorization, direction, notice, consent, waiver or other Act may be given before or after such record date, but only the Holders of record at the close of business on such record date shall be deemed to be Holders for purposes of determining whether Holders of the requisite proportion of Securities then Outstanding have authorized or agreed or consented to such request, demand, authorization, direction, notice, consent, waiver or other Act, and for this purpose the Securities then Outstanding shall be computed as of such record date; provided that no such request, demand, authorization, direction, notice, consent, waiver or other Act by the Holders on such record date shall be deemed effective unless it shall become effective pursuant to the provisions of this Indenture not later than ninety (90) days after such record date.</w:t>
      </w:r>
    </w:p>
    <w:p>
      <w:pPr>
        <w:spacing w:after="0" w:line="143" w:lineRule="exact"/>
        <w:rPr>
          <w:sz w:val="20"/>
          <w:szCs w:val="20"/>
          <w:color w:val="auto"/>
        </w:rPr>
      </w:pPr>
    </w:p>
    <w:p>
      <w:pPr>
        <w:ind w:left="120" w:right="439" w:firstLine="357"/>
        <w:spacing w:after="0" w:line="292" w:lineRule="auto"/>
        <w:tabs>
          <w:tab w:leader="none" w:pos="649"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this Indenture, any action by the Holders which may be taken in writing may be taken by electronic means or as otherwise reasonably acceptable to the Trustee.</w:t>
      </w:r>
    </w:p>
    <w:p>
      <w:pPr>
        <w:spacing w:after="0" w:line="1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1.06 </w:t>
      </w:r>
      <w:r>
        <w:rPr>
          <w:rFonts w:ascii="Times New Roman" w:cs="Times New Roman" w:eastAsia="Times New Roman" w:hAnsi="Times New Roman"/>
          <w:sz w:val="14"/>
          <w:szCs w:val="14"/>
          <w:u w:val="single" w:color="auto"/>
          <w:color w:val="auto"/>
        </w:rPr>
        <w:t>NOTICES, ETC., TO THE TRUSTEE, THE COMPANY</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Any request, demand, authorization, direction, notice, consent, waiver or Act of Holders or other document provided or permitted by this</w:t>
      </w:r>
    </w:p>
    <w:p>
      <w:pPr>
        <w:spacing w:after="0" w:line="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Indenture to be made upon, given or furnished to, or filed with:</w:t>
      </w:r>
    </w:p>
    <w:p>
      <w:pPr>
        <w:spacing w:after="0" w:line="83" w:lineRule="exact"/>
        <w:rPr>
          <w:sz w:val="20"/>
          <w:szCs w:val="20"/>
          <w:color w:val="auto"/>
        </w:rPr>
      </w:pPr>
    </w:p>
    <w:p>
      <w:pPr>
        <w:ind w:left="120" w:right="159" w:firstLine="357"/>
        <w:spacing w:after="0" w:line="265" w:lineRule="auto"/>
        <w:tabs>
          <w:tab w:leader="none" w:pos="664"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Trustee by any Holder or by the Company or any other obligor on the Securities shall be sufficient for every purpose (except as provided in </w:t>
      </w:r>
      <w:r>
        <w:rPr>
          <w:rFonts w:ascii="Times New Roman" w:cs="Times New Roman" w:eastAsia="Times New Roman" w:hAnsi="Times New Roman"/>
          <w:sz w:val="14"/>
          <w:szCs w:val="14"/>
          <w:u w:val="single" w:color="auto"/>
          <w:color w:val="auto"/>
        </w:rPr>
        <w:t>Section 5.01(c)</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(d)</w:t>
      </w:r>
      <w:r>
        <w:rPr>
          <w:rFonts w:ascii="Times New Roman" w:cs="Times New Roman" w:eastAsia="Times New Roman" w:hAnsi="Times New Roman"/>
          <w:sz w:val="14"/>
          <w:szCs w:val="14"/>
          <w:color w:val="auto"/>
        </w:rPr>
        <w:t>, in which case, the notice shall be delivered by certified mail) hereunder if in writing and mailed, first-class postage prepaid, or delivered by recognized overnight courier, to or with the Trustee at its Corporate Trust Office, Attention: Corporate Trust Services, or at any other address previously furnished in writing to the Holders or the Company, or any other obligor on the Securities by the Trustee and shall be deemed given upon actual receipt by the Trustee; or</w:t>
      </w:r>
    </w:p>
    <w:p>
      <w:pPr>
        <w:spacing w:after="0" w:line="141" w:lineRule="exact"/>
        <w:rPr>
          <w:rFonts w:ascii="Times New Roman" w:cs="Times New Roman" w:eastAsia="Times New Roman" w:hAnsi="Times New Roman"/>
          <w:sz w:val="14"/>
          <w:szCs w:val="14"/>
          <w:color w:val="auto"/>
        </w:rPr>
      </w:pPr>
    </w:p>
    <w:p>
      <w:pPr>
        <w:ind w:left="120" w:right="259" w:firstLine="357"/>
        <w:spacing w:after="0" w:line="268" w:lineRule="auto"/>
        <w:tabs>
          <w:tab w:leader="none" w:pos="672"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Company by the Trustee or any Holder shall be sufficient for every purpose (except as provided in </w:t>
      </w:r>
      <w:r>
        <w:rPr>
          <w:rFonts w:ascii="Times New Roman" w:cs="Times New Roman" w:eastAsia="Times New Roman" w:hAnsi="Times New Roman"/>
          <w:sz w:val="14"/>
          <w:szCs w:val="14"/>
          <w:u w:val="single" w:color="auto"/>
          <w:color w:val="auto"/>
        </w:rPr>
        <w:t>Section 5.01(c)</w:t>
      </w:r>
      <w:r>
        <w:rPr>
          <w:rFonts w:ascii="Times New Roman" w:cs="Times New Roman" w:eastAsia="Times New Roman" w:hAnsi="Times New Roman"/>
          <w:sz w:val="14"/>
          <w:szCs w:val="14"/>
          <w:color w:val="auto"/>
        </w:rPr>
        <w:t>, in which case, the notice shall be delivered by certified mail) hereunder if in writing and mailed, first-class postage prepaid, or delivered by recognized overnight courier, to the Company addressed to The GEO Group, Inc., 4955 Technology Way, Boca Raton, Florida, 33431 Attention: Chief Financial Officer, or at any other address previously furnished in writing to the Trustee by the Company.</w:t>
      </w:r>
    </w:p>
    <w:p>
      <w:pPr>
        <w:spacing w:after="0" w:line="139" w:lineRule="exact"/>
        <w:rPr>
          <w:sz w:val="20"/>
          <w:szCs w:val="20"/>
          <w:color w:val="auto"/>
        </w:rPr>
      </w:pPr>
    </w:p>
    <w:p>
      <w:pPr>
        <w:ind w:left="120" w:right="199" w:firstLine="350"/>
        <w:spacing w:after="0" w:line="259" w:lineRule="auto"/>
        <w:rPr>
          <w:sz w:val="20"/>
          <w:szCs w:val="20"/>
          <w:color w:val="auto"/>
        </w:rPr>
      </w:pPr>
      <w:r>
        <w:rPr>
          <w:rFonts w:ascii="Times New Roman" w:cs="Times New Roman" w:eastAsia="Times New Roman" w:hAnsi="Times New Roman"/>
          <w:sz w:val="14"/>
          <w:szCs w:val="14"/>
          <w:color w:val="auto"/>
        </w:rPr>
        <w:t>The Trustee agrees to accept and act upon instructions or directions pursuant to this Indenture sent by unsecured e-mail or other similar unsecured electronic methods; provided, however, that (a) the party providing such written instructions, subsequent to such transmission of written instructions, shall provide the originally executed instructions or directions to the Trustee in a timely manner, and (b) such originally executed instructions or directions shall be signed by an authorized representative of the party providing such instructions or directions. If the party elects to give the Trustee e-mail instructions (or instructions by a similar electronic method) and the Trustee in its discretion elects to act upon such instructions, the Trustee’s understanding of such instructions shall be deemed controlling. The Trustee shall not be liable for any losses, costs or expenses arising directly or indirectly from the Trustee’s reliance upon and compliance with such instructions notwithstanding such instructions conflict or are inconsistent with a subsequent written instruction. The party providing electronic instructions agrees to assume all risks arising out of the use of such electronic methods to submit instructions and directions to the Trustee, including without limitation the risk of the Trustee acting on unauthorized instructions, and the risk or interception and misuse by third parties.</w:t>
      </w:r>
    </w:p>
    <w:p>
      <w:pPr>
        <w:spacing w:after="0" w:line="15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1.07 </w:t>
      </w:r>
      <w:r>
        <w:rPr>
          <w:rFonts w:ascii="Times New Roman" w:cs="Times New Roman" w:eastAsia="Times New Roman" w:hAnsi="Times New Roman"/>
          <w:sz w:val="14"/>
          <w:szCs w:val="14"/>
          <w:u w:val="single" w:color="auto"/>
          <w:color w:val="auto"/>
        </w:rPr>
        <w:t>NOTICE TO HOLDERS; WAIVER</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120" w:right="179" w:firstLine="350"/>
        <w:spacing w:after="0" w:line="260" w:lineRule="auto"/>
        <w:rPr>
          <w:sz w:val="20"/>
          <w:szCs w:val="20"/>
          <w:color w:val="auto"/>
        </w:rPr>
      </w:pPr>
      <w:r>
        <w:rPr>
          <w:rFonts w:ascii="Times New Roman" w:cs="Times New Roman" w:eastAsia="Times New Roman" w:hAnsi="Times New Roman"/>
          <w:sz w:val="14"/>
          <w:szCs w:val="14"/>
          <w:color w:val="auto"/>
        </w:rPr>
        <w:t>Where this Indenture provides for notice to Holders of any event, such notice shall be sufficiently given (unless otherwise herein expressly provided) if in writing and mailed, first-class postage prepaid, or delivered by recognized overnight courier, to each Holder affected by such event, at its address as it appears in the Security Register, not later than the latest date, and not earlier than the earliest date, prescribed for the giving of such notice. In any case where notice to Holders is given by mail, neither the failure to mail such notice, nor any defect in any notice so mailed, to any particular Holder shall affect the sufficiency of such notice with respect to other Holders. Any notice when mailed to a Holder in the aforesaid manner shall be conclusively deemed to have been received by such Holder whether or not actually received by such Holder. 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9019"/>
          </w:cols>
          <w:pgMar w:left="1440" w:top="243" w:right="1440" w:bottom="1440" w:gutter="0" w:footer="0" w:header="0"/>
        </w:sectPr>
      </w:pPr>
    </w:p>
    <w:bookmarkStart w:id="193" w:name="page194"/>
    <w:bookmarkEnd w:id="193"/>
    <w:p>
      <w:pPr>
        <w:ind w:left="120" w:right="219" w:firstLine="350"/>
        <w:spacing w:after="0" w:line="27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2">
                      <a:extLst>
                        <a:ext uri="{28A0092B-C50C-407E-A947-70E740481C1C}"/>
                      </a:extLst>
                    </a:blip>
                    <a:srcRect/>
                    <a:stretch>
                      <a:fillRect/>
                    </a:stretch>
                  </pic:blipFill>
                  <pic:spPr bwMode="auto">
                    <a:xfrm>
                      <a:off x="0" y="0"/>
                      <a:ext cx="7199630" cy="33020"/>
                    </a:xfrm>
                    <a:prstGeom prst="rect">
                      <a:avLst/>
                    </a:prstGeom>
                    <a:noFill/>
                  </pic:spPr>
                </pic:pic>
              </a:graphicData>
            </a:graphic>
          </wp:anchor>
        </w:drawing>
        <w:t>In case by reason of the suspension of regular mail service or by reason of any other cause, it shall be impracticable to mail notice of any event as required by any provision of this Indenture, then any method of giving such notice as shall be reasonably satisfactory to the Trustee and reasonably calculated to reach its destination shall be deemed to be a sufficient giving of such notice.</w:t>
      </w:r>
    </w:p>
    <w:p>
      <w:pPr>
        <w:spacing w:after="0" w:line="135" w:lineRule="exact"/>
        <w:rPr>
          <w:sz w:val="20"/>
          <w:szCs w:val="20"/>
          <w:color w:val="auto"/>
        </w:rPr>
      </w:pPr>
    </w:p>
    <w:p>
      <w:pPr>
        <w:ind w:left="120" w:right="259" w:firstLine="350"/>
        <w:spacing w:after="0" w:line="292" w:lineRule="auto"/>
        <w:rPr>
          <w:sz w:val="20"/>
          <w:szCs w:val="20"/>
          <w:color w:val="auto"/>
        </w:rPr>
      </w:pPr>
      <w:r>
        <w:rPr>
          <w:rFonts w:ascii="Times New Roman" w:cs="Times New Roman" w:eastAsia="Times New Roman" w:hAnsi="Times New Roman"/>
          <w:sz w:val="14"/>
          <w:szCs w:val="14"/>
          <w:color w:val="auto"/>
        </w:rPr>
        <w:t>Notwithstanding anything to the contrary contained herein, including references to delivery of any notice by mail, as long as the Securities are in the form of a Global Security, notice to the Holders may be made electronically in accordance with the Applicable Procedures.</w:t>
      </w:r>
    </w:p>
    <w:p>
      <w:pPr>
        <w:spacing w:after="0" w:line="1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1.08 </w:t>
      </w:r>
      <w:r>
        <w:rPr>
          <w:rFonts w:ascii="Times New Roman" w:cs="Times New Roman" w:eastAsia="Times New Roman" w:hAnsi="Times New Roman"/>
          <w:sz w:val="14"/>
          <w:szCs w:val="14"/>
          <w:u w:val="single" w:color="auto"/>
          <w:color w:val="auto"/>
        </w:rPr>
        <w:t>CONFLICT WITH TRUST INDENTURE ACT</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120" w:right="159" w:firstLine="350"/>
        <w:spacing w:after="0" w:line="268" w:lineRule="auto"/>
        <w:rPr>
          <w:sz w:val="20"/>
          <w:szCs w:val="20"/>
          <w:color w:val="auto"/>
        </w:rPr>
      </w:pPr>
      <w:r>
        <w:rPr>
          <w:rFonts w:ascii="Times New Roman" w:cs="Times New Roman" w:eastAsia="Times New Roman" w:hAnsi="Times New Roman"/>
          <w:sz w:val="14"/>
          <w:szCs w:val="14"/>
          <w:color w:val="auto"/>
        </w:rPr>
        <w:t>If any provision hereof limits, qualifies or conflicts with any provision of the Trust Indenture Act or another provision which is required or deemed to be included in this Indenture by any of the provisions of the Trust Indenture Act, the provision or requirement of the Trust Indenture Act shall control. If any provision of this Indenture modifies or excludes any provision of the Trust Indenture Act that may be so modified or excluded, the latter provision shall be deemed to apply to this Indenture as so modified or to be excluded, as the case may be.</w:t>
      </w:r>
    </w:p>
    <w:p>
      <w:pPr>
        <w:spacing w:after="0" w:line="13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The following terms defined in the Trust Indenture Act used in this Indenture have the following meanings:</w:t>
      </w:r>
    </w:p>
    <w:p>
      <w:pPr>
        <w:spacing w:after="0" w:line="9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“Commission” means the SEC.</w:t>
      </w:r>
    </w:p>
    <w:p>
      <w:pPr>
        <w:spacing w:after="0" w:line="1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“indenture securities” means the Securities.</w:t>
      </w:r>
    </w:p>
    <w:p>
      <w:pPr>
        <w:spacing w:after="0" w:line="1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“indenture security holder” means a Securityholder.</w:t>
      </w:r>
    </w:p>
    <w:p>
      <w:pPr>
        <w:spacing w:after="0" w:line="1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“indenture to be qualified” means this Indenture.</w:t>
      </w:r>
    </w:p>
    <w:p>
      <w:pPr>
        <w:spacing w:after="0" w:line="1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“indenture trustee” or “institutional trustee” means the Trustee.</w:t>
      </w:r>
    </w:p>
    <w:p>
      <w:pPr>
        <w:spacing w:after="0" w:line="1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“obligor” on the indenture securities means the Company and any successor obligor upon the Securities.</w:t>
      </w:r>
    </w:p>
    <w:p>
      <w:pPr>
        <w:spacing w:after="0" w:line="1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1.09 </w:t>
      </w:r>
      <w:r>
        <w:rPr>
          <w:rFonts w:ascii="Times New Roman" w:cs="Times New Roman" w:eastAsia="Times New Roman" w:hAnsi="Times New Roman"/>
          <w:sz w:val="14"/>
          <w:szCs w:val="14"/>
          <w:u w:val="single" w:color="auto"/>
          <w:color w:val="auto"/>
        </w:rPr>
        <w:t>EFFECT OF HEADINGS AND TABLE OF CONTENTS</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The Article and Section headings herein and the Table of Contents are for convenience only and shall not affect the construction hereof.</w:t>
      </w:r>
    </w:p>
    <w:p>
      <w:pPr>
        <w:spacing w:after="0" w:line="1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1.10 </w:t>
      </w:r>
      <w:r>
        <w:rPr>
          <w:rFonts w:ascii="Times New Roman" w:cs="Times New Roman" w:eastAsia="Times New Roman" w:hAnsi="Times New Roman"/>
          <w:sz w:val="14"/>
          <w:szCs w:val="14"/>
          <w:u w:val="single" w:color="auto"/>
          <w:color w:val="auto"/>
        </w:rPr>
        <w:t>SUCCESSORS AND ASSIGNS</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120" w:right="419" w:firstLine="350"/>
        <w:spacing w:after="0" w:line="292" w:lineRule="auto"/>
        <w:rPr>
          <w:sz w:val="20"/>
          <w:szCs w:val="20"/>
          <w:color w:val="auto"/>
        </w:rPr>
      </w:pPr>
      <w:r>
        <w:rPr>
          <w:rFonts w:ascii="Times New Roman" w:cs="Times New Roman" w:eastAsia="Times New Roman" w:hAnsi="Times New Roman"/>
          <w:sz w:val="14"/>
          <w:szCs w:val="14"/>
          <w:color w:val="auto"/>
        </w:rPr>
        <w:t>All covenants and agreements in this Indenture by the Company and the Trustee shall bind their respective successors and assigns, whether so expressed or not.</w:t>
      </w:r>
    </w:p>
    <w:p>
      <w:pPr>
        <w:spacing w:after="0" w:line="1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1.11 </w:t>
      </w:r>
      <w:r>
        <w:rPr>
          <w:rFonts w:ascii="Times New Roman" w:cs="Times New Roman" w:eastAsia="Times New Roman" w:hAnsi="Times New Roman"/>
          <w:sz w:val="14"/>
          <w:szCs w:val="14"/>
          <w:u w:val="single" w:color="auto"/>
          <w:color w:val="auto"/>
        </w:rPr>
        <w:t>SEPARABILITY CLAUSE.</w:t>
      </w:r>
    </w:p>
    <w:p>
      <w:pPr>
        <w:spacing w:after="0" w:line="182" w:lineRule="exact"/>
        <w:rPr>
          <w:sz w:val="20"/>
          <w:szCs w:val="20"/>
          <w:color w:val="auto"/>
        </w:rPr>
      </w:pPr>
    </w:p>
    <w:p>
      <w:pPr>
        <w:ind w:left="120" w:right="259" w:firstLine="350"/>
        <w:spacing w:after="0" w:line="292" w:lineRule="auto"/>
        <w:rPr>
          <w:sz w:val="20"/>
          <w:szCs w:val="20"/>
          <w:color w:val="auto"/>
        </w:rPr>
      </w:pPr>
      <w:r>
        <w:rPr>
          <w:rFonts w:ascii="Times New Roman" w:cs="Times New Roman" w:eastAsia="Times New Roman" w:hAnsi="Times New Roman"/>
          <w:sz w:val="14"/>
          <w:szCs w:val="14"/>
          <w:color w:val="auto"/>
        </w:rPr>
        <w:t>In case any provision in this Indenture or in the Securities shall be invalid, illegal or unenforceable, the validity, legality and enforceability of the remaining provisions shall not in any way be affected or impaired thereby.</w:t>
      </w:r>
    </w:p>
    <w:p>
      <w:pPr>
        <w:spacing w:after="0" w:line="1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1.12 </w:t>
      </w:r>
      <w:r>
        <w:rPr>
          <w:rFonts w:ascii="Times New Roman" w:cs="Times New Roman" w:eastAsia="Times New Roman" w:hAnsi="Times New Roman"/>
          <w:sz w:val="14"/>
          <w:szCs w:val="14"/>
          <w:u w:val="single" w:color="auto"/>
          <w:color w:val="auto"/>
        </w:rPr>
        <w:t>BENEFITS OF INDENTURE.</w:t>
      </w:r>
    </w:p>
    <w:p>
      <w:pPr>
        <w:spacing w:after="0" w:line="182" w:lineRule="exact"/>
        <w:rPr>
          <w:sz w:val="20"/>
          <w:szCs w:val="20"/>
          <w:color w:val="auto"/>
        </w:rPr>
      </w:pPr>
    </w:p>
    <w:p>
      <w:pPr>
        <w:ind w:left="120" w:right="259" w:firstLine="350"/>
        <w:spacing w:after="0" w:line="292" w:lineRule="auto"/>
        <w:rPr>
          <w:sz w:val="20"/>
          <w:szCs w:val="20"/>
          <w:color w:val="auto"/>
        </w:rPr>
      </w:pPr>
      <w:r>
        <w:rPr>
          <w:rFonts w:ascii="Times New Roman" w:cs="Times New Roman" w:eastAsia="Times New Roman" w:hAnsi="Times New Roman"/>
          <w:sz w:val="14"/>
          <w:szCs w:val="14"/>
          <w:color w:val="auto"/>
        </w:rPr>
        <w:t>Nothing in this Indenture or in the Securities, express or implied, shall give to any Person (other than the parties hereto and their successors hereunder, any Paying Agent, any Security Registrar and the Holders) any benefit or any legal or equitable right, remedy or claim under this Indenture.</w:t>
      </w:r>
    </w:p>
    <w:p>
      <w:pPr>
        <w:spacing w:after="0" w:line="1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1.13 </w:t>
      </w:r>
      <w:r>
        <w:rPr>
          <w:rFonts w:ascii="Times New Roman" w:cs="Times New Roman" w:eastAsia="Times New Roman" w:hAnsi="Times New Roman"/>
          <w:sz w:val="14"/>
          <w:szCs w:val="14"/>
          <w:u w:val="single" w:color="auto"/>
          <w:color w:val="auto"/>
        </w:rPr>
        <w:t>GOVERNING LAW.</w:t>
      </w:r>
    </w:p>
    <w:p>
      <w:pPr>
        <w:spacing w:after="0" w:line="182" w:lineRule="exact"/>
        <w:rPr>
          <w:sz w:val="20"/>
          <w:szCs w:val="20"/>
          <w:color w:val="auto"/>
        </w:rPr>
      </w:pPr>
    </w:p>
    <w:p>
      <w:pPr>
        <w:ind w:left="120" w:right="219" w:firstLine="350"/>
        <w:spacing w:after="0" w:line="292" w:lineRule="auto"/>
        <w:rPr>
          <w:sz w:val="20"/>
          <w:szCs w:val="20"/>
          <w:color w:val="auto"/>
        </w:rPr>
      </w:pPr>
      <w:r>
        <w:rPr>
          <w:rFonts w:ascii="Times New Roman" w:cs="Times New Roman" w:eastAsia="Times New Roman" w:hAnsi="Times New Roman"/>
          <w:sz w:val="14"/>
          <w:szCs w:val="14"/>
          <w:color w:val="auto"/>
        </w:rPr>
        <w:t>THIS INDENTURE AND THE SECURITIES SHALL BE GOVERNED BY, AND CONSTRUED IN ACCORDANCE WITH, THE LAWS OF THE STATE OF NEW YORK.</w:t>
      </w:r>
    </w:p>
    <w:p>
      <w:pPr>
        <w:spacing w:after="0" w:line="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9019"/>
          </w:cols>
          <w:pgMar w:left="1440" w:top="243" w:right="1440" w:bottom="1440" w:gutter="0" w:footer="0" w:header="0"/>
        </w:sectPr>
      </w:pPr>
    </w:p>
    <w:bookmarkStart w:id="194" w:name="page195"/>
    <w:bookmarkEnd w:id="194"/>
    <w:p>
      <w:pPr>
        <w:ind w:left="1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3">
                      <a:extLst>
                        <a:ext uri="{28A0092B-C50C-407E-A947-70E740481C1C}"/>
                      </a:extLst>
                    </a:blip>
                    <a:srcRect/>
                    <a:stretch>
                      <a:fillRect/>
                    </a:stretch>
                  </pic:blipFill>
                  <pic:spPr bwMode="auto">
                    <a:xfrm>
                      <a:off x="0" y="0"/>
                      <a:ext cx="7199630" cy="33020"/>
                    </a:xfrm>
                    <a:prstGeom prst="rect">
                      <a:avLst/>
                    </a:prstGeom>
                    <a:noFill/>
                  </pic:spPr>
                </pic:pic>
              </a:graphicData>
            </a:graphic>
          </wp:anchor>
        </w:drawing>
        <w:t xml:space="preserve">Section 1.14 </w:t>
      </w:r>
      <w:r>
        <w:rPr>
          <w:rFonts w:ascii="Times New Roman" w:cs="Times New Roman" w:eastAsia="Times New Roman" w:hAnsi="Times New Roman"/>
          <w:sz w:val="14"/>
          <w:szCs w:val="14"/>
          <w:u w:val="single" w:color="auto"/>
          <w:color w:val="auto"/>
        </w:rPr>
        <w:t>LEGAL HOLIDAYS.</w:t>
      </w:r>
    </w:p>
    <w:p>
      <w:pPr>
        <w:spacing w:after="0" w:line="182" w:lineRule="exact"/>
        <w:rPr>
          <w:sz w:val="20"/>
          <w:szCs w:val="20"/>
          <w:color w:val="auto"/>
        </w:rPr>
      </w:pPr>
    </w:p>
    <w:p>
      <w:pPr>
        <w:ind w:left="120" w:right="199" w:firstLine="350"/>
        <w:spacing w:after="0" w:line="265" w:lineRule="auto"/>
        <w:rPr>
          <w:sz w:val="20"/>
          <w:szCs w:val="20"/>
          <w:color w:val="auto"/>
        </w:rPr>
      </w:pPr>
      <w:r>
        <w:rPr>
          <w:rFonts w:ascii="Times New Roman" w:cs="Times New Roman" w:eastAsia="Times New Roman" w:hAnsi="Times New Roman"/>
          <w:sz w:val="14"/>
          <w:szCs w:val="14"/>
          <w:color w:val="auto"/>
        </w:rPr>
        <w:t>In any case where any Interest Payment Date, Redemption Date, Maturity or Stated Maturity of any Security shall not be a Business Day, then (notwithstanding any other provision of this Indenture or of any Security) payment of interest or principal or premium, if any, need not be made on such date, but may be made on the next succeeding Business Day with the same force and effect as if made on such Interest Payment Date or Redemption Date, or at the Maturity or Stated Maturity and no interest shall accrue with respect to such payment for the period from and after such Interest Payment Date, Redemption Date, Maturity or Stated Maturity, as the case may be, to the next succeeding Business Day.</w:t>
      </w:r>
    </w:p>
    <w:p>
      <w:pPr>
        <w:spacing w:after="0" w:line="1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1.15 </w:t>
      </w:r>
      <w:r>
        <w:rPr>
          <w:rFonts w:ascii="Times New Roman" w:cs="Times New Roman" w:eastAsia="Times New Roman" w:hAnsi="Times New Roman"/>
          <w:sz w:val="14"/>
          <w:szCs w:val="14"/>
          <w:u w:val="single" w:color="auto"/>
          <w:color w:val="auto"/>
        </w:rPr>
        <w:t>INDEPENDENCE OF COVENANTS.</w:t>
      </w:r>
    </w:p>
    <w:p>
      <w:pPr>
        <w:spacing w:after="0" w:line="182" w:lineRule="exact"/>
        <w:rPr>
          <w:sz w:val="20"/>
          <w:szCs w:val="20"/>
          <w:color w:val="auto"/>
        </w:rPr>
      </w:pPr>
    </w:p>
    <w:p>
      <w:pPr>
        <w:ind w:left="120" w:right="239" w:firstLine="350"/>
        <w:spacing w:after="0" w:line="271" w:lineRule="auto"/>
        <w:rPr>
          <w:sz w:val="20"/>
          <w:szCs w:val="20"/>
          <w:color w:val="auto"/>
        </w:rPr>
      </w:pPr>
      <w:r>
        <w:rPr>
          <w:rFonts w:ascii="Times New Roman" w:cs="Times New Roman" w:eastAsia="Times New Roman" w:hAnsi="Times New Roman"/>
          <w:sz w:val="14"/>
          <w:szCs w:val="14"/>
          <w:color w:val="auto"/>
        </w:rPr>
        <w:t xml:space="preserve">All covenants and agreements in this Indenture shall be given independent effect so that if a particular action or condition is not permitted by any such covenants, the fact that it would be permitted by an exception to, or be otherwise within the limitations of, another covenant shall not avoid the occurrence of a Default or an Event of Default if such action is taken or condition exists. Section 1.16 </w:t>
      </w:r>
      <w:r>
        <w:rPr>
          <w:rFonts w:ascii="Times New Roman" w:cs="Times New Roman" w:eastAsia="Times New Roman" w:hAnsi="Times New Roman"/>
          <w:sz w:val="14"/>
          <w:szCs w:val="14"/>
          <w:u w:val="single" w:color="auto"/>
          <w:color w:val="auto"/>
        </w:rPr>
        <w:t>SCHEDULES AND EXHIBITS.</w:t>
      </w:r>
    </w:p>
    <w:p>
      <w:pPr>
        <w:spacing w:after="0" w:line="31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All schedules and exhibits attached hereto are by this reference made a part hereof with the same effect as if herein set forth in full.</w:t>
      </w:r>
    </w:p>
    <w:p>
      <w:pPr>
        <w:spacing w:after="0" w:line="1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1.17 </w:t>
      </w:r>
      <w:r>
        <w:rPr>
          <w:rFonts w:ascii="Times New Roman" w:cs="Times New Roman" w:eastAsia="Times New Roman" w:hAnsi="Times New Roman"/>
          <w:sz w:val="14"/>
          <w:szCs w:val="14"/>
          <w:u w:val="single" w:color="auto"/>
          <w:color w:val="auto"/>
        </w:rPr>
        <w:t>COUNTERPARTS.</w:t>
      </w:r>
    </w:p>
    <w:p>
      <w:pPr>
        <w:spacing w:after="0" w:line="182" w:lineRule="exact"/>
        <w:rPr>
          <w:sz w:val="20"/>
          <w:szCs w:val="20"/>
          <w:color w:val="auto"/>
        </w:rPr>
      </w:pPr>
    </w:p>
    <w:p>
      <w:pPr>
        <w:ind w:left="120" w:right="159" w:firstLine="350"/>
        <w:spacing w:after="0" w:line="259" w:lineRule="auto"/>
        <w:rPr>
          <w:sz w:val="20"/>
          <w:szCs w:val="20"/>
          <w:color w:val="auto"/>
        </w:rPr>
      </w:pPr>
      <w:r>
        <w:rPr>
          <w:rFonts w:ascii="Times New Roman" w:cs="Times New Roman" w:eastAsia="Times New Roman" w:hAnsi="Times New Roman"/>
          <w:sz w:val="14"/>
          <w:szCs w:val="14"/>
          <w:color w:val="auto"/>
        </w:rPr>
        <w:t>This Indenture may be executed in any number of counterparts, each of which shall be deemed an original; but all such counterparts shall together constitute but one and the same instrument. The exchange of copies of this Indenture and of signature pages by facsimile or PDF transmission shall constitute effective execution and delivery of this Indenture as to the parties hereto and may be used in lieu of the original Indenture and signature pages for all purposes. The words “execution,” “signed,” “signature,” and words of similar import in this Indenture and the Securities shall be deemed to include electronic or digital signatures or the keeping of records in electronic form, each of which shall be of the same effect, validity, and enforceability as manually executed signatures or a paper-based recordkeeping system, as the case may be, to the extent and as provided for under applicable law, including the Electronic Signatures in Global and National Commerce Act of 2000 (15 U.S.C. §§ 7001-7006), the Electronic Signatures and Records Act of 1999 (N.Y. State Tech. §§ 301-309), or any other similar state laws based on the Uniform Electronic Transactions Act; provided that, notwithstanding anything herein to the contrary, the Trustee is not under any obligation to agree to accept electronic signatures in any form or in any format unless expressly agreed to by such Trustee pursuant to procedures approved by such Trustee.</w:t>
      </w:r>
    </w:p>
    <w:p>
      <w:pPr>
        <w:spacing w:after="0" w:line="15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1.18 </w:t>
      </w:r>
      <w:r>
        <w:rPr>
          <w:rFonts w:ascii="Times New Roman" w:cs="Times New Roman" w:eastAsia="Times New Roman" w:hAnsi="Times New Roman"/>
          <w:sz w:val="14"/>
          <w:szCs w:val="14"/>
          <w:u w:val="single" w:color="auto"/>
          <w:color w:val="auto"/>
        </w:rPr>
        <w:t>CONSENT TO JURISDICTION</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120" w:right="159" w:firstLine="350"/>
        <w:spacing w:after="0" w:line="260" w:lineRule="auto"/>
        <w:rPr>
          <w:sz w:val="20"/>
          <w:szCs w:val="20"/>
          <w:color w:val="auto"/>
        </w:rPr>
      </w:pPr>
      <w:r>
        <w:rPr>
          <w:rFonts w:ascii="Times New Roman" w:cs="Times New Roman" w:eastAsia="Times New Roman" w:hAnsi="Times New Roman"/>
          <w:sz w:val="14"/>
          <w:szCs w:val="14"/>
          <w:color w:val="auto"/>
        </w:rPr>
        <w:t xml:space="preserve">Any legal suit, action or proceeding arising out of or based upon this Indenture or the transactions contemplated hereby (“Related Proceedings”) may be instituted in the federal courts of the United States of America located in The City of New York or the courts of the State of New York in each case located in The City of New York (collectively, the “Specified Courts”), and each party irrevocably submits to the non-exclusive jurisdiction (except for proceedings instituted in regard to the enforcement of a judgment of any such court, as to which such jurisdiction is non-exclusive) of such courts in any such suit, action or proceeding. Service of any process, summons, notice or document by mail to such party’s (other than the Trustee) address specified pursuant to </w:t>
      </w:r>
      <w:r>
        <w:rPr>
          <w:rFonts w:ascii="Times New Roman" w:cs="Times New Roman" w:eastAsia="Times New Roman" w:hAnsi="Times New Roman"/>
          <w:sz w:val="14"/>
          <w:szCs w:val="14"/>
          <w:u w:val="single" w:color="auto"/>
          <w:color w:val="auto"/>
        </w:rPr>
        <w:t>Sections 1.06</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1.07</w:t>
      </w:r>
      <w:r>
        <w:rPr>
          <w:rFonts w:ascii="Times New Roman" w:cs="Times New Roman" w:eastAsia="Times New Roman" w:hAnsi="Times New Roman"/>
          <w:sz w:val="14"/>
          <w:szCs w:val="14"/>
          <w:color w:val="auto"/>
        </w:rPr>
        <w:t>, as applicable,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has been brought in an inconvenient forum.</w:t>
      </w:r>
    </w:p>
    <w:p>
      <w:pPr>
        <w:spacing w:after="0" w:line="3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1.19 </w:t>
      </w:r>
      <w:r>
        <w:rPr>
          <w:rFonts w:ascii="Times New Roman" w:cs="Times New Roman" w:eastAsia="Times New Roman" w:hAnsi="Times New Roman"/>
          <w:sz w:val="14"/>
          <w:szCs w:val="14"/>
          <w:u w:val="single" w:color="auto"/>
          <w:color w:val="auto"/>
        </w:rPr>
        <w:t>WAIVER OF JURY TRIAL</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120" w:right="239" w:firstLine="350"/>
        <w:spacing w:after="0" w:line="274" w:lineRule="auto"/>
        <w:rPr>
          <w:sz w:val="20"/>
          <w:szCs w:val="20"/>
          <w:color w:val="auto"/>
        </w:rPr>
      </w:pPr>
      <w:r>
        <w:rPr>
          <w:rFonts w:ascii="Times New Roman" w:cs="Times New Roman" w:eastAsia="Times New Roman" w:hAnsi="Times New Roman"/>
          <w:sz w:val="14"/>
          <w:szCs w:val="14"/>
          <w:color w:val="auto"/>
        </w:rPr>
        <w:t>EACH OF THE COMPANY, ANY GUARANTOR AND THE TRUSTEE HEREBY IRREVOCABLY WAIVES, TO THE FULLEST EXTENT PERMITTED BY APPLICABLE LAW, ANY AND ALL RIGHT TO TRIAL BY JURY IN ANY LEGAL PROCEEDING ARISING OUT OF OR RELATING TO THIS INDENTURE, THE SECURITIES OR THE TRANSACTIONS CONTEMPLATED HEREBY.</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9019"/>
          </w:cols>
          <w:pgMar w:left="1440" w:top="243" w:right="1440" w:bottom="1440" w:gutter="0" w:footer="0" w:header="0"/>
        </w:sectPr>
      </w:pPr>
    </w:p>
    <w:bookmarkStart w:id="195" w:name="page196"/>
    <w:bookmarkEnd w:id="195"/>
    <w:p>
      <w:pPr>
        <w:ind w:left="1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4">
                      <a:extLst>
                        <a:ext uri="{28A0092B-C50C-407E-A947-70E740481C1C}"/>
                      </a:extLst>
                    </a:blip>
                    <a:srcRect/>
                    <a:stretch>
                      <a:fillRect/>
                    </a:stretch>
                  </pic:blipFill>
                  <pic:spPr bwMode="auto">
                    <a:xfrm>
                      <a:off x="0" y="0"/>
                      <a:ext cx="7199630" cy="33020"/>
                    </a:xfrm>
                    <a:prstGeom prst="rect">
                      <a:avLst/>
                    </a:prstGeom>
                    <a:noFill/>
                  </pic:spPr>
                </pic:pic>
              </a:graphicData>
            </a:graphic>
          </wp:anchor>
        </w:drawing>
        <w:t xml:space="preserve">Section 1.20 </w:t>
      </w:r>
      <w:r>
        <w:rPr>
          <w:rFonts w:ascii="Times New Roman" w:cs="Times New Roman" w:eastAsia="Times New Roman" w:hAnsi="Times New Roman"/>
          <w:sz w:val="14"/>
          <w:szCs w:val="14"/>
          <w:u w:val="single" w:color="auto"/>
          <w:color w:val="auto"/>
        </w:rPr>
        <w:t>FORCE MAJEURE</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120" w:right="139" w:firstLine="350"/>
        <w:spacing w:after="0" w:line="263" w:lineRule="auto"/>
        <w:rPr>
          <w:sz w:val="20"/>
          <w:szCs w:val="20"/>
          <w:color w:val="auto"/>
        </w:rPr>
      </w:pPr>
      <w:r>
        <w:rPr>
          <w:rFonts w:ascii="Times New Roman" w:cs="Times New Roman" w:eastAsia="Times New Roman" w:hAnsi="Times New Roman"/>
          <w:sz w:val="14"/>
          <w:szCs w:val="14"/>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pandemics, epidemics and interruptions, loss or malfunctions of utilities, communications or computer (software and hardware) services or the unavailability of the Federal Reserve Bank wire or telex or other wire or communication facility; it being understood that the Trustee shall use reasonable efforts which are consistent with accepted practices in the banking industry to resume performance as soon as practicable under the circumstances.</w:t>
      </w:r>
    </w:p>
    <w:p>
      <w:pPr>
        <w:spacing w:after="0" w:line="1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 xml:space="preserve">Section 1.21 </w:t>
      </w:r>
      <w:r>
        <w:rPr>
          <w:rFonts w:ascii="Times New Roman" w:cs="Times New Roman" w:eastAsia="Times New Roman" w:hAnsi="Times New Roman"/>
          <w:sz w:val="14"/>
          <w:szCs w:val="14"/>
          <w:u w:val="single" w:color="auto"/>
          <w:color w:val="auto"/>
        </w:rPr>
        <w:t>U.S.A. PATRIOT ACT</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120" w:right="159" w:firstLine="350"/>
        <w:spacing w:after="0" w:line="268" w:lineRule="auto"/>
        <w:rPr>
          <w:sz w:val="20"/>
          <w:szCs w:val="20"/>
          <w:color w:val="auto"/>
        </w:rPr>
      </w:pPr>
      <w:r>
        <w:rPr>
          <w:rFonts w:ascii="Times New Roman" w:cs="Times New Roman" w:eastAsia="Times New Roman" w:hAnsi="Times New Roman"/>
          <w:sz w:val="14"/>
          <w:szCs w:val="14"/>
          <w:color w:val="auto"/>
        </w:rPr>
        <w:t>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II</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SECURITY FORMS</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2.01 </w:t>
      </w:r>
      <w:r>
        <w:rPr>
          <w:rFonts w:ascii="Times New Roman" w:cs="Times New Roman" w:eastAsia="Times New Roman" w:hAnsi="Times New Roman"/>
          <w:sz w:val="14"/>
          <w:szCs w:val="14"/>
          <w:u w:val="single" w:color="auto"/>
          <w:color w:val="auto"/>
        </w:rPr>
        <w:t>FORMS OF SECURITIES</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120" w:right="159" w:firstLine="350"/>
        <w:spacing w:after="0" w:line="263" w:lineRule="auto"/>
        <w:rPr>
          <w:sz w:val="20"/>
          <w:szCs w:val="20"/>
          <w:color w:val="auto"/>
        </w:rPr>
      </w:pPr>
      <w:r>
        <w:rPr>
          <w:rFonts w:ascii="Times New Roman" w:cs="Times New Roman" w:eastAsia="Times New Roman" w:hAnsi="Times New Roman"/>
          <w:sz w:val="14"/>
          <w:szCs w:val="14"/>
          <w:color w:val="auto"/>
        </w:rPr>
        <w:t xml:space="preserve">The Securities of each series shall be in substantially the form of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hereto or in such form as shall otherwise be established in one or more indentures supplemental hereto or approved from time to time by or pursuant to a Board Resolution in accordance with </w:t>
      </w:r>
      <w:r>
        <w:rPr>
          <w:rFonts w:ascii="Times New Roman" w:cs="Times New Roman" w:eastAsia="Times New Roman" w:hAnsi="Times New Roman"/>
          <w:sz w:val="14"/>
          <w:szCs w:val="14"/>
          <w:u w:val="single" w:color="auto"/>
          <w:color w:val="auto"/>
        </w:rPr>
        <w:t>Section 3.01</w:t>
      </w:r>
      <w:r>
        <w:rPr>
          <w:rFonts w:ascii="Times New Roman" w:cs="Times New Roman" w:eastAsia="Times New Roman" w:hAnsi="Times New Roman"/>
          <w:sz w:val="14"/>
          <w:szCs w:val="14"/>
          <w:color w:val="auto"/>
        </w:rPr>
        <w:t>, shall have such appropriate insertions, omissions, substitutions and other variations as are required or permitted by this Indenture or any indenture supplemental hereto, and may have such letters, numbers or other marks of identification or designation and such legends or endorsements placed thereon as the Company may deem appropriate and as are not inconsistent with the provisions of this Indenture, or as may be required to comply with any law or with any rule or regulation made pursuant thereto or with any rule or regulation of any stock exchange on which the Securities may be listed, or to conform to usage.</w:t>
      </w:r>
    </w:p>
    <w:p>
      <w:pPr>
        <w:spacing w:after="0" w:line="143" w:lineRule="exact"/>
        <w:rPr>
          <w:sz w:val="20"/>
          <w:szCs w:val="20"/>
          <w:color w:val="auto"/>
        </w:rPr>
      </w:pPr>
    </w:p>
    <w:p>
      <w:pPr>
        <w:jc w:val="both"/>
        <w:ind w:left="120" w:right="259" w:firstLine="350"/>
        <w:spacing w:after="0" w:line="274" w:lineRule="auto"/>
        <w:rPr>
          <w:sz w:val="20"/>
          <w:szCs w:val="20"/>
          <w:color w:val="auto"/>
        </w:rPr>
      </w:pPr>
      <w:r>
        <w:rPr>
          <w:rFonts w:ascii="Times New Roman" w:cs="Times New Roman" w:eastAsia="Times New Roman" w:hAnsi="Times New Roman"/>
          <w:sz w:val="14"/>
          <w:szCs w:val="14"/>
          <w:color w:val="auto"/>
        </w:rPr>
        <w:t>The definitive Securities shall be printed, lithographed or engraved or produced by any combination of these methods on a steel engraved border or steel engraved borders, or may be produced in any other manner, all as determined by the officer or officers executing such Securities, as evidenced by their execution of such Securities.</w:t>
      </w:r>
    </w:p>
    <w:p>
      <w:pPr>
        <w:spacing w:after="0" w:line="135" w:lineRule="exact"/>
        <w:rPr>
          <w:sz w:val="20"/>
          <w:szCs w:val="20"/>
          <w:color w:val="auto"/>
        </w:rPr>
      </w:pPr>
    </w:p>
    <w:p>
      <w:pPr>
        <w:ind w:left="120" w:right="259" w:firstLine="350"/>
        <w:spacing w:after="0" w:line="268" w:lineRule="auto"/>
        <w:rPr>
          <w:sz w:val="20"/>
          <w:szCs w:val="20"/>
          <w:color w:val="auto"/>
        </w:rPr>
      </w:pPr>
      <w:r>
        <w:rPr>
          <w:rFonts w:ascii="Times New Roman" w:cs="Times New Roman" w:eastAsia="Times New Roman" w:hAnsi="Times New Roman"/>
          <w:sz w:val="14"/>
          <w:szCs w:val="14"/>
          <w:color w:val="auto"/>
        </w:rPr>
        <w:t>The terms and provisions set forth in any Security shall constitute, and are hereby made a part of this Indenture and, to the extent applicable, the Company and the Trustee, by their execution and delivery of this Indenture, expressly agree to such terms and provisions and to be bound thereby. Notwithstanding the foregoing, to the extent any provision of any Security conflicts with the express provisions of this Indenture, the provisions of this Indenture shall govern and be controlling.</w:t>
      </w:r>
    </w:p>
    <w:p>
      <w:pPr>
        <w:spacing w:after="0" w:line="1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2.02 </w:t>
      </w:r>
      <w:r>
        <w:rPr>
          <w:rFonts w:ascii="Times New Roman" w:cs="Times New Roman" w:eastAsia="Times New Roman" w:hAnsi="Times New Roman"/>
          <w:sz w:val="14"/>
          <w:szCs w:val="14"/>
          <w:u w:val="single" w:color="auto"/>
          <w:color w:val="auto"/>
        </w:rPr>
        <w:t>FORM OF TRUSTEE’S CERTIFICATE OF AUTHENTICATION</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 xml:space="preserve">Subject to </w:t>
      </w:r>
      <w:r>
        <w:rPr>
          <w:rFonts w:ascii="Times New Roman" w:cs="Times New Roman" w:eastAsia="Times New Roman" w:hAnsi="Times New Roman"/>
          <w:sz w:val="14"/>
          <w:szCs w:val="14"/>
          <w:u w:val="single" w:color="auto"/>
          <w:color w:val="auto"/>
        </w:rPr>
        <w:t>Section 6.12</w:t>
      </w:r>
      <w:r>
        <w:rPr>
          <w:rFonts w:ascii="Times New Roman" w:cs="Times New Roman" w:eastAsia="Times New Roman" w:hAnsi="Times New Roman"/>
          <w:sz w:val="14"/>
          <w:szCs w:val="14"/>
          <w:color w:val="auto"/>
        </w:rPr>
        <w:t>, the Trustee’s certificate of authentication shall be in substantially the following form:</w:t>
      </w:r>
    </w:p>
    <w:p>
      <w:pPr>
        <w:spacing w:after="0" w:line="97" w:lineRule="exact"/>
        <w:rPr>
          <w:sz w:val="20"/>
          <w:szCs w:val="20"/>
          <w:color w:val="auto"/>
        </w:rPr>
      </w:pPr>
    </w:p>
    <w:p>
      <w:pPr>
        <w:ind w:left="120" w:right="139" w:firstLine="350"/>
        <w:spacing w:after="0" w:line="292" w:lineRule="auto"/>
        <w:rPr>
          <w:sz w:val="20"/>
          <w:szCs w:val="20"/>
          <w:color w:val="auto"/>
        </w:rPr>
      </w:pPr>
      <w:r>
        <w:rPr>
          <w:rFonts w:ascii="Times New Roman" w:cs="Times New Roman" w:eastAsia="Times New Roman" w:hAnsi="Times New Roman"/>
          <w:sz w:val="14"/>
          <w:szCs w:val="14"/>
          <w:color w:val="auto"/>
        </w:rPr>
        <w:t>This is one of the Securities of the series designated therein referred to in the within-mentioned Indenture (as such Indenture may be supplemented or amended).</w:t>
      </w:r>
    </w:p>
    <w:p>
      <w:pPr>
        <w:spacing w:after="0" w:line="1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Dated:</w:t>
      </w:r>
    </w:p>
    <w:p>
      <w:pPr>
        <w:spacing w:after="0" w:line="1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ANKURA TRUST COMPANY, LLC, AS TRUSTEE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-99060</wp:posOffset>
            </wp:positionV>
            <wp:extent cx="5559425" cy="698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5">
                      <a:extLst>
                        <a:ext uri="{28A0092B-C50C-407E-A947-70E740481C1C}"/>
                      </a:extLst>
                    </a:blip>
                    <a:srcRect/>
                    <a:stretch>
                      <a:fillRect/>
                    </a:stretch>
                  </pic:blipFill>
                  <pic:spPr bwMode="auto">
                    <a:xfrm>
                      <a:off x="0" y="0"/>
                      <a:ext cx="5559425" cy="6985"/>
                    </a:xfrm>
                    <a:prstGeom prst="rect">
                      <a:avLst/>
                    </a:prstGeom>
                    <a:noFill/>
                  </pic:spPr>
                </pic:pic>
              </a:graphicData>
            </a:graphic>
          </wp:anchor>
        </w:drawing>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9019"/>
          </w:cols>
          <w:pgMar w:left="1440" w:top="243" w:right="1440" w:bottom="1440" w:gutter="0" w:footer="0" w:header="0"/>
        </w:sectPr>
      </w:pPr>
    </w:p>
    <w:bookmarkStart w:id="196" w:name="page197"/>
    <w:bookmarkEnd w:id="196"/>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6">
                      <a:extLst>
                        <a:ext uri="{28A0092B-C50C-407E-A947-70E740481C1C}"/>
                      </a:extLst>
                    </a:blip>
                    <a:srcRect/>
                    <a:stretch>
                      <a:fillRect/>
                    </a:stretch>
                  </pic:blipFill>
                  <pic:spPr bwMode="auto">
                    <a:xfrm>
                      <a:off x="0" y="0"/>
                      <a:ext cx="7199630" cy="33020"/>
                    </a:xfrm>
                    <a:prstGeom prst="rect">
                      <a:avLst/>
                    </a:prstGeom>
                    <a:noFill/>
                  </pic:spPr>
                </pic:pic>
              </a:graphicData>
            </a:graphic>
          </wp:anchor>
        </w:drawing>
        <w:t>ARTICLE III</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SECURITIES</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3.01 </w:t>
      </w:r>
      <w:r>
        <w:rPr>
          <w:rFonts w:ascii="Times New Roman" w:cs="Times New Roman" w:eastAsia="Times New Roman" w:hAnsi="Times New Roman"/>
          <w:sz w:val="14"/>
          <w:szCs w:val="14"/>
          <w:u w:val="single" w:color="auto"/>
          <w:color w:val="auto"/>
        </w:rPr>
        <w:t>AMOUNT UNLIMITED; ISSUABLE IN SERIES</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The aggregate principal amount of Securities which may be authenticated and delivered under this Indenture is unlimited.</w:t>
      </w:r>
    </w:p>
    <w:p>
      <w:pPr>
        <w:spacing w:after="0" w:line="182" w:lineRule="exact"/>
        <w:rPr>
          <w:sz w:val="20"/>
          <w:szCs w:val="20"/>
          <w:color w:val="auto"/>
        </w:rPr>
      </w:pPr>
    </w:p>
    <w:p>
      <w:pPr>
        <w:ind w:left="120" w:right="139" w:firstLine="350"/>
        <w:spacing w:after="0" w:line="265" w:lineRule="auto"/>
        <w:rPr>
          <w:sz w:val="20"/>
          <w:szCs w:val="20"/>
          <w:color w:val="auto"/>
        </w:rPr>
      </w:pPr>
      <w:r>
        <w:rPr>
          <w:rFonts w:ascii="Times New Roman" w:cs="Times New Roman" w:eastAsia="Times New Roman" w:hAnsi="Times New Roman"/>
          <w:sz w:val="14"/>
          <w:szCs w:val="14"/>
          <w:color w:val="auto"/>
        </w:rPr>
        <w:t>The Securities shall rank equally and pari passu in right of payment and may be issued in one or more series. There shall be established in one or more Board Resolutions or pursuant to authority granted by one or more Board Resolutions and set forth, or determined in the manner provided, in an Officers’ Certificate, or established in one or more indentures supplemental hereto which may amend the terms of this Indenture unless prohibited by the Trust Indenture Act, prior to the issuances of Securities of any series, any or all of the following, as applicable (each of which, if so provided, may be determined from time to time by the Company with respect to unissued Securities of the series when issued from time to time):</w:t>
      </w:r>
    </w:p>
    <w:p>
      <w:pPr>
        <w:spacing w:after="0" w:line="55" w:lineRule="exact"/>
        <w:rPr>
          <w:sz w:val="20"/>
          <w:szCs w:val="20"/>
          <w:color w:val="auto"/>
        </w:rPr>
      </w:pPr>
    </w:p>
    <w:p>
      <w:pPr>
        <w:ind w:left="680" w:hanging="203"/>
        <w:spacing w:after="0"/>
        <w:tabs>
          <w:tab w:leader="none" w:pos="68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the Securities of the series (which shall distinguish the Securities of such series from all other series of Securities);</w:t>
      </w:r>
    </w:p>
    <w:p>
      <w:pPr>
        <w:spacing w:after="0" w:line="182" w:lineRule="exact"/>
        <w:rPr>
          <w:rFonts w:ascii="Times New Roman" w:cs="Times New Roman" w:eastAsia="Times New Roman" w:hAnsi="Times New Roman"/>
          <w:sz w:val="14"/>
          <w:szCs w:val="14"/>
          <w:color w:val="auto"/>
        </w:rPr>
      </w:pPr>
    </w:p>
    <w:p>
      <w:pPr>
        <w:ind w:left="120" w:right="199" w:firstLine="357"/>
        <w:spacing w:after="0" w:line="263" w:lineRule="auto"/>
        <w:tabs>
          <w:tab w:leader="none" w:pos="672"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limit upon the aggregate principal amount of the Securities of the series that may be authenticated and delivered under this Indenture (except for Securities authenticated and delivered upon registration of transfer of, or in exchange for, or in lieu of, other Securities of the series pursuant to </w:t>
      </w:r>
      <w:r>
        <w:rPr>
          <w:rFonts w:ascii="Times New Roman" w:cs="Times New Roman" w:eastAsia="Times New Roman" w:hAnsi="Times New Roman"/>
          <w:sz w:val="14"/>
          <w:szCs w:val="14"/>
          <w:u w:val="single" w:color="auto"/>
          <w:color w:val="auto"/>
        </w:rPr>
        <w:t>Sections 3.04</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3.05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3.06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3.07</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9.06</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11.08</w:t>
      </w:r>
      <w:r>
        <w:rPr>
          <w:rFonts w:ascii="Times New Roman" w:cs="Times New Roman" w:eastAsia="Times New Roman" w:hAnsi="Times New Roman"/>
          <w:sz w:val="14"/>
          <w:szCs w:val="14"/>
          <w:color w:val="auto"/>
        </w:rPr>
        <w:t>) and whether any series may be reopened for additional Securities of that series; in the event that such series of Securities may be reopened from time to time for issuances of additional Securities of such series, the terms thereof shall indicate whether any such additional Securities shall have the same terms as the prior Securities of such series or whether the Company may establish additional or different terms with respect to such additional Securities;</w:t>
      </w:r>
    </w:p>
    <w:p>
      <w:pPr>
        <w:spacing w:after="0" w:line="143" w:lineRule="exact"/>
        <w:rPr>
          <w:rFonts w:ascii="Times New Roman" w:cs="Times New Roman" w:eastAsia="Times New Roman" w:hAnsi="Times New Roman"/>
          <w:sz w:val="14"/>
          <w:szCs w:val="14"/>
          <w:color w:val="auto"/>
        </w:rPr>
      </w:pPr>
    </w:p>
    <w:p>
      <w:pPr>
        <w:ind w:left="120" w:right="299" w:firstLine="357"/>
        <w:spacing w:after="0" w:line="292" w:lineRule="auto"/>
        <w:tabs>
          <w:tab w:leader="none" w:pos="672"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or the method by which such date or dates will be determined or extended, on which the principal (and premium, if any) of the Securities of the series shall be payable;</w:t>
      </w:r>
    </w:p>
    <w:p>
      <w:pPr>
        <w:spacing w:after="0" w:line="123" w:lineRule="exact"/>
        <w:rPr>
          <w:rFonts w:ascii="Times New Roman" w:cs="Times New Roman" w:eastAsia="Times New Roman" w:hAnsi="Times New Roman"/>
          <w:sz w:val="14"/>
          <w:szCs w:val="14"/>
          <w:color w:val="auto"/>
        </w:rPr>
      </w:pPr>
    </w:p>
    <w:p>
      <w:pPr>
        <w:ind w:left="120" w:right="279" w:firstLine="357"/>
        <w:spacing w:after="0" w:line="265" w:lineRule="auto"/>
        <w:tabs>
          <w:tab w:leader="none" w:pos="672"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rate or rates at which the Securities of the series shall bear interest, if any, or the method by which such rate or rates shall be determined, the date or dates from which such interest shall accrue or the method by which such date or dates shall be determined, whether such Securities shall be issued with original issue discount or at a percentage of their principal amount, the Interest Payment Dates on which such interest will be payable and the Regular Record Date, if any, for the interest payable on any Security on any Interest Payment Date, or the method by which such date shall be determined, and the basis upon which such interest shall be calculated if other than that of a 360-day year of twelve 30-day months;</w:t>
      </w:r>
    </w:p>
    <w:p>
      <w:pPr>
        <w:spacing w:after="0" w:line="141" w:lineRule="exact"/>
        <w:rPr>
          <w:rFonts w:ascii="Times New Roman" w:cs="Times New Roman" w:eastAsia="Times New Roman" w:hAnsi="Times New Roman"/>
          <w:sz w:val="14"/>
          <w:szCs w:val="14"/>
          <w:color w:val="auto"/>
        </w:rPr>
      </w:pPr>
    </w:p>
    <w:p>
      <w:pPr>
        <w:jc w:val="both"/>
        <w:ind w:left="120" w:right="179" w:firstLine="357"/>
        <w:spacing w:after="0" w:line="268" w:lineRule="auto"/>
        <w:tabs>
          <w:tab w:leader="none" w:pos="672"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place or places, if any, other than or in addition to the Borough of Manhattan, The City of New York, where the principal of (and premium, if any) and interest, if any, on Securities of the series shall be payable, Securities of the series may be surrendered for exchange, where Securities of that series that are convertible or exchangeable may be surrendered for the conversion or exchange, as applicable, and where notices or demands to or upon the Company in respect of the Securities of the series and this Indenture may be served;</w:t>
      </w:r>
    </w:p>
    <w:p>
      <w:pPr>
        <w:spacing w:after="0" w:line="139" w:lineRule="exact"/>
        <w:rPr>
          <w:rFonts w:ascii="Times New Roman" w:cs="Times New Roman" w:eastAsia="Times New Roman" w:hAnsi="Times New Roman"/>
          <w:sz w:val="14"/>
          <w:szCs w:val="14"/>
          <w:color w:val="auto"/>
        </w:rPr>
      </w:pPr>
    </w:p>
    <w:p>
      <w:pPr>
        <w:ind w:left="120" w:right="239" w:firstLine="357"/>
        <w:spacing w:after="0" w:line="274" w:lineRule="auto"/>
        <w:tabs>
          <w:tab w:leader="none" w:pos="672"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additions or changes (including to the provisions of Article XI) with respect to the redemption of such series of Securities, including with respect to the period or periods within which, or the date or dates on which, the price or prices at which, and other terms and conditions upon which Securities of the series may be redeemed, in whole or in part, at the option of the Company, if the Company is to have the option;</w:t>
      </w:r>
    </w:p>
    <w:p>
      <w:pPr>
        <w:spacing w:after="0" w:line="135" w:lineRule="exact"/>
        <w:rPr>
          <w:rFonts w:ascii="Times New Roman" w:cs="Times New Roman" w:eastAsia="Times New Roman" w:hAnsi="Times New Roman"/>
          <w:sz w:val="14"/>
          <w:szCs w:val="14"/>
          <w:color w:val="auto"/>
        </w:rPr>
      </w:pPr>
    </w:p>
    <w:p>
      <w:pPr>
        <w:ind w:left="120" w:right="279" w:firstLine="357"/>
        <w:spacing w:after="0" w:line="274" w:lineRule="auto"/>
        <w:tabs>
          <w:tab w:leader="none" w:pos="672"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obligation, if any, of the Company to redeem, repay or purchase Securities or the series pursuant to any sinking fund or analogous provision or at the option of a Holder thereof, and the period or periods within which or the date or dates on which, the price or prices at which, and other terms and conditions upon which Securities of the series shall be redeemed, repaid or purchased, in whole or in part, pursuant to such obligation;</w:t>
      </w:r>
    </w:p>
    <w:p>
      <w:pPr>
        <w:spacing w:after="0" w:line="135" w:lineRule="exact"/>
        <w:rPr>
          <w:rFonts w:ascii="Times New Roman" w:cs="Times New Roman" w:eastAsia="Times New Roman" w:hAnsi="Times New Roman"/>
          <w:sz w:val="14"/>
          <w:szCs w:val="14"/>
          <w:color w:val="auto"/>
        </w:rPr>
      </w:pPr>
    </w:p>
    <w:p>
      <w:pPr>
        <w:ind w:left="680" w:hanging="203"/>
        <w:spacing w:after="0"/>
        <w:tabs>
          <w:tab w:leader="none" w:pos="68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other than the Trustee, the identity of each Security Registrar and/or Paying Agent;</w:t>
      </w:r>
    </w:p>
    <w:p>
      <w:pPr>
        <w:spacing w:after="0" w:line="182" w:lineRule="exact"/>
        <w:rPr>
          <w:rFonts w:ascii="Times New Roman" w:cs="Times New Roman" w:eastAsia="Times New Roman" w:hAnsi="Times New Roman"/>
          <w:sz w:val="14"/>
          <w:szCs w:val="14"/>
          <w:color w:val="auto"/>
        </w:rPr>
      </w:pPr>
    </w:p>
    <w:p>
      <w:pPr>
        <w:ind w:left="120" w:right="139" w:firstLine="357"/>
        <w:spacing w:after="0" w:line="292" w:lineRule="auto"/>
        <w:tabs>
          <w:tab w:leader="none" w:pos="672"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other than denominations of $2,000 and any integral multiple of $1,000 in excess thereof, the denominations in which Securities of the series shall be issuable;</w:t>
      </w:r>
    </w:p>
    <w:p>
      <w:pPr>
        <w:spacing w:after="0" w:line="123" w:lineRule="exact"/>
        <w:rPr>
          <w:rFonts w:ascii="Times New Roman" w:cs="Times New Roman" w:eastAsia="Times New Roman" w:hAnsi="Times New Roman"/>
          <w:sz w:val="14"/>
          <w:szCs w:val="14"/>
          <w:color w:val="auto"/>
        </w:rPr>
      </w:pPr>
    </w:p>
    <w:p>
      <w:pPr>
        <w:ind w:left="120" w:right="159" w:firstLine="357"/>
        <w:spacing w:after="0" w:line="292" w:lineRule="auto"/>
        <w:tabs>
          <w:tab w:leader="none" w:pos="744"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other than the principal amount thereof, the portion of the principal amount of Securities of the series that shall be payable upon declaration of acceleration of the Maturity thereof pursuant to </w:t>
      </w:r>
      <w:r>
        <w:rPr>
          <w:rFonts w:ascii="Times New Roman" w:cs="Times New Roman" w:eastAsia="Times New Roman" w:hAnsi="Times New Roman"/>
          <w:sz w:val="14"/>
          <w:szCs w:val="14"/>
          <w:u w:val="single" w:color="auto"/>
          <w:color w:val="auto"/>
        </w:rPr>
        <w:t>Section 5.02</w:t>
      </w:r>
      <w:r>
        <w:rPr>
          <w:rFonts w:ascii="Times New Roman" w:cs="Times New Roman" w:eastAsia="Times New Roman" w:hAnsi="Times New Roman"/>
          <w:sz w:val="14"/>
          <w:szCs w:val="14"/>
          <w:color w:val="auto"/>
        </w:rPr>
        <w:t xml:space="preserve"> or the method by which such portion shall be determined;</w:t>
      </w:r>
    </w:p>
    <w:p>
      <w:pPr>
        <w:spacing w:after="0" w:line="123" w:lineRule="exact"/>
        <w:rPr>
          <w:rFonts w:ascii="Times New Roman" w:cs="Times New Roman" w:eastAsia="Times New Roman" w:hAnsi="Times New Roman"/>
          <w:sz w:val="14"/>
          <w:szCs w:val="14"/>
          <w:color w:val="auto"/>
        </w:rPr>
      </w:pPr>
    </w:p>
    <w:p>
      <w:pPr>
        <w:ind w:left="120" w:right="399" w:firstLine="357"/>
        <w:spacing w:after="0" w:line="292" w:lineRule="auto"/>
        <w:tabs>
          <w:tab w:leader="none" w:pos="739"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Guarantors, if any, of the Securities of the series, and the extent of the Guarantees of the Securities (including provisions relating to seniority, subordination, and the release of the Guarantors), if any, and any additions or changes to permit or facilitate Guarantees of such Securities;</w:t>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9019"/>
          </w:cols>
          <w:pgMar w:left="1440" w:top="241" w:right="1440" w:bottom="1440" w:gutter="0" w:footer="0" w:header="0"/>
        </w:sectPr>
      </w:pPr>
    </w:p>
    <w:bookmarkStart w:id="197" w:name="page198"/>
    <w:bookmarkEnd w:id="197"/>
    <w:p>
      <w:pPr>
        <w:ind w:left="120" w:right="159" w:firstLine="357"/>
        <w:spacing w:after="0" w:line="292" w:lineRule="auto"/>
        <w:tabs>
          <w:tab w:leader="none" w:pos="744"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7">
                      <a:extLst>
                        <a:ext uri="{28A0092B-C50C-407E-A947-70E740481C1C}"/>
                      </a:extLst>
                    </a:blip>
                    <a:srcRect/>
                    <a:stretch>
                      <a:fillRect/>
                    </a:stretch>
                  </pic:blipFill>
                  <pic:spPr bwMode="auto">
                    <a:xfrm>
                      <a:off x="0" y="0"/>
                      <a:ext cx="7199630" cy="33020"/>
                    </a:xfrm>
                    <a:prstGeom prst="rect">
                      <a:avLst/>
                    </a:prstGeom>
                    <a:noFill/>
                  </pic:spPr>
                </pic:pic>
              </a:graphicData>
            </a:graphic>
          </wp:anchor>
        </w:drawing>
        <w:t>whether the amount of payments of principal of (or premium, if any) or interest, if any, on the Securities of the series may be determined with reference to any index, formula or other method, and the manner in which such amounts shall be determined;</w:t>
      </w:r>
    </w:p>
    <w:p>
      <w:pPr>
        <w:spacing w:after="0" w:line="123" w:lineRule="exact"/>
        <w:rPr>
          <w:rFonts w:ascii="Times New Roman" w:cs="Times New Roman" w:eastAsia="Times New Roman" w:hAnsi="Times New Roman"/>
          <w:sz w:val="14"/>
          <w:szCs w:val="14"/>
          <w:color w:val="auto"/>
        </w:rPr>
      </w:pPr>
    </w:p>
    <w:p>
      <w:pPr>
        <w:ind w:left="760" w:hanging="283"/>
        <w:spacing w:after="0"/>
        <w:tabs>
          <w:tab w:leader="none" w:pos="76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if any, granting special rights to the Holders of Securities of the series upon the occurrence of such events as may be specified;</w:t>
      </w:r>
    </w:p>
    <w:p>
      <w:pPr>
        <w:spacing w:after="0" w:line="182" w:lineRule="exact"/>
        <w:rPr>
          <w:rFonts w:ascii="Times New Roman" w:cs="Times New Roman" w:eastAsia="Times New Roman" w:hAnsi="Times New Roman"/>
          <w:sz w:val="14"/>
          <w:szCs w:val="14"/>
          <w:color w:val="auto"/>
        </w:rPr>
      </w:pPr>
    </w:p>
    <w:p>
      <w:pPr>
        <w:ind w:left="120" w:right="419" w:firstLine="357"/>
        <w:spacing w:after="0" w:line="274" w:lineRule="auto"/>
        <w:tabs>
          <w:tab w:leader="none" w:pos="744"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deletions from, modifications of or additions to the Events of Default or covenants or other provisions (including any deletions from, modifications of or additions to any of the provisions of </w:t>
      </w:r>
      <w:r>
        <w:rPr>
          <w:rFonts w:ascii="Times New Roman" w:cs="Times New Roman" w:eastAsia="Times New Roman" w:hAnsi="Times New Roman"/>
          <w:sz w:val="14"/>
          <w:szCs w:val="14"/>
          <w:u w:val="single" w:color="auto"/>
          <w:color w:val="auto"/>
        </w:rPr>
        <w:t>Section 5.01</w:t>
      </w:r>
      <w:r>
        <w:rPr>
          <w:rFonts w:ascii="Times New Roman" w:cs="Times New Roman" w:eastAsia="Times New Roman" w:hAnsi="Times New Roman"/>
          <w:sz w:val="14"/>
          <w:szCs w:val="14"/>
          <w:color w:val="auto"/>
        </w:rPr>
        <w:t>) of the Company with respect to Securities of the series, whether or not such Events of Default or covenants or other provisions are consistent with the Events of Default or covenants or other provisions set forth herein;</w:t>
      </w:r>
    </w:p>
    <w:p>
      <w:pPr>
        <w:spacing w:after="0" w:line="135" w:lineRule="exact"/>
        <w:rPr>
          <w:rFonts w:ascii="Times New Roman" w:cs="Times New Roman" w:eastAsia="Times New Roman" w:hAnsi="Times New Roman"/>
          <w:sz w:val="14"/>
          <w:szCs w:val="14"/>
          <w:color w:val="auto"/>
        </w:rPr>
      </w:pPr>
    </w:p>
    <w:p>
      <w:pPr>
        <w:ind w:left="120" w:right="219" w:firstLine="357"/>
        <w:spacing w:after="0" w:line="292" w:lineRule="auto"/>
        <w:tabs>
          <w:tab w:leader="none" w:pos="744"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applicability, if any, of </w:t>
      </w:r>
      <w:r>
        <w:rPr>
          <w:rFonts w:ascii="Times New Roman" w:cs="Times New Roman" w:eastAsia="Times New Roman" w:hAnsi="Times New Roman"/>
          <w:sz w:val="14"/>
          <w:szCs w:val="14"/>
          <w:u w:val="single" w:color="auto"/>
          <w:color w:val="auto"/>
        </w:rPr>
        <w:t>Sections 4.02</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4.03</w:t>
      </w:r>
      <w:r>
        <w:rPr>
          <w:rFonts w:ascii="Times New Roman" w:cs="Times New Roman" w:eastAsia="Times New Roman" w:hAnsi="Times New Roman"/>
          <w:sz w:val="14"/>
          <w:szCs w:val="14"/>
          <w:color w:val="auto"/>
        </w:rPr>
        <w:t xml:space="preserve"> to the Securities of the series (and, in the case of </w:t>
      </w:r>
      <w:r>
        <w:rPr>
          <w:rFonts w:ascii="Times New Roman" w:cs="Times New Roman" w:eastAsia="Times New Roman" w:hAnsi="Times New Roman"/>
          <w:sz w:val="14"/>
          <w:szCs w:val="14"/>
          <w:u w:val="single" w:color="auto"/>
          <w:color w:val="auto"/>
        </w:rPr>
        <w:t>Section 4.03</w:t>
      </w:r>
      <w:r>
        <w:rPr>
          <w:rFonts w:ascii="Times New Roman" w:cs="Times New Roman" w:eastAsia="Times New Roman" w:hAnsi="Times New Roman"/>
          <w:sz w:val="14"/>
          <w:szCs w:val="14"/>
          <w:color w:val="auto"/>
        </w:rPr>
        <w:t xml:space="preserve">, if applicable, any additional covenants subject to covenant defeasance) and any provisions in modification of, in addition to or in lieu of any of the provisions of </w:t>
      </w:r>
      <w:r>
        <w:rPr>
          <w:rFonts w:ascii="Times New Roman" w:cs="Times New Roman" w:eastAsia="Times New Roman" w:hAnsi="Times New Roman"/>
          <w:sz w:val="14"/>
          <w:szCs w:val="14"/>
          <w:u w:val="single" w:color="auto"/>
          <w:color w:val="auto"/>
        </w:rPr>
        <w:t>Article IV</w:t>
      </w:r>
      <w:r>
        <w:rPr>
          <w:rFonts w:ascii="Times New Roman" w:cs="Times New Roman" w:eastAsia="Times New Roman" w:hAnsi="Times New Roman"/>
          <w:sz w:val="14"/>
          <w:szCs w:val="14"/>
          <w:color w:val="auto"/>
        </w:rPr>
        <w:t>;</w:t>
      </w:r>
    </w:p>
    <w:p>
      <w:pPr>
        <w:spacing w:after="0" w:line="123" w:lineRule="exact"/>
        <w:rPr>
          <w:rFonts w:ascii="Times New Roman" w:cs="Times New Roman" w:eastAsia="Times New Roman" w:hAnsi="Times New Roman"/>
          <w:sz w:val="14"/>
          <w:szCs w:val="14"/>
          <w:color w:val="auto"/>
        </w:rPr>
      </w:pPr>
    </w:p>
    <w:p>
      <w:pPr>
        <w:ind w:left="120" w:right="219" w:firstLine="357"/>
        <w:spacing w:after="0" w:line="274" w:lineRule="auto"/>
        <w:tabs>
          <w:tab w:leader="none" w:pos="744"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Securities of such series are to be issuable in definitive form (whether upon original issue or upon exchange of a temporary Security of such series) only upon receipt of certain certificates or other documents or satisfaction of other conditions, then the form and/or terms of such certificates, documents or conditions;</w:t>
      </w:r>
    </w:p>
    <w:p>
      <w:pPr>
        <w:spacing w:after="0" w:line="135" w:lineRule="exact"/>
        <w:rPr>
          <w:rFonts w:ascii="Times New Roman" w:cs="Times New Roman" w:eastAsia="Times New Roman" w:hAnsi="Times New Roman"/>
          <w:sz w:val="14"/>
          <w:szCs w:val="14"/>
          <w:color w:val="auto"/>
        </w:rPr>
      </w:pPr>
    </w:p>
    <w:p>
      <w:pPr>
        <w:ind w:left="760" w:hanging="283"/>
        <w:spacing w:after="0"/>
        <w:tabs>
          <w:tab w:leader="none" w:pos="76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any temporary securities, the provisions for deposit and withdrawal from a common depository and terms related thereto;</w:t>
      </w:r>
    </w:p>
    <w:p>
      <w:pPr>
        <w:spacing w:after="0" w:line="182" w:lineRule="exact"/>
        <w:rPr>
          <w:rFonts w:ascii="Times New Roman" w:cs="Times New Roman" w:eastAsia="Times New Roman" w:hAnsi="Times New Roman"/>
          <w:sz w:val="14"/>
          <w:szCs w:val="14"/>
          <w:color w:val="auto"/>
        </w:rPr>
      </w:pPr>
    </w:p>
    <w:p>
      <w:pPr>
        <w:ind w:left="120" w:right="239" w:firstLine="357"/>
        <w:spacing w:after="0" w:line="268" w:lineRule="auto"/>
        <w:tabs>
          <w:tab w:leader="none" w:pos="744"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Securities of the series are to be secured or convertible into or exchangeable for any securities of any Person (including the Company), the terms and conditions upon which such Securities of the series will be so secured or convertible or exchangeable (including, without limitation, the initial conversion price or rate, the conversion period, the conversion agent, if any, adjustments of the applicable conversion price or rate and any requirements with respect to the reservation of shares or Securities for purposes of conversion);</w:t>
      </w:r>
    </w:p>
    <w:p>
      <w:pPr>
        <w:spacing w:after="0" w:line="139" w:lineRule="exact"/>
        <w:rPr>
          <w:rFonts w:ascii="Times New Roman" w:cs="Times New Roman" w:eastAsia="Times New Roman" w:hAnsi="Times New Roman"/>
          <w:sz w:val="14"/>
          <w:szCs w:val="14"/>
          <w:color w:val="auto"/>
        </w:rPr>
      </w:pPr>
    </w:p>
    <w:p>
      <w:pPr>
        <w:ind w:left="120" w:right="319" w:firstLine="357"/>
        <w:spacing w:after="0" w:line="268" w:lineRule="auto"/>
        <w:tabs>
          <w:tab w:leader="none" w:pos="744"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Securities of the series are to be issued in whole or in part in the form of one or more Global Securities and, in such case, the Depositary for such Global Security or Global Securities, and the terms and conditions, if any, upon which interests in such Global Security or Global Securities may be exchanged in whole or in part for the individual securities represented thereby in definitive form registered in the name or names of Persons other than such Depositary or a nominee or nominees thereof (“Individual Securities”);</w:t>
      </w:r>
    </w:p>
    <w:p>
      <w:pPr>
        <w:spacing w:after="0" w:line="139" w:lineRule="exact"/>
        <w:rPr>
          <w:rFonts w:ascii="Times New Roman" w:cs="Times New Roman" w:eastAsia="Times New Roman" w:hAnsi="Times New Roman"/>
          <w:sz w:val="14"/>
          <w:szCs w:val="14"/>
          <w:color w:val="auto"/>
        </w:rPr>
      </w:pPr>
    </w:p>
    <w:p>
      <w:pPr>
        <w:ind w:left="760" w:hanging="283"/>
        <w:spacing w:after="0"/>
        <w:tabs>
          <w:tab w:leader="none" w:pos="76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as of which any Global Security of the series shall be dated if other than the original issuance of the first Security of the series to be</w:t>
      </w:r>
    </w:p>
    <w:p>
      <w:pPr>
        <w:spacing w:after="0" w:line="24" w:lineRule="exact"/>
        <w:rPr>
          <w:rFonts w:ascii="Times New Roman" w:cs="Times New Roman" w:eastAsia="Times New Roman" w:hAnsi="Times New Roman"/>
          <w:sz w:val="14"/>
          <w:szCs w:val="14"/>
          <w:color w:val="auto"/>
        </w:rPr>
      </w:pPr>
    </w:p>
    <w:p>
      <w:pPr>
        <w:ind w:left="1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issued;</w:t>
      </w:r>
    </w:p>
    <w:p>
      <w:pPr>
        <w:spacing w:after="0" w:line="168" w:lineRule="exact"/>
        <w:rPr>
          <w:rFonts w:ascii="Times New Roman" w:cs="Times New Roman" w:eastAsia="Times New Roman" w:hAnsi="Times New Roman"/>
          <w:sz w:val="14"/>
          <w:szCs w:val="14"/>
          <w:color w:val="auto"/>
        </w:rPr>
      </w:pPr>
    </w:p>
    <w:p>
      <w:pPr>
        <w:ind w:left="760" w:hanging="283"/>
        <w:spacing w:after="0"/>
        <w:tabs>
          <w:tab w:leader="none" w:pos="76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form or forms of the Securities of the series including such legends as may be required by applicable law;</w:t>
      </w:r>
    </w:p>
    <w:p>
      <w:pPr>
        <w:spacing w:after="0" w:line="182" w:lineRule="exact"/>
        <w:rPr>
          <w:rFonts w:ascii="Times New Roman" w:cs="Times New Roman" w:eastAsia="Times New Roman" w:hAnsi="Times New Roman"/>
          <w:sz w:val="14"/>
          <w:szCs w:val="14"/>
          <w:color w:val="auto"/>
        </w:rPr>
      </w:pPr>
    </w:p>
    <w:p>
      <w:pPr>
        <w:ind w:left="760" w:hanging="283"/>
        <w:spacing w:after="0"/>
        <w:tabs>
          <w:tab w:leader="none" w:pos="76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 or change in the provisions related to compensation and reimbursement of the Trustee which applies to Securities of such series;</w:t>
      </w:r>
    </w:p>
    <w:p>
      <w:pPr>
        <w:spacing w:after="0" w:line="182" w:lineRule="exact"/>
        <w:rPr>
          <w:rFonts w:ascii="Times New Roman" w:cs="Times New Roman" w:eastAsia="Times New Roman" w:hAnsi="Times New Roman"/>
          <w:sz w:val="14"/>
          <w:szCs w:val="14"/>
          <w:color w:val="auto"/>
        </w:rPr>
      </w:pPr>
    </w:p>
    <w:p>
      <w:pPr>
        <w:ind w:left="120" w:right="679" w:firstLine="357"/>
        <w:spacing w:after="0" w:line="292" w:lineRule="auto"/>
        <w:tabs>
          <w:tab w:leader="none" w:pos="744"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 or change in the provisions related to supplemental indentures set forth in Sections 9.01, 9.02 and 9.04 which applies to Securities of such series;</w:t>
      </w:r>
    </w:p>
    <w:p>
      <w:pPr>
        <w:spacing w:after="0" w:line="123" w:lineRule="exact"/>
        <w:rPr>
          <w:rFonts w:ascii="Times New Roman" w:cs="Times New Roman" w:eastAsia="Times New Roman" w:hAnsi="Times New Roman"/>
          <w:sz w:val="14"/>
          <w:szCs w:val="14"/>
          <w:color w:val="auto"/>
        </w:rPr>
      </w:pPr>
    </w:p>
    <w:p>
      <w:pPr>
        <w:ind w:left="760" w:hanging="283"/>
        <w:spacing w:after="0"/>
        <w:tabs>
          <w:tab w:leader="none" w:pos="76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if any, granting special rights to Holders upon the occurrence of specified events;</w:t>
      </w:r>
    </w:p>
    <w:p>
      <w:pPr>
        <w:spacing w:after="0" w:line="182" w:lineRule="exact"/>
        <w:rPr>
          <w:rFonts w:ascii="Times New Roman" w:cs="Times New Roman" w:eastAsia="Times New Roman" w:hAnsi="Times New Roman"/>
          <w:sz w:val="14"/>
          <w:szCs w:val="14"/>
          <w:color w:val="auto"/>
        </w:rPr>
      </w:pPr>
    </w:p>
    <w:p>
      <w:pPr>
        <w:ind w:left="760" w:hanging="283"/>
        <w:spacing w:after="0"/>
        <w:tabs>
          <w:tab w:leader="none" w:pos="76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 or change in the provisions of Article VIII;</w:t>
      </w:r>
    </w:p>
    <w:p>
      <w:pPr>
        <w:spacing w:after="0" w:line="182" w:lineRule="exact"/>
        <w:rPr>
          <w:rFonts w:ascii="Times New Roman" w:cs="Times New Roman" w:eastAsia="Times New Roman" w:hAnsi="Times New Roman"/>
          <w:sz w:val="14"/>
          <w:szCs w:val="14"/>
          <w:color w:val="auto"/>
        </w:rPr>
      </w:pPr>
    </w:p>
    <w:p>
      <w:pPr>
        <w:ind w:left="760" w:hanging="283"/>
        <w:spacing w:after="0"/>
        <w:tabs>
          <w:tab w:leader="none" w:pos="76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 or change (including to the provisions of Article XIV) in the provisions relating to the subordination of Securities of the series;</w:t>
      </w:r>
    </w:p>
    <w:p>
      <w:pPr>
        <w:spacing w:after="0" w:line="182" w:lineRule="exact"/>
        <w:rPr>
          <w:rFonts w:ascii="Times New Roman" w:cs="Times New Roman" w:eastAsia="Times New Roman" w:hAnsi="Times New Roman"/>
          <w:sz w:val="14"/>
          <w:szCs w:val="14"/>
          <w:color w:val="auto"/>
        </w:rPr>
      </w:pPr>
    </w:p>
    <w:p>
      <w:pPr>
        <w:ind w:left="760" w:hanging="283"/>
        <w:spacing w:after="0"/>
        <w:tabs>
          <w:tab w:leader="none" w:pos="76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Securities will contain any transfer restrictions; and</w:t>
      </w:r>
    </w:p>
    <w:p>
      <w:pPr>
        <w:spacing w:after="0" w:line="182" w:lineRule="exact"/>
        <w:rPr>
          <w:rFonts w:ascii="Times New Roman" w:cs="Times New Roman" w:eastAsia="Times New Roman" w:hAnsi="Times New Roman"/>
          <w:sz w:val="14"/>
          <w:szCs w:val="14"/>
          <w:color w:val="auto"/>
        </w:rPr>
      </w:pPr>
    </w:p>
    <w:p>
      <w:pPr>
        <w:ind w:left="120" w:right="179" w:firstLine="357"/>
        <w:spacing w:after="0" w:line="292" w:lineRule="auto"/>
        <w:tabs>
          <w:tab w:leader="none" w:pos="744"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series (which terms shall not be inconsistent with the requirements of the Trust Indenture Act, but may modify, amend, supplement or delete any of the terms of this Indenture with respect to such series).</w:t>
      </w:r>
    </w:p>
    <w:p>
      <w:pPr>
        <w:spacing w:after="0" w:line="123" w:lineRule="exact"/>
        <w:rPr>
          <w:sz w:val="20"/>
          <w:szCs w:val="20"/>
          <w:color w:val="auto"/>
        </w:rPr>
      </w:pPr>
    </w:p>
    <w:p>
      <w:pPr>
        <w:ind w:left="120" w:right="239" w:firstLine="350"/>
        <w:spacing w:after="0" w:line="265" w:lineRule="auto"/>
        <w:rPr>
          <w:sz w:val="20"/>
          <w:szCs w:val="20"/>
          <w:color w:val="auto"/>
        </w:rPr>
      </w:pPr>
      <w:r>
        <w:rPr>
          <w:rFonts w:ascii="Times New Roman" w:cs="Times New Roman" w:eastAsia="Times New Roman" w:hAnsi="Times New Roman"/>
          <w:sz w:val="14"/>
          <w:szCs w:val="14"/>
          <w:color w:val="auto"/>
        </w:rPr>
        <w:t>All Securities of any one series shall be substantially identical except as to denomination and except as may otherwise be provided in or pursuant to such Board Resolution and set forth in such Officers’ Certificate or in any such indenture supplemental hereto. All Securities of any one series need not be issued at the same time and, unless otherwise provided, a series may be reopened, without the consent of the Holders, for issuances of additional Securities of such series or to establish additional terms of such series of Securities (which additional terms shall only be applicable to unissued or additional Securities of such series).</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9019"/>
          </w:cols>
          <w:pgMar w:left="1440" w:top="243" w:right="1440" w:bottom="1440" w:gutter="0" w:footer="0" w:header="0"/>
        </w:sectPr>
      </w:pPr>
    </w:p>
    <w:bookmarkStart w:id="198" w:name="page199"/>
    <w:bookmarkEnd w:id="198"/>
    <w:p>
      <w:pPr>
        <w:ind w:left="120" w:right="239" w:firstLine="350"/>
        <w:spacing w:after="0" w:line="27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8">
                      <a:extLst>
                        <a:ext uri="{28A0092B-C50C-407E-A947-70E740481C1C}"/>
                      </a:extLst>
                    </a:blip>
                    <a:srcRect/>
                    <a:stretch>
                      <a:fillRect/>
                    </a:stretch>
                  </pic:blipFill>
                  <pic:spPr bwMode="auto">
                    <a:xfrm>
                      <a:off x="0" y="0"/>
                      <a:ext cx="7199630" cy="33020"/>
                    </a:xfrm>
                    <a:prstGeom prst="rect">
                      <a:avLst/>
                    </a:prstGeom>
                    <a:noFill/>
                  </pic:spPr>
                </pic:pic>
              </a:graphicData>
            </a:graphic>
          </wp:anchor>
        </w:drawing>
        <w:t>If any of the terms of the Securities of any series are established by action taken pursuant to one or more Board Resolutions, a copy of an appropriate record of such action(s) shall be certified by the Secretary or an Assistant Secretary of the Company and delivered to the Trustee at or prior to the delivery of the Officers’ Certificate setting forth the terms of the Securities of such series.</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3.02 </w:t>
      </w:r>
      <w:r>
        <w:rPr>
          <w:rFonts w:ascii="Times New Roman" w:cs="Times New Roman" w:eastAsia="Times New Roman" w:hAnsi="Times New Roman"/>
          <w:sz w:val="14"/>
          <w:szCs w:val="14"/>
          <w:u w:val="single" w:color="auto"/>
          <w:color w:val="auto"/>
        </w:rPr>
        <w:t>DENOMINATIONS</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120" w:right="659" w:firstLine="350"/>
        <w:spacing w:after="0" w:line="292" w:lineRule="auto"/>
        <w:rPr>
          <w:sz w:val="20"/>
          <w:szCs w:val="20"/>
          <w:color w:val="auto"/>
        </w:rPr>
      </w:pPr>
      <w:r>
        <w:rPr>
          <w:rFonts w:ascii="Times New Roman" w:cs="Times New Roman" w:eastAsia="Times New Roman" w:hAnsi="Times New Roman"/>
          <w:sz w:val="14"/>
          <w:szCs w:val="14"/>
          <w:color w:val="auto"/>
        </w:rPr>
        <w:t>The Securities shall be issuable only in fully registered form without coupons and only in minimum denominations of $2,000 and integral multiples of $1,000 in excess thereof, unless provided otherwise in a supplemental indenture with respect to any series of Securities.</w:t>
      </w:r>
    </w:p>
    <w:p>
      <w:pPr>
        <w:spacing w:after="0" w:line="1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3.03 </w:t>
      </w:r>
      <w:r>
        <w:rPr>
          <w:rFonts w:ascii="Times New Roman" w:cs="Times New Roman" w:eastAsia="Times New Roman" w:hAnsi="Times New Roman"/>
          <w:sz w:val="14"/>
          <w:szCs w:val="14"/>
          <w:u w:val="single" w:color="auto"/>
          <w:color w:val="auto"/>
        </w:rPr>
        <w:t>EXECUTION, AUTHENTICATION, DELIVERY AND DATING.</w:t>
      </w:r>
    </w:p>
    <w:p>
      <w:pPr>
        <w:spacing w:after="0" w:line="182" w:lineRule="exact"/>
        <w:rPr>
          <w:sz w:val="20"/>
          <w:szCs w:val="20"/>
          <w:color w:val="auto"/>
        </w:rPr>
      </w:pPr>
    </w:p>
    <w:p>
      <w:pPr>
        <w:ind w:left="120" w:right="319" w:firstLine="350"/>
        <w:spacing w:after="0" w:line="274" w:lineRule="auto"/>
        <w:rPr>
          <w:sz w:val="20"/>
          <w:szCs w:val="20"/>
          <w:color w:val="auto"/>
        </w:rPr>
      </w:pPr>
      <w:r>
        <w:rPr>
          <w:rFonts w:ascii="Times New Roman" w:cs="Times New Roman" w:eastAsia="Times New Roman" w:hAnsi="Times New Roman"/>
          <w:sz w:val="14"/>
          <w:szCs w:val="14"/>
          <w:color w:val="auto"/>
        </w:rPr>
        <w:t>The Securities shall be executed on behalf of the Company by one of its Chairman of the Board of Directors, its President, its Chief Executive Officer, its Chief Financial Officer or one of its Vice Presidents. The signatures of any of these officers on the Securities may be manual, electronic or facsimile.</w:t>
      </w:r>
    </w:p>
    <w:p>
      <w:pPr>
        <w:spacing w:after="0" w:line="135" w:lineRule="exact"/>
        <w:rPr>
          <w:sz w:val="20"/>
          <w:szCs w:val="20"/>
          <w:color w:val="auto"/>
        </w:rPr>
      </w:pPr>
    </w:p>
    <w:p>
      <w:pPr>
        <w:ind w:left="120" w:right="239" w:firstLine="350"/>
        <w:spacing w:after="0" w:line="274" w:lineRule="auto"/>
        <w:rPr>
          <w:sz w:val="20"/>
          <w:szCs w:val="20"/>
          <w:color w:val="auto"/>
        </w:rPr>
      </w:pPr>
      <w:r>
        <w:rPr>
          <w:rFonts w:ascii="Times New Roman" w:cs="Times New Roman" w:eastAsia="Times New Roman" w:hAnsi="Times New Roman"/>
          <w:sz w:val="14"/>
          <w:szCs w:val="14"/>
          <w:color w:val="auto"/>
        </w:rPr>
        <w:t>Securities bearing the manual or facsimile signature of an individual who was at any time the proper officer of the Company shall bind the Company, notwithstanding that such individual has ceased to hold such office prior to the authentication and delivery of such Securities or did not hold such office at the date of such Securities.</w:t>
      </w:r>
    </w:p>
    <w:p>
      <w:pPr>
        <w:spacing w:after="0" w:line="135" w:lineRule="exact"/>
        <w:rPr>
          <w:sz w:val="20"/>
          <w:szCs w:val="20"/>
          <w:color w:val="auto"/>
        </w:rPr>
      </w:pPr>
    </w:p>
    <w:p>
      <w:pPr>
        <w:ind w:left="120" w:right="239" w:firstLine="350"/>
        <w:spacing w:after="0" w:line="265" w:lineRule="auto"/>
        <w:rPr>
          <w:sz w:val="20"/>
          <w:szCs w:val="20"/>
          <w:color w:val="auto"/>
        </w:rPr>
      </w:pPr>
      <w:r>
        <w:rPr>
          <w:rFonts w:ascii="Times New Roman" w:cs="Times New Roman" w:eastAsia="Times New Roman" w:hAnsi="Times New Roman"/>
          <w:sz w:val="14"/>
          <w:szCs w:val="14"/>
          <w:color w:val="auto"/>
        </w:rPr>
        <w:t xml:space="preserve">At any time and from time to time after the execution and delivery of this Indenture, the Company may deliver Securities executed by the Company to the Trustee for authentication, together with a Company Order for the authentication and delivery of such Securities; and the Trustee in accordance with such Company Order shall authenticate and deliver such Securities as provided in this Indenture and not otherwise. In authenticating such Securities, and accepting the additional responsibilities under this Indenture in relation to such Securities, the Trustee shall receive, and, subject to </w:t>
      </w:r>
      <w:r>
        <w:rPr>
          <w:rFonts w:ascii="Times New Roman" w:cs="Times New Roman" w:eastAsia="Times New Roman" w:hAnsi="Times New Roman"/>
          <w:sz w:val="14"/>
          <w:szCs w:val="14"/>
          <w:u w:val="single" w:color="auto"/>
          <w:color w:val="auto"/>
        </w:rPr>
        <w:t>Section 6.01</w:t>
      </w:r>
      <w:r>
        <w:rPr>
          <w:rFonts w:ascii="Times New Roman" w:cs="Times New Roman" w:eastAsia="Times New Roman" w:hAnsi="Times New Roman"/>
          <w:sz w:val="14"/>
          <w:szCs w:val="14"/>
          <w:color w:val="auto"/>
        </w:rPr>
        <w:t>, shall be fully protected in relying upon:</w:t>
      </w:r>
    </w:p>
    <w:p>
      <w:pPr>
        <w:spacing w:after="0" w:line="55" w:lineRule="exact"/>
        <w:rPr>
          <w:sz w:val="20"/>
          <w:szCs w:val="20"/>
          <w:color w:val="auto"/>
        </w:rPr>
      </w:pPr>
    </w:p>
    <w:p>
      <w:pPr>
        <w:ind w:left="120" w:right="159" w:firstLine="357"/>
        <w:spacing w:after="0" w:line="268" w:lineRule="auto"/>
        <w:tabs>
          <w:tab w:leader="none" w:pos="664"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the resolution or resolutions of the Board of Directors in or pursuant to which the terms and form of the Securities were established, certified by the Secretary or an Assistant Secretary of the Company to have been duly adopted by the Board of Directors and to be in full force and effect as of the date of such certificate, and if the terms and form of such Securities were established by an Officers’ Certificate pursuant to authorization of the Board of Directors, such Officers’ Certificate;</w:t>
      </w:r>
    </w:p>
    <w:p>
      <w:pPr>
        <w:spacing w:after="0" w:line="139" w:lineRule="exact"/>
        <w:rPr>
          <w:rFonts w:ascii="Times New Roman" w:cs="Times New Roman" w:eastAsia="Times New Roman" w:hAnsi="Times New Roman"/>
          <w:sz w:val="14"/>
          <w:szCs w:val="14"/>
          <w:color w:val="auto"/>
        </w:rPr>
      </w:pPr>
    </w:p>
    <w:p>
      <w:pPr>
        <w:ind w:left="680" w:hanging="203"/>
        <w:spacing w:after="0"/>
        <w:tabs>
          <w:tab w:leader="none" w:pos="680"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executed supplemental indenture, if any;</w:t>
      </w:r>
    </w:p>
    <w:p>
      <w:pPr>
        <w:spacing w:after="0" w:line="182" w:lineRule="exact"/>
        <w:rPr>
          <w:rFonts w:ascii="Times New Roman" w:cs="Times New Roman" w:eastAsia="Times New Roman" w:hAnsi="Times New Roman"/>
          <w:sz w:val="14"/>
          <w:szCs w:val="14"/>
          <w:color w:val="auto"/>
        </w:rPr>
      </w:pPr>
    </w:p>
    <w:p>
      <w:pPr>
        <w:ind w:left="680" w:hanging="203"/>
        <w:spacing w:after="0"/>
        <w:tabs>
          <w:tab w:leader="none" w:pos="680"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 Officers’ Certificate delivered in accordance with </w:t>
      </w:r>
      <w:r>
        <w:rPr>
          <w:rFonts w:ascii="Times New Roman" w:cs="Times New Roman" w:eastAsia="Times New Roman" w:hAnsi="Times New Roman"/>
          <w:sz w:val="14"/>
          <w:szCs w:val="14"/>
          <w:u w:val="single" w:color="auto"/>
          <w:color w:val="auto"/>
        </w:rPr>
        <w:t>Section 1.03</w:t>
      </w:r>
      <w:r>
        <w:rPr>
          <w:rFonts w:ascii="Times New Roman" w:cs="Times New Roman" w:eastAsia="Times New Roman" w:hAnsi="Times New Roman"/>
          <w:sz w:val="14"/>
          <w:szCs w:val="14"/>
          <w:color w:val="auto"/>
        </w:rPr>
        <w:t>; and</w:t>
      </w:r>
    </w:p>
    <w:p>
      <w:pPr>
        <w:spacing w:after="0" w:line="182" w:lineRule="exact"/>
        <w:rPr>
          <w:rFonts w:ascii="Times New Roman" w:cs="Times New Roman" w:eastAsia="Times New Roman" w:hAnsi="Times New Roman"/>
          <w:sz w:val="14"/>
          <w:szCs w:val="14"/>
          <w:color w:val="auto"/>
        </w:rPr>
      </w:pPr>
    </w:p>
    <w:p>
      <w:pPr>
        <w:ind w:left="680" w:hanging="203"/>
        <w:spacing w:after="0"/>
        <w:tabs>
          <w:tab w:leader="none" w:pos="680"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Opinion of Counsel which shall state:</w:t>
      </w:r>
    </w:p>
    <w:p>
      <w:pPr>
        <w:spacing w:after="0" w:line="97" w:lineRule="exact"/>
        <w:rPr>
          <w:sz w:val="20"/>
          <w:szCs w:val="20"/>
          <w:color w:val="auto"/>
        </w:rPr>
      </w:pPr>
    </w:p>
    <w:p>
      <w:pPr>
        <w:ind w:left="120" w:right="199" w:firstLine="357"/>
        <w:spacing w:after="0" w:line="292" w:lineRule="auto"/>
        <w:tabs>
          <w:tab w:leader="none" w:pos="672"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that the form of such Securities has been established by a supplemental indenture or by or pursuant to a resolution of the Board of Directors in accordance with </w:t>
      </w:r>
      <w:r>
        <w:rPr>
          <w:rFonts w:ascii="Times New Roman" w:cs="Times New Roman" w:eastAsia="Times New Roman" w:hAnsi="Times New Roman"/>
          <w:sz w:val="14"/>
          <w:szCs w:val="14"/>
          <w:u w:val="single" w:color="auto"/>
          <w:color w:val="auto"/>
        </w:rPr>
        <w:t>Section 2.01</w:t>
      </w:r>
      <w:r>
        <w:rPr>
          <w:rFonts w:ascii="Times New Roman" w:cs="Times New Roman" w:eastAsia="Times New Roman" w:hAnsi="Times New Roman"/>
          <w:sz w:val="14"/>
          <w:szCs w:val="14"/>
          <w:color w:val="auto"/>
        </w:rPr>
        <w:t xml:space="preserve"> and in conformity with the provisions of this Indenture;</w:t>
      </w:r>
    </w:p>
    <w:p>
      <w:pPr>
        <w:spacing w:after="0" w:line="123" w:lineRule="exact"/>
        <w:rPr>
          <w:rFonts w:ascii="Times New Roman" w:cs="Times New Roman" w:eastAsia="Times New Roman" w:hAnsi="Times New Roman"/>
          <w:sz w:val="14"/>
          <w:szCs w:val="14"/>
          <w:color w:val="auto"/>
        </w:rPr>
      </w:pPr>
    </w:p>
    <w:p>
      <w:pPr>
        <w:ind w:left="120" w:right="439" w:firstLine="357"/>
        <w:spacing w:after="0" w:line="292" w:lineRule="auto"/>
        <w:tabs>
          <w:tab w:leader="none" w:pos="672"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that the terms of such Securities have been established in accordance with </w:t>
      </w:r>
      <w:r>
        <w:rPr>
          <w:rFonts w:ascii="Times New Roman" w:cs="Times New Roman" w:eastAsia="Times New Roman" w:hAnsi="Times New Roman"/>
          <w:sz w:val="14"/>
          <w:szCs w:val="14"/>
          <w:u w:val="single" w:color="auto"/>
          <w:color w:val="auto"/>
        </w:rPr>
        <w:t>Section 3.01</w:t>
      </w:r>
      <w:r>
        <w:rPr>
          <w:rFonts w:ascii="Times New Roman" w:cs="Times New Roman" w:eastAsia="Times New Roman" w:hAnsi="Times New Roman"/>
          <w:sz w:val="14"/>
          <w:szCs w:val="14"/>
          <w:color w:val="auto"/>
        </w:rPr>
        <w:t xml:space="preserve"> and in conformity with the other provisions of this Indenture; and</w:t>
      </w:r>
    </w:p>
    <w:p>
      <w:pPr>
        <w:spacing w:after="0" w:line="123" w:lineRule="exact"/>
        <w:rPr>
          <w:rFonts w:ascii="Times New Roman" w:cs="Times New Roman" w:eastAsia="Times New Roman" w:hAnsi="Times New Roman"/>
          <w:sz w:val="14"/>
          <w:szCs w:val="14"/>
          <w:color w:val="auto"/>
        </w:rPr>
      </w:pPr>
    </w:p>
    <w:p>
      <w:pPr>
        <w:jc w:val="both"/>
        <w:ind w:left="120" w:right="239" w:firstLine="357"/>
        <w:spacing w:after="0" w:line="268" w:lineRule="auto"/>
        <w:tabs>
          <w:tab w:leader="none" w:pos="672"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such Securities, when authenticated and delivered by the Trustee and issued by the Company in the manner and subject to any conditions specified in such Opinion of Counsel, will constitute valid and legally binding obligations of the Company, enforceable in accordance with their terms, subject to bankruptcy, insolvency, fraudulent transfer, reorganization, moratorium and other laws of general applicability relating to or affecting the enforcement of creditors’ rights and to general equity principles.</w:t>
      </w:r>
    </w:p>
    <w:p>
      <w:pPr>
        <w:spacing w:after="0" w:line="139" w:lineRule="exact"/>
        <w:rPr>
          <w:sz w:val="20"/>
          <w:szCs w:val="20"/>
          <w:color w:val="auto"/>
        </w:rPr>
      </w:pPr>
    </w:p>
    <w:p>
      <w:pPr>
        <w:ind w:left="120" w:right="139" w:firstLine="350"/>
        <w:spacing w:after="0" w:line="268" w:lineRule="auto"/>
        <w:rPr>
          <w:sz w:val="20"/>
          <w:szCs w:val="20"/>
          <w:color w:val="auto"/>
        </w:rPr>
      </w:pPr>
      <w:r>
        <w:rPr>
          <w:rFonts w:ascii="Times New Roman" w:cs="Times New Roman" w:eastAsia="Times New Roman" w:hAnsi="Times New Roman"/>
          <w:sz w:val="14"/>
          <w:szCs w:val="14"/>
          <w:color w:val="auto"/>
        </w:rPr>
        <w:t>The Trustee shall have the right to decline to authenticate and deliver any Securities under this Section (a) if the Trustee, being advised by counsel, determines that such action may not lawfully be taken, (b) or if the Trustee in good faith shall determine that such action would expose the Trustee to personal liability to existing Holders or (c) if the issue of the Security pursuant to this Indenture will affect the Trustee’s own rights, duties or immunities under the Securities or this Indenture or otherwise in a manner not reasonably acceptable to the Trustee.</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9019"/>
          </w:cols>
          <w:pgMar w:left="1440" w:top="243" w:right="1440" w:bottom="1440" w:gutter="0" w:footer="0" w:header="0"/>
        </w:sectPr>
      </w:pPr>
    </w:p>
    <w:bookmarkStart w:id="199" w:name="page200"/>
    <w:bookmarkEnd w:id="199"/>
    <w:p>
      <w:pPr>
        <w:ind w:left="48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9">
                      <a:extLst>
                        <a:ext uri="{28A0092B-C50C-407E-A947-70E740481C1C}"/>
                      </a:extLst>
                    </a:blip>
                    <a:srcRect/>
                    <a:stretch>
                      <a:fillRect/>
                    </a:stretch>
                  </pic:blipFill>
                  <pic:spPr bwMode="auto">
                    <a:xfrm>
                      <a:off x="0" y="0"/>
                      <a:ext cx="7199630" cy="33020"/>
                    </a:xfrm>
                    <a:prstGeom prst="rect">
                      <a:avLst/>
                    </a:prstGeom>
                    <a:noFill/>
                  </pic:spPr>
                </pic:pic>
              </a:graphicData>
            </a:graphic>
          </wp:anchor>
        </w:drawing>
        <w:t>Unless otherwise provided for in the form of Security, each Security shall be dated the date of its authentication.</w:t>
      </w:r>
    </w:p>
    <w:p>
      <w:pPr>
        <w:spacing w:after="0" w:line="182" w:lineRule="exact"/>
        <w:rPr>
          <w:sz w:val="20"/>
          <w:szCs w:val="20"/>
          <w:color w:val="auto"/>
        </w:rPr>
      </w:pPr>
    </w:p>
    <w:p>
      <w:pPr>
        <w:ind w:left="120" w:right="179" w:firstLine="350"/>
        <w:spacing w:after="0" w:line="268" w:lineRule="auto"/>
        <w:rPr>
          <w:sz w:val="20"/>
          <w:szCs w:val="20"/>
          <w:color w:val="auto"/>
        </w:rPr>
      </w:pPr>
      <w:r>
        <w:rPr>
          <w:rFonts w:ascii="Times New Roman" w:cs="Times New Roman" w:eastAsia="Times New Roman" w:hAnsi="Times New Roman"/>
          <w:sz w:val="14"/>
          <w:szCs w:val="14"/>
          <w:color w:val="auto"/>
        </w:rPr>
        <w:t>No Security shall be entitled to any benefit under this Indenture or be valid or obligatory for any purpose unless there appears on such Security a certificate of authentication substantially in the form provided for herein duly executed by the Trustee by manual signature of an authorized signatory, and such certificate upon any Security shall be conclusive evidence, and the only evidence, that such Security has been duly authenticated and delivered hereunder and is entitled to the benefits of this Indenture.</w:t>
      </w:r>
    </w:p>
    <w:p>
      <w:pPr>
        <w:spacing w:after="0" w:line="139" w:lineRule="exact"/>
        <w:rPr>
          <w:sz w:val="20"/>
          <w:szCs w:val="20"/>
          <w:color w:val="auto"/>
        </w:rPr>
      </w:pPr>
    </w:p>
    <w:p>
      <w:pPr>
        <w:ind w:left="120" w:right="139" w:firstLine="350"/>
        <w:spacing w:after="0" w:line="258" w:lineRule="auto"/>
        <w:rPr>
          <w:sz w:val="20"/>
          <w:szCs w:val="20"/>
          <w:color w:val="auto"/>
        </w:rPr>
      </w:pPr>
      <w:r>
        <w:rPr>
          <w:rFonts w:ascii="Times New Roman" w:cs="Times New Roman" w:eastAsia="Times New Roman" w:hAnsi="Times New Roman"/>
          <w:sz w:val="14"/>
          <w:szCs w:val="14"/>
          <w:color w:val="auto"/>
        </w:rPr>
        <w:t xml:space="preserve">Except as otherwise specified with respect to a series of Securities in accordance with the provisions of </w:t>
      </w:r>
      <w:r>
        <w:rPr>
          <w:rFonts w:ascii="Times New Roman" w:cs="Times New Roman" w:eastAsia="Times New Roman" w:hAnsi="Times New Roman"/>
          <w:sz w:val="14"/>
          <w:szCs w:val="14"/>
          <w:u w:val="single" w:color="auto"/>
          <w:color w:val="auto"/>
        </w:rPr>
        <w:t>Section 3.01</w:t>
      </w:r>
      <w:r>
        <w:rPr>
          <w:rFonts w:ascii="Times New Roman" w:cs="Times New Roman" w:eastAsia="Times New Roman" w:hAnsi="Times New Roman"/>
          <w:sz w:val="14"/>
          <w:szCs w:val="14"/>
          <w:color w:val="auto"/>
        </w:rPr>
        <w:t xml:space="preserve">, in case the Company, pursuant to </w:t>
      </w:r>
      <w:r>
        <w:rPr>
          <w:rFonts w:ascii="Times New Roman" w:cs="Times New Roman" w:eastAsia="Times New Roman" w:hAnsi="Times New Roman"/>
          <w:sz w:val="14"/>
          <w:szCs w:val="14"/>
          <w:u w:val="single" w:color="auto"/>
          <w:color w:val="auto"/>
        </w:rPr>
        <w:t>Article VIII</w:t>
      </w:r>
      <w:r>
        <w:rPr>
          <w:rFonts w:ascii="Times New Roman" w:cs="Times New Roman" w:eastAsia="Times New Roman" w:hAnsi="Times New Roman"/>
          <w:sz w:val="14"/>
          <w:szCs w:val="14"/>
          <w:color w:val="auto"/>
        </w:rPr>
        <w:t xml:space="preserve">, shall, in a single transaction or through a series of related transactions, be consolidated, amalgamated, combined or merged with or into any other Person or shall sell, assign, convey, transfer, lease or otherwise dispose of all or substantially all of its properties and assets to any Person, and the successor Person resulting from such consolidation, amalgamation, or combination or surviving such merger, or into which the Company shall have been merged, or the successor Person which shall have participated in the sale, assignment, conveyance, transfer, lease or other disposition as aforesaid, shall have executed an indenture supplemental hereto with the Trustee pursuant to </w:t>
      </w:r>
      <w:r>
        <w:rPr>
          <w:rFonts w:ascii="Times New Roman" w:cs="Times New Roman" w:eastAsia="Times New Roman" w:hAnsi="Times New Roman"/>
          <w:sz w:val="14"/>
          <w:szCs w:val="14"/>
          <w:u w:val="single" w:color="auto"/>
          <w:color w:val="auto"/>
        </w:rPr>
        <w:t>Article VIII</w:t>
      </w:r>
      <w:r>
        <w:rPr>
          <w:rFonts w:ascii="Times New Roman" w:cs="Times New Roman" w:eastAsia="Times New Roman" w:hAnsi="Times New Roman"/>
          <w:sz w:val="14"/>
          <w:szCs w:val="14"/>
          <w:color w:val="auto"/>
        </w:rPr>
        <w:t xml:space="preserve">, any of the Securities authenticated or delivered prior to such consolidation, amalgamation, combination, merger, sale, assignment, conveyance, transfer, lease or other disposition may, from time to time, at the request of the successor Person, be exchanged for other Securities executed in the name of the successor Person with such changes in phraseology and form as may be appropriate, but otherwise in substance of like tenor as the Securities surrendered for such exchange and of like principal amount; and the Trustee, upon Company Request of the successor Person, shall authenticate and deliver Securities as specified in such request for the purpose of such exchange. If Securities shall at any time be authenticated and delivered in any new name of a successor Person pursuant to this </w:t>
      </w:r>
      <w:r>
        <w:rPr>
          <w:rFonts w:ascii="Times New Roman" w:cs="Times New Roman" w:eastAsia="Times New Roman" w:hAnsi="Times New Roman"/>
          <w:sz w:val="14"/>
          <w:szCs w:val="14"/>
          <w:u w:val="single" w:color="auto"/>
          <w:color w:val="auto"/>
        </w:rPr>
        <w:t>Section 3.03</w:t>
      </w:r>
      <w:r>
        <w:rPr>
          <w:rFonts w:ascii="Times New Roman" w:cs="Times New Roman" w:eastAsia="Times New Roman" w:hAnsi="Times New Roman"/>
          <w:sz w:val="14"/>
          <w:szCs w:val="14"/>
          <w:color w:val="auto"/>
        </w:rPr>
        <w:t xml:space="preserve"> in exchange or substitution for or upon registration of transfer of any Securities, such successor Person, at the option of the Holders but without expense to them, shall provide for the exchange of all Securities at the time Outstanding for Securities authenticated and delivered in such new name.</w:t>
      </w:r>
    </w:p>
    <w:p>
      <w:pPr>
        <w:spacing w:after="0" w:line="325" w:lineRule="exact"/>
        <w:rPr>
          <w:sz w:val="20"/>
          <w:szCs w:val="20"/>
          <w:color w:val="auto"/>
        </w:rPr>
      </w:pPr>
    </w:p>
    <w:p>
      <w:pPr>
        <w:ind w:left="120" w:right="239" w:firstLine="350"/>
        <w:spacing w:after="0" w:line="268" w:lineRule="auto"/>
        <w:rPr>
          <w:sz w:val="20"/>
          <w:szCs w:val="20"/>
          <w:color w:val="auto"/>
        </w:rPr>
      </w:pPr>
      <w:r>
        <w:rPr>
          <w:rFonts w:ascii="Times New Roman" w:cs="Times New Roman" w:eastAsia="Times New Roman" w:hAnsi="Times New Roman"/>
          <w:sz w:val="14"/>
          <w:szCs w:val="14"/>
          <w:color w:val="auto"/>
        </w:rPr>
        <w:t>The Trustee may appoint an authenticating agent (“</w:t>
      </w:r>
      <w:r>
        <w:rPr>
          <w:rFonts w:ascii="Times New Roman" w:cs="Times New Roman" w:eastAsia="Times New Roman" w:hAnsi="Times New Roman"/>
          <w:sz w:val="14"/>
          <w:szCs w:val="14"/>
          <w:u w:val="single" w:color="auto"/>
          <w:color w:val="auto"/>
        </w:rPr>
        <w:t>Authenticating Agent</w:t>
      </w:r>
      <w:r>
        <w:rPr>
          <w:rFonts w:ascii="Times New Roman" w:cs="Times New Roman" w:eastAsia="Times New Roman" w:hAnsi="Times New Roman"/>
          <w:sz w:val="14"/>
          <w:szCs w:val="14"/>
          <w:color w:val="auto"/>
        </w:rPr>
        <w:t>”) reasonably acceptable to the Company to authenticate Securities on behalf of the Trustee. Unless limited by the terms of such appointment, an Authenticating Agent may authenticate Securities whenever the Trustee may do so. Each reference in this Indenture to authentication by the Trustee includes authentication by such agent. An Authenticating Agent has the same rights as any Security Registrar or Paying Agent to deal with the Holders, the Company and its Affiliates.</w:t>
      </w:r>
    </w:p>
    <w:p>
      <w:pPr>
        <w:spacing w:after="0" w:line="1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3.04 </w:t>
      </w:r>
      <w:r>
        <w:rPr>
          <w:rFonts w:ascii="Times New Roman" w:cs="Times New Roman" w:eastAsia="Times New Roman" w:hAnsi="Times New Roman"/>
          <w:sz w:val="14"/>
          <w:szCs w:val="14"/>
          <w:u w:val="single" w:color="auto"/>
          <w:color w:val="auto"/>
        </w:rPr>
        <w:t>TEMPORARY SECURITIES</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120" w:right="319" w:firstLine="357"/>
        <w:spacing w:after="0" w:line="268" w:lineRule="auto"/>
        <w:tabs>
          <w:tab w:leader="none" w:pos="664"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Pending the preparation of definitive Securities, the Company may execute, and upon receipt of a Company Order the Trustee shall authenticate and deliver, temporary Securities which are printed, lithographed, typewritten or otherwise produced, in any authorized denomination, substantially of the tenor of the definitive Securities in lieu of which they are issued and with such appropriate insertions, omissions, substitutions and other variations as the Officer or Officers executing such Securities may determine, as conclusively evidenced by their execution of such Securities.</w:t>
      </w:r>
    </w:p>
    <w:p>
      <w:pPr>
        <w:spacing w:after="0" w:line="139" w:lineRule="exact"/>
        <w:rPr>
          <w:rFonts w:ascii="Times New Roman" w:cs="Times New Roman" w:eastAsia="Times New Roman" w:hAnsi="Times New Roman"/>
          <w:sz w:val="14"/>
          <w:szCs w:val="14"/>
          <w:color w:val="auto"/>
        </w:rPr>
      </w:pPr>
    </w:p>
    <w:p>
      <w:pPr>
        <w:ind w:left="120" w:right="259" w:firstLine="357"/>
        <w:spacing w:after="0" w:line="263" w:lineRule="auto"/>
        <w:tabs>
          <w:tab w:leader="none" w:pos="672"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temporary Securities are issued, the Company will cause definitive Securities to be prepared without unreasonable delay, except to comply with applicable law. After the preparation of definitive Securities, the temporary Securities shall be exchangeable for definitive Securities upon surrender of the temporary Securities at the office or agency of the Company designated for such purpose pursuant to </w:t>
      </w:r>
      <w:r>
        <w:rPr>
          <w:rFonts w:ascii="Times New Roman" w:cs="Times New Roman" w:eastAsia="Times New Roman" w:hAnsi="Times New Roman"/>
          <w:sz w:val="14"/>
          <w:szCs w:val="14"/>
          <w:u w:val="single" w:color="auto"/>
          <w:color w:val="auto"/>
        </w:rPr>
        <w:t>Section 10.02</w:t>
      </w:r>
      <w:r>
        <w:rPr>
          <w:rFonts w:ascii="Times New Roman" w:cs="Times New Roman" w:eastAsia="Times New Roman" w:hAnsi="Times New Roman"/>
          <w:sz w:val="14"/>
          <w:szCs w:val="14"/>
          <w:color w:val="auto"/>
        </w:rPr>
        <w:t>, without charge to the Holder. Upon surrender for cancellation of any one or more temporary Securities, the Company shall execute and the Trustee shall authenticate and deliver in exchange therefor a like principal amount of definitive Securities of authorized denominations. Until so exchanged, the temporary Securities shall in all respects be entitled to the same benefits under this Indenture as definitive Securities.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9019"/>
          </w:cols>
          <w:pgMar w:left="1440" w:top="243" w:right="1440" w:bottom="1440" w:gutter="0" w:footer="0" w:header="0"/>
        </w:sectPr>
      </w:pPr>
    </w:p>
    <w:bookmarkStart w:id="200" w:name="page201"/>
    <w:bookmarkEnd w:id="200"/>
    <w:p>
      <w:pPr>
        <w:ind w:left="1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0">
                      <a:extLst>
                        <a:ext uri="{28A0092B-C50C-407E-A947-70E740481C1C}"/>
                      </a:extLst>
                    </a:blip>
                    <a:srcRect/>
                    <a:stretch>
                      <a:fillRect/>
                    </a:stretch>
                  </pic:blipFill>
                  <pic:spPr bwMode="auto">
                    <a:xfrm>
                      <a:off x="0" y="0"/>
                      <a:ext cx="7199630" cy="33020"/>
                    </a:xfrm>
                    <a:prstGeom prst="rect">
                      <a:avLst/>
                    </a:prstGeom>
                    <a:noFill/>
                  </pic:spPr>
                </pic:pic>
              </a:graphicData>
            </a:graphic>
          </wp:anchor>
        </w:drawing>
        <w:t xml:space="preserve">Section 3.05 </w:t>
      </w:r>
      <w:r>
        <w:rPr>
          <w:rFonts w:ascii="Times New Roman" w:cs="Times New Roman" w:eastAsia="Times New Roman" w:hAnsi="Times New Roman"/>
          <w:sz w:val="14"/>
          <w:szCs w:val="14"/>
          <w:u w:val="single" w:color="auto"/>
          <w:color w:val="auto"/>
        </w:rPr>
        <w:t>REGISTRATION, REGISTRATION OF TRANSFER AND EXCHANGE</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120" w:right="139" w:firstLine="350"/>
        <w:spacing w:after="0" w:line="261" w:lineRule="auto"/>
        <w:rPr>
          <w:sz w:val="20"/>
          <w:szCs w:val="20"/>
          <w:color w:val="auto"/>
        </w:rPr>
      </w:pPr>
      <w:r>
        <w:rPr>
          <w:rFonts w:ascii="Times New Roman" w:cs="Times New Roman" w:eastAsia="Times New Roman" w:hAnsi="Times New Roman"/>
          <w:sz w:val="14"/>
          <w:szCs w:val="14"/>
          <w:color w:val="auto"/>
        </w:rPr>
        <w:t xml:space="preserve">The Company shall cause the Trustee to keep, so long as it is the Security Registrar, at the Corporate Trust Office of the Trustee, or such other office as the Trustee may designate, a register for each series of Securities (the register maintained in such office or in any other office or agency designated pursuant to </w:t>
      </w:r>
      <w:r>
        <w:rPr>
          <w:rFonts w:ascii="Times New Roman" w:cs="Times New Roman" w:eastAsia="Times New Roman" w:hAnsi="Times New Roman"/>
          <w:sz w:val="14"/>
          <w:szCs w:val="14"/>
          <w:u w:val="single" w:color="auto"/>
          <w:color w:val="auto"/>
        </w:rPr>
        <w:t>Section 10.02</w:t>
      </w:r>
      <w:r>
        <w:rPr>
          <w:rFonts w:ascii="Times New Roman" w:cs="Times New Roman" w:eastAsia="Times New Roman" w:hAnsi="Times New Roman"/>
          <w:sz w:val="14"/>
          <w:szCs w:val="14"/>
          <w:color w:val="auto"/>
        </w:rPr>
        <w:t xml:space="preserve"> being herein sometimes referred to as the “</w:t>
      </w:r>
      <w:r>
        <w:rPr>
          <w:rFonts w:ascii="Times New Roman" w:cs="Times New Roman" w:eastAsia="Times New Roman" w:hAnsi="Times New Roman"/>
          <w:sz w:val="14"/>
          <w:szCs w:val="14"/>
          <w:u w:val="single" w:color="auto"/>
          <w:color w:val="auto"/>
        </w:rPr>
        <w:t>Security Register</w:t>
      </w:r>
      <w:r>
        <w:rPr>
          <w:rFonts w:ascii="Times New Roman" w:cs="Times New Roman" w:eastAsia="Times New Roman" w:hAnsi="Times New Roman"/>
          <w:sz w:val="14"/>
          <w:szCs w:val="14"/>
          <w:color w:val="auto"/>
        </w:rPr>
        <w:t>”) in which, subject to such reasonable regulations as the Security Registrar may prescribe, the Company shall provide for the registration of Securities and of transfers of Securities. The Trustee shall initially be the “</w:t>
      </w:r>
      <w:r>
        <w:rPr>
          <w:rFonts w:ascii="Times New Roman" w:cs="Times New Roman" w:eastAsia="Times New Roman" w:hAnsi="Times New Roman"/>
          <w:sz w:val="14"/>
          <w:szCs w:val="14"/>
          <w:u w:val="single" w:color="auto"/>
          <w:color w:val="auto"/>
        </w:rPr>
        <w:t>Security Registrar</w:t>
      </w:r>
      <w:r>
        <w:rPr>
          <w:rFonts w:ascii="Times New Roman" w:cs="Times New Roman" w:eastAsia="Times New Roman" w:hAnsi="Times New Roman"/>
          <w:sz w:val="14"/>
          <w:szCs w:val="14"/>
          <w:color w:val="auto"/>
        </w:rPr>
        <w:t>” for the purpose of registering Securities and transfers of Securities as herein provided. The Company may change the Security Registrar or appoint one or more co-Security Registrars without prior notice; provided that the Company shall promptly notify the Trustee if the Company changes the Security Registrar or appoints a co-Security Registrar.</w:t>
      </w:r>
    </w:p>
    <w:p>
      <w:pPr>
        <w:spacing w:after="0" w:line="148" w:lineRule="exact"/>
        <w:rPr>
          <w:sz w:val="20"/>
          <w:szCs w:val="20"/>
          <w:color w:val="auto"/>
        </w:rPr>
      </w:pPr>
    </w:p>
    <w:p>
      <w:pPr>
        <w:ind w:left="120" w:right="559" w:firstLine="350"/>
        <w:spacing w:after="0" w:line="274" w:lineRule="auto"/>
        <w:rPr>
          <w:sz w:val="20"/>
          <w:szCs w:val="20"/>
          <w:color w:val="auto"/>
        </w:rPr>
      </w:pPr>
      <w:r>
        <w:rPr>
          <w:rFonts w:ascii="Times New Roman" w:cs="Times New Roman" w:eastAsia="Times New Roman" w:hAnsi="Times New Roman"/>
          <w:sz w:val="14"/>
          <w:szCs w:val="14"/>
          <w:color w:val="auto"/>
        </w:rPr>
        <w:t xml:space="preserve">Upon surrender for registration of transfer of any Security at the office or agency of the Company designated pursuant to </w:t>
      </w:r>
      <w:r>
        <w:rPr>
          <w:rFonts w:ascii="Times New Roman" w:cs="Times New Roman" w:eastAsia="Times New Roman" w:hAnsi="Times New Roman"/>
          <w:sz w:val="14"/>
          <w:szCs w:val="14"/>
          <w:u w:val="single" w:color="auto"/>
          <w:color w:val="auto"/>
        </w:rPr>
        <w:t>Section 10.02</w:t>
      </w:r>
      <w:r>
        <w:rPr>
          <w:rFonts w:ascii="Times New Roman" w:cs="Times New Roman" w:eastAsia="Times New Roman" w:hAnsi="Times New Roman"/>
          <w:sz w:val="14"/>
          <w:szCs w:val="14"/>
          <w:color w:val="auto"/>
        </w:rPr>
        <w:t>, the Company shall execute, and the Trustee shall authenticate and deliver, in the name of the designated transferee or transferees, one or more new Securities of the same series of any authorized denomination or denominations, of a like aggregate principal amount.</w:t>
      </w:r>
    </w:p>
    <w:p>
      <w:pPr>
        <w:spacing w:after="0" w:line="135" w:lineRule="exact"/>
        <w:rPr>
          <w:sz w:val="20"/>
          <w:szCs w:val="20"/>
          <w:color w:val="auto"/>
        </w:rPr>
      </w:pPr>
    </w:p>
    <w:p>
      <w:pPr>
        <w:ind w:left="120" w:right="279" w:firstLine="350"/>
        <w:spacing w:after="0" w:line="274" w:lineRule="auto"/>
        <w:rPr>
          <w:sz w:val="20"/>
          <w:szCs w:val="20"/>
          <w:color w:val="auto"/>
        </w:rPr>
      </w:pPr>
      <w:r>
        <w:rPr>
          <w:rFonts w:ascii="Times New Roman" w:cs="Times New Roman" w:eastAsia="Times New Roman" w:hAnsi="Times New Roman"/>
          <w:sz w:val="14"/>
          <w:szCs w:val="14"/>
          <w:color w:val="auto"/>
        </w:rPr>
        <w:t>Furthermore, any Holder of a Global Security shall, by acceptance of such Global Security, agree that transfers of beneficial interests in such Global Security may be effected only through a book-entry system maintained by the Holder of such Global Security (or its agent), and that ownership of a beneficial interest in a Security shall be required to be reflected in a book entry.</w:t>
      </w:r>
    </w:p>
    <w:p>
      <w:pPr>
        <w:spacing w:after="0" w:line="135" w:lineRule="exact"/>
        <w:rPr>
          <w:sz w:val="20"/>
          <w:szCs w:val="20"/>
          <w:color w:val="auto"/>
        </w:rPr>
      </w:pPr>
    </w:p>
    <w:p>
      <w:pPr>
        <w:ind w:left="120" w:right="279" w:firstLine="350"/>
        <w:spacing w:after="0" w:line="268" w:lineRule="auto"/>
        <w:rPr>
          <w:sz w:val="20"/>
          <w:szCs w:val="20"/>
          <w:color w:val="auto"/>
        </w:rPr>
      </w:pPr>
      <w:r>
        <w:rPr>
          <w:rFonts w:ascii="Times New Roman" w:cs="Times New Roman" w:eastAsia="Times New Roman" w:hAnsi="Times New Roman"/>
          <w:sz w:val="14"/>
          <w:szCs w:val="14"/>
          <w:color w:val="auto"/>
        </w:rPr>
        <w:t>At the option of the Holder, Securities may be exchanged for other Securities of any authorized denomination or denominations, of a like aggregate principal amount, upon surrender of the Securities to be exchanged at such office or agency. Whenever any Securities are so surrendered for exchange, the Company shall execute, and the Trustee shall authenticate and deliver, Securities of the same series which the Holder making the exchange is entitled to receive.</w:t>
      </w:r>
    </w:p>
    <w:p>
      <w:pPr>
        <w:spacing w:after="0" w:line="139" w:lineRule="exact"/>
        <w:rPr>
          <w:sz w:val="20"/>
          <w:szCs w:val="20"/>
          <w:color w:val="auto"/>
        </w:rPr>
      </w:pPr>
    </w:p>
    <w:p>
      <w:pPr>
        <w:ind w:left="120" w:right="299" w:firstLine="350"/>
        <w:spacing w:after="0" w:line="292" w:lineRule="auto"/>
        <w:rPr>
          <w:sz w:val="20"/>
          <w:szCs w:val="20"/>
          <w:color w:val="auto"/>
        </w:rPr>
      </w:pPr>
      <w:r>
        <w:rPr>
          <w:rFonts w:ascii="Times New Roman" w:cs="Times New Roman" w:eastAsia="Times New Roman" w:hAnsi="Times New Roman"/>
          <w:sz w:val="14"/>
          <w:szCs w:val="14"/>
          <w:color w:val="auto"/>
        </w:rPr>
        <w:t>All Securities issued upon any registration of transfer or exchange of Securities shall be the valid obligations of the Company, evidencing the same Indebtedness, and entitled to the same benefits under this Indenture, as the Securities surrendered upon such registration of transfer or exchange.</w:t>
      </w:r>
    </w:p>
    <w:p>
      <w:pPr>
        <w:spacing w:after="0" w:line="123" w:lineRule="exact"/>
        <w:rPr>
          <w:sz w:val="20"/>
          <w:szCs w:val="20"/>
          <w:color w:val="auto"/>
        </w:rPr>
      </w:pPr>
    </w:p>
    <w:p>
      <w:pPr>
        <w:ind w:left="120" w:right="239" w:firstLine="350"/>
        <w:spacing w:after="0" w:line="274" w:lineRule="auto"/>
        <w:rPr>
          <w:sz w:val="20"/>
          <w:szCs w:val="20"/>
          <w:color w:val="auto"/>
        </w:rPr>
      </w:pPr>
      <w:r>
        <w:rPr>
          <w:rFonts w:ascii="Times New Roman" w:cs="Times New Roman" w:eastAsia="Times New Roman" w:hAnsi="Times New Roman"/>
          <w:sz w:val="14"/>
          <w:szCs w:val="14"/>
          <w:color w:val="auto"/>
        </w:rPr>
        <w:t>Every Security presented or surrendered for registration of transfer, or for exchange, repurchase or redemption, shall (if so required by the Company or the Trustee) be duly endorsed, or be accompanied by a written instrument of transfer in form satisfactory to the Company and the Security Registrar, duly executed by the Holder thereof or his attorney duly authorized in writing.</w:t>
      </w:r>
    </w:p>
    <w:p>
      <w:pPr>
        <w:spacing w:after="0" w:line="135" w:lineRule="exact"/>
        <w:rPr>
          <w:sz w:val="20"/>
          <w:szCs w:val="20"/>
          <w:color w:val="auto"/>
        </w:rPr>
      </w:pPr>
    </w:p>
    <w:p>
      <w:pPr>
        <w:ind w:left="120" w:right="219" w:firstLine="350"/>
        <w:spacing w:after="0" w:line="266" w:lineRule="auto"/>
        <w:rPr>
          <w:sz w:val="20"/>
          <w:szCs w:val="20"/>
          <w:color w:val="auto"/>
        </w:rPr>
      </w:pPr>
      <w:r>
        <w:rPr>
          <w:rFonts w:ascii="Times New Roman" w:cs="Times New Roman" w:eastAsia="Times New Roman" w:hAnsi="Times New Roman"/>
          <w:sz w:val="14"/>
          <w:szCs w:val="14"/>
          <w:color w:val="auto"/>
        </w:rPr>
        <w:t xml:space="preserve">No service charge shall be made to a Holder for any registration of transfer, exchange or redemption of Securities, other than exchanges pursuant to this </w:t>
      </w:r>
      <w:r>
        <w:rPr>
          <w:rFonts w:ascii="Times New Roman" w:cs="Times New Roman" w:eastAsia="Times New Roman" w:hAnsi="Times New Roman"/>
          <w:sz w:val="14"/>
          <w:szCs w:val="14"/>
          <w:u w:val="single" w:color="auto"/>
          <w:color w:val="auto"/>
        </w:rPr>
        <w:t>Section 3.05</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3.07</w:t>
      </w:r>
      <w:r>
        <w:rPr>
          <w:rFonts w:ascii="Times New Roman" w:cs="Times New Roman" w:eastAsia="Times New Roman" w:hAnsi="Times New Roman"/>
          <w:sz w:val="14"/>
          <w:szCs w:val="14"/>
          <w:color w:val="auto"/>
        </w:rPr>
        <w:t xml:space="preserve"> not involving any transfer, except for any transfer tax or similar governmental charge that may be imposed in connection therewith (other than any such transfer taxes or similar governmental charge payable upon exchange or transfer pursuant to </w:t>
      </w:r>
      <w:r>
        <w:rPr>
          <w:rFonts w:ascii="Times New Roman" w:cs="Times New Roman" w:eastAsia="Times New Roman" w:hAnsi="Times New Roman"/>
          <w:sz w:val="14"/>
          <w:szCs w:val="14"/>
          <w:u w:val="single" w:color="auto"/>
          <w:color w:val="auto"/>
        </w:rPr>
        <w:t>Sections 3.04</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9.06</w:t>
      </w:r>
      <w:r>
        <w:rPr>
          <w:rFonts w:ascii="Times New Roman" w:cs="Times New Roman" w:eastAsia="Times New Roman" w:hAnsi="Times New Roman"/>
          <w:sz w:val="14"/>
          <w:szCs w:val="14"/>
          <w:color w:val="auto"/>
        </w:rPr>
        <w:t xml:space="preserve"> or pursuant to any offer for the Securities which the Company may make to the Holders pursuant to the provisions of any indenture supplemental hereto).</w:t>
      </w:r>
    </w:p>
    <w:p>
      <w:pPr>
        <w:spacing w:after="0" w:line="316" w:lineRule="exact"/>
        <w:rPr>
          <w:sz w:val="20"/>
          <w:szCs w:val="20"/>
          <w:color w:val="auto"/>
        </w:rPr>
      </w:pPr>
    </w:p>
    <w:p>
      <w:pPr>
        <w:ind w:left="120" w:right="219" w:firstLine="350"/>
        <w:spacing w:after="0" w:line="263" w:lineRule="auto"/>
        <w:rPr>
          <w:sz w:val="20"/>
          <w:szCs w:val="20"/>
          <w:color w:val="auto"/>
        </w:rPr>
      </w:pPr>
      <w:r>
        <w:rPr>
          <w:rFonts w:ascii="Times New Roman" w:cs="Times New Roman" w:eastAsia="Times New Roman" w:hAnsi="Times New Roman"/>
          <w:sz w:val="14"/>
          <w:szCs w:val="14"/>
          <w:color w:val="auto"/>
        </w:rPr>
        <w:t>The Company shall not be required (a) to issue, register the transfer of or exchange any Security during a period beginning at the opening of business 15 days before the mailing of a notice of redemption of Securities pursuant to Article XI or any applicable provision of an indenture supplemental hereto and ending at the close of business on the day of such mailing, (b) to register the transfer of or exchange any Security so selected for redemption in whole or in part, except the unredeemed portion of Securities being redeemed in part or (c) to register the transfer of or to exchange a Security between a Regular Record Date and the next succeeding Interest Payment Date or a Special Record Date and the next succeeding Special Payment Date.</w:t>
      </w:r>
    </w:p>
    <w:p>
      <w:pPr>
        <w:spacing w:after="0" w:line="143" w:lineRule="exact"/>
        <w:rPr>
          <w:sz w:val="20"/>
          <w:szCs w:val="20"/>
          <w:color w:val="auto"/>
        </w:rPr>
      </w:pPr>
    </w:p>
    <w:p>
      <w:pPr>
        <w:ind w:left="120" w:right="259" w:firstLine="350"/>
        <w:spacing w:after="0" w:line="274" w:lineRule="auto"/>
        <w:rPr>
          <w:sz w:val="20"/>
          <w:szCs w:val="20"/>
          <w:color w:val="auto"/>
        </w:rPr>
      </w:pPr>
      <w:r>
        <w:rPr>
          <w:rFonts w:ascii="Times New Roman" w:cs="Times New Roman" w:eastAsia="Times New Roman" w:hAnsi="Times New Roman"/>
          <w:sz w:val="14"/>
          <w:szCs w:val="14"/>
          <w:color w:val="auto"/>
        </w:rPr>
        <w:t xml:space="preserve">Any Security authenticated and delivered upon registration of transfer of, or in exchange for, or in lieu of, any Global Security, whether pursuant to this </w:t>
      </w:r>
      <w:r>
        <w:rPr>
          <w:rFonts w:ascii="Times New Roman" w:cs="Times New Roman" w:eastAsia="Times New Roman" w:hAnsi="Times New Roman"/>
          <w:sz w:val="14"/>
          <w:szCs w:val="14"/>
          <w:u w:val="single" w:color="auto"/>
          <w:color w:val="auto"/>
        </w:rPr>
        <w:t>Section 3.05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Sections 3.04</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3.06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3.07</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9.06</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11.08</w:t>
      </w:r>
      <w:r>
        <w:rPr>
          <w:rFonts w:ascii="Times New Roman" w:cs="Times New Roman" w:eastAsia="Times New Roman" w:hAnsi="Times New Roman"/>
          <w:sz w:val="14"/>
          <w:szCs w:val="14"/>
          <w:color w:val="auto"/>
        </w:rPr>
        <w:t xml:space="preserve"> or otherwise, shall also be a Global Security and bear the legend specified in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hereto or as specified pursuant to </w:t>
      </w:r>
      <w:r>
        <w:rPr>
          <w:rFonts w:ascii="Times New Roman" w:cs="Times New Roman" w:eastAsia="Times New Roman" w:hAnsi="Times New Roman"/>
          <w:sz w:val="14"/>
          <w:szCs w:val="14"/>
          <w:u w:val="single" w:color="auto"/>
          <w:color w:val="auto"/>
        </w:rPr>
        <w:t>Section 3.01</w:t>
      </w:r>
      <w:r>
        <w:rPr>
          <w:rFonts w:ascii="Times New Roman" w:cs="Times New Roman" w:eastAsia="Times New Roman" w:hAnsi="Times New Roman"/>
          <w:sz w:val="14"/>
          <w:szCs w:val="14"/>
          <w:color w:val="auto"/>
        </w:rPr>
        <w:t>.</w:t>
      </w:r>
    </w:p>
    <w:p>
      <w:pPr>
        <w:spacing w:after="0" w:line="135" w:lineRule="exact"/>
        <w:rPr>
          <w:sz w:val="20"/>
          <w:szCs w:val="20"/>
          <w:color w:val="auto"/>
        </w:rPr>
      </w:pPr>
    </w:p>
    <w:p>
      <w:pPr>
        <w:ind w:left="120" w:right="279" w:firstLine="350"/>
        <w:spacing w:after="0" w:line="292" w:lineRule="auto"/>
        <w:rPr>
          <w:sz w:val="20"/>
          <w:szCs w:val="20"/>
          <w:color w:val="auto"/>
        </w:rPr>
      </w:pPr>
      <w:r>
        <w:rPr>
          <w:rFonts w:ascii="Times New Roman" w:cs="Times New Roman" w:eastAsia="Times New Roman" w:hAnsi="Times New Roman"/>
          <w:sz w:val="14"/>
          <w:szCs w:val="14"/>
          <w:color w:val="auto"/>
        </w:rPr>
        <w:t xml:space="preserve">All certifications, certificates and Opinions of Counsel required to be submitted to the Security Registrar pursuant to this </w:t>
      </w:r>
      <w:r>
        <w:rPr>
          <w:rFonts w:ascii="Times New Roman" w:cs="Times New Roman" w:eastAsia="Times New Roman" w:hAnsi="Times New Roman"/>
          <w:sz w:val="14"/>
          <w:szCs w:val="14"/>
          <w:u w:val="single" w:color="auto"/>
          <w:color w:val="auto"/>
        </w:rPr>
        <w:t>Section 3.05</w:t>
      </w:r>
      <w:r>
        <w:rPr>
          <w:rFonts w:ascii="Times New Roman" w:cs="Times New Roman" w:eastAsia="Times New Roman" w:hAnsi="Times New Roman"/>
          <w:sz w:val="14"/>
          <w:szCs w:val="14"/>
          <w:color w:val="auto"/>
        </w:rPr>
        <w:t xml:space="preserve"> to effect a registration of transfer or exchange may be submitted by facsimile with the original to follow by first class mail.</w:t>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9019"/>
          </w:cols>
          <w:pgMar w:left="1440" w:top="243" w:right="1440" w:bottom="1440" w:gutter="0" w:footer="0" w:header="0"/>
        </w:sectPr>
      </w:pPr>
    </w:p>
    <w:bookmarkStart w:id="201" w:name="page202"/>
    <w:bookmarkEnd w:id="201"/>
    <w:p>
      <w:pPr>
        <w:ind w:left="1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1">
                      <a:extLst>
                        <a:ext uri="{28A0092B-C50C-407E-A947-70E740481C1C}"/>
                      </a:extLst>
                    </a:blip>
                    <a:srcRect/>
                    <a:stretch>
                      <a:fillRect/>
                    </a:stretch>
                  </pic:blipFill>
                  <pic:spPr bwMode="auto">
                    <a:xfrm>
                      <a:off x="0" y="0"/>
                      <a:ext cx="7199630" cy="33020"/>
                    </a:xfrm>
                    <a:prstGeom prst="rect">
                      <a:avLst/>
                    </a:prstGeom>
                    <a:noFill/>
                  </pic:spPr>
                </pic:pic>
              </a:graphicData>
            </a:graphic>
          </wp:anchor>
        </w:drawing>
        <w:t xml:space="preserve">Section 3.06 </w:t>
      </w:r>
      <w:r>
        <w:rPr>
          <w:rFonts w:ascii="Times New Roman" w:cs="Times New Roman" w:eastAsia="Times New Roman" w:hAnsi="Times New Roman"/>
          <w:sz w:val="14"/>
          <w:szCs w:val="14"/>
          <w:u w:val="single" w:color="auto"/>
          <w:color w:val="auto"/>
        </w:rPr>
        <w:t>BOOK ENTRY PROVISIONS FOR GLOBAL SECURITIES</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The following provisions shall govern Global Securities except as set forth in an indenture supplemental hereto:</w:t>
      </w:r>
    </w:p>
    <w:p>
      <w:pPr>
        <w:spacing w:after="0" w:line="97" w:lineRule="exact"/>
        <w:rPr>
          <w:sz w:val="20"/>
          <w:szCs w:val="20"/>
          <w:color w:val="auto"/>
        </w:rPr>
      </w:pPr>
    </w:p>
    <w:p>
      <w:pPr>
        <w:ind w:left="680" w:hanging="203"/>
        <w:spacing w:after="0"/>
        <w:tabs>
          <w:tab w:leader="none" w:pos="680" w:val="left"/>
        </w:tabs>
        <w:numPr>
          <w:ilvl w:val="1"/>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Global Security initially shall (i) be registered in the name of the Depositary for such Global Security or the nominee of such Depositary,</w:t>
      </w:r>
    </w:p>
    <w:p>
      <w:pPr>
        <w:spacing w:after="0" w:line="24" w:lineRule="exact"/>
        <w:rPr>
          <w:rFonts w:ascii="Times New Roman" w:cs="Times New Roman" w:eastAsia="Times New Roman" w:hAnsi="Times New Roman"/>
          <w:sz w:val="14"/>
          <w:szCs w:val="14"/>
          <w:color w:val="auto"/>
        </w:rPr>
      </w:pPr>
    </w:p>
    <w:p>
      <w:pPr>
        <w:ind w:left="120" w:right="179" w:firstLine="7"/>
        <w:spacing w:after="0" w:line="271" w:lineRule="auto"/>
        <w:tabs>
          <w:tab w:leader="none" w:pos="33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be deposited with, or on behalf of, the Depositary or with the Trustee as custodian for such Depositary and (iii) bear legends as set forth in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hereto.</w:t>
      </w:r>
    </w:p>
    <w:p>
      <w:pPr>
        <w:spacing w:after="0" w:line="138" w:lineRule="exact"/>
        <w:rPr>
          <w:sz w:val="20"/>
          <w:szCs w:val="20"/>
          <w:color w:val="auto"/>
        </w:rPr>
      </w:pPr>
    </w:p>
    <w:p>
      <w:pPr>
        <w:ind w:left="120" w:right="139" w:firstLine="350"/>
        <w:spacing w:after="0" w:line="263" w:lineRule="auto"/>
        <w:rPr>
          <w:sz w:val="20"/>
          <w:szCs w:val="20"/>
          <w:color w:val="auto"/>
        </w:rPr>
      </w:pPr>
      <w:r>
        <w:rPr>
          <w:rFonts w:ascii="Times New Roman" w:cs="Times New Roman" w:eastAsia="Times New Roman" w:hAnsi="Times New Roman"/>
          <w:sz w:val="14"/>
          <w:szCs w:val="14"/>
          <w:color w:val="auto"/>
        </w:rPr>
        <w:t>Members of, or participants in, the Depositary (“</w:t>
      </w:r>
      <w:r>
        <w:rPr>
          <w:rFonts w:ascii="Times New Roman" w:cs="Times New Roman" w:eastAsia="Times New Roman" w:hAnsi="Times New Roman"/>
          <w:sz w:val="14"/>
          <w:szCs w:val="14"/>
          <w:u w:val="single" w:color="auto"/>
          <w:color w:val="auto"/>
        </w:rPr>
        <w:t>Agent Members</w:t>
      </w:r>
      <w:r>
        <w:rPr>
          <w:rFonts w:ascii="Times New Roman" w:cs="Times New Roman" w:eastAsia="Times New Roman" w:hAnsi="Times New Roman"/>
          <w:sz w:val="14"/>
          <w:szCs w:val="14"/>
          <w:color w:val="auto"/>
        </w:rPr>
        <w:t>”) shall have no rights under this Indenture with respect to any Global Security held on their behalf by the Depositary, or the Trustee as its custodian, or under such Global Security, and the Depositary may be treated by the Company, the Trustee and any agent of the Company or the Trustee as the absolute owner of such Global Security for all purposes whatsoever. Notwithstanding the foregoing, nothing herein shall prevent the Company, the Trustee or any agent of the Company or the Trustee from giving effect to any written certification, proxy or other authorization furnished by the Depositary or shall impair, as between the Depositary and its Agent Members, the operation of customary practices governing the exercise of the rights of a Holder of any Security.</w:t>
      </w:r>
    </w:p>
    <w:p>
      <w:pPr>
        <w:spacing w:after="0" w:line="143" w:lineRule="exact"/>
        <w:rPr>
          <w:sz w:val="20"/>
          <w:szCs w:val="20"/>
          <w:color w:val="auto"/>
        </w:rPr>
      </w:pPr>
    </w:p>
    <w:p>
      <w:pPr>
        <w:ind w:left="120" w:right="199" w:firstLine="357"/>
        <w:spacing w:after="0" w:line="261" w:lineRule="auto"/>
        <w:tabs>
          <w:tab w:leader="none" w:pos="672" w:val="left"/>
        </w:tabs>
        <w:numPr>
          <w:ilvl w:val="1"/>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 other provision in this Indenture, no Global Security may be exchanged in whole or in part for Securities registered, and no transfer of a Global Security in whole or in part may be registered, in the name of any Person other than the Depositary for such Global Security or a nominee thereof unless (i) such Depositary (A) has notified the Company that it is unwilling or unable to continue as Depositary for such Global Security or (B) has ceased to be a clearing agency registered as such under the Exchange Act, and in either case the Company fails to appoint a successor Depositary, (ii) the Company, at its option, executes and delivers to the Trustee a Company Order stating that it elects to cause the issuance of the Securities in certificated form and that all Global Securities shall be exchanged in whole for Securities that are not Global Securities (in which case, such exchange shall be effected by the Trustee) or (iii) there shall have occurred and be continuing a Default or Event of Default with respect to the Global Security.</w:t>
      </w:r>
    </w:p>
    <w:p>
      <w:pPr>
        <w:spacing w:after="0" w:line="144" w:lineRule="exact"/>
        <w:rPr>
          <w:rFonts w:ascii="Times New Roman" w:cs="Times New Roman" w:eastAsia="Times New Roman" w:hAnsi="Times New Roman"/>
          <w:sz w:val="14"/>
          <w:szCs w:val="14"/>
          <w:color w:val="auto"/>
        </w:rPr>
      </w:pPr>
    </w:p>
    <w:p>
      <w:pPr>
        <w:ind w:left="120" w:right="159" w:firstLine="357"/>
        <w:spacing w:after="0" w:line="258" w:lineRule="auto"/>
        <w:tabs>
          <w:tab w:leader="none" w:pos="664" w:val="left"/>
        </w:tabs>
        <w:numPr>
          <w:ilvl w:val="1"/>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any Global Security is to be exchanged for other Securities or canceled in whole, it shall be surrendered by or on behalf of the Depositary or its nominee to the Trustee, as Security Registrar, for exchange or cancellation as provided in this </w:t>
      </w:r>
      <w:r>
        <w:rPr>
          <w:rFonts w:ascii="Times New Roman" w:cs="Times New Roman" w:eastAsia="Times New Roman" w:hAnsi="Times New Roman"/>
          <w:sz w:val="14"/>
          <w:szCs w:val="14"/>
          <w:u w:val="single" w:color="auto"/>
          <w:color w:val="auto"/>
        </w:rPr>
        <w:t>Article III</w:t>
      </w:r>
      <w:r>
        <w:rPr>
          <w:rFonts w:ascii="Times New Roman" w:cs="Times New Roman" w:eastAsia="Times New Roman" w:hAnsi="Times New Roman"/>
          <w:sz w:val="14"/>
          <w:szCs w:val="14"/>
          <w:color w:val="auto"/>
        </w:rPr>
        <w:t xml:space="preserve">. If any Global Security is to be exchanged for other Securities or canceled in part, or if another Security is to be exchanged in whole or in part for a beneficial interest in any Global Security, then either (i) such Global Security shall be so surrendered for exchange or cancellation as provided in this </w:t>
      </w:r>
      <w:r>
        <w:rPr>
          <w:rFonts w:ascii="Times New Roman" w:cs="Times New Roman" w:eastAsia="Times New Roman" w:hAnsi="Times New Roman"/>
          <w:sz w:val="14"/>
          <w:szCs w:val="14"/>
          <w:u w:val="single" w:color="auto"/>
          <w:color w:val="auto"/>
        </w:rPr>
        <w:t>Article III</w:t>
      </w:r>
      <w:r>
        <w:rPr>
          <w:rFonts w:ascii="Times New Roman" w:cs="Times New Roman" w:eastAsia="Times New Roman" w:hAnsi="Times New Roman"/>
          <w:sz w:val="14"/>
          <w:szCs w:val="14"/>
          <w:color w:val="auto"/>
        </w:rPr>
        <w:t xml:space="preserve"> or (ii) the principal amount thereof shall be reduced or increased by an amount equal to the portion thereof to be so exchanged or canceled, or equal to the principal amount of such other Security to be so exchanged for a beneficial interest therein, as the case may be, by means of an appropriate adjustment made on the records of the Trustee, as Security Registrar, whereupon the Trustee, in accordance with the Applicable Procedures, shall instruct the Depositary or its authorized representative to make a corresponding adjustment to its records. Upon any such surrender or adjustment of a Global Security, the Trustee shall, subject to this </w:t>
      </w:r>
      <w:r>
        <w:rPr>
          <w:rFonts w:ascii="Times New Roman" w:cs="Times New Roman" w:eastAsia="Times New Roman" w:hAnsi="Times New Roman"/>
          <w:sz w:val="14"/>
          <w:szCs w:val="14"/>
          <w:u w:val="single" w:color="auto"/>
          <w:color w:val="auto"/>
        </w:rPr>
        <w:t>Section 3.06(c)</w:t>
      </w:r>
      <w:r>
        <w:rPr>
          <w:rFonts w:ascii="Times New Roman" w:cs="Times New Roman" w:eastAsia="Times New Roman" w:hAnsi="Times New Roman"/>
          <w:sz w:val="14"/>
          <w:szCs w:val="14"/>
          <w:color w:val="auto"/>
        </w:rPr>
        <w:t xml:space="preserve"> and as otherwise provided in this </w:t>
      </w:r>
      <w:r>
        <w:rPr>
          <w:rFonts w:ascii="Times New Roman" w:cs="Times New Roman" w:eastAsia="Times New Roman" w:hAnsi="Times New Roman"/>
          <w:sz w:val="14"/>
          <w:szCs w:val="14"/>
          <w:u w:val="single" w:color="auto"/>
          <w:color w:val="auto"/>
        </w:rPr>
        <w:t>Article III</w:t>
      </w:r>
      <w:r>
        <w:rPr>
          <w:rFonts w:ascii="Times New Roman" w:cs="Times New Roman" w:eastAsia="Times New Roman" w:hAnsi="Times New Roman"/>
          <w:sz w:val="14"/>
          <w:szCs w:val="14"/>
          <w:color w:val="auto"/>
        </w:rPr>
        <w:t xml:space="preserve">, authenticate and deliver any Securities issuable in exchange for such Global Security (or any portion thereof) to or upon the order of, and registered in such names as may be directed by, the Depositary or its authorized representative. Upon the request of the Trustee in connection with the occurrence of any of the events specified in the preceding </w:t>
      </w:r>
      <w:r>
        <w:rPr>
          <w:rFonts w:ascii="Times New Roman" w:cs="Times New Roman" w:eastAsia="Times New Roman" w:hAnsi="Times New Roman"/>
          <w:sz w:val="14"/>
          <w:szCs w:val="14"/>
          <w:u w:val="single" w:color="auto"/>
          <w:color w:val="auto"/>
        </w:rPr>
        <w:t>Subsection (b)</w:t>
      </w:r>
      <w:r>
        <w:rPr>
          <w:rFonts w:ascii="Times New Roman" w:cs="Times New Roman" w:eastAsia="Times New Roman" w:hAnsi="Times New Roman"/>
          <w:sz w:val="14"/>
          <w:szCs w:val="14"/>
          <w:color w:val="auto"/>
        </w:rPr>
        <w:t xml:space="preserve">, the Company shall promptly make available to the Trustee a reasonable supply of Securities that are not in the form of Global Securities. The Trustee shall be entitled to conclusively rely upon any order, direction or request of the Depositary or its authorized representative which is given or made pursuant to this </w:t>
      </w:r>
      <w:r>
        <w:rPr>
          <w:rFonts w:ascii="Times New Roman" w:cs="Times New Roman" w:eastAsia="Times New Roman" w:hAnsi="Times New Roman"/>
          <w:sz w:val="14"/>
          <w:szCs w:val="14"/>
          <w:u w:val="single" w:color="auto"/>
          <w:color w:val="auto"/>
        </w:rPr>
        <w:t>Article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III</w:t>
      </w:r>
      <w:r>
        <w:rPr>
          <w:rFonts w:ascii="Times New Roman" w:cs="Times New Roman" w:eastAsia="Times New Roman" w:hAnsi="Times New Roman"/>
          <w:sz w:val="14"/>
          <w:szCs w:val="14"/>
          <w:color w:val="auto"/>
        </w:rPr>
        <w:t xml:space="preserve"> if such order, direction or request is given or made in accordance with the Applicable Procedures.</w:t>
      </w:r>
    </w:p>
    <w:p>
      <w:pPr>
        <w:spacing w:after="0" w:line="152" w:lineRule="exact"/>
        <w:rPr>
          <w:rFonts w:ascii="Times New Roman" w:cs="Times New Roman" w:eastAsia="Times New Roman" w:hAnsi="Times New Roman"/>
          <w:sz w:val="14"/>
          <w:szCs w:val="14"/>
          <w:color w:val="auto"/>
        </w:rPr>
      </w:pPr>
    </w:p>
    <w:p>
      <w:pPr>
        <w:ind w:left="120" w:right="199" w:firstLine="357"/>
        <w:spacing w:after="0" w:line="274" w:lineRule="auto"/>
        <w:tabs>
          <w:tab w:leader="none" w:pos="672" w:val="left"/>
        </w:tabs>
        <w:numPr>
          <w:ilvl w:val="1"/>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Every Security authenticated and delivered upon registration of transfer of, or in exchange for or in lieu of, a Global Security or any portion thereof, whether pursuant to this </w:t>
      </w:r>
      <w:r>
        <w:rPr>
          <w:rFonts w:ascii="Times New Roman" w:cs="Times New Roman" w:eastAsia="Times New Roman" w:hAnsi="Times New Roman"/>
          <w:sz w:val="14"/>
          <w:szCs w:val="14"/>
          <w:u w:val="single" w:color="auto"/>
          <w:color w:val="auto"/>
        </w:rPr>
        <w:t>Article III</w:t>
      </w:r>
      <w:r>
        <w:rPr>
          <w:rFonts w:ascii="Times New Roman" w:cs="Times New Roman" w:eastAsia="Times New Roman" w:hAnsi="Times New Roman"/>
          <w:sz w:val="14"/>
          <w:szCs w:val="14"/>
          <w:color w:val="auto"/>
        </w:rPr>
        <w:t xml:space="preserve"> or otherwise, shall be authenticated and delivered in the form of, and shall be, a Global Security, unless such Security is registered in the name of a Person other than the Depositary for such Global Security or a nominee thereof.</w:t>
      </w:r>
    </w:p>
    <w:p>
      <w:pPr>
        <w:spacing w:after="0" w:line="135" w:lineRule="exact"/>
        <w:rPr>
          <w:rFonts w:ascii="Times New Roman" w:cs="Times New Roman" w:eastAsia="Times New Roman" w:hAnsi="Times New Roman"/>
          <w:sz w:val="14"/>
          <w:szCs w:val="14"/>
          <w:color w:val="auto"/>
        </w:rPr>
      </w:pPr>
    </w:p>
    <w:p>
      <w:pPr>
        <w:ind w:left="120" w:right="159" w:firstLine="357"/>
        <w:spacing w:after="0" w:line="268" w:lineRule="auto"/>
        <w:tabs>
          <w:tab w:leader="none" w:pos="664" w:val="left"/>
        </w:tabs>
        <w:numPr>
          <w:ilvl w:val="1"/>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Depositary or its nominee, as registered owner of a Global Security, shall be the Holder of such Global Security for all purposes under this Indenture and the Securities, and owners of beneficial interests in a Global Security shall hold such interests pursuant to the Applicable Procedures. Accordingly, any such owner’s beneficial interest in a Global Security will be shown only on, and the transfer of such interest shall be effected only through, records maintained by the Depositary or its nominee or its Agent Members.</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9019"/>
          </w:cols>
          <w:pgMar w:left="1440" w:top="243" w:right="1440" w:bottom="1440" w:gutter="0" w:footer="0" w:header="0"/>
        </w:sectPr>
      </w:pPr>
    </w:p>
    <w:bookmarkStart w:id="202" w:name="page203"/>
    <w:bookmarkEnd w:id="202"/>
    <w:p>
      <w:pPr>
        <w:ind w:left="120" w:right="159" w:firstLine="350"/>
        <w:spacing w:after="0" w:line="26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2">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The Trustee shall have no obligation or duty to monitor, determine or inquire as to compliance with any restrictions on transfer imposed under this Indenture or under applicable law with respect to any transfer of any interest in any Security (including any transfers between or among Agent Members or beneficial owners of interests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41" w:lineRule="exact"/>
        <w:rPr>
          <w:sz w:val="20"/>
          <w:szCs w:val="20"/>
          <w:color w:val="auto"/>
        </w:rPr>
      </w:pPr>
    </w:p>
    <w:p>
      <w:pPr>
        <w:ind w:left="120" w:right="159" w:firstLine="350"/>
        <w:spacing w:after="0" w:line="268" w:lineRule="auto"/>
        <w:rPr>
          <w:sz w:val="20"/>
          <w:szCs w:val="20"/>
          <w:color w:val="auto"/>
        </w:rPr>
      </w:pPr>
      <w:r>
        <w:rPr>
          <w:rFonts w:ascii="Times New Roman" w:cs="Times New Roman" w:eastAsia="Times New Roman" w:hAnsi="Times New Roman"/>
          <w:sz w:val="14"/>
          <w:szCs w:val="14"/>
          <w:color w:val="auto"/>
        </w:rPr>
        <w:t>None of the Company, the Trustee, any Paying Agent or any Registrar will have any responsibility or liability for any aspect of Depositary records relating to, or payments made on account of, beneficial ownership interests in a Global Security or for maintaining, supervising or reviewing any Depositary records relating to such beneficial ownership interests, or for transfers of beneficial interests in the Securities or any transactions between the Depositary and beneficial owners.</w:t>
      </w:r>
    </w:p>
    <w:p>
      <w:pPr>
        <w:spacing w:after="0" w:line="1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3.07 </w:t>
      </w:r>
      <w:r>
        <w:rPr>
          <w:rFonts w:ascii="Times New Roman" w:cs="Times New Roman" w:eastAsia="Times New Roman" w:hAnsi="Times New Roman"/>
          <w:sz w:val="14"/>
          <w:szCs w:val="14"/>
          <w:u w:val="single" w:color="auto"/>
          <w:color w:val="auto"/>
        </w:rPr>
        <w:t>MUTILATED, DESTROYED, LOST AND STOLEN SECURITIES</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120" w:right="239" w:firstLine="350"/>
        <w:spacing w:after="0" w:line="263" w:lineRule="auto"/>
        <w:rPr>
          <w:sz w:val="20"/>
          <w:szCs w:val="20"/>
          <w:color w:val="auto"/>
        </w:rPr>
      </w:pPr>
      <w:r>
        <w:rPr>
          <w:rFonts w:ascii="Times New Roman" w:cs="Times New Roman" w:eastAsia="Times New Roman" w:hAnsi="Times New Roman"/>
          <w:sz w:val="14"/>
          <w:szCs w:val="14"/>
          <w:color w:val="auto"/>
        </w:rPr>
        <w:t>If (a) any mutilated Security is surrendered to the Trustee, or (b) the Company and the Trustee receive evidence to their satisfaction of the destruction, loss or theft of any Security, and there is delivered to the Company and the Trustee, such security or indemnity, in each case, as may be required by them to save each of them harmless, then, in the absence of notice to the Company or the Trustee that such Security has been acquired by a bona fide purchaser, the Company shall execute and upon a Company Request the Trustee shall authenticate and deliver, in exchange for any such mutilated Security or in lieu of any such destroyed, lost or stolen Security, a replacement Security of like tenor and principal amount, bearing a number not contemporaneously outstanding.</w:t>
      </w:r>
    </w:p>
    <w:p>
      <w:pPr>
        <w:spacing w:after="0" w:line="143" w:lineRule="exact"/>
        <w:rPr>
          <w:sz w:val="20"/>
          <w:szCs w:val="20"/>
          <w:color w:val="auto"/>
        </w:rPr>
      </w:pPr>
    </w:p>
    <w:p>
      <w:pPr>
        <w:ind w:left="120" w:right="379" w:firstLine="350"/>
        <w:spacing w:after="0" w:line="292" w:lineRule="auto"/>
        <w:rPr>
          <w:sz w:val="20"/>
          <w:szCs w:val="20"/>
          <w:color w:val="auto"/>
        </w:rPr>
      </w:pPr>
      <w:r>
        <w:rPr>
          <w:rFonts w:ascii="Times New Roman" w:cs="Times New Roman" w:eastAsia="Times New Roman" w:hAnsi="Times New Roman"/>
          <w:sz w:val="14"/>
          <w:szCs w:val="14"/>
          <w:color w:val="auto"/>
        </w:rPr>
        <w:t>In case any such mutilated, destroyed, lost or stolen Security has become or is about to become due and payable, the Company in its discretion may, instead of issuing a replacement Security, pay such Security.</w:t>
      </w:r>
    </w:p>
    <w:p>
      <w:pPr>
        <w:spacing w:after="0" w:line="123" w:lineRule="exact"/>
        <w:rPr>
          <w:sz w:val="20"/>
          <w:szCs w:val="20"/>
          <w:color w:val="auto"/>
        </w:rPr>
      </w:pPr>
    </w:p>
    <w:p>
      <w:pPr>
        <w:jc w:val="both"/>
        <w:ind w:left="120" w:right="439" w:firstLine="350"/>
        <w:spacing w:after="0" w:line="274" w:lineRule="auto"/>
        <w:rPr>
          <w:sz w:val="20"/>
          <w:szCs w:val="20"/>
          <w:color w:val="auto"/>
        </w:rPr>
      </w:pPr>
      <w:r>
        <w:rPr>
          <w:rFonts w:ascii="Times New Roman" w:cs="Times New Roman" w:eastAsia="Times New Roman" w:hAnsi="Times New Roman"/>
          <w:sz w:val="14"/>
          <w:szCs w:val="14"/>
          <w:color w:val="auto"/>
        </w:rPr>
        <w:t xml:space="preserve">Upon the issuance of any replacement Securities under this </w:t>
      </w:r>
      <w:r>
        <w:rPr>
          <w:rFonts w:ascii="Times New Roman" w:cs="Times New Roman" w:eastAsia="Times New Roman" w:hAnsi="Times New Roman"/>
          <w:sz w:val="14"/>
          <w:szCs w:val="14"/>
          <w:u w:val="single" w:color="auto"/>
          <w:color w:val="auto"/>
        </w:rPr>
        <w:t>Section 3.07</w:t>
      </w:r>
      <w:r>
        <w:rPr>
          <w:rFonts w:ascii="Times New Roman" w:cs="Times New Roman" w:eastAsia="Times New Roman" w:hAnsi="Times New Roman"/>
          <w:sz w:val="14"/>
          <w:szCs w:val="14"/>
          <w:color w:val="auto"/>
        </w:rPr>
        <w:t>, the Company may require the payment of a sum sufficient to pay all documentary, stamp or similar issue or transfer taxes or other governmental charges that may be imposed in relation thereto and any other expenses (including the fees and expenses of the Trustee, its agents and its counsel) connected therewith.</w:t>
      </w:r>
    </w:p>
    <w:p>
      <w:pPr>
        <w:spacing w:after="0" w:line="135" w:lineRule="exact"/>
        <w:rPr>
          <w:sz w:val="20"/>
          <w:szCs w:val="20"/>
          <w:color w:val="auto"/>
        </w:rPr>
      </w:pPr>
    </w:p>
    <w:p>
      <w:pPr>
        <w:ind w:left="120" w:right="299" w:firstLine="350"/>
        <w:spacing w:after="0" w:line="274" w:lineRule="auto"/>
        <w:rPr>
          <w:sz w:val="20"/>
          <w:szCs w:val="20"/>
          <w:color w:val="auto"/>
        </w:rPr>
      </w:pPr>
      <w:r>
        <w:rPr>
          <w:rFonts w:ascii="Times New Roman" w:cs="Times New Roman" w:eastAsia="Times New Roman" w:hAnsi="Times New Roman"/>
          <w:sz w:val="14"/>
          <w:szCs w:val="14"/>
          <w:color w:val="auto"/>
        </w:rPr>
        <w:t xml:space="preserve">Every replacement Security issued pursuant to this </w:t>
      </w:r>
      <w:r>
        <w:rPr>
          <w:rFonts w:ascii="Times New Roman" w:cs="Times New Roman" w:eastAsia="Times New Roman" w:hAnsi="Times New Roman"/>
          <w:sz w:val="14"/>
          <w:szCs w:val="14"/>
          <w:u w:val="single" w:color="auto"/>
          <w:color w:val="auto"/>
        </w:rPr>
        <w:t>Section 3.07</w:t>
      </w:r>
      <w:r>
        <w:rPr>
          <w:rFonts w:ascii="Times New Roman" w:cs="Times New Roman" w:eastAsia="Times New Roman" w:hAnsi="Times New Roman"/>
          <w:sz w:val="14"/>
          <w:szCs w:val="14"/>
          <w:color w:val="auto"/>
        </w:rPr>
        <w:t xml:space="preserve"> in lieu of any destroyed, lost or stolen Security shall constitute an original additional contractual obligation of the Company, whether or not the destroyed, lost or stolen Security shall be at any time enforceable by anyone, and shall be entitled to all benefits of this Indenture equally and proportionately with any and all other Securities duly issued hereunder.</w:t>
      </w:r>
    </w:p>
    <w:p>
      <w:pPr>
        <w:spacing w:after="0" w:line="135" w:lineRule="exact"/>
        <w:rPr>
          <w:sz w:val="20"/>
          <w:szCs w:val="20"/>
          <w:color w:val="auto"/>
        </w:rPr>
      </w:pPr>
    </w:p>
    <w:p>
      <w:pPr>
        <w:ind w:left="120" w:right="679" w:firstLine="350"/>
        <w:spacing w:after="0" w:line="292" w:lineRule="auto"/>
        <w:rPr>
          <w:sz w:val="20"/>
          <w:szCs w:val="20"/>
          <w:color w:val="auto"/>
        </w:rPr>
      </w:pPr>
      <w:r>
        <w:rPr>
          <w:rFonts w:ascii="Times New Roman" w:cs="Times New Roman" w:eastAsia="Times New Roman" w:hAnsi="Times New Roman"/>
          <w:sz w:val="14"/>
          <w:szCs w:val="14"/>
          <w:color w:val="auto"/>
        </w:rPr>
        <w:t xml:space="preserve">The provisions of this </w:t>
      </w:r>
      <w:r>
        <w:rPr>
          <w:rFonts w:ascii="Times New Roman" w:cs="Times New Roman" w:eastAsia="Times New Roman" w:hAnsi="Times New Roman"/>
          <w:sz w:val="14"/>
          <w:szCs w:val="14"/>
          <w:u w:val="single" w:color="auto"/>
          <w:color w:val="auto"/>
        </w:rPr>
        <w:t>Section 3.07</w:t>
      </w:r>
      <w:r>
        <w:rPr>
          <w:rFonts w:ascii="Times New Roman" w:cs="Times New Roman" w:eastAsia="Times New Roman" w:hAnsi="Times New Roman"/>
          <w:sz w:val="14"/>
          <w:szCs w:val="14"/>
          <w:color w:val="auto"/>
        </w:rPr>
        <w:t xml:space="preserve"> are exclusive and shall preclude (to the extent lawful) all other rights and remedies with respect to the replacement or payment of mutilated, destroyed, lost or stolen Securities.</w:t>
      </w:r>
    </w:p>
    <w:p>
      <w:pPr>
        <w:spacing w:after="0" w:line="1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3.08 </w:t>
      </w:r>
      <w:r>
        <w:rPr>
          <w:rFonts w:ascii="Times New Roman" w:cs="Times New Roman" w:eastAsia="Times New Roman" w:hAnsi="Times New Roman"/>
          <w:sz w:val="14"/>
          <w:szCs w:val="14"/>
          <w:u w:val="single" w:color="auto"/>
          <w:color w:val="auto"/>
        </w:rPr>
        <w:t>PAYMENT OF INTEREST; INTEREST RIGHTS PRESERVED</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jc w:val="both"/>
        <w:ind w:left="120" w:right="459" w:firstLine="350"/>
        <w:spacing w:after="0" w:line="274" w:lineRule="auto"/>
        <w:rPr>
          <w:sz w:val="20"/>
          <w:szCs w:val="20"/>
          <w:color w:val="auto"/>
        </w:rPr>
      </w:pPr>
      <w:r>
        <w:rPr>
          <w:rFonts w:ascii="Times New Roman" w:cs="Times New Roman" w:eastAsia="Times New Roman" w:hAnsi="Times New Roman"/>
          <w:sz w:val="14"/>
          <w:szCs w:val="14"/>
          <w:color w:val="auto"/>
        </w:rPr>
        <w:t xml:space="preserve">Except as otherwise specified with respect to a series of Securities in accordance with the provisions of </w:t>
      </w:r>
      <w:r>
        <w:rPr>
          <w:rFonts w:ascii="Times New Roman" w:cs="Times New Roman" w:eastAsia="Times New Roman" w:hAnsi="Times New Roman"/>
          <w:sz w:val="14"/>
          <w:szCs w:val="14"/>
          <w:u w:val="single" w:color="auto"/>
          <w:color w:val="auto"/>
        </w:rPr>
        <w:t>Section 3.01</w:t>
      </w:r>
      <w:r>
        <w:rPr>
          <w:rFonts w:ascii="Times New Roman" w:cs="Times New Roman" w:eastAsia="Times New Roman" w:hAnsi="Times New Roman"/>
          <w:sz w:val="14"/>
          <w:szCs w:val="14"/>
          <w:color w:val="auto"/>
        </w:rPr>
        <w:t>, interest on any Security which is payable, and is punctually paid or duly provided for, on the Stated Maturity of such interest shall be paid to the Person in whose name the Security (or any Predecessor Securities) is registered at the close of business on the Regular Record Date for such interest payment.</w:t>
      </w:r>
    </w:p>
    <w:p>
      <w:pPr>
        <w:spacing w:after="0" w:line="13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 xml:space="preserve">Except as otherwise specified with respect to a series of Securities in accordance with the provisions of </w:t>
      </w:r>
      <w:r>
        <w:rPr>
          <w:rFonts w:ascii="Times New Roman" w:cs="Times New Roman" w:eastAsia="Times New Roman" w:hAnsi="Times New Roman"/>
          <w:sz w:val="14"/>
          <w:szCs w:val="14"/>
          <w:u w:val="single" w:color="auto"/>
          <w:color w:val="auto"/>
        </w:rPr>
        <w:t>Section 3.01</w:t>
      </w:r>
      <w:r>
        <w:rPr>
          <w:rFonts w:ascii="Times New Roman" w:cs="Times New Roman" w:eastAsia="Times New Roman" w:hAnsi="Times New Roman"/>
          <w:sz w:val="14"/>
          <w:szCs w:val="14"/>
          <w:color w:val="auto"/>
        </w:rPr>
        <w:t>, any interest on any Security</w:t>
      </w:r>
    </w:p>
    <w:p>
      <w:pPr>
        <w:spacing w:after="0" w:line="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which is payable, but is not punctually paid or duly provided for, on the Stated Maturity of such interest, and interest on such defaulted interest at the</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then applicable interest rate borne by the Securities, to the extent lawful (such defaulted interest and interest thereon herein collectively called</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Defaulted Interest</w:t>
      </w:r>
      <w:r>
        <w:rPr>
          <w:rFonts w:ascii="Times New Roman" w:cs="Times New Roman" w:eastAsia="Times New Roman" w:hAnsi="Times New Roman"/>
          <w:sz w:val="14"/>
          <w:szCs w:val="14"/>
          <w:color w:val="auto"/>
        </w:rPr>
        <w:t>”), shall forthwith cease to be payable to the Holder on the Regular Record Date; and such Defaulted Interest may be paid by the</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Company, at its election in each case, as provided in </w:t>
      </w:r>
      <w:r>
        <w:rPr>
          <w:rFonts w:ascii="Times New Roman" w:cs="Times New Roman" w:eastAsia="Times New Roman" w:hAnsi="Times New Roman"/>
          <w:sz w:val="14"/>
          <w:szCs w:val="14"/>
          <w:u w:val="single" w:color="auto"/>
          <w:color w:val="auto"/>
        </w:rPr>
        <w:t>Subsection (a)</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(b)</w:t>
      </w:r>
      <w:r>
        <w:rPr>
          <w:rFonts w:ascii="Times New Roman" w:cs="Times New Roman" w:eastAsia="Times New Roman" w:hAnsi="Times New Roman"/>
          <w:sz w:val="14"/>
          <w:szCs w:val="14"/>
          <w:color w:val="auto"/>
        </w:rPr>
        <w:t xml:space="preserve"> below:</w:t>
      </w:r>
    </w:p>
    <w:p>
      <w:pPr>
        <w:spacing w:after="0" w:line="83" w:lineRule="exact"/>
        <w:rPr>
          <w:sz w:val="20"/>
          <w:szCs w:val="20"/>
          <w:color w:val="auto"/>
        </w:rPr>
      </w:pPr>
    </w:p>
    <w:p>
      <w:pPr>
        <w:ind w:left="120" w:right="199" w:firstLine="357"/>
        <w:spacing w:after="0" w:line="268" w:lineRule="auto"/>
        <w:tabs>
          <w:tab w:leader="none" w:pos="664"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may elect to make payment of any Defaulted Interest to the Persons in whose names the Securities (or any relevant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Security and the date (not less than 30 days after such notice) of the proposed payment (the “</w:t>
      </w:r>
      <w:r>
        <w:rPr>
          <w:rFonts w:ascii="Times New Roman" w:cs="Times New Roman" w:eastAsia="Times New Roman" w:hAnsi="Times New Roman"/>
          <w:sz w:val="14"/>
          <w:szCs w:val="14"/>
          <w:u w:val="single" w:color="auto"/>
          <w:color w:val="auto"/>
        </w:rPr>
        <w:t>Special Payment Date</w:t>
      </w:r>
      <w:r>
        <w:rPr>
          <w:rFonts w:ascii="Times New Roman" w:cs="Times New Roman" w:eastAsia="Times New Roman" w:hAnsi="Times New Roman"/>
          <w:sz w:val="14"/>
          <w:szCs w:val="14"/>
          <w:color w:val="auto"/>
        </w:rPr>
        <w:t>”), and at the same time the</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9019"/>
          </w:cols>
          <w:pgMar w:left="1440" w:top="243" w:right="1440" w:bottom="1440" w:gutter="0" w:footer="0" w:header="0"/>
        </w:sectPr>
      </w:pPr>
    </w:p>
    <w:bookmarkStart w:id="203" w:name="page204"/>
    <w:bookmarkEnd w:id="203"/>
    <w:p>
      <w:pPr>
        <w:ind w:left="120" w:right="179"/>
        <w:spacing w:after="0" w:line="25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3">
                      <a:extLst>
                        <a:ext uri="{28A0092B-C50C-407E-A947-70E740481C1C}"/>
                      </a:extLst>
                    </a:blip>
                    <a:srcRect/>
                    <a:stretch>
                      <a:fillRect/>
                    </a:stretch>
                  </pic:blipFill>
                  <pic:spPr bwMode="auto">
                    <a:xfrm>
                      <a:off x="0" y="0"/>
                      <a:ext cx="7199630" cy="33020"/>
                    </a:xfrm>
                    <a:prstGeom prst="rect">
                      <a:avLst/>
                    </a:prstGeom>
                    <a:noFill/>
                  </pic:spPr>
                </pic:pic>
              </a:graphicData>
            </a:graphic>
          </wp:anchor>
        </w:drawing>
        <w:t xml:space="preserve">Company shall deposit with the Trustee an amount of money equal to the aggregate amount proposed to be paid in respect of such Defaulted Interest or shall make arrangements satisfactory to the Trustee for such deposit prior to the Special Payment Date, such money when deposited to be held in trust for the benefit of the Persons entitled to such Defaulted Interest as in this </w:t>
      </w:r>
      <w:r>
        <w:rPr>
          <w:rFonts w:ascii="Times New Roman" w:cs="Times New Roman" w:eastAsia="Times New Roman" w:hAnsi="Times New Roman"/>
          <w:sz w:val="14"/>
          <w:szCs w:val="14"/>
          <w:u w:val="single" w:color="auto"/>
          <w:color w:val="auto"/>
        </w:rPr>
        <w:t>Subsection (a)</w:t>
      </w:r>
      <w:r>
        <w:rPr>
          <w:rFonts w:ascii="Times New Roman" w:cs="Times New Roman" w:eastAsia="Times New Roman" w:hAnsi="Times New Roman"/>
          <w:sz w:val="14"/>
          <w:szCs w:val="14"/>
          <w:color w:val="auto"/>
        </w:rPr>
        <w:t xml:space="preserve"> provided. Thereupon, the Trustee shall fix a Special Record Date for the payment of such Defaulted Interest which shall be not more than 15 days and not less than 10 days prior to the date of the Special Payment Date and shall fix the Special Record Date not less than 10 days after the receipt by the Trustee of the notice of the proposed payment. The Trustee shall promptly notify the Company in writing of such Special Record Date. In the name and at the expense of the Company, the Trustee shall cause notice of the proposed payment of such Defaulted Interest and the Special Record Date therefor to be mailed, first-class postage prepaid, to each Holder at its address as it appears in the Security Register, not less than fifteen (15) days prior to such Special Record Date. Notice of the proposed payment of such Defaulted Interest and the Special Record Date and Special Payment Date therefor having been so mailed, such Defaulted Interest shall be paid to the Persons in whose names the Securities are registered on such Special Record Date and shall no longer be payable pursuant to the following </w:t>
      </w:r>
      <w:r>
        <w:rPr>
          <w:rFonts w:ascii="Times New Roman" w:cs="Times New Roman" w:eastAsia="Times New Roman" w:hAnsi="Times New Roman"/>
          <w:sz w:val="14"/>
          <w:szCs w:val="14"/>
          <w:u w:val="single" w:color="auto"/>
          <w:color w:val="auto"/>
        </w:rPr>
        <w:t>Subsection (b)</w:t>
      </w:r>
      <w:r>
        <w:rPr>
          <w:rFonts w:ascii="Times New Roman" w:cs="Times New Roman" w:eastAsia="Times New Roman" w:hAnsi="Times New Roman"/>
          <w:sz w:val="14"/>
          <w:szCs w:val="14"/>
          <w:color w:val="auto"/>
        </w:rPr>
        <w:t>.</w:t>
      </w:r>
    </w:p>
    <w:p>
      <w:pPr>
        <w:spacing w:after="0" w:line="323" w:lineRule="exact"/>
        <w:rPr>
          <w:sz w:val="20"/>
          <w:szCs w:val="20"/>
          <w:color w:val="auto"/>
        </w:rPr>
      </w:pPr>
    </w:p>
    <w:p>
      <w:pPr>
        <w:ind w:left="120" w:right="379" w:firstLine="357"/>
        <w:spacing w:after="0" w:line="268" w:lineRule="auto"/>
        <w:tabs>
          <w:tab w:leader="none" w:pos="672"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Company may make payment of any Defaulted Interest in any other lawful manner not inconsistent with the requirements of any securities exchange on which the Securities may be listed, and upon such notice as may be required by this Indenture not inconsistent with the requirements of such exchange, if, after written notice given by the Company to the Trustee of the proposed payment pursuant to this </w:t>
      </w:r>
      <w:r>
        <w:rPr>
          <w:rFonts w:ascii="Times New Roman" w:cs="Times New Roman" w:eastAsia="Times New Roman" w:hAnsi="Times New Roman"/>
          <w:sz w:val="14"/>
          <w:szCs w:val="14"/>
          <w:u w:val="single" w:color="auto"/>
          <w:color w:val="auto"/>
        </w:rPr>
        <w:t>Subsection (b)</w:t>
      </w:r>
      <w:r>
        <w:rPr>
          <w:rFonts w:ascii="Times New Roman" w:cs="Times New Roman" w:eastAsia="Times New Roman" w:hAnsi="Times New Roman"/>
          <w:sz w:val="14"/>
          <w:szCs w:val="14"/>
          <w:color w:val="auto"/>
        </w:rPr>
        <w:t>, such payment shall be deemed practicable by the Trustee.</w:t>
      </w:r>
    </w:p>
    <w:p>
      <w:pPr>
        <w:spacing w:after="0" w:line="139" w:lineRule="exact"/>
        <w:rPr>
          <w:rFonts w:ascii="Times New Roman" w:cs="Times New Roman" w:eastAsia="Times New Roman" w:hAnsi="Times New Roman"/>
          <w:sz w:val="14"/>
          <w:szCs w:val="14"/>
          <w:color w:val="auto"/>
        </w:rPr>
      </w:pPr>
    </w:p>
    <w:p>
      <w:pPr>
        <w:ind w:left="120" w:right="259" w:firstLine="357"/>
        <w:spacing w:after="0" w:line="292" w:lineRule="auto"/>
        <w:tabs>
          <w:tab w:leader="none" w:pos="664"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Notwithstanding the foregoing, any interest which is paid prior to the expiration of the 30-day period set forth in </w:t>
      </w:r>
      <w:r>
        <w:rPr>
          <w:rFonts w:ascii="Times New Roman" w:cs="Times New Roman" w:eastAsia="Times New Roman" w:hAnsi="Times New Roman"/>
          <w:sz w:val="14"/>
          <w:szCs w:val="14"/>
          <w:u w:val="single" w:color="auto"/>
          <w:color w:val="auto"/>
        </w:rPr>
        <w:t>Section 5.01(a)</w:t>
      </w:r>
      <w:r>
        <w:rPr>
          <w:rFonts w:ascii="Times New Roman" w:cs="Times New Roman" w:eastAsia="Times New Roman" w:hAnsi="Times New Roman"/>
          <w:sz w:val="14"/>
          <w:szCs w:val="14"/>
          <w:color w:val="auto"/>
        </w:rPr>
        <w:t xml:space="preserve"> shall be paid to Holders as of the record date for the Interest Payment Date for which interest has not been paid.</w:t>
      </w:r>
    </w:p>
    <w:p>
      <w:pPr>
        <w:spacing w:after="0" w:line="123" w:lineRule="exact"/>
        <w:rPr>
          <w:sz w:val="20"/>
          <w:szCs w:val="20"/>
          <w:color w:val="auto"/>
        </w:rPr>
      </w:pPr>
    </w:p>
    <w:p>
      <w:pPr>
        <w:ind w:left="120" w:right="599" w:firstLine="350"/>
        <w:spacing w:after="0" w:line="274" w:lineRule="auto"/>
        <w:rPr>
          <w:sz w:val="20"/>
          <w:szCs w:val="20"/>
          <w:color w:val="auto"/>
        </w:rPr>
      </w:pPr>
      <w:r>
        <w:rPr>
          <w:rFonts w:ascii="Times New Roman" w:cs="Times New Roman" w:eastAsia="Times New Roman" w:hAnsi="Times New Roman"/>
          <w:sz w:val="14"/>
          <w:szCs w:val="14"/>
          <w:color w:val="auto"/>
        </w:rPr>
        <w:t xml:space="preserve">Subject to the foregoing provisions of this </w:t>
      </w:r>
      <w:r>
        <w:rPr>
          <w:rFonts w:ascii="Times New Roman" w:cs="Times New Roman" w:eastAsia="Times New Roman" w:hAnsi="Times New Roman"/>
          <w:sz w:val="14"/>
          <w:szCs w:val="14"/>
          <w:u w:val="single" w:color="auto"/>
          <w:color w:val="auto"/>
        </w:rPr>
        <w:t>Section 3.08</w:t>
      </w:r>
      <w:r>
        <w:rPr>
          <w:rFonts w:ascii="Times New Roman" w:cs="Times New Roman" w:eastAsia="Times New Roman" w:hAnsi="Times New Roman"/>
          <w:sz w:val="14"/>
          <w:szCs w:val="14"/>
          <w:color w:val="auto"/>
        </w:rPr>
        <w:t>, each Security delivered under this Indenture upon registration of transfer of or in exchange for or in lieu of any other Security shall carry the rights to interest accrued and unpaid, and to accrue, which were carried by such other Security.</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3.09 </w:t>
      </w:r>
      <w:r>
        <w:rPr>
          <w:rFonts w:ascii="Times New Roman" w:cs="Times New Roman" w:eastAsia="Times New Roman" w:hAnsi="Times New Roman"/>
          <w:sz w:val="14"/>
          <w:szCs w:val="14"/>
          <w:u w:val="single" w:color="auto"/>
          <w:color w:val="auto"/>
        </w:rPr>
        <w:t>CUSIP NUMBERS</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120" w:right="239" w:firstLine="350"/>
        <w:spacing w:after="0" w:line="263" w:lineRule="auto"/>
        <w:rPr>
          <w:sz w:val="20"/>
          <w:szCs w:val="20"/>
          <w:color w:val="auto"/>
        </w:rPr>
      </w:pPr>
      <w:r>
        <w:rPr>
          <w:rFonts w:ascii="Times New Roman" w:cs="Times New Roman" w:eastAsia="Times New Roman" w:hAnsi="Times New Roman"/>
          <w:sz w:val="14"/>
          <w:szCs w:val="14"/>
          <w:color w:val="auto"/>
        </w:rPr>
        <w:t>The Company in issuing the Securities may use “CUSIP” numbers (if then generally in use), and the Company, or the Trustee on behalf of the Company, shall use CUSIP numbers in notices of redemption or exchange as a convenience to Holders; provided, however, that any such notice shall state that no representation is made as to the correctness of such numbers either as printed on the Securities or as contained in any notice of redemption or exchange and that reliance may be placed only on the other identification numbers printed on the Securities; and provided further, however, that failure to use CUSIP numbers in any notice of redemption or exchange shall not affect the validity or sufficiency of such notice. The Company will promptly notify the Trustee in writing of any change in the “CUSIP” numbers.</w:t>
      </w:r>
    </w:p>
    <w:p>
      <w:pPr>
        <w:spacing w:after="0" w:line="1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3.10 </w:t>
      </w:r>
      <w:r>
        <w:rPr>
          <w:rFonts w:ascii="Times New Roman" w:cs="Times New Roman" w:eastAsia="Times New Roman" w:hAnsi="Times New Roman"/>
          <w:sz w:val="14"/>
          <w:szCs w:val="14"/>
          <w:u w:val="single" w:color="auto"/>
          <w:color w:val="auto"/>
        </w:rPr>
        <w:t>PERSONS DEEMED OWNERS</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120" w:right="159" w:firstLine="350"/>
        <w:spacing w:after="0" w:line="268" w:lineRule="auto"/>
        <w:rPr>
          <w:sz w:val="20"/>
          <w:szCs w:val="20"/>
          <w:color w:val="auto"/>
        </w:rPr>
      </w:pPr>
      <w:r>
        <w:rPr>
          <w:rFonts w:ascii="Times New Roman" w:cs="Times New Roman" w:eastAsia="Times New Roman" w:hAnsi="Times New Roman"/>
          <w:sz w:val="14"/>
          <w:szCs w:val="14"/>
          <w:color w:val="auto"/>
        </w:rPr>
        <w:t xml:space="preserve">Prior to and at the time of due presentment of a Security for registration of transfer, the Company, the Trustee and any agent of the Company or the Trustee may treat the Person in whose name any Security is registered as the owner of such Security for the purpose of receiving payment of principal of, premium, if any, and (subject to </w:t>
      </w:r>
      <w:r>
        <w:rPr>
          <w:rFonts w:ascii="Times New Roman" w:cs="Times New Roman" w:eastAsia="Times New Roman" w:hAnsi="Times New Roman"/>
          <w:sz w:val="14"/>
          <w:szCs w:val="14"/>
          <w:u w:val="single" w:color="auto"/>
          <w:color w:val="auto"/>
        </w:rPr>
        <w:t>Section 3.08</w:t>
      </w:r>
      <w:r>
        <w:rPr>
          <w:rFonts w:ascii="Times New Roman" w:cs="Times New Roman" w:eastAsia="Times New Roman" w:hAnsi="Times New Roman"/>
          <w:sz w:val="14"/>
          <w:szCs w:val="14"/>
          <w:color w:val="auto"/>
        </w:rPr>
        <w:t>) interest on, such Security and for all other purposes whatsoever, whether or not such Security is overdue, and neither the Company, the Trustee nor any agent of the Company or the Trustee shall be affected by notice to the contrary.</w:t>
      </w:r>
    </w:p>
    <w:p>
      <w:pPr>
        <w:spacing w:after="0" w:line="1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3.11 </w:t>
      </w:r>
      <w:r>
        <w:rPr>
          <w:rFonts w:ascii="Times New Roman" w:cs="Times New Roman" w:eastAsia="Times New Roman" w:hAnsi="Times New Roman"/>
          <w:sz w:val="14"/>
          <w:szCs w:val="14"/>
          <w:u w:val="single" w:color="auto"/>
          <w:color w:val="auto"/>
        </w:rPr>
        <w:t>CANCELLATION</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120" w:right="239" w:firstLine="350"/>
        <w:spacing w:after="0" w:line="261" w:lineRule="auto"/>
        <w:rPr>
          <w:sz w:val="20"/>
          <w:szCs w:val="20"/>
          <w:color w:val="auto"/>
        </w:rPr>
      </w:pPr>
      <w:r>
        <w:rPr>
          <w:rFonts w:ascii="Times New Roman" w:cs="Times New Roman" w:eastAsia="Times New Roman" w:hAnsi="Times New Roman"/>
          <w:sz w:val="14"/>
          <w:szCs w:val="14"/>
          <w:color w:val="auto"/>
        </w:rPr>
        <w:t xml:space="preserve">All Securities surrendered for payment, purchase, redemption, registration of transfer or exchange shall be delivered to the Trustee and, if not already canceled, shall be promptly canceled by it. The Company may at any time deliver to the Trustee for cancellation any Securities previously authenticated and delivered hereunder which the Company may have acquired in any manner whatsoever, and all Securities so delivered shall be promptly canceled by the Trustee. No Securities shall be authenticated in lieu of or in exchange for any Securities canceled as provided in this </w:t>
      </w:r>
      <w:r>
        <w:rPr>
          <w:rFonts w:ascii="Times New Roman" w:cs="Times New Roman" w:eastAsia="Times New Roman" w:hAnsi="Times New Roman"/>
          <w:sz w:val="14"/>
          <w:szCs w:val="14"/>
          <w:u w:val="single" w:color="auto"/>
          <w:color w:val="auto"/>
        </w:rPr>
        <w:t>Section 3.11</w:t>
      </w:r>
      <w:r>
        <w:rPr>
          <w:rFonts w:ascii="Times New Roman" w:cs="Times New Roman" w:eastAsia="Times New Roman" w:hAnsi="Times New Roman"/>
          <w:sz w:val="14"/>
          <w:szCs w:val="14"/>
          <w:color w:val="auto"/>
        </w:rPr>
        <w:t>, except as expressly permitted by this Indenture. All canceled Securities held by the Trustee shall be disposed of in accordance with the Trustee’s standard procedures, unless by a Company Order received by the Trustee prior to such disposition, the Company shall direct that the canceled Securities be returned to it. The Trustee shall provide the Company a list of all Securities that have been canceled from time to time as requested in writing by the Company.</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9019"/>
          </w:cols>
          <w:pgMar w:left="1440" w:top="243" w:right="1440" w:bottom="1440" w:gutter="0" w:footer="0" w:header="0"/>
        </w:sectPr>
      </w:pPr>
    </w:p>
    <w:bookmarkStart w:id="204" w:name="page205"/>
    <w:bookmarkEnd w:id="204"/>
    <w:p>
      <w:pPr>
        <w:ind w:left="1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4">
                      <a:extLst>
                        <a:ext uri="{28A0092B-C50C-407E-A947-70E740481C1C}"/>
                      </a:extLst>
                    </a:blip>
                    <a:srcRect/>
                    <a:stretch>
                      <a:fillRect/>
                    </a:stretch>
                  </pic:blipFill>
                  <pic:spPr bwMode="auto">
                    <a:xfrm>
                      <a:off x="0" y="0"/>
                      <a:ext cx="7199630" cy="33020"/>
                    </a:xfrm>
                    <a:prstGeom prst="rect">
                      <a:avLst/>
                    </a:prstGeom>
                    <a:noFill/>
                  </pic:spPr>
                </pic:pic>
              </a:graphicData>
            </a:graphic>
          </wp:anchor>
        </w:drawing>
        <w:t xml:space="preserve">Section 3.12 </w:t>
      </w:r>
      <w:r>
        <w:rPr>
          <w:rFonts w:ascii="Times New Roman" w:cs="Times New Roman" w:eastAsia="Times New Roman" w:hAnsi="Times New Roman"/>
          <w:sz w:val="14"/>
          <w:szCs w:val="14"/>
          <w:u w:val="single" w:color="auto"/>
          <w:color w:val="auto"/>
        </w:rPr>
        <w:t>COMPUTATION OF INTEREST</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120" w:right="419" w:firstLine="350"/>
        <w:spacing w:after="0" w:line="292" w:lineRule="auto"/>
        <w:rPr>
          <w:sz w:val="20"/>
          <w:szCs w:val="20"/>
          <w:color w:val="auto"/>
        </w:rPr>
      </w:pPr>
      <w:r>
        <w:rPr>
          <w:rFonts w:ascii="Times New Roman" w:cs="Times New Roman" w:eastAsia="Times New Roman" w:hAnsi="Times New Roman"/>
          <w:sz w:val="14"/>
          <w:szCs w:val="14"/>
          <w:color w:val="auto"/>
        </w:rPr>
        <w:t xml:space="preserve">Except as otherwise specified as contemplated by </w:t>
      </w:r>
      <w:r>
        <w:rPr>
          <w:rFonts w:ascii="Times New Roman" w:cs="Times New Roman" w:eastAsia="Times New Roman" w:hAnsi="Times New Roman"/>
          <w:sz w:val="14"/>
          <w:szCs w:val="14"/>
          <w:u w:val="single" w:color="auto"/>
          <w:color w:val="auto"/>
        </w:rPr>
        <w:t>Section 3.01</w:t>
      </w:r>
      <w:r>
        <w:rPr>
          <w:rFonts w:ascii="Times New Roman" w:cs="Times New Roman" w:eastAsia="Times New Roman" w:hAnsi="Times New Roman"/>
          <w:sz w:val="14"/>
          <w:szCs w:val="14"/>
          <w:color w:val="auto"/>
        </w:rPr>
        <w:t xml:space="preserve"> with respect to Securities of any series, interest on the Securities of each series shall be computed on the basis of a 360-day year comprised of twelve 30-day months.</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IV</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DEFEASANCE AND COVENANT DEFEASANCE</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4.01 </w:t>
      </w:r>
      <w:r>
        <w:rPr>
          <w:rFonts w:ascii="Times New Roman" w:cs="Times New Roman" w:eastAsia="Times New Roman" w:hAnsi="Times New Roman"/>
          <w:sz w:val="14"/>
          <w:szCs w:val="14"/>
          <w:u w:val="single" w:color="auto"/>
          <w:color w:val="auto"/>
        </w:rPr>
        <w:t>APPLICABILITY OF ARTICLE; COMPANY’S OPTION TO EFFECT DEFEASANCE OR COVENANT DEFEASANCE</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120" w:right="319" w:firstLine="350"/>
        <w:spacing w:after="0" w:line="263" w:lineRule="auto"/>
        <w:rPr>
          <w:sz w:val="20"/>
          <w:szCs w:val="20"/>
          <w:color w:val="auto"/>
        </w:rPr>
      </w:pPr>
      <w:r>
        <w:rPr>
          <w:rFonts w:ascii="Times New Roman" w:cs="Times New Roman" w:eastAsia="Times New Roman" w:hAnsi="Times New Roman"/>
          <w:sz w:val="14"/>
          <w:szCs w:val="14"/>
          <w:color w:val="auto"/>
        </w:rPr>
        <w:t xml:space="preserve">If pursuant to </w:t>
      </w:r>
      <w:r>
        <w:rPr>
          <w:rFonts w:ascii="Times New Roman" w:cs="Times New Roman" w:eastAsia="Times New Roman" w:hAnsi="Times New Roman"/>
          <w:sz w:val="14"/>
          <w:szCs w:val="14"/>
          <w:u w:val="single" w:color="auto"/>
          <w:color w:val="auto"/>
        </w:rPr>
        <w:t>Section 3.01</w:t>
      </w:r>
      <w:r>
        <w:rPr>
          <w:rFonts w:ascii="Times New Roman" w:cs="Times New Roman" w:eastAsia="Times New Roman" w:hAnsi="Times New Roman"/>
          <w:sz w:val="14"/>
          <w:szCs w:val="14"/>
          <w:color w:val="auto"/>
        </w:rPr>
        <w:t xml:space="preserve"> provision is made for either or both of (a) defeasance of the Securities of a series under </w:t>
      </w:r>
      <w:r>
        <w:rPr>
          <w:rFonts w:ascii="Times New Roman" w:cs="Times New Roman" w:eastAsia="Times New Roman" w:hAnsi="Times New Roman"/>
          <w:sz w:val="14"/>
          <w:szCs w:val="14"/>
          <w:u w:val="single" w:color="auto"/>
          <w:color w:val="auto"/>
        </w:rPr>
        <w:t>Section 4.02</w:t>
      </w:r>
      <w:r>
        <w:rPr>
          <w:rFonts w:ascii="Times New Roman" w:cs="Times New Roman" w:eastAsia="Times New Roman" w:hAnsi="Times New Roman"/>
          <w:sz w:val="14"/>
          <w:szCs w:val="14"/>
          <w:color w:val="auto"/>
        </w:rPr>
        <w:t xml:space="preserve"> or (b) covenant defeasance of the Securities of a series under </w:t>
      </w:r>
      <w:r>
        <w:rPr>
          <w:rFonts w:ascii="Times New Roman" w:cs="Times New Roman" w:eastAsia="Times New Roman" w:hAnsi="Times New Roman"/>
          <w:sz w:val="14"/>
          <w:szCs w:val="14"/>
          <w:u w:val="single" w:color="auto"/>
          <w:color w:val="auto"/>
        </w:rPr>
        <w:t>Section 4.03</w:t>
      </w:r>
      <w:r>
        <w:rPr>
          <w:rFonts w:ascii="Times New Roman" w:cs="Times New Roman" w:eastAsia="Times New Roman" w:hAnsi="Times New Roman"/>
          <w:sz w:val="14"/>
          <w:szCs w:val="14"/>
          <w:color w:val="auto"/>
        </w:rPr>
        <w:t xml:space="preserve">, then the provisions of such Section or Sections, as the case may be, together with the other provisions of this </w:t>
      </w:r>
      <w:r>
        <w:rPr>
          <w:rFonts w:ascii="Times New Roman" w:cs="Times New Roman" w:eastAsia="Times New Roman" w:hAnsi="Times New Roman"/>
          <w:sz w:val="14"/>
          <w:szCs w:val="14"/>
          <w:u w:val="single" w:color="auto"/>
          <w:color w:val="auto"/>
        </w:rPr>
        <w:t>Article IV</w:t>
      </w:r>
      <w:r>
        <w:rPr>
          <w:rFonts w:ascii="Times New Roman" w:cs="Times New Roman" w:eastAsia="Times New Roman" w:hAnsi="Times New Roman"/>
          <w:sz w:val="14"/>
          <w:szCs w:val="14"/>
          <w:color w:val="auto"/>
        </w:rPr>
        <w:t xml:space="preserve"> (with such modifications thereto as may be specified pursuant to </w:t>
      </w:r>
      <w:r>
        <w:rPr>
          <w:rFonts w:ascii="Times New Roman" w:cs="Times New Roman" w:eastAsia="Times New Roman" w:hAnsi="Times New Roman"/>
          <w:sz w:val="14"/>
          <w:szCs w:val="14"/>
          <w:u w:val="single" w:color="auto"/>
          <w:color w:val="auto"/>
        </w:rPr>
        <w:t>Section 3.01</w:t>
      </w:r>
      <w:r>
        <w:rPr>
          <w:rFonts w:ascii="Times New Roman" w:cs="Times New Roman" w:eastAsia="Times New Roman" w:hAnsi="Times New Roman"/>
          <w:sz w:val="14"/>
          <w:szCs w:val="14"/>
          <w:color w:val="auto"/>
        </w:rPr>
        <w:t xml:space="preserve"> with respect to any Securities), shall be applicable to such Securities, and the Company may at its option by Board Resolution, at any time, with respect to such Securities, elect to have </w:t>
      </w:r>
      <w:r>
        <w:rPr>
          <w:rFonts w:ascii="Times New Roman" w:cs="Times New Roman" w:eastAsia="Times New Roman" w:hAnsi="Times New Roman"/>
          <w:sz w:val="14"/>
          <w:szCs w:val="14"/>
          <w:u w:val="single" w:color="auto"/>
          <w:color w:val="auto"/>
        </w:rPr>
        <w:t>Section 4.02</w:t>
      </w:r>
      <w:r>
        <w:rPr>
          <w:rFonts w:ascii="Times New Roman" w:cs="Times New Roman" w:eastAsia="Times New Roman" w:hAnsi="Times New Roman"/>
          <w:sz w:val="14"/>
          <w:szCs w:val="14"/>
          <w:color w:val="auto"/>
        </w:rPr>
        <w:t xml:space="preserve"> (if applicable) or </w:t>
      </w:r>
      <w:r>
        <w:rPr>
          <w:rFonts w:ascii="Times New Roman" w:cs="Times New Roman" w:eastAsia="Times New Roman" w:hAnsi="Times New Roman"/>
          <w:sz w:val="14"/>
          <w:szCs w:val="14"/>
          <w:u w:val="single" w:color="auto"/>
          <w:color w:val="auto"/>
        </w:rPr>
        <w:t>Section 4.03</w:t>
      </w:r>
      <w:r>
        <w:rPr>
          <w:rFonts w:ascii="Times New Roman" w:cs="Times New Roman" w:eastAsia="Times New Roman" w:hAnsi="Times New Roman"/>
          <w:sz w:val="14"/>
          <w:szCs w:val="14"/>
          <w:color w:val="auto"/>
        </w:rPr>
        <w:t xml:space="preserve"> (if applicable) be applied to such Outstanding Securities and any corresponding Guarantees of such Securities (the “</w:t>
      </w:r>
      <w:r>
        <w:rPr>
          <w:rFonts w:ascii="Times New Roman" w:cs="Times New Roman" w:eastAsia="Times New Roman" w:hAnsi="Times New Roman"/>
          <w:sz w:val="14"/>
          <w:szCs w:val="14"/>
          <w:u w:val="single" w:color="auto"/>
          <w:color w:val="auto"/>
        </w:rPr>
        <w:t>Defeased Securities</w:t>
      </w:r>
      <w:r>
        <w:rPr>
          <w:rFonts w:ascii="Times New Roman" w:cs="Times New Roman" w:eastAsia="Times New Roman" w:hAnsi="Times New Roman"/>
          <w:sz w:val="14"/>
          <w:szCs w:val="14"/>
          <w:color w:val="auto"/>
        </w:rPr>
        <w:t xml:space="preserve">”) upon compliance with the conditions set forth below in this </w:t>
      </w:r>
      <w:r>
        <w:rPr>
          <w:rFonts w:ascii="Times New Roman" w:cs="Times New Roman" w:eastAsia="Times New Roman" w:hAnsi="Times New Roman"/>
          <w:sz w:val="14"/>
          <w:szCs w:val="14"/>
          <w:u w:val="single" w:color="auto"/>
          <w:color w:val="auto"/>
        </w:rPr>
        <w:t>Article IV</w:t>
      </w:r>
      <w:r>
        <w:rPr>
          <w:rFonts w:ascii="Times New Roman" w:cs="Times New Roman" w:eastAsia="Times New Roman" w:hAnsi="Times New Roman"/>
          <w:sz w:val="14"/>
          <w:szCs w:val="14"/>
          <w:color w:val="auto"/>
        </w:rPr>
        <w:t>.</w:t>
      </w:r>
    </w:p>
    <w:p>
      <w:pPr>
        <w:spacing w:after="0" w:line="1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4.02 </w:t>
      </w:r>
      <w:r>
        <w:rPr>
          <w:rFonts w:ascii="Times New Roman" w:cs="Times New Roman" w:eastAsia="Times New Roman" w:hAnsi="Times New Roman"/>
          <w:sz w:val="14"/>
          <w:szCs w:val="14"/>
          <w:u w:val="single" w:color="auto"/>
          <w:color w:val="auto"/>
        </w:rPr>
        <w:t>DEFEASANCE AND DISCHARGE.</w:t>
      </w:r>
    </w:p>
    <w:p>
      <w:pPr>
        <w:spacing w:after="0" w:line="182" w:lineRule="exact"/>
        <w:rPr>
          <w:sz w:val="20"/>
          <w:szCs w:val="20"/>
          <w:color w:val="auto"/>
        </w:rPr>
      </w:pPr>
    </w:p>
    <w:p>
      <w:pPr>
        <w:ind w:left="120" w:right="199" w:firstLine="350"/>
        <w:spacing w:after="0" w:line="258" w:lineRule="auto"/>
        <w:rPr>
          <w:sz w:val="20"/>
          <w:szCs w:val="20"/>
          <w:color w:val="auto"/>
        </w:rPr>
      </w:pPr>
      <w:r>
        <w:rPr>
          <w:rFonts w:ascii="Times New Roman" w:cs="Times New Roman" w:eastAsia="Times New Roman" w:hAnsi="Times New Roman"/>
          <w:sz w:val="14"/>
          <w:szCs w:val="14"/>
          <w:color w:val="auto"/>
        </w:rPr>
        <w:t xml:space="preserve">Upon the Company’s exercise of the option applicable to this </w:t>
      </w:r>
      <w:r>
        <w:rPr>
          <w:rFonts w:ascii="Times New Roman" w:cs="Times New Roman" w:eastAsia="Times New Roman" w:hAnsi="Times New Roman"/>
          <w:sz w:val="14"/>
          <w:szCs w:val="14"/>
          <w:u w:val="single" w:color="auto"/>
          <w:color w:val="auto"/>
        </w:rPr>
        <w:t>Section 4.02</w:t>
      </w:r>
      <w:r>
        <w:rPr>
          <w:rFonts w:ascii="Times New Roman" w:cs="Times New Roman" w:eastAsia="Times New Roman" w:hAnsi="Times New Roman"/>
          <w:sz w:val="14"/>
          <w:szCs w:val="14"/>
          <w:color w:val="auto"/>
        </w:rPr>
        <w:t xml:space="preserve"> with respect to any Securities of a series, the Company and any other obligor upon the applicable series of Securities, if any, shall be deemed to have been discharged from its obligations with respect to the Defeased Securities on the date the conditions set forth in </w:t>
      </w:r>
      <w:r>
        <w:rPr>
          <w:rFonts w:ascii="Times New Roman" w:cs="Times New Roman" w:eastAsia="Times New Roman" w:hAnsi="Times New Roman"/>
          <w:sz w:val="14"/>
          <w:szCs w:val="14"/>
          <w:u w:val="single" w:color="auto"/>
          <w:color w:val="auto"/>
        </w:rPr>
        <w:t>Section 4.04</w:t>
      </w:r>
      <w:r>
        <w:rPr>
          <w:rFonts w:ascii="Times New Roman" w:cs="Times New Roman" w:eastAsia="Times New Roman" w:hAnsi="Times New Roman"/>
          <w:sz w:val="14"/>
          <w:szCs w:val="14"/>
          <w:color w:val="auto"/>
        </w:rPr>
        <w:t xml:space="preserve"> below are satisfied (hereinafter, “</w:t>
      </w:r>
      <w:r>
        <w:rPr>
          <w:rFonts w:ascii="Times New Roman" w:cs="Times New Roman" w:eastAsia="Times New Roman" w:hAnsi="Times New Roman"/>
          <w:sz w:val="14"/>
          <w:szCs w:val="14"/>
          <w:u w:val="single" w:color="auto"/>
          <w:color w:val="auto"/>
        </w:rPr>
        <w:t>defeasance</w:t>
      </w:r>
      <w:r>
        <w:rPr>
          <w:rFonts w:ascii="Times New Roman" w:cs="Times New Roman" w:eastAsia="Times New Roman" w:hAnsi="Times New Roman"/>
          <w:sz w:val="14"/>
          <w:szCs w:val="14"/>
          <w:color w:val="auto"/>
        </w:rPr>
        <w:t xml:space="preserve">”). For this purpose, such defeasance means that the Company and any other obligor under the applicable series of Securities shall be deemed to have paid and discharged the entire Indebtedness represented by the Defeased Securities, which shall thereafter be deemed to be “Outstanding” only for the purposes of </w:t>
      </w:r>
      <w:r>
        <w:rPr>
          <w:rFonts w:ascii="Times New Roman" w:cs="Times New Roman" w:eastAsia="Times New Roman" w:hAnsi="Times New Roman"/>
          <w:sz w:val="14"/>
          <w:szCs w:val="14"/>
          <w:u w:val="single" w:color="auto"/>
          <w:color w:val="auto"/>
        </w:rPr>
        <w:t>Section 4.05</w:t>
      </w:r>
      <w:r>
        <w:rPr>
          <w:rFonts w:ascii="Times New Roman" w:cs="Times New Roman" w:eastAsia="Times New Roman" w:hAnsi="Times New Roman"/>
          <w:sz w:val="14"/>
          <w:szCs w:val="14"/>
          <w:color w:val="auto"/>
        </w:rPr>
        <w:t xml:space="preserve"> and the other Sections of this Indenture referred to in (a) and (b) below, and to have satisfied all its other obligations under such series of Securities and this Indenture insofar as such series of Securities are concerned (and the Trustee, at the expense of the Company and upon Company Request, shall execute proper instruments acknowledging the same), except for the following which shall survive until otherwise terminated or discharged hereunder: (a) the rights of Holders of Defeased Securities to receive, solely from the trust fund described in </w:t>
      </w:r>
      <w:r>
        <w:rPr>
          <w:rFonts w:ascii="Times New Roman" w:cs="Times New Roman" w:eastAsia="Times New Roman" w:hAnsi="Times New Roman"/>
          <w:sz w:val="14"/>
          <w:szCs w:val="14"/>
          <w:u w:val="single" w:color="auto"/>
          <w:color w:val="auto"/>
        </w:rPr>
        <w:t>Section 4.05</w:t>
      </w:r>
      <w:r>
        <w:rPr>
          <w:rFonts w:ascii="Times New Roman" w:cs="Times New Roman" w:eastAsia="Times New Roman" w:hAnsi="Times New Roman"/>
          <w:sz w:val="14"/>
          <w:szCs w:val="14"/>
          <w:color w:val="auto"/>
        </w:rPr>
        <w:t xml:space="preserve"> and as more fully set forth in such Section, payments in respect of the principal of, premium, if any, and interest on, such series of Securities, when such payments are due, (b) the Company’s obligations with respect to such Defeased Securities under </w:t>
      </w:r>
      <w:r>
        <w:rPr>
          <w:rFonts w:ascii="Times New Roman" w:cs="Times New Roman" w:eastAsia="Times New Roman" w:hAnsi="Times New Roman"/>
          <w:sz w:val="14"/>
          <w:szCs w:val="14"/>
          <w:u w:val="single" w:color="auto"/>
          <w:color w:val="auto"/>
        </w:rPr>
        <w:t>Sections 3.03</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3.04</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3.05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3.07</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10.02</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10.03</w:t>
      </w:r>
      <w:r>
        <w:rPr>
          <w:rFonts w:ascii="Times New Roman" w:cs="Times New Roman" w:eastAsia="Times New Roman" w:hAnsi="Times New Roman"/>
          <w:sz w:val="14"/>
          <w:szCs w:val="14"/>
          <w:color w:val="auto"/>
        </w:rPr>
        <w:t xml:space="preserve">, (c) the rights, powers, trusts, duties and immunities of the Trustee hereunder with respect to the Defeased Securities, including, without limitation, the Trustee’s rights under </w:t>
      </w:r>
      <w:r>
        <w:rPr>
          <w:rFonts w:ascii="Times New Roman" w:cs="Times New Roman" w:eastAsia="Times New Roman" w:hAnsi="Times New Roman"/>
          <w:sz w:val="14"/>
          <w:szCs w:val="14"/>
          <w:u w:val="single" w:color="auto"/>
          <w:color w:val="auto"/>
        </w:rPr>
        <w:t>Section 6.07</w:t>
      </w:r>
      <w:r>
        <w:rPr>
          <w:rFonts w:ascii="Times New Roman" w:cs="Times New Roman" w:eastAsia="Times New Roman" w:hAnsi="Times New Roman"/>
          <w:sz w:val="14"/>
          <w:szCs w:val="14"/>
          <w:color w:val="auto"/>
        </w:rPr>
        <w:t xml:space="preserve"> and the Company’s and, if any, the Guarantors’, obligations in connection therewith, and (d) this </w:t>
      </w:r>
      <w:r>
        <w:rPr>
          <w:rFonts w:ascii="Times New Roman" w:cs="Times New Roman" w:eastAsia="Times New Roman" w:hAnsi="Times New Roman"/>
          <w:sz w:val="14"/>
          <w:szCs w:val="14"/>
          <w:u w:val="single" w:color="auto"/>
          <w:color w:val="auto"/>
        </w:rPr>
        <w:t>Article IV</w:t>
      </w:r>
      <w:r>
        <w:rPr>
          <w:rFonts w:ascii="Times New Roman" w:cs="Times New Roman" w:eastAsia="Times New Roman" w:hAnsi="Times New Roman"/>
          <w:sz w:val="14"/>
          <w:szCs w:val="14"/>
          <w:color w:val="auto"/>
        </w:rPr>
        <w:t xml:space="preserve">. Subject to compliance with this </w:t>
      </w:r>
      <w:r>
        <w:rPr>
          <w:rFonts w:ascii="Times New Roman" w:cs="Times New Roman" w:eastAsia="Times New Roman" w:hAnsi="Times New Roman"/>
          <w:sz w:val="14"/>
          <w:szCs w:val="14"/>
          <w:u w:val="single" w:color="auto"/>
          <w:color w:val="auto"/>
        </w:rPr>
        <w:t>Article IV</w:t>
      </w:r>
      <w:r>
        <w:rPr>
          <w:rFonts w:ascii="Times New Roman" w:cs="Times New Roman" w:eastAsia="Times New Roman" w:hAnsi="Times New Roman"/>
          <w:sz w:val="14"/>
          <w:szCs w:val="14"/>
          <w:color w:val="auto"/>
        </w:rPr>
        <w:t xml:space="preserve">, the Company may exercise its option under this </w:t>
      </w:r>
      <w:r>
        <w:rPr>
          <w:rFonts w:ascii="Times New Roman" w:cs="Times New Roman" w:eastAsia="Times New Roman" w:hAnsi="Times New Roman"/>
          <w:sz w:val="14"/>
          <w:szCs w:val="14"/>
          <w:u w:val="single" w:color="auto"/>
          <w:color w:val="auto"/>
        </w:rPr>
        <w:t>Section 4.02</w:t>
      </w:r>
      <w:r>
        <w:rPr>
          <w:rFonts w:ascii="Times New Roman" w:cs="Times New Roman" w:eastAsia="Times New Roman" w:hAnsi="Times New Roman"/>
          <w:sz w:val="14"/>
          <w:szCs w:val="14"/>
          <w:color w:val="auto"/>
        </w:rPr>
        <w:t xml:space="preserve"> notwithstanding the prior exercise of its option under </w:t>
      </w:r>
      <w:r>
        <w:rPr>
          <w:rFonts w:ascii="Times New Roman" w:cs="Times New Roman" w:eastAsia="Times New Roman" w:hAnsi="Times New Roman"/>
          <w:sz w:val="14"/>
          <w:szCs w:val="14"/>
          <w:u w:val="single" w:color="auto"/>
          <w:color w:val="auto"/>
        </w:rPr>
        <w:t>Section 4.03</w:t>
      </w:r>
      <w:r>
        <w:rPr>
          <w:rFonts w:ascii="Times New Roman" w:cs="Times New Roman" w:eastAsia="Times New Roman" w:hAnsi="Times New Roman"/>
          <w:sz w:val="14"/>
          <w:szCs w:val="14"/>
          <w:color w:val="auto"/>
        </w:rPr>
        <w:t xml:space="preserve"> with respect to a series of Securities.</w:t>
      </w:r>
    </w:p>
    <w:p>
      <w:pPr>
        <w:spacing w:after="0" w:line="1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4.03 </w:t>
      </w:r>
      <w:r>
        <w:rPr>
          <w:rFonts w:ascii="Times New Roman" w:cs="Times New Roman" w:eastAsia="Times New Roman" w:hAnsi="Times New Roman"/>
          <w:sz w:val="14"/>
          <w:szCs w:val="14"/>
          <w:u w:val="single" w:color="auto"/>
          <w:color w:val="auto"/>
        </w:rPr>
        <w:t>COVENANT DEFEASANCE</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120" w:right="139" w:firstLine="350"/>
        <w:spacing w:after="0" w:line="261" w:lineRule="auto"/>
        <w:rPr>
          <w:sz w:val="20"/>
          <w:szCs w:val="20"/>
          <w:color w:val="auto"/>
        </w:rPr>
      </w:pPr>
      <w:r>
        <w:rPr>
          <w:rFonts w:ascii="Times New Roman" w:cs="Times New Roman" w:eastAsia="Times New Roman" w:hAnsi="Times New Roman"/>
          <w:sz w:val="14"/>
          <w:szCs w:val="14"/>
          <w:color w:val="auto"/>
        </w:rPr>
        <w:t xml:space="preserve">Upon the Company’s exercise of the option applicable to this </w:t>
      </w:r>
      <w:r>
        <w:rPr>
          <w:rFonts w:ascii="Times New Roman" w:cs="Times New Roman" w:eastAsia="Times New Roman" w:hAnsi="Times New Roman"/>
          <w:sz w:val="14"/>
          <w:szCs w:val="14"/>
          <w:u w:val="single" w:color="auto"/>
          <w:color w:val="auto"/>
        </w:rPr>
        <w:t>Section 4.03</w:t>
      </w:r>
      <w:r>
        <w:rPr>
          <w:rFonts w:ascii="Times New Roman" w:cs="Times New Roman" w:eastAsia="Times New Roman" w:hAnsi="Times New Roman"/>
          <w:sz w:val="14"/>
          <w:szCs w:val="14"/>
          <w:color w:val="auto"/>
        </w:rPr>
        <w:t xml:space="preserve"> with respect to any Securities of a series, the Company shall be released from its obligations under any covenant or provision contained or referred to in </w:t>
      </w:r>
      <w:r>
        <w:rPr>
          <w:rFonts w:ascii="Times New Roman" w:cs="Times New Roman" w:eastAsia="Times New Roman" w:hAnsi="Times New Roman"/>
          <w:sz w:val="14"/>
          <w:szCs w:val="14"/>
          <w:u w:val="single" w:color="auto"/>
          <w:color w:val="auto"/>
        </w:rPr>
        <w:t>Section 10.04</w:t>
      </w:r>
      <w:r>
        <w:rPr>
          <w:rFonts w:ascii="Times New Roman" w:cs="Times New Roman" w:eastAsia="Times New Roman" w:hAnsi="Times New Roman"/>
          <w:sz w:val="14"/>
          <w:szCs w:val="14"/>
          <w:color w:val="auto"/>
        </w:rPr>
        <w:t xml:space="preserve">, and any other covenant or provision if specified pursuant to </w:t>
      </w:r>
      <w:r>
        <w:rPr>
          <w:rFonts w:ascii="Times New Roman" w:cs="Times New Roman" w:eastAsia="Times New Roman" w:hAnsi="Times New Roman"/>
          <w:sz w:val="14"/>
          <w:szCs w:val="14"/>
          <w:u w:val="single" w:color="auto"/>
          <w:color w:val="auto"/>
        </w:rPr>
        <w:t>Section 3.01</w:t>
      </w:r>
      <w:r>
        <w:rPr>
          <w:rFonts w:ascii="Times New Roman" w:cs="Times New Roman" w:eastAsia="Times New Roman" w:hAnsi="Times New Roman"/>
          <w:sz w:val="14"/>
          <w:szCs w:val="14"/>
          <w:color w:val="auto"/>
        </w:rPr>
        <w:t xml:space="preserve">, in each case, with respect to the Defeased Securities, on and after the date the conditions set forth in </w:t>
      </w:r>
      <w:r>
        <w:rPr>
          <w:rFonts w:ascii="Times New Roman" w:cs="Times New Roman" w:eastAsia="Times New Roman" w:hAnsi="Times New Roman"/>
          <w:sz w:val="14"/>
          <w:szCs w:val="14"/>
          <w:u w:val="single" w:color="auto"/>
          <w:color w:val="auto"/>
        </w:rPr>
        <w:t>Section 4.04</w:t>
      </w:r>
      <w:r>
        <w:rPr>
          <w:rFonts w:ascii="Times New Roman" w:cs="Times New Roman" w:eastAsia="Times New Roman" w:hAnsi="Times New Roman"/>
          <w:sz w:val="14"/>
          <w:szCs w:val="14"/>
          <w:color w:val="auto"/>
        </w:rPr>
        <w:t xml:space="preserve"> below are satisfied (hereinafter, “</w:t>
      </w:r>
      <w:r>
        <w:rPr>
          <w:rFonts w:ascii="Times New Roman" w:cs="Times New Roman" w:eastAsia="Times New Roman" w:hAnsi="Times New Roman"/>
          <w:sz w:val="14"/>
          <w:szCs w:val="14"/>
          <w:u w:val="single" w:color="auto"/>
          <w:color w:val="auto"/>
        </w:rPr>
        <w:t>covenant defeasance</w:t>
      </w:r>
      <w:r>
        <w:rPr>
          <w:rFonts w:ascii="Times New Roman" w:cs="Times New Roman" w:eastAsia="Times New Roman" w:hAnsi="Times New Roman"/>
          <w:sz w:val="14"/>
          <w:szCs w:val="14"/>
          <w:color w:val="auto"/>
        </w:rPr>
        <w:t xml:space="preserve">”), and the Defeased Securities shall thereafter be deemed to be not “Outstanding” for the purposes of any direction, waiver, consent or declaration or Act of Holders (and the consequences of any thereof) in connection with such covenants, but shall continue to be deemed “Outstanding” for all other purposes hereunder (it being understood that such Securities shall not be deemed outstanding for accounting purposes), and the Events of Default under </w:t>
      </w:r>
      <w:r>
        <w:rPr>
          <w:rFonts w:ascii="Times New Roman" w:cs="Times New Roman" w:eastAsia="Times New Roman" w:hAnsi="Times New Roman"/>
          <w:sz w:val="14"/>
          <w:szCs w:val="14"/>
          <w:u w:val="single" w:color="auto"/>
          <w:color w:val="auto"/>
        </w:rPr>
        <w:t>Section 5.01(c)</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(d)</w:t>
      </w:r>
      <w:r>
        <w:rPr>
          <w:rFonts w:ascii="Times New Roman" w:cs="Times New Roman" w:eastAsia="Times New Roman" w:hAnsi="Times New Roman"/>
          <w:sz w:val="14"/>
          <w:szCs w:val="14"/>
          <w:color w:val="auto"/>
        </w:rPr>
        <w:t xml:space="preserve"> and any Event of Default specified to be covered by this </w:t>
      </w:r>
      <w:r>
        <w:rPr>
          <w:rFonts w:ascii="Times New Roman" w:cs="Times New Roman" w:eastAsia="Times New Roman" w:hAnsi="Times New Roman"/>
          <w:sz w:val="14"/>
          <w:szCs w:val="14"/>
          <w:u w:val="single" w:color="auto"/>
          <w:color w:val="auto"/>
        </w:rPr>
        <w:t>Section 4.03</w:t>
      </w:r>
      <w:r>
        <w:rPr>
          <w:rFonts w:ascii="Times New Roman" w:cs="Times New Roman" w:eastAsia="Times New Roman" w:hAnsi="Times New Roman"/>
          <w:sz w:val="14"/>
          <w:szCs w:val="14"/>
          <w:color w:val="auto"/>
        </w:rPr>
        <w:t xml:space="preserve"> for a series in accordance with </w:t>
      </w:r>
      <w:r>
        <w:rPr>
          <w:rFonts w:ascii="Times New Roman" w:cs="Times New Roman" w:eastAsia="Times New Roman" w:hAnsi="Times New Roman"/>
          <w:sz w:val="14"/>
          <w:szCs w:val="14"/>
          <w:u w:val="single" w:color="auto"/>
          <w:color w:val="auto"/>
        </w:rPr>
        <w:t>Section 3.01</w:t>
      </w:r>
      <w:r>
        <w:rPr>
          <w:rFonts w:ascii="Times New Roman" w:cs="Times New Roman" w:eastAsia="Times New Roman" w:hAnsi="Times New Roman"/>
          <w:sz w:val="14"/>
          <w:szCs w:val="14"/>
          <w:color w:val="auto"/>
        </w:rPr>
        <w:t xml:space="preserve"> shall cease to be in full force and effect with respect to the</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9019"/>
          </w:cols>
          <w:pgMar w:left="1440" w:top="243" w:right="1440" w:bottom="1440" w:gutter="0" w:footer="0" w:header="0"/>
        </w:sectPr>
      </w:pPr>
    </w:p>
    <w:bookmarkStart w:id="205" w:name="page206"/>
    <w:bookmarkEnd w:id="205"/>
    <w:p>
      <w:pPr>
        <w:ind w:left="120" w:right="199"/>
        <w:spacing w:after="0" w:line="26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5">
                      <a:extLst>
                        <a:ext uri="{28A0092B-C50C-407E-A947-70E740481C1C}"/>
                      </a:extLst>
                    </a:blip>
                    <a:srcRect/>
                    <a:stretch>
                      <a:fillRect/>
                    </a:stretch>
                  </pic:blipFill>
                  <pic:spPr bwMode="auto">
                    <a:xfrm>
                      <a:off x="0" y="0"/>
                      <a:ext cx="7199630" cy="33020"/>
                    </a:xfrm>
                    <a:prstGeom prst="rect">
                      <a:avLst/>
                    </a:prstGeom>
                    <a:noFill/>
                  </pic:spPr>
                </pic:pic>
              </a:graphicData>
            </a:graphic>
          </wp:anchor>
        </w:drawing>
        <w:t xml:space="preserve">applicable series of Securities. For this purpose, such covenant defeasance means that, with respect to the Defeased Securities, the Company may omit to comply with and shall have no liability in respect of any term, condition or limitation set forth in any such Section, whether directly or indirectly, by reason of any reference elsewhere herein to any such Section or by reason of any reference in any such Section to any other provision herein or in any other document and such omission to comply shall not constitute a Default or an Event of Default under </w:t>
      </w:r>
      <w:r>
        <w:rPr>
          <w:rFonts w:ascii="Times New Roman" w:cs="Times New Roman" w:eastAsia="Times New Roman" w:hAnsi="Times New Roman"/>
          <w:sz w:val="14"/>
          <w:szCs w:val="14"/>
          <w:u w:val="single" w:color="auto"/>
          <w:color w:val="auto"/>
        </w:rPr>
        <w:t>Section 5.01</w:t>
      </w:r>
      <w:r>
        <w:rPr>
          <w:rFonts w:ascii="Times New Roman" w:cs="Times New Roman" w:eastAsia="Times New Roman" w:hAnsi="Times New Roman"/>
          <w:sz w:val="14"/>
          <w:szCs w:val="14"/>
          <w:color w:val="auto"/>
        </w:rPr>
        <w:t xml:space="preserve"> but, except as specified above, the remainder of this Indenture and such Defeased Securities shall be unaffected thereby.</w:t>
      </w:r>
    </w:p>
    <w:p>
      <w:pPr>
        <w:spacing w:after="0" w:line="1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4.04 </w:t>
      </w:r>
      <w:r>
        <w:rPr>
          <w:rFonts w:ascii="Times New Roman" w:cs="Times New Roman" w:eastAsia="Times New Roman" w:hAnsi="Times New Roman"/>
          <w:sz w:val="14"/>
          <w:szCs w:val="14"/>
          <w:u w:val="single" w:color="auto"/>
          <w:color w:val="auto"/>
        </w:rPr>
        <w:t>CONDITIONS TO DEFEASANCE OR COVENANT DEFEASANCE.</w:t>
      </w:r>
    </w:p>
    <w:p>
      <w:pPr>
        <w:spacing w:after="0" w:line="1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 xml:space="preserve">The following shall be the conditions to application of either </w:t>
      </w:r>
      <w:r>
        <w:rPr>
          <w:rFonts w:ascii="Times New Roman" w:cs="Times New Roman" w:eastAsia="Times New Roman" w:hAnsi="Times New Roman"/>
          <w:sz w:val="14"/>
          <w:szCs w:val="14"/>
          <w:u w:val="single" w:color="auto"/>
          <w:color w:val="auto"/>
        </w:rPr>
        <w:t>Section 4.02</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4.03</w:t>
      </w:r>
      <w:r>
        <w:rPr>
          <w:rFonts w:ascii="Times New Roman" w:cs="Times New Roman" w:eastAsia="Times New Roman" w:hAnsi="Times New Roman"/>
          <w:sz w:val="14"/>
          <w:szCs w:val="14"/>
          <w:color w:val="auto"/>
        </w:rPr>
        <w:t xml:space="preserve"> to the Defeased Securities of a series:</w:t>
      </w:r>
    </w:p>
    <w:p>
      <w:pPr>
        <w:spacing w:after="0" w:line="97" w:lineRule="exact"/>
        <w:rPr>
          <w:sz w:val="20"/>
          <w:szCs w:val="20"/>
          <w:color w:val="auto"/>
        </w:rPr>
      </w:pPr>
    </w:p>
    <w:p>
      <w:pPr>
        <w:ind w:left="120" w:right="199" w:firstLine="357"/>
        <w:spacing w:after="0" w:line="263" w:lineRule="auto"/>
        <w:tabs>
          <w:tab w:leader="none" w:pos="672"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must irrevocably deposit with the Trustee, in trust, for the benefit of the Holders of the applicable series of Securities, cash in U.S. dollars, non-callable Government Securities, or a combination of cash in U.S. dollars and non-callable Government Securities, in amounts as will be sufficient, in the opinion of a nationally recognized firm of independent public accountants, to pay the principal of, or interest and premium, if any, on the Outstanding Securities on the Stated Maturity or on the applicable Redemption Date, as the case may be, and the Company must specify whether such Securities are being defeased to Maturity or to a particular Redemption Date and, if such Securities are being defeased to a particular Redemption Date, the Company must have delivered to the Trustee an irrevocable notice of redemption;</w:t>
      </w:r>
    </w:p>
    <w:p>
      <w:pPr>
        <w:spacing w:after="0" w:line="143" w:lineRule="exact"/>
        <w:rPr>
          <w:rFonts w:ascii="Times New Roman" w:cs="Times New Roman" w:eastAsia="Times New Roman" w:hAnsi="Times New Roman"/>
          <w:sz w:val="14"/>
          <w:szCs w:val="14"/>
          <w:color w:val="auto"/>
        </w:rPr>
      </w:pPr>
    </w:p>
    <w:p>
      <w:pPr>
        <w:ind w:left="120" w:right="199" w:firstLine="357"/>
        <w:spacing w:after="0" w:line="263" w:lineRule="auto"/>
        <w:tabs>
          <w:tab w:leader="none" w:pos="672"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the case of an election under </w:t>
      </w:r>
      <w:r>
        <w:rPr>
          <w:rFonts w:ascii="Times New Roman" w:cs="Times New Roman" w:eastAsia="Times New Roman" w:hAnsi="Times New Roman"/>
          <w:sz w:val="14"/>
          <w:szCs w:val="14"/>
          <w:u w:val="single" w:color="auto"/>
          <w:color w:val="auto"/>
        </w:rPr>
        <w:t>Section 4.02</w:t>
      </w:r>
      <w:r>
        <w:rPr>
          <w:rFonts w:ascii="Times New Roman" w:cs="Times New Roman" w:eastAsia="Times New Roman" w:hAnsi="Times New Roman"/>
          <w:sz w:val="14"/>
          <w:szCs w:val="14"/>
          <w:color w:val="auto"/>
        </w:rPr>
        <w:t>, the Company shall have delivered to the Trustee an Opinion of Counsel reasonably acceptable to the Trustee confirming that (A) the Company has received from, or there has been published by, the Internal Revenue Service a ruling or (B) since the date hereof, there has been a change in the applicable Federal income tax law, in either case to the effect that, and based thereon such Opinion of Counsel in the United States shall confirm that, the Holders of the Outstanding Securities will not recognize income, gain or loss for Federal income tax purposes as a result of such defeasance and will be subject to Federal income tax on the same amounts, in the same manner and at the same times as would have been the case if such defeasance had not occurred;</w:t>
      </w:r>
    </w:p>
    <w:p>
      <w:pPr>
        <w:spacing w:after="0" w:line="143" w:lineRule="exact"/>
        <w:rPr>
          <w:rFonts w:ascii="Times New Roman" w:cs="Times New Roman" w:eastAsia="Times New Roman" w:hAnsi="Times New Roman"/>
          <w:sz w:val="14"/>
          <w:szCs w:val="14"/>
          <w:color w:val="auto"/>
        </w:rPr>
      </w:pPr>
    </w:p>
    <w:p>
      <w:pPr>
        <w:jc w:val="both"/>
        <w:ind w:left="120" w:right="199" w:firstLine="357"/>
        <w:spacing w:after="0" w:line="268" w:lineRule="auto"/>
        <w:tabs>
          <w:tab w:leader="none" w:pos="672"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the case of an election under </w:t>
      </w:r>
      <w:r>
        <w:rPr>
          <w:rFonts w:ascii="Times New Roman" w:cs="Times New Roman" w:eastAsia="Times New Roman" w:hAnsi="Times New Roman"/>
          <w:sz w:val="14"/>
          <w:szCs w:val="14"/>
          <w:u w:val="single" w:color="auto"/>
          <w:color w:val="auto"/>
        </w:rPr>
        <w:t>Section 4.03</w:t>
      </w:r>
      <w:r>
        <w:rPr>
          <w:rFonts w:ascii="Times New Roman" w:cs="Times New Roman" w:eastAsia="Times New Roman" w:hAnsi="Times New Roman"/>
          <w:sz w:val="14"/>
          <w:szCs w:val="14"/>
          <w:color w:val="auto"/>
        </w:rPr>
        <w:t>, the Company shall have delivered to the Trustee an Opinion of Counsel reasonably acceptable to the Trustee confirming that the Holders of the Outstanding Securities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139" w:lineRule="exact"/>
        <w:rPr>
          <w:rFonts w:ascii="Times New Roman" w:cs="Times New Roman" w:eastAsia="Times New Roman" w:hAnsi="Times New Roman"/>
          <w:sz w:val="14"/>
          <w:szCs w:val="14"/>
          <w:color w:val="auto"/>
        </w:rPr>
      </w:pPr>
    </w:p>
    <w:p>
      <w:pPr>
        <w:ind w:left="120" w:right="199" w:firstLine="357"/>
        <w:spacing w:after="0" w:line="292" w:lineRule="auto"/>
        <w:tabs>
          <w:tab w:leader="none" w:pos="672"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 Default or Event of Default shall have occurred and be continuing on either (a) on the date of such deposit or (b) insofar as </w:t>
      </w:r>
      <w:r>
        <w:rPr>
          <w:rFonts w:ascii="Times New Roman" w:cs="Times New Roman" w:eastAsia="Times New Roman" w:hAnsi="Times New Roman"/>
          <w:sz w:val="14"/>
          <w:szCs w:val="14"/>
          <w:u w:val="single" w:color="auto"/>
          <w:color w:val="auto"/>
        </w:rPr>
        <w:t>Section 5.01(e)</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5.01(f)</w:t>
      </w:r>
      <w:r>
        <w:rPr>
          <w:rFonts w:ascii="Times New Roman" w:cs="Times New Roman" w:eastAsia="Times New Roman" w:hAnsi="Times New Roman"/>
          <w:sz w:val="14"/>
          <w:szCs w:val="14"/>
          <w:color w:val="auto"/>
        </w:rPr>
        <w:t xml:space="preserve"> are concerned, at any time in the period ending on the 123rd day after the date of deposit;</w:t>
      </w:r>
    </w:p>
    <w:p>
      <w:pPr>
        <w:spacing w:after="0" w:line="123" w:lineRule="exact"/>
        <w:rPr>
          <w:rFonts w:ascii="Times New Roman" w:cs="Times New Roman" w:eastAsia="Times New Roman" w:hAnsi="Times New Roman"/>
          <w:sz w:val="14"/>
          <w:szCs w:val="14"/>
          <w:color w:val="auto"/>
        </w:rPr>
      </w:pPr>
    </w:p>
    <w:p>
      <w:pPr>
        <w:ind w:left="120" w:right="279" w:firstLine="357"/>
        <w:spacing w:after="0" w:line="274" w:lineRule="auto"/>
        <w:tabs>
          <w:tab w:leader="none" w:pos="672"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defeasance or covenant defeasance shall not result in a breach or violation of, or constitute a default under any material agreement or instrument (other than this Indenture) to which the Company or any of its Subsidiaries is a party or by which the Company or any of its Subsidiaries is bound;</w:t>
      </w:r>
    </w:p>
    <w:p>
      <w:pPr>
        <w:spacing w:after="0" w:line="135" w:lineRule="exact"/>
        <w:rPr>
          <w:rFonts w:ascii="Times New Roman" w:cs="Times New Roman" w:eastAsia="Times New Roman" w:hAnsi="Times New Roman"/>
          <w:sz w:val="14"/>
          <w:szCs w:val="14"/>
          <w:color w:val="auto"/>
        </w:rPr>
      </w:pPr>
    </w:p>
    <w:p>
      <w:pPr>
        <w:ind w:left="120" w:right="259" w:firstLine="357"/>
        <w:spacing w:after="0" w:line="274" w:lineRule="auto"/>
        <w:tabs>
          <w:tab w:leader="none" w:pos="672"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must have delivered to the Trustee an Opinion of Counsel to the effect that the creation of the defeasance trust does not violate the Investment Company Act of 1940 and after the passage of 123 days following the deposit, the trust fund will not be subject to the effect of Section 547 of the U.S. Bankruptcy Code or Section 15 of the New York Debtor and Creditor Law;</w:t>
      </w:r>
    </w:p>
    <w:p>
      <w:pPr>
        <w:spacing w:after="0" w:line="135" w:lineRule="exact"/>
        <w:rPr>
          <w:rFonts w:ascii="Times New Roman" w:cs="Times New Roman" w:eastAsia="Times New Roman" w:hAnsi="Times New Roman"/>
          <w:sz w:val="14"/>
          <w:szCs w:val="14"/>
          <w:color w:val="auto"/>
        </w:rPr>
      </w:pPr>
    </w:p>
    <w:p>
      <w:pPr>
        <w:ind w:left="120" w:right="179" w:firstLine="357"/>
        <w:spacing w:after="0" w:line="274" w:lineRule="auto"/>
        <w:tabs>
          <w:tab w:leader="none" w:pos="672"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must have delivered to the Trustee an Officers’ Certificate stating that the deposit was not made by the Company with the intent of preferring the Holders of the applicable Securities over the other creditors of the Company or with the intent of defeating, hindering, delaying or defrauding creditors of the Company or others; and</w:t>
      </w:r>
    </w:p>
    <w:p>
      <w:pPr>
        <w:spacing w:after="0" w:line="135" w:lineRule="exact"/>
        <w:rPr>
          <w:rFonts w:ascii="Times New Roman" w:cs="Times New Roman" w:eastAsia="Times New Roman" w:hAnsi="Times New Roman"/>
          <w:sz w:val="14"/>
          <w:szCs w:val="14"/>
          <w:color w:val="auto"/>
        </w:rPr>
      </w:pPr>
    </w:p>
    <w:p>
      <w:pPr>
        <w:ind w:left="120" w:right="159" w:firstLine="357"/>
        <w:spacing w:after="0" w:line="285" w:lineRule="auto"/>
        <w:tabs>
          <w:tab w:leader="none" w:pos="672"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Company must deliver to the Trustee an Officers’ Certificate and an Opinion of Counsel, each stating that all conditions precedent provided for relating to either the defeasance under </w:t>
      </w:r>
      <w:r>
        <w:rPr>
          <w:rFonts w:ascii="Times New Roman" w:cs="Times New Roman" w:eastAsia="Times New Roman" w:hAnsi="Times New Roman"/>
          <w:sz w:val="14"/>
          <w:szCs w:val="14"/>
          <w:u w:val="single" w:color="auto"/>
          <w:color w:val="auto"/>
        </w:rPr>
        <w:t>Section 4.02</w:t>
      </w:r>
      <w:r>
        <w:rPr>
          <w:rFonts w:ascii="Times New Roman" w:cs="Times New Roman" w:eastAsia="Times New Roman" w:hAnsi="Times New Roman"/>
          <w:sz w:val="14"/>
          <w:szCs w:val="14"/>
          <w:color w:val="auto"/>
        </w:rPr>
        <w:t xml:space="preserve"> or the covenant defeasance under </w:t>
      </w:r>
      <w:r>
        <w:rPr>
          <w:rFonts w:ascii="Times New Roman" w:cs="Times New Roman" w:eastAsia="Times New Roman" w:hAnsi="Times New Roman"/>
          <w:sz w:val="14"/>
          <w:szCs w:val="14"/>
          <w:u w:val="single" w:color="auto"/>
          <w:color w:val="auto"/>
        </w:rPr>
        <w:t>Section 4.03</w:t>
      </w:r>
      <w:r>
        <w:rPr>
          <w:rFonts w:ascii="Times New Roman" w:cs="Times New Roman" w:eastAsia="Times New Roman" w:hAnsi="Times New Roman"/>
          <w:sz w:val="14"/>
          <w:szCs w:val="14"/>
          <w:color w:val="auto"/>
        </w:rPr>
        <w:t xml:space="preserve"> (as the case may be) have been complied with.</w:t>
      </w:r>
    </w:p>
    <w:p>
      <w:pPr>
        <w:spacing w:after="0" w:line="304" w:lineRule="exact"/>
        <w:rPr>
          <w:sz w:val="20"/>
          <w:szCs w:val="20"/>
          <w:color w:val="auto"/>
        </w:rPr>
      </w:pPr>
    </w:p>
    <w:p>
      <w:pPr>
        <w:ind w:left="120" w:right="139" w:firstLine="350"/>
        <w:spacing w:after="0" w:line="268" w:lineRule="auto"/>
        <w:rPr>
          <w:sz w:val="20"/>
          <w:szCs w:val="20"/>
          <w:color w:val="auto"/>
        </w:rPr>
      </w:pPr>
      <w:r>
        <w:rPr>
          <w:rFonts w:ascii="Times New Roman" w:cs="Times New Roman" w:eastAsia="Times New Roman" w:hAnsi="Times New Roman"/>
          <w:sz w:val="14"/>
          <w:szCs w:val="14"/>
          <w:color w:val="auto"/>
        </w:rPr>
        <w:t xml:space="preserve">Opinions of Counsel required to be delivered under this </w:t>
      </w:r>
      <w:r>
        <w:rPr>
          <w:rFonts w:ascii="Times New Roman" w:cs="Times New Roman" w:eastAsia="Times New Roman" w:hAnsi="Times New Roman"/>
          <w:sz w:val="14"/>
          <w:szCs w:val="14"/>
          <w:u w:val="single" w:color="auto"/>
          <w:color w:val="auto"/>
        </w:rPr>
        <w:t>Section 4.04</w:t>
      </w:r>
      <w:r>
        <w:rPr>
          <w:rFonts w:ascii="Times New Roman" w:cs="Times New Roman" w:eastAsia="Times New Roman" w:hAnsi="Times New Roman"/>
          <w:sz w:val="14"/>
          <w:szCs w:val="14"/>
          <w:color w:val="auto"/>
        </w:rPr>
        <w:t xml:space="preserve"> shall be in form and substance reasonably satisfactory to the Trustee and may have qualifications customary for opinions of the type required and counsel delivering such opinions may rely on certificates of the Company or government or other officials customary for opinions of the type required, which certificates shall be limited as to matters of fact, including that various financial covenants have been complied with.</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9019"/>
          </w:cols>
          <w:pgMar w:left="1440" w:top="243" w:right="1440" w:bottom="1440" w:gutter="0" w:footer="0" w:header="0"/>
        </w:sectPr>
      </w:pPr>
    </w:p>
    <w:bookmarkStart w:id="206" w:name="page207"/>
    <w:bookmarkEnd w:id="206"/>
    <w:p>
      <w:pPr>
        <w:ind w:left="120" w:right="479" w:firstLine="350"/>
        <w:spacing w:after="0" w:line="29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6">
                      <a:extLst>
                        <a:ext uri="{28A0092B-C50C-407E-A947-70E740481C1C}"/>
                      </a:extLst>
                    </a:blip>
                    <a:srcRect/>
                    <a:stretch>
                      <a:fillRect/>
                    </a:stretch>
                  </pic:blipFill>
                  <pic:spPr bwMode="auto">
                    <a:xfrm>
                      <a:off x="0" y="0"/>
                      <a:ext cx="7199630" cy="33020"/>
                    </a:xfrm>
                    <a:prstGeom prst="rect">
                      <a:avLst/>
                    </a:prstGeom>
                    <a:noFill/>
                  </pic:spPr>
                </pic:pic>
              </a:graphicData>
            </a:graphic>
          </wp:anchor>
        </w:drawing>
        <w:t xml:space="preserve">Notwithstanding any other provisions of this </w:t>
      </w:r>
      <w:r>
        <w:rPr>
          <w:rFonts w:ascii="Times New Roman" w:cs="Times New Roman" w:eastAsia="Times New Roman" w:hAnsi="Times New Roman"/>
          <w:sz w:val="14"/>
          <w:szCs w:val="14"/>
          <w:u w:val="single" w:color="auto"/>
          <w:color w:val="auto"/>
        </w:rPr>
        <w:t>Article IV</w:t>
      </w:r>
      <w:r>
        <w:rPr>
          <w:rFonts w:ascii="Times New Roman" w:cs="Times New Roman" w:eastAsia="Times New Roman" w:hAnsi="Times New Roman"/>
          <w:sz w:val="14"/>
          <w:szCs w:val="14"/>
          <w:color w:val="auto"/>
        </w:rPr>
        <w:t xml:space="preserve">, such defeasance or covenant defeasance shall be effected in compliance with any additional or substitute terms, conditions and limitations which may be imposed by the Company in connection therewith pursuant to </w:t>
      </w:r>
      <w:r>
        <w:rPr>
          <w:rFonts w:ascii="Times New Roman" w:cs="Times New Roman" w:eastAsia="Times New Roman" w:hAnsi="Times New Roman"/>
          <w:sz w:val="14"/>
          <w:szCs w:val="14"/>
          <w:u w:val="single" w:color="auto"/>
          <w:color w:val="auto"/>
        </w:rPr>
        <w:t>Section 3.01</w:t>
      </w:r>
      <w:r>
        <w:rPr>
          <w:rFonts w:ascii="Times New Roman" w:cs="Times New Roman" w:eastAsia="Times New Roman" w:hAnsi="Times New Roman"/>
          <w:sz w:val="14"/>
          <w:szCs w:val="14"/>
          <w:color w:val="auto"/>
        </w:rPr>
        <w:t>.</w:t>
      </w:r>
    </w:p>
    <w:p>
      <w:pPr>
        <w:spacing w:after="0" w:line="123" w:lineRule="exact"/>
        <w:rPr>
          <w:sz w:val="20"/>
          <w:szCs w:val="20"/>
          <w:color w:val="auto"/>
        </w:rPr>
      </w:pPr>
    </w:p>
    <w:p>
      <w:pPr>
        <w:ind w:left="120" w:right="839"/>
        <w:spacing w:after="0" w:line="292" w:lineRule="auto"/>
        <w:rPr>
          <w:sz w:val="20"/>
          <w:szCs w:val="20"/>
          <w:color w:val="auto"/>
        </w:rPr>
      </w:pPr>
      <w:r>
        <w:rPr>
          <w:rFonts w:ascii="Times New Roman" w:cs="Times New Roman" w:eastAsia="Times New Roman" w:hAnsi="Times New Roman"/>
          <w:sz w:val="14"/>
          <w:szCs w:val="14"/>
          <w:color w:val="auto"/>
        </w:rPr>
        <w:t xml:space="preserve">Section 4.05 </w:t>
      </w:r>
      <w:r>
        <w:rPr>
          <w:rFonts w:ascii="Times New Roman" w:cs="Times New Roman" w:eastAsia="Times New Roman" w:hAnsi="Times New Roman"/>
          <w:sz w:val="14"/>
          <w:szCs w:val="14"/>
          <w:u w:val="single" w:color="auto"/>
          <w:color w:val="auto"/>
        </w:rPr>
        <w:t>DEPOSITED MONEY AND U.S. GOVERNMENT OBLIGATIONS TO BE HELD IN TRUST; OTHER MISCELLANEOUS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PROVISIONS</w:t>
      </w:r>
      <w:r>
        <w:rPr>
          <w:rFonts w:ascii="Times New Roman" w:cs="Times New Roman" w:eastAsia="Times New Roman" w:hAnsi="Times New Roman"/>
          <w:sz w:val="14"/>
          <w:szCs w:val="14"/>
          <w:color w:val="auto"/>
        </w:rPr>
        <w:t>.</w:t>
      </w:r>
    </w:p>
    <w:p>
      <w:pPr>
        <w:spacing w:after="0" w:line="123" w:lineRule="exact"/>
        <w:rPr>
          <w:sz w:val="20"/>
          <w:szCs w:val="20"/>
          <w:color w:val="auto"/>
        </w:rPr>
      </w:pPr>
    </w:p>
    <w:p>
      <w:pPr>
        <w:ind w:left="120" w:right="159" w:firstLine="350"/>
        <w:spacing w:after="0" w:line="263" w:lineRule="auto"/>
        <w:rPr>
          <w:sz w:val="20"/>
          <w:szCs w:val="20"/>
          <w:color w:val="auto"/>
        </w:rPr>
      </w:pPr>
      <w:r>
        <w:rPr>
          <w:rFonts w:ascii="Times New Roman" w:cs="Times New Roman" w:eastAsia="Times New Roman" w:hAnsi="Times New Roman"/>
          <w:sz w:val="14"/>
          <w:szCs w:val="14"/>
          <w:color w:val="auto"/>
        </w:rPr>
        <w:t xml:space="preserve">Subject to the provisions of the last paragraph of </w:t>
      </w:r>
      <w:r>
        <w:rPr>
          <w:rFonts w:ascii="Times New Roman" w:cs="Times New Roman" w:eastAsia="Times New Roman" w:hAnsi="Times New Roman"/>
          <w:sz w:val="14"/>
          <w:szCs w:val="14"/>
          <w:u w:val="single" w:color="auto"/>
          <w:color w:val="auto"/>
        </w:rPr>
        <w:t>Section 10.03</w:t>
      </w:r>
      <w:r>
        <w:rPr>
          <w:rFonts w:ascii="Times New Roman" w:cs="Times New Roman" w:eastAsia="Times New Roman" w:hAnsi="Times New Roman"/>
          <w:sz w:val="14"/>
          <w:szCs w:val="14"/>
          <w:color w:val="auto"/>
        </w:rPr>
        <w:t xml:space="preserve">, all United States dollars and U.S. Government Obligations (including the proceeds thereof) deposited with the Trustee pursuant to </w:t>
      </w:r>
      <w:r>
        <w:rPr>
          <w:rFonts w:ascii="Times New Roman" w:cs="Times New Roman" w:eastAsia="Times New Roman" w:hAnsi="Times New Roman"/>
          <w:sz w:val="14"/>
          <w:szCs w:val="14"/>
          <w:u w:val="single" w:color="auto"/>
          <w:color w:val="auto"/>
        </w:rPr>
        <w:t>Section 4.04</w:t>
      </w:r>
      <w:r>
        <w:rPr>
          <w:rFonts w:ascii="Times New Roman" w:cs="Times New Roman" w:eastAsia="Times New Roman" w:hAnsi="Times New Roman"/>
          <w:sz w:val="14"/>
          <w:szCs w:val="14"/>
          <w:color w:val="auto"/>
        </w:rPr>
        <w:t xml:space="preserve"> in respect of the Defeased Securities of any series shall be held in trust and applied by the Trustee, in accordance with the provisions of such series of Securities and this Indenture, to the payment, either directly or through any Paying Agent (excluding the Company or any of its Affiliates acting as Paying Agent), as the Trustee may determine, to the Holders of such series of Securities of all sums due and to become due thereon in respect of principal, premium, if any, and interest, but such money need not be segregated from other funds except to the extent required by law.</w:t>
      </w:r>
    </w:p>
    <w:p>
      <w:pPr>
        <w:spacing w:after="0" w:line="143" w:lineRule="exact"/>
        <w:rPr>
          <w:sz w:val="20"/>
          <w:szCs w:val="20"/>
          <w:color w:val="auto"/>
        </w:rPr>
      </w:pPr>
    </w:p>
    <w:p>
      <w:pPr>
        <w:ind w:left="120" w:right="179" w:firstLine="350"/>
        <w:spacing w:after="0" w:line="268" w:lineRule="auto"/>
        <w:rPr>
          <w:sz w:val="20"/>
          <w:szCs w:val="20"/>
          <w:color w:val="auto"/>
        </w:rPr>
      </w:pPr>
      <w:r>
        <w:rPr>
          <w:rFonts w:ascii="Times New Roman" w:cs="Times New Roman" w:eastAsia="Times New Roman" w:hAnsi="Times New Roman"/>
          <w:sz w:val="14"/>
          <w:szCs w:val="14"/>
          <w:color w:val="auto"/>
        </w:rPr>
        <w:t xml:space="preserve">Unless otherwise specified with respect to any Security pursuant to </w:t>
      </w:r>
      <w:r>
        <w:rPr>
          <w:rFonts w:ascii="Times New Roman" w:cs="Times New Roman" w:eastAsia="Times New Roman" w:hAnsi="Times New Roman"/>
          <w:sz w:val="14"/>
          <w:szCs w:val="14"/>
          <w:u w:val="single" w:color="auto"/>
          <w:color w:val="auto"/>
        </w:rPr>
        <w:t>Section 3.01</w:t>
      </w:r>
      <w:r>
        <w:rPr>
          <w:rFonts w:ascii="Times New Roman" w:cs="Times New Roman" w:eastAsia="Times New Roman" w:hAnsi="Times New Roman"/>
          <w:sz w:val="14"/>
          <w:szCs w:val="14"/>
          <w:color w:val="auto"/>
        </w:rPr>
        <w:t xml:space="preserve">, the Company shall pay and indemnify the Trustee against any tax, fee or other charge imposed on or assessed against the U.S. Government Obligations deposited pursuant to </w:t>
      </w:r>
      <w:r>
        <w:rPr>
          <w:rFonts w:ascii="Times New Roman" w:cs="Times New Roman" w:eastAsia="Times New Roman" w:hAnsi="Times New Roman"/>
          <w:sz w:val="14"/>
          <w:szCs w:val="14"/>
          <w:u w:val="single" w:color="auto"/>
          <w:color w:val="auto"/>
        </w:rPr>
        <w:t>Section 4.04</w:t>
      </w:r>
      <w:r>
        <w:rPr>
          <w:rFonts w:ascii="Times New Roman" w:cs="Times New Roman" w:eastAsia="Times New Roman" w:hAnsi="Times New Roman"/>
          <w:sz w:val="14"/>
          <w:szCs w:val="14"/>
          <w:color w:val="auto"/>
        </w:rPr>
        <w:t xml:space="preserve"> or the principal and interest received in respect thereof other than any such tax, fee or other charge which by law is imposed, assessed or for the account of the Holders of the Defeased Securities.</w:t>
      </w:r>
    </w:p>
    <w:p>
      <w:pPr>
        <w:spacing w:after="0" w:line="139" w:lineRule="exact"/>
        <w:rPr>
          <w:sz w:val="20"/>
          <w:szCs w:val="20"/>
          <w:color w:val="auto"/>
        </w:rPr>
      </w:pPr>
    </w:p>
    <w:p>
      <w:pPr>
        <w:ind w:left="120" w:right="419" w:firstLine="350"/>
        <w:spacing w:after="0" w:line="268" w:lineRule="auto"/>
        <w:rPr>
          <w:sz w:val="20"/>
          <w:szCs w:val="20"/>
          <w:color w:val="auto"/>
        </w:rPr>
      </w:pPr>
      <w:r>
        <w:rPr>
          <w:rFonts w:ascii="Times New Roman" w:cs="Times New Roman" w:eastAsia="Times New Roman" w:hAnsi="Times New Roman"/>
          <w:sz w:val="14"/>
          <w:szCs w:val="14"/>
          <w:color w:val="auto"/>
        </w:rPr>
        <w:t xml:space="preserve">Anything in this </w:t>
      </w:r>
      <w:r>
        <w:rPr>
          <w:rFonts w:ascii="Times New Roman" w:cs="Times New Roman" w:eastAsia="Times New Roman" w:hAnsi="Times New Roman"/>
          <w:sz w:val="14"/>
          <w:szCs w:val="14"/>
          <w:u w:val="single" w:color="auto"/>
          <w:color w:val="auto"/>
        </w:rPr>
        <w:t>Article IV</w:t>
      </w:r>
      <w:r>
        <w:rPr>
          <w:rFonts w:ascii="Times New Roman" w:cs="Times New Roman" w:eastAsia="Times New Roman" w:hAnsi="Times New Roman"/>
          <w:sz w:val="14"/>
          <w:szCs w:val="14"/>
          <w:color w:val="auto"/>
        </w:rPr>
        <w:t xml:space="preserve"> to the contrary notwithstanding, the Trustee shall deliver or pay to the Company from time to time upon Company Request any United States dollars or U.S. Government Obligations held by it as provided in </w:t>
      </w:r>
      <w:r>
        <w:rPr>
          <w:rFonts w:ascii="Times New Roman" w:cs="Times New Roman" w:eastAsia="Times New Roman" w:hAnsi="Times New Roman"/>
          <w:sz w:val="14"/>
          <w:szCs w:val="14"/>
          <w:u w:val="single" w:color="auto"/>
          <w:color w:val="auto"/>
        </w:rPr>
        <w:t>Section 4.04</w:t>
      </w:r>
      <w:r>
        <w:rPr>
          <w:rFonts w:ascii="Times New Roman" w:cs="Times New Roman" w:eastAsia="Times New Roman" w:hAnsi="Times New Roman"/>
          <w:sz w:val="14"/>
          <w:szCs w:val="14"/>
          <w:color w:val="auto"/>
        </w:rPr>
        <w:t xml:space="preserve"> which, in the opinion of a nationally recognized firm of independent public accountants expressed in a written certification thereof delivered to the Trustee, are in excess of the amount thereof which would then be required to be deposited to effect defeasance or covenant defeasance.</w:t>
      </w:r>
    </w:p>
    <w:p>
      <w:pPr>
        <w:spacing w:after="0" w:line="1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4.06 </w:t>
      </w:r>
      <w:r>
        <w:rPr>
          <w:rFonts w:ascii="Times New Roman" w:cs="Times New Roman" w:eastAsia="Times New Roman" w:hAnsi="Times New Roman"/>
          <w:sz w:val="14"/>
          <w:szCs w:val="14"/>
          <w:u w:val="single" w:color="auto"/>
          <w:color w:val="auto"/>
        </w:rPr>
        <w:t>REINSTATEMENT</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 xml:space="preserve">If the Trustee or Paying Agent is unable to apply any United States dollars or U.S. Government Obligations in accordance with </w:t>
      </w:r>
      <w:r>
        <w:rPr>
          <w:rFonts w:ascii="Times New Roman" w:cs="Times New Roman" w:eastAsia="Times New Roman" w:hAnsi="Times New Roman"/>
          <w:sz w:val="14"/>
          <w:szCs w:val="14"/>
          <w:u w:val="single" w:color="auto"/>
          <w:color w:val="auto"/>
        </w:rPr>
        <w:t>Section 4.02</w:t>
      </w:r>
      <w:r>
        <w:rPr>
          <w:rFonts w:ascii="Times New Roman" w:cs="Times New Roman" w:eastAsia="Times New Roman" w:hAnsi="Times New Roman"/>
          <w:sz w:val="14"/>
          <w:szCs w:val="14"/>
          <w:color w:val="auto"/>
        </w:rPr>
        <w:t xml:space="preserve"> or</w:t>
      </w:r>
    </w:p>
    <w:p>
      <w:pPr>
        <w:spacing w:after="0" w:line="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u w:val="single" w:color="auto"/>
          <w:color w:val="auto"/>
        </w:rPr>
        <w:t>4.03</w:t>
      </w:r>
      <w:r>
        <w:rPr>
          <w:rFonts w:ascii="Times New Roman" w:cs="Times New Roman" w:eastAsia="Times New Roman" w:hAnsi="Times New Roman"/>
          <w:sz w:val="14"/>
          <w:szCs w:val="14"/>
          <w:color w:val="auto"/>
        </w:rPr>
        <w:t>, as the case may be, by reason of any order or judgment of any court or governmental authority enjoining, restraining or otherwise prohibiting such</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application, then the Company’s obligations under this Indenture and the applicable series of Securities shall be revived and reinstated, with present and</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prospective effect, as though no deposit had occurred pursuant to </w:t>
      </w:r>
      <w:r>
        <w:rPr>
          <w:rFonts w:ascii="Times New Roman" w:cs="Times New Roman" w:eastAsia="Times New Roman" w:hAnsi="Times New Roman"/>
          <w:sz w:val="14"/>
          <w:szCs w:val="14"/>
          <w:u w:val="single" w:color="auto"/>
          <w:color w:val="auto"/>
        </w:rPr>
        <w:t>Section 4.02</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4.03</w:t>
      </w:r>
      <w:r>
        <w:rPr>
          <w:rFonts w:ascii="Times New Roman" w:cs="Times New Roman" w:eastAsia="Times New Roman" w:hAnsi="Times New Roman"/>
          <w:sz w:val="14"/>
          <w:szCs w:val="14"/>
          <w:color w:val="auto"/>
        </w:rPr>
        <w:t>, as the case may be, until such time as the Trustee or Paying</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Agent is permitted to apply all such United States dollars or U.S. Government Obligations in accordance with </w:t>
      </w:r>
      <w:r>
        <w:rPr>
          <w:rFonts w:ascii="Times New Roman" w:cs="Times New Roman" w:eastAsia="Times New Roman" w:hAnsi="Times New Roman"/>
          <w:sz w:val="14"/>
          <w:szCs w:val="14"/>
          <w:u w:val="single" w:color="auto"/>
          <w:color w:val="auto"/>
        </w:rPr>
        <w:t>Section 4.02</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4.03</w:t>
      </w:r>
      <w:r>
        <w:rPr>
          <w:rFonts w:ascii="Times New Roman" w:cs="Times New Roman" w:eastAsia="Times New Roman" w:hAnsi="Times New Roman"/>
          <w:sz w:val="14"/>
          <w:szCs w:val="14"/>
          <w:color w:val="auto"/>
        </w:rPr>
        <w:t>, as the case may be;</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provided, however, that if the Company makes any payment to the Trustee or Paying Agent of principal of, premium, if any, or interest on any Security</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of such series following the reinstatement of its obligations, the Trustee or Paying Agent shall promptly pay any such amount to the Holders of the</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Securities of such series and the Company shall be subrogated to the rights of the Holders of such series of Securities to receive such payment from the</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United States dollars and U.S. Government Obligations held by the Trustee or Paying Agent pursuant to </w:t>
      </w:r>
      <w:r>
        <w:rPr>
          <w:rFonts w:ascii="Times New Roman" w:cs="Times New Roman" w:eastAsia="Times New Roman" w:hAnsi="Times New Roman"/>
          <w:sz w:val="14"/>
          <w:szCs w:val="14"/>
          <w:u w:val="single" w:color="auto"/>
          <w:color w:val="auto"/>
        </w:rPr>
        <w:t>Section 4.02</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4.03</w:t>
      </w:r>
      <w:r>
        <w:rPr>
          <w:rFonts w:ascii="Times New Roman" w:cs="Times New Roman" w:eastAsia="Times New Roman" w:hAnsi="Times New Roman"/>
          <w:sz w:val="14"/>
          <w:szCs w:val="14"/>
          <w:color w:val="auto"/>
        </w:rPr>
        <w:t>.</w:t>
      </w:r>
    </w:p>
    <w:p>
      <w:pPr>
        <w:spacing w:after="0" w:line="338"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4"/>
          <w:szCs w:val="14"/>
          <w:b w:val="1"/>
          <w:bCs w:val="1"/>
          <w:color w:val="auto"/>
        </w:rPr>
        <w:t>ARTICLE V</w:t>
      </w:r>
    </w:p>
    <w:p>
      <w:pPr>
        <w:spacing w:after="0" w:line="9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4"/>
          <w:szCs w:val="14"/>
          <w:b w:val="1"/>
          <w:bCs w:val="1"/>
          <w:color w:val="auto"/>
        </w:rPr>
        <w:t>REMEDIES</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5.01 </w:t>
      </w:r>
      <w:r>
        <w:rPr>
          <w:rFonts w:ascii="Times New Roman" w:cs="Times New Roman" w:eastAsia="Times New Roman" w:hAnsi="Times New Roman"/>
          <w:sz w:val="14"/>
          <w:szCs w:val="14"/>
          <w:u w:val="single" w:color="auto"/>
          <w:color w:val="auto"/>
        </w:rPr>
        <w:t>EVENTS OF DEFAULT</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120" w:right="319" w:firstLine="350"/>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Event of Default</w:t>
      </w:r>
      <w:r>
        <w:rPr>
          <w:rFonts w:ascii="Times New Roman" w:cs="Times New Roman" w:eastAsia="Times New Roman" w:hAnsi="Times New Roman"/>
          <w:sz w:val="14"/>
          <w:szCs w:val="14"/>
          <w:color w:val="auto"/>
        </w:rPr>
        <w:t xml:space="preserve">,” wherever used herein, means any one of the following events (whatever the reason for such Event of Default and whether it shall be voluntary or involuntary or be effected by operation of law or pursuant to any judgment, decree or order of any court or any order, rule or regulation of any administrative or governmental body) with respect to a particular series of Securities except as otherwise specified with respect to a series of Securities in accordance with the provisions of </w:t>
      </w:r>
      <w:r>
        <w:rPr>
          <w:rFonts w:ascii="Times New Roman" w:cs="Times New Roman" w:eastAsia="Times New Roman" w:hAnsi="Times New Roman"/>
          <w:sz w:val="14"/>
          <w:szCs w:val="14"/>
          <w:u w:val="single" w:color="auto"/>
          <w:color w:val="auto"/>
        </w:rPr>
        <w:t>Section 3.01</w:t>
      </w:r>
      <w:r>
        <w:rPr>
          <w:rFonts w:ascii="Times New Roman" w:cs="Times New Roman" w:eastAsia="Times New Roman" w:hAnsi="Times New Roman"/>
          <w:sz w:val="14"/>
          <w:szCs w:val="14"/>
          <w:color w:val="auto"/>
        </w:rPr>
        <w:t>:</w:t>
      </w:r>
    </w:p>
    <w:p>
      <w:pPr>
        <w:spacing w:after="0" w:line="53" w:lineRule="exact"/>
        <w:rPr>
          <w:sz w:val="20"/>
          <w:szCs w:val="20"/>
          <w:color w:val="auto"/>
        </w:rPr>
      </w:pPr>
    </w:p>
    <w:p>
      <w:pPr>
        <w:ind w:left="120" w:right="299" w:firstLine="357"/>
        <w:spacing w:after="0" w:line="292" w:lineRule="auto"/>
        <w:tabs>
          <w:tab w:leader="none" w:pos="664"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shall be a default in the payment of any installment of interest on any of the Securities of such series when it becomes due and payable, and such default shall continue for a period of 30 days;</w:t>
      </w:r>
    </w:p>
    <w:p>
      <w:pPr>
        <w:spacing w:after="0" w:line="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9019"/>
          </w:cols>
          <w:pgMar w:left="1440" w:top="243" w:right="1440" w:bottom="1440" w:gutter="0" w:footer="0" w:header="0"/>
        </w:sectPr>
      </w:pPr>
    </w:p>
    <w:bookmarkStart w:id="207" w:name="page208"/>
    <w:bookmarkEnd w:id="207"/>
    <w:p>
      <w:pPr>
        <w:ind w:left="120" w:right="179" w:firstLine="357"/>
        <w:spacing w:after="0" w:line="292" w:lineRule="auto"/>
        <w:tabs>
          <w:tab w:leader="none" w:pos="672"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7">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there shall be a default in the payment of the principal of (or premium, if any, on) any of the Securities of such series when it becomes due and payable, whether at Maturity, upon redemption by declaration or otherwise;</w:t>
      </w:r>
    </w:p>
    <w:p>
      <w:pPr>
        <w:spacing w:after="0" w:line="123" w:lineRule="exact"/>
        <w:rPr>
          <w:rFonts w:ascii="Times New Roman" w:cs="Times New Roman" w:eastAsia="Times New Roman" w:hAnsi="Times New Roman"/>
          <w:sz w:val="14"/>
          <w:szCs w:val="14"/>
          <w:color w:val="auto"/>
        </w:rPr>
      </w:pPr>
    </w:p>
    <w:p>
      <w:pPr>
        <w:ind w:left="120" w:right="159" w:firstLine="357"/>
        <w:spacing w:after="0" w:line="266" w:lineRule="auto"/>
        <w:tabs>
          <w:tab w:leader="none" w:pos="664"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there shall be a default in the performance, or breach, of any covenant or agreement of the Company or a Guarantor, if any, applicable to such series of Securities (other than a default in the performance, or breach, of a covenant or agreement which is specifically dealt with in </w:t>
      </w:r>
      <w:r>
        <w:rPr>
          <w:rFonts w:ascii="Times New Roman" w:cs="Times New Roman" w:eastAsia="Times New Roman" w:hAnsi="Times New Roman"/>
          <w:sz w:val="14"/>
          <w:szCs w:val="14"/>
          <w:u w:val="single" w:color="auto"/>
          <w:color w:val="auto"/>
        </w:rPr>
        <w:t>Subsections (a)</w:t>
      </w:r>
      <w:r>
        <w:rPr>
          <w:rFonts w:ascii="Times New Roman" w:cs="Times New Roman" w:eastAsia="Times New Roman" w:hAnsi="Times New Roman"/>
          <w:sz w:val="14"/>
          <w:szCs w:val="14"/>
          <w:color w:val="auto"/>
        </w:rPr>
        <w:t xml:space="preserve"> and</w:t>
      </w:r>
    </w:p>
    <w:p>
      <w:pPr>
        <w:ind w:left="1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(b)</w:t>
      </w:r>
      <w:r>
        <w:rPr>
          <w:rFonts w:ascii="Times New Roman" w:cs="Times New Roman" w:eastAsia="Times New Roman" w:hAnsi="Times New Roman"/>
          <w:sz w:val="14"/>
          <w:szCs w:val="14"/>
          <w:color w:val="auto"/>
        </w:rPr>
        <w:t>) and such default or breach shall continue for a period of 60 consecutive days after written notice to the Company has been given;</w:t>
      </w:r>
    </w:p>
    <w:p>
      <w:pPr>
        <w:spacing w:after="0" w:line="168" w:lineRule="exact"/>
        <w:rPr>
          <w:rFonts w:ascii="Times New Roman" w:cs="Times New Roman" w:eastAsia="Times New Roman" w:hAnsi="Times New Roman"/>
          <w:sz w:val="14"/>
          <w:szCs w:val="14"/>
          <w:color w:val="auto"/>
        </w:rPr>
      </w:pPr>
    </w:p>
    <w:p>
      <w:pPr>
        <w:jc w:val="both"/>
        <w:ind w:left="120" w:right="519" w:firstLine="357"/>
        <w:spacing w:after="0" w:line="274" w:lineRule="auto"/>
        <w:tabs>
          <w:tab w:leader="none" w:pos="672"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permitted by this Indenture or as provided in accordance with the provisions of </w:t>
      </w:r>
      <w:r>
        <w:rPr>
          <w:rFonts w:ascii="Times New Roman" w:cs="Times New Roman" w:eastAsia="Times New Roman" w:hAnsi="Times New Roman"/>
          <w:sz w:val="14"/>
          <w:szCs w:val="14"/>
          <w:u w:val="single" w:color="auto"/>
          <w:color w:val="auto"/>
        </w:rPr>
        <w:t>Section 3.01</w:t>
      </w:r>
      <w:r>
        <w:rPr>
          <w:rFonts w:ascii="Times New Roman" w:cs="Times New Roman" w:eastAsia="Times New Roman" w:hAnsi="Times New Roman"/>
          <w:sz w:val="14"/>
          <w:szCs w:val="14"/>
          <w:color w:val="auto"/>
        </w:rPr>
        <w:t>, any Guarantee of such series of Securities shall be held in any judicial proceeding to be unenforceable or invalid or shall cease for any reason to be in full force and effect or any Guarantor, or any Person acting on behalf of any Guarantor, shall deny or disaffirm its obligations under its Guarantee of such series of Securities;</w:t>
      </w:r>
    </w:p>
    <w:p>
      <w:pPr>
        <w:spacing w:after="0" w:line="135" w:lineRule="exact"/>
        <w:rPr>
          <w:rFonts w:ascii="Times New Roman" w:cs="Times New Roman" w:eastAsia="Times New Roman" w:hAnsi="Times New Roman"/>
          <w:sz w:val="14"/>
          <w:szCs w:val="14"/>
          <w:color w:val="auto"/>
        </w:rPr>
      </w:pPr>
    </w:p>
    <w:p>
      <w:pPr>
        <w:ind w:left="120" w:right="299" w:firstLine="357"/>
        <w:spacing w:after="0" w:line="292" w:lineRule="auto"/>
        <w:tabs>
          <w:tab w:leader="none" w:pos="664"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or any Restricted Subsidiary that is a Significant Subsidiary or any group of Restricted Subsidiaries that, taken together, would constitute a Significant Subsidiary, pursuant to or within the meaning of Bankruptcy Law:</w:t>
      </w:r>
    </w:p>
    <w:p>
      <w:pPr>
        <w:spacing w:after="0" w:line="37" w:lineRule="exact"/>
        <w:rPr>
          <w:sz w:val="20"/>
          <w:szCs w:val="20"/>
          <w:color w:val="auto"/>
        </w:rPr>
      </w:pPr>
    </w:p>
    <w:p>
      <w:pPr>
        <w:ind w:left="640" w:hanging="163"/>
        <w:spacing w:after="0"/>
        <w:tabs>
          <w:tab w:leader="none" w:pos="640"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commences a voluntary case,</w:t>
      </w:r>
    </w:p>
    <w:p>
      <w:pPr>
        <w:spacing w:after="0" w:line="182" w:lineRule="exact"/>
        <w:rPr>
          <w:rFonts w:ascii="Times New Roman" w:cs="Times New Roman" w:eastAsia="Times New Roman" w:hAnsi="Times New Roman"/>
          <w:sz w:val="14"/>
          <w:szCs w:val="14"/>
          <w:color w:val="auto"/>
        </w:rPr>
      </w:pPr>
    </w:p>
    <w:p>
      <w:pPr>
        <w:ind w:left="680" w:hanging="203"/>
        <w:spacing w:after="0"/>
        <w:tabs>
          <w:tab w:leader="none" w:pos="680"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consents to the entry of an order for relief against it in an involuntary case,</w:t>
      </w:r>
    </w:p>
    <w:p>
      <w:pPr>
        <w:spacing w:after="0" w:line="182" w:lineRule="exact"/>
        <w:rPr>
          <w:rFonts w:ascii="Times New Roman" w:cs="Times New Roman" w:eastAsia="Times New Roman" w:hAnsi="Times New Roman"/>
          <w:sz w:val="14"/>
          <w:szCs w:val="14"/>
          <w:color w:val="auto"/>
        </w:rPr>
      </w:pPr>
    </w:p>
    <w:p>
      <w:pPr>
        <w:ind w:left="720" w:hanging="243"/>
        <w:spacing w:after="0"/>
        <w:tabs>
          <w:tab w:leader="none" w:pos="720"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makes a general assignment for the benefit of its creditors, or</w:t>
      </w:r>
    </w:p>
    <w:p>
      <w:pPr>
        <w:spacing w:after="0" w:line="182" w:lineRule="exact"/>
        <w:rPr>
          <w:rFonts w:ascii="Times New Roman" w:cs="Times New Roman" w:eastAsia="Times New Roman" w:hAnsi="Times New Roman"/>
          <w:sz w:val="14"/>
          <w:szCs w:val="14"/>
          <w:color w:val="auto"/>
        </w:rPr>
      </w:pPr>
    </w:p>
    <w:p>
      <w:pPr>
        <w:ind w:left="720" w:hanging="243"/>
        <w:spacing w:after="0"/>
        <w:tabs>
          <w:tab w:leader="none" w:pos="720"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generally is not paying its debts as they become due; and</w:t>
      </w:r>
    </w:p>
    <w:p>
      <w:pPr>
        <w:spacing w:after="0" w:line="1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(f) a court of competent jurisdiction enters an order or decree under any Bankruptcy Law that:</w:t>
      </w:r>
    </w:p>
    <w:p>
      <w:pPr>
        <w:spacing w:after="0" w:line="97" w:lineRule="exact"/>
        <w:rPr>
          <w:sz w:val="20"/>
          <w:szCs w:val="20"/>
          <w:color w:val="auto"/>
        </w:rPr>
      </w:pPr>
    </w:p>
    <w:p>
      <w:pPr>
        <w:ind w:left="120" w:right="139" w:firstLine="357"/>
        <w:spacing w:after="0" w:line="292" w:lineRule="auto"/>
        <w:tabs>
          <w:tab w:leader="none" w:pos="641"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for relief against the Company or any Restricted Subsidiary that is a Significant Subsidiary or any group of Restricted Subsidiaries that, taken together, would constitute a Significant Subsidiary, in an involuntary case; or</w:t>
      </w:r>
    </w:p>
    <w:p>
      <w:pPr>
        <w:spacing w:after="0" w:line="123" w:lineRule="exact"/>
        <w:rPr>
          <w:rFonts w:ascii="Times New Roman" w:cs="Times New Roman" w:eastAsia="Times New Roman" w:hAnsi="Times New Roman"/>
          <w:sz w:val="14"/>
          <w:szCs w:val="14"/>
          <w:color w:val="auto"/>
        </w:rPr>
      </w:pPr>
    </w:p>
    <w:p>
      <w:pPr>
        <w:ind w:left="120" w:right="139" w:firstLine="357"/>
        <w:spacing w:after="0" w:line="274" w:lineRule="auto"/>
        <w:tabs>
          <w:tab w:leader="none" w:pos="680"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appoints a custodian of the Company or any Restricted Subsidiary that is a Significant Subsidiary or any group of Restricted Subsidiaries that, taken together, would constitute a Significant Subsidiary or for all or substantially all of the property of the Company or any Restricted Subsidiary that is a Significant Subsidiary or any group of Restricted Subsidiaries that, taken together, would constitute a Significant Subsidiary, or</w:t>
      </w:r>
    </w:p>
    <w:p>
      <w:pPr>
        <w:spacing w:after="0" w:line="135" w:lineRule="exact"/>
        <w:rPr>
          <w:rFonts w:ascii="Times New Roman" w:cs="Times New Roman" w:eastAsia="Times New Roman" w:hAnsi="Times New Roman"/>
          <w:sz w:val="14"/>
          <w:szCs w:val="14"/>
          <w:color w:val="auto"/>
        </w:rPr>
      </w:pPr>
    </w:p>
    <w:p>
      <w:pPr>
        <w:ind w:left="120" w:right="379" w:firstLine="357"/>
        <w:spacing w:after="0" w:line="292" w:lineRule="auto"/>
        <w:tabs>
          <w:tab w:leader="none" w:pos="720"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orders the liquidation of the Company or any Restricted Subsidiary that is a Significant Subsidiary or any group of Restricted Subsidiaries that, taken together, would constitute a Significant Subsidiary.</w:t>
      </w:r>
    </w:p>
    <w:p>
      <w:pPr>
        <w:spacing w:after="0" w:line="123" w:lineRule="exact"/>
        <w:rPr>
          <w:sz w:val="20"/>
          <w:szCs w:val="20"/>
          <w:color w:val="auto"/>
        </w:rPr>
      </w:pPr>
    </w:p>
    <w:p>
      <w:pPr>
        <w:ind w:left="120" w:right="3859" w:firstLine="357"/>
        <w:spacing w:after="0" w:line="511" w:lineRule="auto"/>
        <w:tabs>
          <w:tab w:leader="none" w:pos="672"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other Event of Default provided with respect to Securities of that series. Section 5.02 </w:t>
      </w:r>
      <w:r>
        <w:rPr>
          <w:rFonts w:ascii="Times New Roman" w:cs="Times New Roman" w:eastAsia="Times New Roman" w:hAnsi="Times New Roman"/>
          <w:sz w:val="14"/>
          <w:szCs w:val="14"/>
          <w:u w:val="single" w:color="auto"/>
          <w:color w:val="auto"/>
        </w:rPr>
        <w:t>ACCELERATION OF MATURITY; RESCISSION AND ANNULMENT</w:t>
      </w:r>
      <w:r>
        <w:rPr>
          <w:rFonts w:ascii="Times New Roman" w:cs="Times New Roman" w:eastAsia="Times New Roman" w:hAnsi="Times New Roman"/>
          <w:sz w:val="14"/>
          <w:szCs w:val="14"/>
          <w:color w:val="auto"/>
        </w:rPr>
        <w:t>.</w:t>
      </w:r>
    </w:p>
    <w:p>
      <w:pPr>
        <w:spacing w:after="0" w:line="1" w:lineRule="exact"/>
        <w:rPr>
          <w:sz w:val="20"/>
          <w:szCs w:val="20"/>
          <w:color w:val="auto"/>
        </w:rPr>
      </w:pPr>
    </w:p>
    <w:p>
      <w:pPr>
        <w:ind w:left="120" w:right="179" w:firstLine="350"/>
        <w:spacing w:after="0" w:line="259" w:lineRule="auto"/>
        <w:rPr>
          <w:sz w:val="20"/>
          <w:szCs w:val="20"/>
          <w:color w:val="auto"/>
        </w:rPr>
      </w:pPr>
      <w:r>
        <w:rPr>
          <w:rFonts w:ascii="Times New Roman" w:cs="Times New Roman" w:eastAsia="Times New Roman" w:hAnsi="Times New Roman"/>
          <w:sz w:val="14"/>
          <w:szCs w:val="14"/>
          <w:color w:val="auto"/>
        </w:rPr>
        <w:t xml:space="preserve">If an Event of Default (other than an Event of Default specified in </w:t>
      </w:r>
      <w:r>
        <w:rPr>
          <w:rFonts w:ascii="Times New Roman" w:cs="Times New Roman" w:eastAsia="Times New Roman" w:hAnsi="Times New Roman"/>
          <w:sz w:val="14"/>
          <w:szCs w:val="14"/>
          <w:u w:val="single" w:color="auto"/>
          <w:color w:val="auto"/>
        </w:rPr>
        <w:t>Section 5.01(e)</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5.01(f)</w:t>
      </w:r>
      <w:r>
        <w:rPr>
          <w:rFonts w:ascii="Times New Roman" w:cs="Times New Roman" w:eastAsia="Times New Roman" w:hAnsi="Times New Roman"/>
          <w:sz w:val="14"/>
          <w:szCs w:val="14"/>
          <w:color w:val="auto"/>
        </w:rPr>
        <w:t xml:space="preserve">) with respect to Securities of any series at the time Outstanding, shall occur and be continuing, unless the principal and interest with respect to all of the Securities of such series shall have already become due and payable, the Trustee or the Holders of at least 25% in aggregate principal amount of the Securities of that series (with each affected series voting as a separate class) then Outstanding may, and the Trustee at the request of such Holders shall, declare all unpaid principal of and accrued interest on all Securities of that series affected thereby to be due and payable immediately, by a notice in writing to the Company (and to the Trustee if given by the Holders of the Securities) and upon any such declaration, such principal and interest shall become due and payable immediately. If an Event of Default specified in </w:t>
      </w:r>
      <w:r>
        <w:rPr>
          <w:rFonts w:ascii="Times New Roman" w:cs="Times New Roman" w:eastAsia="Times New Roman" w:hAnsi="Times New Roman"/>
          <w:sz w:val="14"/>
          <w:szCs w:val="14"/>
          <w:u w:val="single" w:color="auto"/>
          <w:color w:val="auto"/>
        </w:rPr>
        <w:t>Subsection (e)</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Subsection (f)</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Section 5.01</w:t>
      </w:r>
      <w:r>
        <w:rPr>
          <w:rFonts w:ascii="Times New Roman" w:cs="Times New Roman" w:eastAsia="Times New Roman" w:hAnsi="Times New Roman"/>
          <w:sz w:val="14"/>
          <w:szCs w:val="14"/>
          <w:color w:val="auto"/>
        </w:rPr>
        <w:t xml:space="preserve"> occurs, unless the principal and interest with respect to the Securities shall have already become due and payable, then the Securities of all series shall ipso facto become and be due and payable immediately in an amount equal to the principal amount of the Securities, together with accrued and unpaid interest, if any, to the date the Securities become due and payable, without any declaration or other act on the part of the Trustee or any Holder. Thereupon, the Trustee may, at its discretion, proceed to protect and enforce the rights of the Holders of the Securities by appropriate judicial proceedings.</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9019"/>
          </w:cols>
          <w:pgMar w:left="1440" w:top="243" w:right="1440" w:bottom="1440" w:gutter="0" w:footer="0" w:header="0"/>
        </w:sectPr>
      </w:pPr>
    </w:p>
    <w:bookmarkStart w:id="208" w:name="page209"/>
    <w:bookmarkEnd w:id="208"/>
    <w:p>
      <w:pPr>
        <w:ind w:left="1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8">
                      <a:extLst>
                        <a:ext uri="{28A0092B-C50C-407E-A947-70E740481C1C}"/>
                      </a:extLst>
                    </a:blip>
                    <a:srcRect/>
                    <a:stretch>
                      <a:fillRect/>
                    </a:stretch>
                  </pic:blipFill>
                  <pic:spPr bwMode="auto">
                    <a:xfrm>
                      <a:off x="0" y="0"/>
                      <a:ext cx="7199630" cy="33020"/>
                    </a:xfrm>
                    <a:prstGeom prst="rect">
                      <a:avLst/>
                    </a:prstGeom>
                    <a:noFill/>
                  </pic:spPr>
                </pic:pic>
              </a:graphicData>
            </a:graphic>
          </wp:anchor>
        </w:drawing>
        <w:t xml:space="preserve">Section 5.03 </w:t>
      </w:r>
      <w:r>
        <w:rPr>
          <w:rFonts w:ascii="Times New Roman" w:cs="Times New Roman" w:eastAsia="Times New Roman" w:hAnsi="Times New Roman"/>
          <w:sz w:val="14"/>
          <w:szCs w:val="14"/>
          <w:u w:val="single" w:color="auto"/>
          <w:color w:val="auto"/>
        </w:rPr>
        <w:t>COLLECTION OF INDEBTEDNESS AND SUITS FOR ENFORCEMENT BY TRUSTEE</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120" w:right="179" w:firstLine="350"/>
        <w:spacing w:after="0" w:line="261" w:lineRule="auto"/>
        <w:rPr>
          <w:sz w:val="20"/>
          <w:szCs w:val="20"/>
          <w:color w:val="auto"/>
        </w:rPr>
      </w:pPr>
      <w:r>
        <w:rPr>
          <w:rFonts w:ascii="Times New Roman" w:cs="Times New Roman" w:eastAsia="Times New Roman" w:hAnsi="Times New Roman"/>
          <w:sz w:val="14"/>
          <w:szCs w:val="14"/>
          <w:color w:val="auto"/>
        </w:rPr>
        <w:t xml:space="preserve">If an Event of Default specified in </w:t>
      </w:r>
      <w:r>
        <w:rPr>
          <w:rFonts w:ascii="Times New Roman" w:cs="Times New Roman" w:eastAsia="Times New Roman" w:hAnsi="Times New Roman"/>
          <w:sz w:val="14"/>
          <w:szCs w:val="14"/>
          <w:u w:val="single" w:color="auto"/>
          <w:color w:val="auto"/>
        </w:rPr>
        <w:t>Section 5.01(a)</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5.01(b)</w:t>
      </w:r>
      <w:r>
        <w:rPr>
          <w:rFonts w:ascii="Times New Roman" w:cs="Times New Roman" w:eastAsia="Times New Roman" w:hAnsi="Times New Roman"/>
          <w:sz w:val="14"/>
          <w:szCs w:val="14"/>
          <w:color w:val="auto"/>
        </w:rPr>
        <w:t xml:space="preserve"> with respect to any Securities of a series occurs and is continuing, the Trustee, in its own name and as trustee of an express trust, may institute a judicial proceeding for the collection of the whole amount of principal and interest, remaining unpaid on such series of Securities, with interest upon the overdue principal, if any, and, to the extent that payment of such interest shall be legally enforceable, upon overdue installments of interest, at the rate borne by the Securities of such series; and, in addition thereto, such further amount as shall be sufficient to cover the costs and expenses of collection, including the reasonable compensation, expenses, disbursements and advances of the Trustee, its agents and counsel, and the Trustee may prosecute such proceeding to judgment or final decree, and may enforce the same against the Company or any other obligor upon the Securities of such series and collect the moneys adjudged or decreed to be payable in the manner provided by law out of the property of the Company or any other obligor upon the Securities of such series, wherever situated.</w:t>
      </w:r>
    </w:p>
    <w:p>
      <w:pPr>
        <w:spacing w:after="0" w:line="144" w:lineRule="exact"/>
        <w:rPr>
          <w:sz w:val="20"/>
          <w:szCs w:val="20"/>
          <w:color w:val="auto"/>
        </w:rPr>
      </w:pPr>
    </w:p>
    <w:p>
      <w:pPr>
        <w:ind w:left="120" w:right="219" w:firstLine="350"/>
        <w:spacing w:after="0" w:line="265" w:lineRule="auto"/>
        <w:rPr>
          <w:sz w:val="20"/>
          <w:szCs w:val="20"/>
          <w:color w:val="auto"/>
        </w:rPr>
      </w:pPr>
      <w:r>
        <w:rPr>
          <w:rFonts w:ascii="Times New Roman" w:cs="Times New Roman" w:eastAsia="Times New Roman" w:hAnsi="Times New Roman"/>
          <w:sz w:val="14"/>
          <w:szCs w:val="14"/>
          <w:color w:val="auto"/>
        </w:rPr>
        <w:t xml:space="preserve">If an Event of Default occurs and is continuing, the Trustee may in its discretion proceed to protect and enforce its rights and the rights of the Holders under this Indenture by such appropriate private or judicial proceedings as the Trustee shall deem most effectual to protect and enforce such rights, whether for the specific enforcement of any covenant or agreement in this Indenture or in aid of the exercise of any power granted herein, or to enforce any other proper remedy, subject however to </w:t>
      </w:r>
      <w:r>
        <w:rPr>
          <w:rFonts w:ascii="Times New Roman" w:cs="Times New Roman" w:eastAsia="Times New Roman" w:hAnsi="Times New Roman"/>
          <w:sz w:val="14"/>
          <w:szCs w:val="14"/>
          <w:u w:val="single" w:color="auto"/>
          <w:color w:val="auto"/>
        </w:rPr>
        <w:t>Section 5.12</w:t>
      </w:r>
      <w:r>
        <w:rPr>
          <w:rFonts w:ascii="Times New Roman" w:cs="Times New Roman" w:eastAsia="Times New Roman" w:hAnsi="Times New Roman"/>
          <w:sz w:val="14"/>
          <w:szCs w:val="14"/>
          <w:color w:val="auto"/>
        </w:rPr>
        <w:t>. No recovery of any such judgment upon any property of the Company shall affect or impair any rights, powers or remedies of the Trustee or the Holders.</w:t>
      </w:r>
    </w:p>
    <w:p>
      <w:pPr>
        <w:spacing w:after="0" w:line="1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5.04 </w:t>
      </w:r>
      <w:r>
        <w:rPr>
          <w:rFonts w:ascii="Times New Roman" w:cs="Times New Roman" w:eastAsia="Times New Roman" w:hAnsi="Times New Roman"/>
          <w:sz w:val="14"/>
          <w:szCs w:val="14"/>
          <w:u w:val="single" w:color="auto"/>
          <w:color w:val="auto"/>
        </w:rPr>
        <w:t>TRUSTEE MAY FILE PROOFS OF CLAIM.</w:t>
      </w:r>
    </w:p>
    <w:p>
      <w:pPr>
        <w:spacing w:after="0" w:line="182" w:lineRule="exact"/>
        <w:rPr>
          <w:sz w:val="20"/>
          <w:szCs w:val="20"/>
          <w:color w:val="auto"/>
        </w:rPr>
      </w:pPr>
    </w:p>
    <w:p>
      <w:pPr>
        <w:ind w:left="120" w:right="159" w:firstLine="350"/>
        <w:spacing w:after="0" w:line="265" w:lineRule="auto"/>
        <w:rPr>
          <w:sz w:val="20"/>
          <w:szCs w:val="20"/>
          <w:color w:val="auto"/>
        </w:rPr>
      </w:pPr>
      <w:r>
        <w:rPr>
          <w:rFonts w:ascii="Times New Roman" w:cs="Times New Roman" w:eastAsia="Times New Roman" w:hAnsi="Times New Roman"/>
          <w:sz w:val="14"/>
          <w:szCs w:val="14"/>
          <w:color w:val="auto"/>
        </w:rPr>
        <w:t>In case of the pendency of any receivership, insolvency, liquidation, bankruptcy, reorganization, arrangement, adjustment, composition or other judicial proceeding relative to the Company or any other obligor upon the Securities of any series or the property of the Company or of such other obligor or their creditors, the Trustee (irrespective of whether the principal of such series of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w:t>
      </w:r>
    </w:p>
    <w:p>
      <w:pPr>
        <w:spacing w:after="0" w:line="141" w:lineRule="exact"/>
        <w:rPr>
          <w:sz w:val="20"/>
          <w:szCs w:val="20"/>
          <w:color w:val="auto"/>
        </w:rPr>
      </w:pPr>
    </w:p>
    <w:p>
      <w:pPr>
        <w:ind w:left="120" w:right="239" w:firstLine="357"/>
        <w:spacing w:after="0" w:line="274" w:lineRule="auto"/>
        <w:tabs>
          <w:tab w:leader="none" w:pos="664"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proofs of claim and such other papers or documents as may be necessary or advisable in order to have the claims of the Trustee (including any claim for the reasonable compensation, expenses, disbursements and advances of the Trustee, its agents and counsel) and of the Holders of the Securities of such series allowed in such judicial proceeding, and</w:t>
      </w:r>
    </w:p>
    <w:p>
      <w:pPr>
        <w:spacing w:after="0" w:line="135" w:lineRule="exact"/>
        <w:rPr>
          <w:rFonts w:ascii="Times New Roman" w:cs="Times New Roman" w:eastAsia="Times New Roman" w:hAnsi="Times New Roman"/>
          <w:sz w:val="14"/>
          <w:szCs w:val="14"/>
          <w:color w:val="auto"/>
        </w:rPr>
      </w:pPr>
    </w:p>
    <w:p>
      <w:pPr>
        <w:ind w:left="680" w:hanging="203"/>
        <w:spacing w:after="0"/>
        <w:tabs>
          <w:tab w:leader="none" w:pos="680"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collect and receive any moneys or other property payable or deliverable on any such claims and to distribute the same;</w:t>
      </w:r>
    </w:p>
    <w:p>
      <w:pPr>
        <w:spacing w:after="0" w:line="182" w:lineRule="exact"/>
        <w:rPr>
          <w:sz w:val="20"/>
          <w:szCs w:val="20"/>
          <w:color w:val="auto"/>
        </w:rPr>
      </w:pPr>
    </w:p>
    <w:p>
      <w:pPr>
        <w:ind w:left="120" w:right="179" w:firstLine="350"/>
        <w:spacing w:after="0" w:line="268" w:lineRule="auto"/>
        <w:rPr>
          <w:sz w:val="20"/>
          <w:szCs w:val="20"/>
          <w:color w:val="auto"/>
        </w:rPr>
      </w:pPr>
      <w:r>
        <w:rPr>
          <w:rFonts w:ascii="Times New Roman" w:cs="Times New Roman" w:eastAsia="Times New Roman" w:hAnsi="Times New Roman"/>
          <w:sz w:val="14"/>
          <w:szCs w:val="14"/>
          <w:color w:val="auto"/>
        </w:rPr>
        <w:t xml:space="preserve">and any custodian, receiver, assignee, trustee, liquidator, sequestrator or similar official in any such judicial proceeding is hereby authorized by each Holder to make such payments to the Trustee and, in the event that the Trustee shall consent to the making of such payments directly to the Holders, to pay the Trustee any amount due it for the reasonable compensation, fees and expenses, disbursements and advances of the Trustee, its agents and counsel, and any other amounts due the Trustee under </w:t>
      </w:r>
      <w:r>
        <w:rPr>
          <w:rFonts w:ascii="Times New Roman" w:cs="Times New Roman" w:eastAsia="Times New Roman" w:hAnsi="Times New Roman"/>
          <w:sz w:val="14"/>
          <w:szCs w:val="14"/>
          <w:u w:val="single" w:color="auto"/>
          <w:color w:val="auto"/>
        </w:rPr>
        <w:t>Section 6.07</w:t>
      </w:r>
      <w:r>
        <w:rPr>
          <w:rFonts w:ascii="Times New Roman" w:cs="Times New Roman" w:eastAsia="Times New Roman" w:hAnsi="Times New Roman"/>
          <w:sz w:val="14"/>
          <w:szCs w:val="14"/>
          <w:color w:val="auto"/>
        </w:rPr>
        <w:t>.</w:t>
      </w:r>
    </w:p>
    <w:p>
      <w:pPr>
        <w:spacing w:after="0" w:line="139" w:lineRule="exact"/>
        <w:rPr>
          <w:sz w:val="20"/>
          <w:szCs w:val="20"/>
          <w:color w:val="auto"/>
        </w:rPr>
      </w:pPr>
    </w:p>
    <w:p>
      <w:pPr>
        <w:jc w:val="both"/>
        <w:ind w:left="120" w:right="259" w:firstLine="350"/>
        <w:spacing w:after="0" w:line="274" w:lineRule="auto"/>
        <w:rPr>
          <w:sz w:val="20"/>
          <w:szCs w:val="20"/>
          <w:color w:val="auto"/>
        </w:rPr>
      </w:pPr>
      <w:r>
        <w:rPr>
          <w:rFonts w:ascii="Times New Roman" w:cs="Times New Roman" w:eastAsia="Times New Roman" w:hAnsi="Times New Roman"/>
          <w:sz w:val="14"/>
          <w:szCs w:val="14"/>
          <w:color w:val="auto"/>
        </w:rPr>
        <w:t>Nothing herein contained shall be deemed to authorize the Trustee to authorize or consent to or accept or adopt on behalf of any Holder any plan of reorganization, arrangement, adjustment or composition affecting the Securities of any series or the rights of any Holder thereof, or to authorize the Trustee to vote in respect of the claim of any Holder in any such proceeding.</w:t>
      </w:r>
    </w:p>
    <w:p>
      <w:pPr>
        <w:spacing w:after="0" w:line="13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 xml:space="preserve">For purposes of this </w:t>
      </w:r>
      <w:r>
        <w:rPr>
          <w:rFonts w:ascii="Times New Roman" w:cs="Times New Roman" w:eastAsia="Times New Roman" w:hAnsi="Times New Roman"/>
          <w:sz w:val="14"/>
          <w:szCs w:val="14"/>
          <w:u w:val="single" w:color="auto"/>
          <w:color w:val="auto"/>
        </w:rPr>
        <w:t>Section 5.04</w:t>
      </w:r>
      <w:r>
        <w:rPr>
          <w:rFonts w:ascii="Times New Roman" w:cs="Times New Roman" w:eastAsia="Times New Roman" w:hAnsi="Times New Roman"/>
          <w:sz w:val="14"/>
          <w:szCs w:val="14"/>
          <w:color w:val="auto"/>
        </w:rPr>
        <w:t>, the Trustee is hereby designated as the attorney-in-fact for the Holders.</w:t>
      </w:r>
    </w:p>
    <w:p>
      <w:pPr>
        <w:spacing w:after="0" w:line="1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5.05 </w:t>
      </w:r>
      <w:r>
        <w:rPr>
          <w:rFonts w:ascii="Times New Roman" w:cs="Times New Roman" w:eastAsia="Times New Roman" w:hAnsi="Times New Roman"/>
          <w:sz w:val="14"/>
          <w:szCs w:val="14"/>
          <w:u w:val="single" w:color="auto"/>
          <w:color w:val="auto"/>
        </w:rPr>
        <w:t>TRUSTEE MAY ENFORCE CLAIMS WITHOUT POSSESSION OF SECURITIES</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120" w:right="159" w:firstLine="350"/>
        <w:spacing w:after="0" w:line="265" w:lineRule="auto"/>
        <w:rPr>
          <w:sz w:val="20"/>
          <w:szCs w:val="20"/>
          <w:color w:val="auto"/>
        </w:rPr>
      </w:pPr>
      <w:r>
        <w:rPr>
          <w:rFonts w:ascii="Times New Roman" w:cs="Times New Roman" w:eastAsia="Times New Roman" w:hAnsi="Times New Roman"/>
          <w:sz w:val="14"/>
          <w:szCs w:val="14"/>
          <w:color w:val="auto"/>
        </w:rPr>
        <w:t>All rights of action and claims under this Indenture with respect to any series of Securities may be prosecuted and enforced by the Trustee without the possession of any of the Securities of such series or the production thereof in any proceeding relating thereto, and any such proceeding instituted by the Trustee shall be brought in its own name and as trustee of an express trust, and any recovery of judgment shall, after provision for the payment of the reasonable compensation, fees and expenses, disbursements and advances of the Trustee, its agents and counsel, be for the ratable benefit of the Holders of the Securities of such series in respect of which such judgment has been recovered.</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9019"/>
          </w:cols>
          <w:pgMar w:left="1440" w:top="243" w:right="1440" w:bottom="1440" w:gutter="0" w:footer="0" w:header="0"/>
        </w:sectPr>
      </w:pPr>
    </w:p>
    <w:bookmarkStart w:id="209" w:name="page210"/>
    <w:bookmarkEnd w:id="209"/>
    <w:p>
      <w:pPr>
        <w:ind w:left="1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9">
                      <a:extLst>
                        <a:ext uri="{28A0092B-C50C-407E-A947-70E740481C1C}"/>
                      </a:extLst>
                    </a:blip>
                    <a:srcRect/>
                    <a:stretch>
                      <a:fillRect/>
                    </a:stretch>
                  </pic:blipFill>
                  <pic:spPr bwMode="auto">
                    <a:xfrm>
                      <a:off x="0" y="0"/>
                      <a:ext cx="7199630" cy="33020"/>
                    </a:xfrm>
                    <a:prstGeom prst="rect">
                      <a:avLst/>
                    </a:prstGeom>
                    <a:noFill/>
                  </pic:spPr>
                </pic:pic>
              </a:graphicData>
            </a:graphic>
          </wp:anchor>
        </w:drawing>
        <w:t xml:space="preserve">Section 5.06 </w:t>
      </w:r>
      <w:r>
        <w:rPr>
          <w:rFonts w:ascii="Times New Roman" w:cs="Times New Roman" w:eastAsia="Times New Roman" w:hAnsi="Times New Roman"/>
          <w:sz w:val="14"/>
          <w:szCs w:val="14"/>
          <w:u w:val="single" w:color="auto"/>
          <w:color w:val="auto"/>
        </w:rPr>
        <w:t>APPLICATION OF MONEY COLLECTED.</w:t>
      </w:r>
    </w:p>
    <w:p>
      <w:pPr>
        <w:spacing w:after="0" w:line="182" w:lineRule="exact"/>
        <w:rPr>
          <w:sz w:val="20"/>
          <w:szCs w:val="20"/>
          <w:color w:val="auto"/>
        </w:rPr>
      </w:pPr>
    </w:p>
    <w:p>
      <w:pPr>
        <w:ind w:left="120" w:right="179" w:firstLine="350"/>
        <w:spacing w:after="0" w:line="265" w:lineRule="auto"/>
        <w:rPr>
          <w:sz w:val="20"/>
          <w:szCs w:val="20"/>
          <w:color w:val="auto"/>
        </w:rPr>
      </w:pPr>
      <w:r>
        <w:rPr>
          <w:rFonts w:ascii="Times New Roman" w:cs="Times New Roman" w:eastAsia="Times New Roman" w:hAnsi="Times New Roman"/>
          <w:sz w:val="14"/>
          <w:szCs w:val="14"/>
          <w:color w:val="auto"/>
        </w:rPr>
        <w:t xml:space="preserve">Any money collected by the Trustee pursuant to this </w:t>
      </w:r>
      <w:r>
        <w:rPr>
          <w:rFonts w:ascii="Times New Roman" w:cs="Times New Roman" w:eastAsia="Times New Roman" w:hAnsi="Times New Roman"/>
          <w:sz w:val="14"/>
          <w:szCs w:val="14"/>
          <w:u w:val="single" w:color="auto"/>
          <w:color w:val="auto"/>
        </w:rPr>
        <w:t>Article V</w:t>
      </w:r>
      <w:r>
        <w:rPr>
          <w:rFonts w:ascii="Times New Roman" w:cs="Times New Roman" w:eastAsia="Times New Roman" w:hAnsi="Times New Roman"/>
          <w:sz w:val="14"/>
          <w:szCs w:val="14"/>
          <w:color w:val="auto"/>
        </w:rPr>
        <w:t xml:space="preserve"> or otherwise on behalf of the Holders or the Trustee pursuant to this </w:t>
      </w:r>
      <w:r>
        <w:rPr>
          <w:rFonts w:ascii="Times New Roman" w:cs="Times New Roman" w:eastAsia="Times New Roman" w:hAnsi="Times New Roman"/>
          <w:sz w:val="14"/>
          <w:szCs w:val="14"/>
          <w:u w:val="single" w:color="auto"/>
          <w:color w:val="auto"/>
        </w:rPr>
        <w:t>Article V</w:t>
      </w:r>
      <w:r>
        <w:rPr>
          <w:rFonts w:ascii="Times New Roman" w:cs="Times New Roman" w:eastAsia="Times New Roman" w:hAnsi="Times New Roman"/>
          <w:sz w:val="14"/>
          <w:szCs w:val="14"/>
          <w:color w:val="auto"/>
        </w:rPr>
        <w:t xml:space="preserve"> or through any proceeding or any arrangement or restructuring in anticipation or in lieu of any proceeding contemplated by this </w:t>
      </w:r>
      <w:r>
        <w:rPr>
          <w:rFonts w:ascii="Times New Roman" w:cs="Times New Roman" w:eastAsia="Times New Roman" w:hAnsi="Times New Roman"/>
          <w:sz w:val="14"/>
          <w:szCs w:val="14"/>
          <w:u w:val="single" w:color="auto"/>
          <w:color w:val="auto"/>
        </w:rPr>
        <w:t>Article V</w:t>
      </w:r>
      <w:r>
        <w:rPr>
          <w:rFonts w:ascii="Times New Roman" w:cs="Times New Roman" w:eastAsia="Times New Roman" w:hAnsi="Times New Roman"/>
          <w:sz w:val="14"/>
          <w:szCs w:val="14"/>
          <w:color w:val="auto"/>
        </w:rPr>
        <w:t xml:space="preserve"> shall be applied, subject to applicable law, in the following order, at the date or dates fixed by the Trustee and, in case of the distribution of such money on account of principal, premium, if any, or interest, upon presentation of the several Securities and the notation thereon of the payment if only partially paid and upon surrender thereof if fully paid:</w:t>
      </w:r>
    </w:p>
    <w:p>
      <w:pPr>
        <w:spacing w:after="0" w:line="5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 xml:space="preserve">FIRST: To the payment of all amounts due the Trustee under </w:t>
      </w:r>
      <w:r>
        <w:rPr>
          <w:rFonts w:ascii="Times New Roman" w:cs="Times New Roman" w:eastAsia="Times New Roman" w:hAnsi="Times New Roman"/>
          <w:sz w:val="14"/>
          <w:szCs w:val="14"/>
          <w:u w:val="single" w:color="auto"/>
          <w:color w:val="auto"/>
        </w:rPr>
        <w:t>Section 6.07</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 xml:space="preserve">SECOND: To the extent provided in </w:t>
      </w:r>
      <w:r>
        <w:rPr>
          <w:rFonts w:ascii="Times New Roman" w:cs="Times New Roman" w:eastAsia="Times New Roman" w:hAnsi="Times New Roman"/>
          <w:sz w:val="14"/>
          <w:szCs w:val="14"/>
          <w:u w:val="single" w:color="auto"/>
          <w:color w:val="auto"/>
        </w:rPr>
        <w:t>Article XIV</w:t>
      </w:r>
      <w:r>
        <w:rPr>
          <w:rFonts w:ascii="Times New Roman" w:cs="Times New Roman" w:eastAsia="Times New Roman" w:hAnsi="Times New Roman"/>
          <w:sz w:val="14"/>
          <w:szCs w:val="14"/>
          <w:color w:val="auto"/>
        </w:rPr>
        <w:t xml:space="preserve">, to the holders of Senior Debt of the Company in accordance with </w:t>
      </w:r>
      <w:r>
        <w:rPr>
          <w:rFonts w:ascii="Times New Roman" w:cs="Times New Roman" w:eastAsia="Times New Roman" w:hAnsi="Times New Roman"/>
          <w:sz w:val="14"/>
          <w:szCs w:val="14"/>
          <w:u w:val="single" w:color="auto"/>
          <w:color w:val="auto"/>
        </w:rPr>
        <w:t>Article XIV</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120" w:right="179" w:firstLine="350"/>
        <w:spacing w:after="0" w:line="268" w:lineRule="auto"/>
        <w:rPr>
          <w:sz w:val="20"/>
          <w:szCs w:val="20"/>
          <w:color w:val="auto"/>
        </w:rPr>
      </w:pPr>
      <w:r>
        <w:rPr>
          <w:rFonts w:ascii="Times New Roman" w:cs="Times New Roman" w:eastAsia="Times New Roman" w:hAnsi="Times New Roman"/>
          <w:sz w:val="14"/>
          <w:szCs w:val="14"/>
          <w:color w:val="auto"/>
        </w:rPr>
        <w:t>THIRD: To the payment of the amounts then due and unpaid upon the Securities for principal and interest, in respect of which or for the benefit of which such money has been collected, on the Securities of such series in the order of the maturity of the installments of such interest, such payments to be made ratably to the Persons entitled thereto, without preference or priority of any kind, according to the amounts due and payable on such Securities for principal, premium, if any, and interest; and</w:t>
      </w:r>
    </w:p>
    <w:p>
      <w:pPr>
        <w:spacing w:after="0" w:line="139" w:lineRule="exact"/>
        <w:rPr>
          <w:sz w:val="20"/>
          <w:szCs w:val="20"/>
          <w:color w:val="auto"/>
        </w:rPr>
      </w:pPr>
    </w:p>
    <w:p>
      <w:pPr>
        <w:ind w:left="120" w:right="479" w:firstLine="350"/>
        <w:spacing w:after="0" w:line="292" w:lineRule="auto"/>
        <w:rPr>
          <w:sz w:val="20"/>
          <w:szCs w:val="20"/>
          <w:color w:val="auto"/>
        </w:rPr>
      </w:pPr>
      <w:r>
        <w:rPr>
          <w:rFonts w:ascii="Times New Roman" w:cs="Times New Roman" w:eastAsia="Times New Roman" w:hAnsi="Times New Roman"/>
          <w:sz w:val="14"/>
          <w:szCs w:val="14"/>
          <w:color w:val="auto"/>
        </w:rPr>
        <w:t>FOURTH: The balance, if any, to the Person or Persons entitled thereto, including the Company, provided that all sums due and owing to the Holders and the Trustee have been paid in full as required by this Indenture.</w:t>
      </w:r>
    </w:p>
    <w:p>
      <w:pPr>
        <w:spacing w:after="0" w:line="1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5.07 </w:t>
      </w:r>
      <w:r>
        <w:rPr>
          <w:rFonts w:ascii="Times New Roman" w:cs="Times New Roman" w:eastAsia="Times New Roman" w:hAnsi="Times New Roman"/>
          <w:sz w:val="14"/>
          <w:szCs w:val="14"/>
          <w:u w:val="single" w:color="auto"/>
          <w:color w:val="auto"/>
        </w:rPr>
        <w:t>LIMITATION ON SUITS</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120" w:right="319" w:firstLine="350"/>
        <w:spacing w:after="0" w:line="292" w:lineRule="auto"/>
        <w:rPr>
          <w:sz w:val="20"/>
          <w:szCs w:val="20"/>
          <w:color w:val="auto"/>
        </w:rPr>
      </w:pPr>
      <w:r>
        <w:rPr>
          <w:rFonts w:ascii="Times New Roman" w:cs="Times New Roman" w:eastAsia="Times New Roman" w:hAnsi="Times New Roman"/>
          <w:sz w:val="14"/>
          <w:szCs w:val="14"/>
          <w:color w:val="auto"/>
        </w:rPr>
        <w:t>No Holder of any series of Securities shall have any right to institute any proceeding, judicial or otherwise, with respect to this Indenture or any series of Securities, or for the appointment of a receiver or trustee, or for any other remedy hereunder, unless:</w:t>
      </w:r>
    </w:p>
    <w:p>
      <w:pPr>
        <w:spacing w:after="0" w:line="37" w:lineRule="exact"/>
        <w:rPr>
          <w:sz w:val="20"/>
          <w:szCs w:val="20"/>
          <w:color w:val="auto"/>
        </w:rPr>
      </w:pPr>
    </w:p>
    <w:p>
      <w:pPr>
        <w:ind w:left="680" w:hanging="203"/>
        <w:spacing w:after="0"/>
        <w:tabs>
          <w:tab w:leader="none" w:pos="680"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Holder has previously given written notice to the Trustee of a continuing Event of Default with respect to the Securities of that series;</w:t>
      </w:r>
    </w:p>
    <w:p>
      <w:pPr>
        <w:spacing w:after="0" w:line="182" w:lineRule="exact"/>
        <w:rPr>
          <w:rFonts w:ascii="Times New Roman" w:cs="Times New Roman" w:eastAsia="Times New Roman" w:hAnsi="Times New Roman"/>
          <w:sz w:val="14"/>
          <w:szCs w:val="14"/>
          <w:color w:val="auto"/>
        </w:rPr>
      </w:pPr>
    </w:p>
    <w:p>
      <w:pPr>
        <w:ind w:left="120" w:right="259" w:firstLine="357"/>
        <w:spacing w:after="0" w:line="266" w:lineRule="auto"/>
        <w:tabs>
          <w:tab w:leader="none" w:pos="672"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 not less than 25% in aggregate principal amount of the Outstanding Securities of that series shall have made written request to the Trustee to institute proceedings in respect of such Event of Default in its own name as trustee hereunder;</w:t>
      </w:r>
    </w:p>
    <w:p>
      <w:pPr>
        <w:ind w:left="120" w:right="159" w:firstLine="357"/>
        <w:spacing w:after="0" w:line="271" w:lineRule="auto"/>
        <w:tabs>
          <w:tab w:leader="none" w:pos="664"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Holder or Holders have offered to the Trustee indemnity satisfactory to it against the costs, fees and expenses and liabilities to be incurred in compliance with such request;</w:t>
      </w:r>
    </w:p>
    <w:p>
      <w:pPr>
        <w:spacing w:after="0" w:line="137" w:lineRule="exact"/>
        <w:rPr>
          <w:rFonts w:ascii="Times New Roman" w:cs="Times New Roman" w:eastAsia="Times New Roman" w:hAnsi="Times New Roman"/>
          <w:sz w:val="14"/>
          <w:szCs w:val="14"/>
          <w:color w:val="auto"/>
        </w:rPr>
      </w:pPr>
    </w:p>
    <w:p>
      <w:pPr>
        <w:ind w:left="120" w:right="319" w:firstLine="357"/>
        <w:spacing w:after="0" w:line="292" w:lineRule="auto"/>
        <w:tabs>
          <w:tab w:leader="none" w:pos="672"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for 60 days after its receipt of such notice, request and offer (and, if requested, provision) of indemnity has failed to institute any such proceeding; and</w:t>
      </w:r>
    </w:p>
    <w:p>
      <w:pPr>
        <w:spacing w:after="0" w:line="123" w:lineRule="exact"/>
        <w:rPr>
          <w:rFonts w:ascii="Times New Roman" w:cs="Times New Roman" w:eastAsia="Times New Roman" w:hAnsi="Times New Roman"/>
          <w:sz w:val="14"/>
          <w:szCs w:val="14"/>
          <w:color w:val="auto"/>
        </w:rPr>
      </w:pPr>
    </w:p>
    <w:p>
      <w:pPr>
        <w:ind w:left="120" w:right="419" w:firstLine="357"/>
        <w:spacing w:after="0" w:line="292" w:lineRule="auto"/>
        <w:tabs>
          <w:tab w:leader="none" w:pos="664"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direction inconsistent with such written request has been given to the Trustee during such 60-day period by the Holders of a majority in aggregate principal amount of the Outstanding Securities of the affected series;</w:t>
      </w:r>
    </w:p>
    <w:p>
      <w:pPr>
        <w:spacing w:after="0" w:line="123" w:lineRule="exact"/>
        <w:rPr>
          <w:sz w:val="20"/>
          <w:szCs w:val="20"/>
          <w:color w:val="auto"/>
        </w:rPr>
      </w:pPr>
    </w:p>
    <w:p>
      <w:pPr>
        <w:ind w:left="120" w:right="199" w:firstLine="350"/>
        <w:spacing w:after="0" w:line="265" w:lineRule="auto"/>
        <w:rPr>
          <w:sz w:val="20"/>
          <w:szCs w:val="20"/>
          <w:color w:val="auto"/>
        </w:rPr>
      </w:pPr>
      <w:r>
        <w:rPr>
          <w:rFonts w:ascii="Times New Roman" w:cs="Times New Roman" w:eastAsia="Times New Roman" w:hAnsi="Times New Roman"/>
          <w:sz w:val="14"/>
          <w:szCs w:val="14"/>
          <w:color w:val="auto"/>
        </w:rPr>
        <w:t>it being understood and intended that no one or more Holders shall have any right in any manner whatever by virtue of, or by availing of, any provision of this Indenture or any Security of any series to affect, disturb or prejudice the rights of any other Holders, or to obtain or to seek to obtain priority or preference over any other Holders or to enforce any right under this Indenture or any Security of any series, except in the manner provided in this Indenture and for the equal and ratable benefit of all the Holders (it being understood that the Trustee does not have an affirmative duty to ascertain whether or not such actions or forbearances are unduly prejudicial to such Holders).</w:t>
      </w:r>
    </w:p>
    <w:p>
      <w:pPr>
        <w:spacing w:after="0" w:line="1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5.08 </w:t>
      </w:r>
      <w:r>
        <w:rPr>
          <w:rFonts w:ascii="Times New Roman" w:cs="Times New Roman" w:eastAsia="Times New Roman" w:hAnsi="Times New Roman"/>
          <w:sz w:val="14"/>
          <w:szCs w:val="14"/>
          <w:u w:val="single" w:color="auto"/>
          <w:color w:val="auto"/>
        </w:rPr>
        <w:t>UNCONDITIONAL RIGHT OF HOLDERS TO RECEIVE PRINCIPAL, PREMIUM AND INTEREST</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120" w:right="299" w:firstLine="350"/>
        <w:spacing w:after="0" w:line="268" w:lineRule="auto"/>
        <w:rPr>
          <w:sz w:val="20"/>
          <w:szCs w:val="20"/>
          <w:color w:val="auto"/>
        </w:rPr>
      </w:pPr>
      <w:r>
        <w:rPr>
          <w:rFonts w:ascii="Times New Roman" w:cs="Times New Roman" w:eastAsia="Times New Roman" w:hAnsi="Times New Roman"/>
          <w:sz w:val="14"/>
          <w:szCs w:val="14"/>
          <w:color w:val="auto"/>
        </w:rPr>
        <w:t xml:space="preserve">Notwithstanding any other provision in this Indenture, the Holder of any Security shall have the right based on the terms stated herein, which is absolute and unconditional, to receive payment of the principal of and (subject to </w:t>
      </w:r>
      <w:r>
        <w:rPr>
          <w:rFonts w:ascii="Times New Roman" w:cs="Times New Roman" w:eastAsia="Times New Roman" w:hAnsi="Times New Roman"/>
          <w:sz w:val="14"/>
          <w:szCs w:val="14"/>
          <w:u w:val="single" w:color="auto"/>
          <w:color w:val="auto"/>
        </w:rPr>
        <w:t>Section 3.08</w:t>
      </w:r>
      <w:r>
        <w:rPr>
          <w:rFonts w:ascii="Times New Roman" w:cs="Times New Roman" w:eastAsia="Times New Roman" w:hAnsi="Times New Roman"/>
          <w:sz w:val="14"/>
          <w:szCs w:val="14"/>
          <w:color w:val="auto"/>
        </w:rPr>
        <w:t>) interest on such Security on the respective Stated Maturities expressed in such Security (or, in the case of redemption or repurchase, on the Redemption Date or the repurchase date) and to institute suit for the enforcement of any such payment, and such rights shall not be impaired without the consent of such Holder.</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9019"/>
          </w:cols>
          <w:pgMar w:left="1440" w:top="243" w:right="1440" w:bottom="1440" w:gutter="0" w:footer="0" w:header="0"/>
        </w:sectPr>
      </w:pPr>
    </w:p>
    <w:bookmarkStart w:id="210" w:name="page211"/>
    <w:bookmarkEnd w:id="210"/>
    <w:p>
      <w:pPr>
        <w:ind w:left="1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0">
                      <a:extLst>
                        <a:ext uri="{28A0092B-C50C-407E-A947-70E740481C1C}"/>
                      </a:extLst>
                    </a:blip>
                    <a:srcRect/>
                    <a:stretch>
                      <a:fillRect/>
                    </a:stretch>
                  </pic:blipFill>
                  <pic:spPr bwMode="auto">
                    <a:xfrm>
                      <a:off x="0" y="0"/>
                      <a:ext cx="7199630" cy="33020"/>
                    </a:xfrm>
                    <a:prstGeom prst="rect">
                      <a:avLst/>
                    </a:prstGeom>
                    <a:noFill/>
                  </pic:spPr>
                </pic:pic>
              </a:graphicData>
            </a:graphic>
          </wp:anchor>
        </w:drawing>
        <w:t xml:space="preserve">Section 5.09 </w:t>
      </w:r>
      <w:r>
        <w:rPr>
          <w:rFonts w:ascii="Times New Roman" w:cs="Times New Roman" w:eastAsia="Times New Roman" w:hAnsi="Times New Roman"/>
          <w:sz w:val="14"/>
          <w:szCs w:val="14"/>
          <w:u w:val="single" w:color="auto"/>
          <w:color w:val="auto"/>
        </w:rPr>
        <w:t>RESTORATION OF RIGHTS AND REMEDIES.</w:t>
      </w:r>
    </w:p>
    <w:p>
      <w:pPr>
        <w:spacing w:after="0" w:line="182" w:lineRule="exact"/>
        <w:rPr>
          <w:sz w:val="20"/>
          <w:szCs w:val="20"/>
          <w:color w:val="auto"/>
        </w:rPr>
      </w:pPr>
    </w:p>
    <w:p>
      <w:pPr>
        <w:ind w:left="120" w:right="199" w:firstLine="350"/>
        <w:spacing w:after="0" w:line="265" w:lineRule="auto"/>
        <w:rPr>
          <w:sz w:val="20"/>
          <w:szCs w:val="20"/>
          <w:color w:val="auto"/>
        </w:rPr>
      </w:pPr>
      <w:r>
        <w:rPr>
          <w:rFonts w:ascii="Times New Roman" w:cs="Times New Roman" w:eastAsia="Times New Roman" w:hAnsi="Times New Roman"/>
          <w:sz w:val="14"/>
          <w:szCs w:val="14"/>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the Company, any other obligor on the Securities, the Trustee and the Holders shall, subject to any determination in such proceeding, be restored severally and respectively to their former positions hereunder, and thereafter all rights and remedies of the Trustee and the Holders shall continue as though no such proceeding had been instituted.</w:t>
      </w:r>
    </w:p>
    <w:p>
      <w:pPr>
        <w:spacing w:after="0" w:line="1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5.10 </w:t>
      </w:r>
      <w:r>
        <w:rPr>
          <w:rFonts w:ascii="Times New Roman" w:cs="Times New Roman" w:eastAsia="Times New Roman" w:hAnsi="Times New Roman"/>
          <w:sz w:val="14"/>
          <w:szCs w:val="14"/>
          <w:u w:val="single" w:color="auto"/>
          <w:color w:val="auto"/>
        </w:rPr>
        <w:t>RIGHTS AND REMEDIES CUMULATIVE</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120" w:right="179" w:firstLine="350"/>
        <w:spacing w:after="0" w:line="268" w:lineRule="auto"/>
        <w:rPr>
          <w:sz w:val="20"/>
          <w:szCs w:val="20"/>
          <w:color w:val="auto"/>
        </w:rPr>
      </w:pPr>
      <w:r>
        <w:rPr>
          <w:rFonts w:ascii="Times New Roman" w:cs="Times New Roman" w:eastAsia="Times New Roman" w:hAnsi="Times New Roman"/>
          <w:sz w:val="14"/>
          <w:szCs w:val="14"/>
          <w:color w:val="auto"/>
        </w:rPr>
        <w:t>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5.11 </w:t>
      </w:r>
      <w:r>
        <w:rPr>
          <w:rFonts w:ascii="Times New Roman" w:cs="Times New Roman" w:eastAsia="Times New Roman" w:hAnsi="Times New Roman"/>
          <w:sz w:val="14"/>
          <w:szCs w:val="14"/>
          <w:u w:val="single" w:color="auto"/>
          <w:color w:val="auto"/>
        </w:rPr>
        <w:t>DELAY OR OMISSION NOT WAIVER</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120" w:right="399" w:firstLine="350"/>
        <w:spacing w:after="0" w:line="292" w:lineRule="auto"/>
        <w:rPr>
          <w:sz w:val="20"/>
          <w:szCs w:val="20"/>
          <w:color w:val="auto"/>
        </w:rPr>
      </w:pPr>
      <w:r>
        <w:rPr>
          <w:rFonts w:ascii="Times New Roman" w:cs="Times New Roman" w:eastAsia="Times New Roman" w:hAnsi="Times New Roman"/>
          <w:sz w:val="14"/>
          <w:szCs w:val="14"/>
          <w:color w:val="auto"/>
        </w:rPr>
        <w:t>No delay or omission of the Trustee or of any Holder of any Security to exercise any right or remedy accruing upon any Event of Default shall impair any such right or remedy or constitute a waiver of any such Event of Default or an acquiescence therein.</w:t>
      </w:r>
    </w:p>
    <w:p>
      <w:pPr>
        <w:spacing w:after="0" w:line="1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 xml:space="preserve">Every right and remedy given by this </w:t>
      </w:r>
      <w:r>
        <w:rPr>
          <w:rFonts w:ascii="Times New Roman" w:cs="Times New Roman" w:eastAsia="Times New Roman" w:hAnsi="Times New Roman"/>
          <w:sz w:val="14"/>
          <w:szCs w:val="14"/>
          <w:u w:val="single" w:color="auto"/>
          <w:color w:val="auto"/>
        </w:rPr>
        <w:t>Article V</w:t>
      </w:r>
      <w:r>
        <w:rPr>
          <w:rFonts w:ascii="Times New Roman" w:cs="Times New Roman" w:eastAsia="Times New Roman" w:hAnsi="Times New Roman"/>
          <w:sz w:val="14"/>
          <w:szCs w:val="14"/>
          <w:color w:val="auto"/>
        </w:rPr>
        <w:t xml:space="preserve"> or by law to the Trustee or to the Holders may be exercised from time to time, and as often as may</w:t>
      </w:r>
    </w:p>
    <w:p>
      <w:pPr>
        <w:spacing w:after="0" w:line="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be deemed expedient, by the Trustee or by the Holders, as the case may be.</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5.12 </w:t>
      </w:r>
      <w:r>
        <w:rPr>
          <w:rFonts w:ascii="Times New Roman" w:cs="Times New Roman" w:eastAsia="Times New Roman" w:hAnsi="Times New Roman"/>
          <w:sz w:val="14"/>
          <w:szCs w:val="14"/>
          <w:u w:val="single" w:color="auto"/>
          <w:color w:val="auto"/>
        </w:rPr>
        <w:t>CONTROL BY HOLDERS</w:t>
      </w:r>
      <w:r>
        <w:rPr>
          <w:rFonts w:ascii="Times New Roman" w:cs="Times New Roman" w:eastAsia="Times New Roman" w:hAnsi="Times New Roman"/>
          <w:sz w:val="14"/>
          <w:szCs w:val="14"/>
          <w:color w:val="auto"/>
        </w:rPr>
        <w:t>.</w:t>
      </w:r>
    </w:p>
    <w:p>
      <w:pPr>
        <w:spacing w:after="0" w:line="169" w:lineRule="exact"/>
        <w:rPr>
          <w:sz w:val="20"/>
          <w:szCs w:val="20"/>
          <w:color w:val="auto"/>
        </w:rPr>
      </w:pPr>
    </w:p>
    <w:p>
      <w:pPr>
        <w:ind w:left="120" w:right="139" w:firstLine="350"/>
        <w:spacing w:after="0" w:line="274" w:lineRule="auto"/>
        <w:rPr>
          <w:sz w:val="20"/>
          <w:szCs w:val="20"/>
          <w:color w:val="auto"/>
        </w:rPr>
      </w:pPr>
      <w:r>
        <w:rPr>
          <w:rFonts w:ascii="Times New Roman" w:cs="Times New Roman" w:eastAsia="Times New Roman" w:hAnsi="Times New Roman"/>
          <w:sz w:val="14"/>
          <w:szCs w:val="14"/>
          <w:color w:val="auto"/>
        </w:rPr>
        <w:t xml:space="preserve">The Holders of not less than a majority in aggregate principal amount of any series of Outstanding Securities shall have the right to direct the time, method and place of conducting any proceeding for exercising any remedy available to the Trustee, or exercising any trust or power conferred on the Trustee under this </w:t>
      </w:r>
      <w:r>
        <w:rPr>
          <w:rFonts w:ascii="Times New Roman" w:cs="Times New Roman" w:eastAsia="Times New Roman" w:hAnsi="Times New Roman"/>
          <w:sz w:val="14"/>
          <w:szCs w:val="14"/>
          <w:u w:val="single" w:color="auto"/>
          <w:color w:val="auto"/>
        </w:rPr>
        <w:t>Article V</w:t>
      </w:r>
      <w:r>
        <w:rPr>
          <w:rFonts w:ascii="Times New Roman" w:cs="Times New Roman" w:eastAsia="Times New Roman" w:hAnsi="Times New Roman"/>
          <w:sz w:val="14"/>
          <w:szCs w:val="14"/>
          <w:color w:val="auto"/>
        </w:rPr>
        <w:t xml:space="preserve"> with respect to such series, provided that:</w:t>
      </w:r>
    </w:p>
    <w:p>
      <w:pPr>
        <w:spacing w:after="0" w:line="49" w:lineRule="exact"/>
        <w:rPr>
          <w:sz w:val="20"/>
          <w:szCs w:val="20"/>
          <w:color w:val="auto"/>
        </w:rPr>
      </w:pPr>
    </w:p>
    <w:p>
      <w:pPr>
        <w:ind w:left="120" w:right="539" w:firstLine="357"/>
        <w:spacing w:after="0" w:line="292" w:lineRule="auto"/>
        <w:tabs>
          <w:tab w:leader="none" w:pos="664"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such direction shall not be in conflict with any rule of law or with this Indenture (including, without limitation, </w:t>
      </w:r>
      <w:r>
        <w:rPr>
          <w:rFonts w:ascii="Times New Roman" w:cs="Times New Roman" w:eastAsia="Times New Roman" w:hAnsi="Times New Roman"/>
          <w:sz w:val="14"/>
          <w:szCs w:val="14"/>
          <w:u w:val="single" w:color="auto"/>
          <w:color w:val="auto"/>
        </w:rPr>
        <w:t>Section 5.07</w:t>
      </w:r>
      <w:r>
        <w:rPr>
          <w:rFonts w:ascii="Times New Roman" w:cs="Times New Roman" w:eastAsia="Times New Roman" w:hAnsi="Times New Roman"/>
          <w:sz w:val="14"/>
          <w:szCs w:val="14"/>
          <w:color w:val="auto"/>
        </w:rPr>
        <w:t>), expose the Trustee to personal liability or be unduly prejudicial to Holders not joining therein; and</w:t>
      </w:r>
    </w:p>
    <w:p>
      <w:pPr>
        <w:spacing w:after="0" w:line="123" w:lineRule="exact"/>
        <w:rPr>
          <w:rFonts w:ascii="Times New Roman" w:cs="Times New Roman" w:eastAsia="Times New Roman" w:hAnsi="Times New Roman"/>
          <w:sz w:val="14"/>
          <w:szCs w:val="14"/>
          <w:color w:val="auto"/>
        </w:rPr>
      </w:pPr>
    </w:p>
    <w:p>
      <w:pPr>
        <w:ind w:left="120" w:right="219" w:firstLine="357"/>
        <w:spacing w:after="0" w:line="292" w:lineRule="auto"/>
        <w:tabs>
          <w:tab w:leader="none" w:pos="672"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the provisions of Section 315 of the Trust Indenture Act, the Trustee may take any other action deemed proper by the Trustee which is not inconsistent with such direction.</w:t>
      </w:r>
    </w:p>
    <w:p>
      <w:pPr>
        <w:spacing w:after="0" w:line="1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5.13 </w:t>
      </w:r>
      <w:r>
        <w:rPr>
          <w:rFonts w:ascii="Times New Roman" w:cs="Times New Roman" w:eastAsia="Times New Roman" w:hAnsi="Times New Roman"/>
          <w:sz w:val="14"/>
          <w:szCs w:val="14"/>
          <w:u w:val="single" w:color="auto"/>
          <w:color w:val="auto"/>
        </w:rPr>
        <w:t>WAIVER OF PAST DEFAULTS</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120" w:right="159" w:firstLine="350"/>
        <w:spacing w:after="0" w:line="259" w:lineRule="auto"/>
        <w:rPr>
          <w:sz w:val="20"/>
          <w:szCs w:val="20"/>
          <w:color w:val="auto"/>
        </w:rPr>
      </w:pPr>
      <w:r>
        <w:rPr>
          <w:rFonts w:ascii="Times New Roman" w:cs="Times New Roman" w:eastAsia="Times New Roman" w:hAnsi="Times New Roman"/>
          <w:sz w:val="14"/>
          <w:szCs w:val="14"/>
          <w:color w:val="auto"/>
        </w:rPr>
        <w:t>Subject to Section 9.02, holders of a majority in aggregate principal amount of the then outstanding Securities of any affected series (with each affected series voting as a separate class), by notice to the Trustee, may on behalf of the Holders of all of the Securities of such series, waive any existing Default or Event of Default and its consequences, except a continuing Default or Event of Default in the payment of interest, if any, on, or the principal of, such Securities (including in connection with an offer to purchase)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xml:space="preserve">, that the Holders of a majority in aggregate principal amount of the then Outstanding Securities of any affected series (with each affected series voting as a separate class) may rescind an acceleration and its consequences with respect to such series, including any related payment default that resulted from such acceleration). The Company shall deliver to the Trustee an Officers’ Certificate stating that the requisite percentage of Holders have consented to such waiver and attaching copies of such consents. In case of any such waiver, the Company, the Trustee and the Holders of the Securities of such series shall be restored to their former positions and rights hereunder and under the Securities of such series, respectively. This </w:t>
      </w:r>
      <w:r>
        <w:rPr>
          <w:rFonts w:ascii="Times New Roman" w:cs="Times New Roman" w:eastAsia="Times New Roman" w:hAnsi="Times New Roman"/>
          <w:sz w:val="14"/>
          <w:szCs w:val="14"/>
          <w:u w:val="single" w:color="auto"/>
          <w:color w:val="auto"/>
        </w:rPr>
        <w:t>Section 5.13</w:t>
      </w:r>
      <w:r>
        <w:rPr>
          <w:rFonts w:ascii="Times New Roman" w:cs="Times New Roman" w:eastAsia="Times New Roman" w:hAnsi="Times New Roman"/>
          <w:sz w:val="14"/>
          <w:szCs w:val="14"/>
          <w:color w:val="auto"/>
        </w:rPr>
        <w:t xml:space="preserve"> shall be in lieu of Section 316(a)(1)(B) of the Trust Indenture Act and such Section 316(a)(1)(B) of the Trust Indenture Act is hereby expressly excluded from this Indenture and the Securities, as permitted by the Trust Indenture Act.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9019"/>
          </w:cols>
          <w:pgMar w:left="1440" w:top="243" w:right="1440" w:bottom="1440" w:gutter="0" w:footer="0" w:header="0"/>
        </w:sectPr>
      </w:pPr>
    </w:p>
    <w:bookmarkStart w:id="211" w:name="page212"/>
    <w:bookmarkEnd w:id="211"/>
    <w:p>
      <w:pPr>
        <w:ind w:left="1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1">
                      <a:extLst>
                        <a:ext uri="{28A0092B-C50C-407E-A947-70E740481C1C}"/>
                      </a:extLst>
                    </a:blip>
                    <a:srcRect/>
                    <a:stretch>
                      <a:fillRect/>
                    </a:stretch>
                  </pic:blipFill>
                  <pic:spPr bwMode="auto">
                    <a:xfrm>
                      <a:off x="0" y="0"/>
                      <a:ext cx="7199630" cy="33020"/>
                    </a:xfrm>
                    <a:prstGeom prst="rect">
                      <a:avLst/>
                    </a:prstGeom>
                    <a:noFill/>
                  </pic:spPr>
                </pic:pic>
              </a:graphicData>
            </a:graphic>
          </wp:anchor>
        </w:drawing>
        <w:t xml:space="preserve">Section 5.14 </w:t>
      </w:r>
      <w:r>
        <w:rPr>
          <w:rFonts w:ascii="Times New Roman" w:cs="Times New Roman" w:eastAsia="Times New Roman" w:hAnsi="Times New Roman"/>
          <w:sz w:val="14"/>
          <w:szCs w:val="14"/>
          <w:u w:val="single" w:color="auto"/>
          <w:color w:val="auto"/>
        </w:rPr>
        <w:t>UNDERTAKING FOR COSTS</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120" w:right="159" w:firstLine="350"/>
        <w:spacing w:after="0" w:line="261" w:lineRule="auto"/>
        <w:rPr>
          <w:sz w:val="20"/>
          <w:szCs w:val="20"/>
          <w:color w:val="auto"/>
        </w:rPr>
      </w:pPr>
      <w:r>
        <w:rPr>
          <w:rFonts w:ascii="Times New Roman" w:cs="Times New Roman" w:eastAsia="Times New Roman" w:hAnsi="Times New Roman"/>
          <w:sz w:val="14"/>
          <w:szCs w:val="14"/>
          <w:color w:val="auto"/>
        </w:rPr>
        <w:t xml:space="preserve">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but the provisions of this </w:t>
      </w:r>
      <w:r>
        <w:rPr>
          <w:rFonts w:ascii="Times New Roman" w:cs="Times New Roman" w:eastAsia="Times New Roman" w:hAnsi="Times New Roman"/>
          <w:sz w:val="14"/>
          <w:szCs w:val="14"/>
          <w:u w:val="single" w:color="auto"/>
          <w:color w:val="auto"/>
        </w:rPr>
        <w:t>Section 5.14</w:t>
      </w:r>
      <w:r>
        <w:rPr>
          <w:rFonts w:ascii="Times New Roman" w:cs="Times New Roman" w:eastAsia="Times New Roman" w:hAnsi="Times New Roman"/>
          <w:sz w:val="14"/>
          <w:szCs w:val="14"/>
          <w:color w:val="auto"/>
        </w:rPr>
        <w:t xml:space="preserve"> shall not apply to any suit instituted by the Trustee, to any suit instituted by any Holder, or group of Holders, holding in the aggregate more than 10% in principal amount of the Outstanding Securities of any series, or to any suit instituted by any Holder pursuant to </w:t>
      </w:r>
      <w:r>
        <w:rPr>
          <w:rFonts w:ascii="Times New Roman" w:cs="Times New Roman" w:eastAsia="Times New Roman" w:hAnsi="Times New Roman"/>
          <w:sz w:val="14"/>
          <w:szCs w:val="14"/>
          <w:u w:val="single" w:color="auto"/>
          <w:color w:val="auto"/>
        </w:rPr>
        <w:t>Section 5.08</w:t>
      </w:r>
      <w:r>
        <w:rPr>
          <w:rFonts w:ascii="Times New Roman" w:cs="Times New Roman" w:eastAsia="Times New Roman" w:hAnsi="Times New Roman"/>
          <w:sz w:val="14"/>
          <w:szCs w:val="14"/>
          <w:color w:val="auto"/>
        </w:rPr>
        <w:t xml:space="preserve"> hereof.</w:t>
      </w:r>
    </w:p>
    <w:p>
      <w:pPr>
        <w:spacing w:after="0" w:line="1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5.15 </w:t>
      </w:r>
      <w:r>
        <w:rPr>
          <w:rFonts w:ascii="Times New Roman" w:cs="Times New Roman" w:eastAsia="Times New Roman" w:hAnsi="Times New Roman"/>
          <w:sz w:val="14"/>
          <w:szCs w:val="14"/>
          <w:u w:val="single" w:color="auto"/>
          <w:color w:val="auto"/>
        </w:rPr>
        <w:t>WAIVER OF STAY, EXTENSION OR USURY LAWS</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120" w:right="159" w:firstLine="350"/>
        <w:spacing w:after="0" w:line="261" w:lineRule="auto"/>
        <w:rPr>
          <w:sz w:val="20"/>
          <w:szCs w:val="20"/>
          <w:color w:val="auto"/>
        </w:rPr>
      </w:pPr>
      <w:r>
        <w:rPr>
          <w:rFonts w:ascii="Times New Roman" w:cs="Times New Roman" w:eastAsia="Times New Roman" w:hAnsi="Times New Roman"/>
          <w:sz w:val="14"/>
          <w:szCs w:val="14"/>
          <w:color w:val="auto"/>
        </w:rPr>
        <w:t xml:space="preserve">The Company covenants (to the extent that it may lawfully do so) that it will not at any time insist upon, or plead, or in any manner whatsoever claim or take the benefit or advantage of, any stay or extension law or any usury or other law wherever enacted, now or at any time hereafter in force, which would prohibit or forgive the Company from paying all or any portion of the principal of, or interest on the Securities contemplated herein or in the Securities or which may affect the covenants or the performance of this Indenture; and the Company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 Section 5.16 </w:t>
      </w:r>
      <w:r>
        <w:rPr>
          <w:rFonts w:ascii="Times New Roman" w:cs="Times New Roman" w:eastAsia="Times New Roman" w:hAnsi="Times New Roman"/>
          <w:sz w:val="14"/>
          <w:szCs w:val="14"/>
          <w:u w:val="single" w:color="auto"/>
          <w:color w:val="auto"/>
        </w:rPr>
        <w:t>REMEDIES SUBJECT TO APPLICABLE LAW</w:t>
      </w:r>
      <w:r>
        <w:rPr>
          <w:rFonts w:ascii="Times New Roman" w:cs="Times New Roman" w:eastAsia="Times New Roman" w:hAnsi="Times New Roman"/>
          <w:sz w:val="14"/>
          <w:szCs w:val="14"/>
          <w:color w:val="auto"/>
        </w:rPr>
        <w:t>.</w:t>
      </w:r>
    </w:p>
    <w:p>
      <w:pPr>
        <w:spacing w:after="0" w:line="148" w:lineRule="exact"/>
        <w:rPr>
          <w:sz w:val="20"/>
          <w:szCs w:val="20"/>
          <w:color w:val="auto"/>
        </w:rPr>
      </w:pPr>
    </w:p>
    <w:p>
      <w:pPr>
        <w:ind w:left="120" w:right="239" w:firstLine="350"/>
        <w:spacing w:after="0" w:line="268" w:lineRule="auto"/>
        <w:rPr>
          <w:sz w:val="20"/>
          <w:szCs w:val="20"/>
          <w:color w:val="auto"/>
        </w:rPr>
      </w:pPr>
      <w:r>
        <w:rPr>
          <w:rFonts w:ascii="Times New Roman" w:cs="Times New Roman" w:eastAsia="Times New Roman" w:hAnsi="Times New Roman"/>
          <w:sz w:val="14"/>
          <w:szCs w:val="14"/>
          <w:color w:val="auto"/>
        </w:rPr>
        <w:t xml:space="preserve">All rights, remedies and powers provided by this </w:t>
      </w:r>
      <w:r>
        <w:rPr>
          <w:rFonts w:ascii="Times New Roman" w:cs="Times New Roman" w:eastAsia="Times New Roman" w:hAnsi="Times New Roman"/>
          <w:sz w:val="14"/>
          <w:szCs w:val="14"/>
          <w:u w:val="single" w:color="auto"/>
          <w:color w:val="auto"/>
        </w:rPr>
        <w:t>Article V</w:t>
      </w:r>
      <w:r>
        <w:rPr>
          <w:rFonts w:ascii="Times New Roman" w:cs="Times New Roman" w:eastAsia="Times New Roman" w:hAnsi="Times New Roman"/>
          <w:sz w:val="14"/>
          <w:szCs w:val="14"/>
          <w:color w:val="auto"/>
        </w:rPr>
        <w:t xml:space="preserve"> may be exercised only to the extent that the exercise thereof does not violate any applicable provision of law in the premises, and all the provisions of this Indenture are intended to be subject to all applicable mandatory provisions of law which may be controlling in the premises and to be limited to the extent necessary so that they will not render this Indenture invalid, unenforceable or not entitled to be recorded, registered or filed under the provisions of any applicable law.</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VI</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TRUSTEE</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6.01 </w:t>
      </w:r>
      <w:r>
        <w:rPr>
          <w:rFonts w:ascii="Times New Roman" w:cs="Times New Roman" w:eastAsia="Times New Roman" w:hAnsi="Times New Roman"/>
          <w:sz w:val="14"/>
          <w:szCs w:val="14"/>
          <w:u w:val="single" w:color="auto"/>
          <w:color w:val="auto"/>
        </w:rPr>
        <w:t>DUTIES OF TRUSTEE</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Subject to the provisions of Trust Indenture Act Sections 315(a) through 315(d):</w:t>
      </w:r>
    </w:p>
    <w:p>
      <w:pPr>
        <w:spacing w:after="0" w:line="97" w:lineRule="exact"/>
        <w:rPr>
          <w:sz w:val="20"/>
          <w:szCs w:val="20"/>
          <w:color w:val="auto"/>
        </w:rPr>
      </w:pPr>
    </w:p>
    <w:p>
      <w:pPr>
        <w:ind w:left="120" w:right="179" w:firstLine="357"/>
        <w:spacing w:after="0" w:line="274" w:lineRule="auto"/>
        <w:tabs>
          <w:tab w:leader="none" w:pos="664" w:val="left"/>
        </w:tabs>
        <w:numPr>
          <w:ilvl w:val="0"/>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 Event of Default has occurred and is continuing, the Trustee shall exercise such of the rights and powers vested in it by this Indenture and use the same degree of care and skill in its exercise thereof as a prudent person would exercise or use under the circumstances in the conduct of his or her own affairs;</w:t>
      </w:r>
    </w:p>
    <w:p>
      <w:pPr>
        <w:spacing w:after="0" w:line="135" w:lineRule="exact"/>
        <w:rPr>
          <w:rFonts w:ascii="Times New Roman" w:cs="Times New Roman" w:eastAsia="Times New Roman" w:hAnsi="Times New Roman"/>
          <w:sz w:val="14"/>
          <w:szCs w:val="14"/>
          <w:color w:val="auto"/>
        </w:rPr>
      </w:pPr>
    </w:p>
    <w:p>
      <w:pPr>
        <w:ind w:left="680" w:hanging="203"/>
        <w:spacing w:after="0"/>
        <w:tabs>
          <w:tab w:leader="none" w:pos="680" w:val="left"/>
        </w:tabs>
        <w:numPr>
          <w:ilvl w:val="0"/>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during the continuance of a Default or an Event of Default:</w:t>
      </w:r>
    </w:p>
    <w:p>
      <w:pPr>
        <w:spacing w:after="0" w:line="97" w:lineRule="exact"/>
        <w:rPr>
          <w:sz w:val="20"/>
          <w:szCs w:val="20"/>
          <w:color w:val="auto"/>
        </w:rPr>
      </w:pPr>
    </w:p>
    <w:p>
      <w:pPr>
        <w:ind w:left="120" w:right="159" w:firstLine="357"/>
        <w:spacing w:after="0" w:line="292" w:lineRule="auto"/>
        <w:tabs>
          <w:tab w:leader="none" w:pos="672"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need perform only those duties as are specifically set forth in this Indenture and no covenants or obligations shall be implied in this Indenture against the Trustee; and</w:t>
      </w:r>
    </w:p>
    <w:p>
      <w:pPr>
        <w:spacing w:after="0" w:line="123" w:lineRule="exact"/>
        <w:rPr>
          <w:rFonts w:ascii="Times New Roman" w:cs="Times New Roman" w:eastAsia="Times New Roman" w:hAnsi="Times New Roman"/>
          <w:sz w:val="14"/>
          <w:szCs w:val="14"/>
          <w:color w:val="auto"/>
        </w:rPr>
      </w:pPr>
    </w:p>
    <w:p>
      <w:pPr>
        <w:ind w:left="120" w:right="179" w:firstLine="357"/>
        <w:spacing w:after="0" w:line="263" w:lineRule="auto"/>
        <w:tabs>
          <w:tab w:leader="none" w:pos="672"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absence of bad faith or willful misconduct on its part, the Trustee may conclusively rely, as to the truth of the statements and the correctness of the opinions expressed therein, upon certificates or opinions furnished to the Trustee and conforming to the requirements of this Indenture. The Trustee shall be under no duty to make any investigation as to any statement contained in any such instance, but may accept the same as conclusive evidence of the truth and accuracy of such statement or the correctness of such opinions. However, the Trustee shall examine the certificates and opinions which by any provision hereof are required to be furnished to the Trustee, to determine whether or not they conform to the requirements of this Indenture (but need not confirm or investigate the accuracy of mathematical calculations or other facts stated therein);</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9019"/>
          </w:cols>
          <w:pgMar w:left="1440" w:top="243" w:right="1440" w:bottom="1440" w:gutter="0" w:footer="0" w:header="0"/>
        </w:sectPr>
      </w:pPr>
    </w:p>
    <w:bookmarkStart w:id="212" w:name="page213"/>
    <w:bookmarkEnd w:id="212"/>
    <w:p>
      <w:pPr>
        <w:ind w:left="120" w:right="539" w:firstLine="357"/>
        <w:spacing w:after="0" w:line="292" w:lineRule="auto"/>
        <w:tabs>
          <w:tab w:leader="none" w:pos="664"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2">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the Trustee may not be relieved from liability for its own negligent action, its own negligent failure to act, or its own willful misconduct, except that:</w:t>
      </w:r>
    </w:p>
    <w:p>
      <w:pPr>
        <w:spacing w:after="0" w:line="37" w:lineRule="exact"/>
        <w:rPr>
          <w:sz w:val="20"/>
          <w:szCs w:val="20"/>
          <w:color w:val="auto"/>
        </w:rPr>
      </w:pPr>
    </w:p>
    <w:p>
      <w:pPr>
        <w:ind w:left="680" w:hanging="203"/>
        <w:spacing w:after="0"/>
        <w:tabs>
          <w:tab w:leader="none" w:pos="680" w:val="left"/>
        </w:tabs>
        <w:numPr>
          <w:ilvl w:val="0"/>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this </w:t>
      </w:r>
      <w:r>
        <w:rPr>
          <w:rFonts w:ascii="Times New Roman" w:cs="Times New Roman" w:eastAsia="Times New Roman" w:hAnsi="Times New Roman"/>
          <w:sz w:val="14"/>
          <w:szCs w:val="14"/>
          <w:u w:val="single" w:color="auto"/>
          <w:color w:val="auto"/>
        </w:rPr>
        <w:t>Subsection (c)</w:t>
      </w:r>
      <w:r>
        <w:rPr>
          <w:rFonts w:ascii="Times New Roman" w:cs="Times New Roman" w:eastAsia="Times New Roman" w:hAnsi="Times New Roman"/>
          <w:sz w:val="14"/>
          <w:szCs w:val="14"/>
          <w:color w:val="auto"/>
        </w:rPr>
        <w:t xml:space="preserve"> does not limit the effect of </w:t>
      </w:r>
      <w:r>
        <w:rPr>
          <w:rFonts w:ascii="Times New Roman" w:cs="Times New Roman" w:eastAsia="Times New Roman" w:hAnsi="Times New Roman"/>
          <w:sz w:val="14"/>
          <w:szCs w:val="14"/>
          <w:u w:val="single" w:color="auto"/>
          <w:color w:val="auto"/>
        </w:rPr>
        <w:t>Subsection (b)</w:t>
      </w:r>
      <w:r>
        <w:rPr>
          <w:rFonts w:ascii="Times New Roman" w:cs="Times New Roman" w:eastAsia="Times New Roman" w:hAnsi="Times New Roman"/>
          <w:sz w:val="14"/>
          <w:szCs w:val="14"/>
          <w:color w:val="auto"/>
        </w:rPr>
        <w:t xml:space="preserve"> of this </w:t>
      </w:r>
      <w:r>
        <w:rPr>
          <w:rFonts w:ascii="Times New Roman" w:cs="Times New Roman" w:eastAsia="Times New Roman" w:hAnsi="Times New Roman"/>
          <w:sz w:val="14"/>
          <w:szCs w:val="14"/>
          <w:u w:val="single" w:color="auto"/>
          <w:color w:val="auto"/>
        </w:rPr>
        <w:t>Section 6.01</w:t>
      </w:r>
      <w:r>
        <w:rPr>
          <w:rFonts w:ascii="Times New Roman" w:cs="Times New Roman" w:eastAsia="Times New Roman" w:hAnsi="Times New Roman"/>
          <w:sz w:val="14"/>
          <w:szCs w:val="14"/>
          <w:color w:val="auto"/>
        </w:rPr>
        <w:t>;</w:t>
      </w:r>
    </w:p>
    <w:p>
      <w:pPr>
        <w:spacing w:after="0" w:line="182" w:lineRule="exact"/>
        <w:rPr>
          <w:rFonts w:ascii="Times New Roman" w:cs="Times New Roman" w:eastAsia="Times New Roman" w:hAnsi="Times New Roman"/>
          <w:sz w:val="14"/>
          <w:szCs w:val="14"/>
          <w:color w:val="auto"/>
        </w:rPr>
      </w:pPr>
    </w:p>
    <w:p>
      <w:pPr>
        <w:ind w:left="120" w:right="479" w:firstLine="357"/>
        <w:spacing w:after="0" w:line="292" w:lineRule="auto"/>
        <w:tabs>
          <w:tab w:leader="none" w:pos="672" w:val="left"/>
        </w:tabs>
        <w:numPr>
          <w:ilvl w:val="0"/>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not be liable for any error of judgment made in good faith by a Responsible Officer, unless it is determined by a court of competent jurisdiction in a non-appealable judgmentthat the Trustee was negligent in ascertaining the pertinent facts; and</w:t>
      </w:r>
    </w:p>
    <w:p>
      <w:pPr>
        <w:spacing w:after="0" w:line="123" w:lineRule="exact"/>
        <w:rPr>
          <w:rFonts w:ascii="Times New Roman" w:cs="Times New Roman" w:eastAsia="Times New Roman" w:hAnsi="Times New Roman"/>
          <w:sz w:val="14"/>
          <w:szCs w:val="14"/>
          <w:color w:val="auto"/>
        </w:rPr>
      </w:pPr>
    </w:p>
    <w:p>
      <w:pPr>
        <w:jc w:val="both"/>
        <w:ind w:left="120" w:right="179" w:firstLine="357"/>
        <w:spacing w:after="0" w:line="274" w:lineRule="auto"/>
        <w:tabs>
          <w:tab w:leader="none" w:pos="672" w:val="left"/>
        </w:tabs>
        <w:numPr>
          <w:ilvl w:val="0"/>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not be liable with respect to any action it takes or omits to take in good faith, in accordance with a direction of the Holders of a majority in aggregate principal amount of Outstanding Securities of any series relating to the time, method and place of conducting any proceeding for any remedy available to the Trustee, or exercising any trust or power conferred upon the Trustee under this Indenture;</w:t>
      </w:r>
    </w:p>
    <w:p>
      <w:pPr>
        <w:spacing w:after="0" w:line="135" w:lineRule="exact"/>
        <w:rPr>
          <w:sz w:val="20"/>
          <w:szCs w:val="20"/>
          <w:color w:val="auto"/>
        </w:rPr>
      </w:pPr>
    </w:p>
    <w:p>
      <w:pPr>
        <w:jc w:val="both"/>
        <w:ind w:left="120" w:right="719" w:firstLine="357"/>
        <w:spacing w:after="0" w:line="274" w:lineRule="auto"/>
        <w:tabs>
          <w:tab w:leader="none" w:pos="672" w:val="left"/>
        </w:tabs>
        <w:numPr>
          <w:ilvl w:val="0"/>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provision of this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135" w:lineRule="exact"/>
        <w:rPr>
          <w:rFonts w:ascii="Times New Roman" w:cs="Times New Roman" w:eastAsia="Times New Roman" w:hAnsi="Times New Roman"/>
          <w:sz w:val="14"/>
          <w:szCs w:val="14"/>
          <w:color w:val="auto"/>
        </w:rPr>
      </w:pPr>
    </w:p>
    <w:p>
      <w:pPr>
        <w:ind w:left="120" w:right="759" w:firstLine="357"/>
        <w:spacing w:after="0" w:line="292" w:lineRule="auto"/>
        <w:tabs>
          <w:tab w:leader="none" w:pos="664" w:val="left"/>
        </w:tabs>
        <w:numPr>
          <w:ilvl w:val="0"/>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whether or not therein expressly so provided, every provision of this Indenture that in any way relates to the Trustee is subject to this </w:t>
      </w:r>
      <w:r>
        <w:rPr>
          <w:rFonts w:ascii="Times New Roman" w:cs="Times New Roman" w:eastAsia="Times New Roman" w:hAnsi="Times New Roman"/>
          <w:sz w:val="14"/>
          <w:szCs w:val="14"/>
          <w:u w:val="single" w:color="auto"/>
          <w:color w:val="auto"/>
        </w:rPr>
        <w:t>Section 6.01 and Section 6.03</w:t>
      </w:r>
      <w:r>
        <w:rPr>
          <w:rFonts w:ascii="Times New Roman" w:cs="Times New Roman" w:eastAsia="Times New Roman" w:hAnsi="Times New Roman"/>
          <w:sz w:val="14"/>
          <w:szCs w:val="14"/>
          <w:color w:val="auto"/>
        </w:rPr>
        <w:t>; and</w:t>
      </w:r>
    </w:p>
    <w:p>
      <w:pPr>
        <w:spacing w:after="0" w:line="123" w:lineRule="exact"/>
        <w:rPr>
          <w:rFonts w:ascii="Times New Roman" w:cs="Times New Roman" w:eastAsia="Times New Roman" w:hAnsi="Times New Roman"/>
          <w:sz w:val="14"/>
          <w:szCs w:val="14"/>
          <w:color w:val="auto"/>
        </w:rPr>
      </w:pPr>
    </w:p>
    <w:p>
      <w:pPr>
        <w:ind w:left="120" w:right="559" w:firstLine="357"/>
        <w:spacing w:after="0" w:line="292" w:lineRule="auto"/>
        <w:tabs>
          <w:tab w:leader="none" w:pos="649" w:val="left"/>
        </w:tabs>
        <w:numPr>
          <w:ilvl w:val="0"/>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not be liable for interest or investment income on any money or assets received by it except as the Trustee may agree in writing with the Company. Assets held in trust by the Trustee need not be segregated from other assets except to the extent required by law.</w:t>
      </w:r>
    </w:p>
    <w:p>
      <w:pPr>
        <w:spacing w:after="0" w:line="1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6.02 </w:t>
      </w:r>
      <w:r>
        <w:rPr>
          <w:rFonts w:ascii="Times New Roman" w:cs="Times New Roman" w:eastAsia="Times New Roman" w:hAnsi="Times New Roman"/>
          <w:sz w:val="14"/>
          <w:szCs w:val="14"/>
          <w:u w:val="single" w:color="auto"/>
          <w:color w:val="auto"/>
        </w:rPr>
        <w:t>NOTICE OF DEFAULTS</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120" w:right="219" w:firstLine="350"/>
        <w:spacing w:after="0" w:line="265" w:lineRule="auto"/>
        <w:rPr>
          <w:sz w:val="20"/>
          <w:szCs w:val="20"/>
          <w:color w:val="auto"/>
        </w:rPr>
      </w:pPr>
      <w:r>
        <w:rPr>
          <w:rFonts w:ascii="Times New Roman" w:cs="Times New Roman" w:eastAsia="Times New Roman" w:hAnsi="Times New Roman"/>
          <w:sz w:val="14"/>
          <w:szCs w:val="14"/>
          <w:color w:val="auto"/>
        </w:rPr>
        <w:t>Within 90 days after a Responsible Officer of the Trustee receives actual notice of the occurrence of any Default, the Trustee shall transmit by mail to all Holders and any other Persons entitled to receive reports pursuant to Section 313(c) of the Trust Indenture Act, as their names and addresses appear in the Security Register, notice of such Default hereunder actually known to the Trustee, unless such Default shall have been cured or waived; provided, however, that, except in the case of a Default in the payment of the principal of, premium, if any, or interest on any Security, the Trustee shall be protected in withholding such notice if and so long as it in good faith determines that the withholding of such notice is in the interest of the Holders.</w:t>
      </w:r>
    </w:p>
    <w:p>
      <w:pPr>
        <w:spacing w:after="0" w:line="1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6.03 </w:t>
      </w:r>
      <w:r>
        <w:rPr>
          <w:rFonts w:ascii="Times New Roman" w:cs="Times New Roman" w:eastAsia="Times New Roman" w:hAnsi="Times New Roman"/>
          <w:sz w:val="14"/>
          <w:szCs w:val="14"/>
          <w:u w:val="single" w:color="auto"/>
          <w:color w:val="auto"/>
        </w:rPr>
        <w:t>CERTAIN RIGHTS OF TRUSTEE</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 xml:space="preserve">Subject to the provisions of </w:t>
      </w:r>
      <w:r>
        <w:rPr>
          <w:rFonts w:ascii="Times New Roman" w:cs="Times New Roman" w:eastAsia="Times New Roman" w:hAnsi="Times New Roman"/>
          <w:sz w:val="14"/>
          <w:szCs w:val="14"/>
          <w:u w:val="single" w:color="auto"/>
          <w:color w:val="auto"/>
        </w:rPr>
        <w:t>Section 6.01</w:t>
      </w:r>
      <w:r>
        <w:rPr>
          <w:rFonts w:ascii="Times New Roman" w:cs="Times New Roman" w:eastAsia="Times New Roman" w:hAnsi="Times New Roman"/>
          <w:sz w:val="14"/>
          <w:szCs w:val="14"/>
          <w:color w:val="auto"/>
        </w:rPr>
        <w:t xml:space="preserve"> hereof and Trust Indenture Act Sections 315(a) through 315(d):</w:t>
      </w:r>
    </w:p>
    <w:p>
      <w:pPr>
        <w:spacing w:after="0" w:line="97" w:lineRule="exact"/>
        <w:rPr>
          <w:sz w:val="20"/>
          <w:szCs w:val="20"/>
          <w:color w:val="auto"/>
        </w:rPr>
      </w:pPr>
    </w:p>
    <w:p>
      <w:pPr>
        <w:ind w:left="120" w:right="239" w:firstLine="357"/>
        <w:spacing w:after="0" w:line="268" w:lineRule="auto"/>
        <w:tabs>
          <w:tab w:leader="none" w:pos="664" w:val="left"/>
        </w:tabs>
        <w:numPr>
          <w:ilvl w:val="0"/>
          <w:numId w:val="1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may conclusively rely and shall be protected in acting or refraining from acting upon receipt by it of any resolution, certificate, statement, instrument, opinion, report, notice, request, direction, consent, order, bond, debenture, note, other evidence of Indebtedness or other paper or document believed by it to be genuine and to have been signed or presented by the proper party or parties, and the Trustee need not investigate any fact or matter stated in the document;</w:t>
      </w:r>
    </w:p>
    <w:p>
      <w:pPr>
        <w:spacing w:after="0" w:line="139" w:lineRule="exact"/>
        <w:rPr>
          <w:rFonts w:ascii="Times New Roman" w:cs="Times New Roman" w:eastAsia="Times New Roman" w:hAnsi="Times New Roman"/>
          <w:sz w:val="14"/>
          <w:szCs w:val="14"/>
          <w:color w:val="auto"/>
        </w:rPr>
      </w:pPr>
    </w:p>
    <w:p>
      <w:pPr>
        <w:ind w:left="120" w:right="259" w:firstLine="357"/>
        <w:spacing w:after="0" w:line="292" w:lineRule="auto"/>
        <w:tabs>
          <w:tab w:leader="none" w:pos="672" w:val="left"/>
        </w:tabs>
        <w:numPr>
          <w:ilvl w:val="0"/>
          <w:numId w:val="1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request or direction of the Company mentioned herein shall be sufficiently evidenced by a Company Request or Company Order and any resolution of the Board of Directors may be sufficiently evidenced by a Board Resolution;</w:t>
      </w:r>
    </w:p>
    <w:p>
      <w:pPr>
        <w:spacing w:after="0" w:line="123" w:lineRule="exact"/>
        <w:rPr>
          <w:rFonts w:ascii="Times New Roman" w:cs="Times New Roman" w:eastAsia="Times New Roman" w:hAnsi="Times New Roman"/>
          <w:sz w:val="14"/>
          <w:szCs w:val="14"/>
          <w:color w:val="auto"/>
        </w:rPr>
      </w:pPr>
    </w:p>
    <w:p>
      <w:pPr>
        <w:ind w:left="120" w:right="279" w:firstLine="357"/>
        <w:spacing w:after="0" w:line="274" w:lineRule="auto"/>
        <w:tabs>
          <w:tab w:leader="none" w:pos="664" w:val="left"/>
        </w:tabs>
        <w:numPr>
          <w:ilvl w:val="0"/>
          <w:numId w:val="1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may consult with counsel of its selection and any advice of such counsel or any Opinion of Counsel shall be full and complete authorization and protection in respect of any action taken, suffered or omitted by it hereunder in good faith and in reliance thereon in accordance with such advice or Opinion of Counsel;</w:t>
      </w:r>
    </w:p>
    <w:p>
      <w:pPr>
        <w:spacing w:after="0" w:line="135" w:lineRule="exact"/>
        <w:rPr>
          <w:rFonts w:ascii="Times New Roman" w:cs="Times New Roman" w:eastAsia="Times New Roman" w:hAnsi="Times New Roman"/>
          <w:sz w:val="14"/>
          <w:szCs w:val="14"/>
          <w:color w:val="auto"/>
        </w:rPr>
      </w:pPr>
    </w:p>
    <w:p>
      <w:pPr>
        <w:jc w:val="both"/>
        <w:ind w:left="120" w:right="279" w:firstLine="357"/>
        <w:spacing w:after="0" w:line="274" w:lineRule="auto"/>
        <w:tabs>
          <w:tab w:leader="none" w:pos="672" w:val="left"/>
        </w:tabs>
        <w:numPr>
          <w:ilvl w:val="0"/>
          <w:numId w:val="1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be under no obligation to exercise any of the rights or powers vested in it by this Indenture at the request or direction of any of the Holders pursuant to this Indenture, unless such Holders shall have offered to the Trustee security or indemnity satisfactory to the Trustee against the costs, expenses and liabilities which might be incurred by it in compliance with such request or direction;</w:t>
      </w:r>
    </w:p>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32</w:t>
      </w:r>
    </w:p>
    <w:p>
      <w:pPr>
        <w:sectPr>
          <w:pgSz w:w="11900" w:h="16838" w:orient="portrait"/>
          <w:cols w:equalWidth="0" w:num="1">
            <w:col w:w="9019"/>
          </w:cols>
          <w:pgMar w:left="1440" w:top="243" w:right="1440" w:bottom="1440" w:gutter="0" w:footer="0" w:header="0"/>
        </w:sectPr>
      </w:pPr>
    </w:p>
    <w:bookmarkStart w:id="213" w:name="page214"/>
    <w:bookmarkEnd w:id="213"/>
    <w:p>
      <w:pPr>
        <w:ind w:left="120" w:right="219" w:firstLine="357"/>
        <w:spacing w:after="0" w:line="274" w:lineRule="auto"/>
        <w:tabs>
          <w:tab w:leader="none" w:pos="664" w:val="left"/>
        </w:tabs>
        <w:numPr>
          <w:ilvl w:val="0"/>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3">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the Trustee shall not be liable for any action taken or omitted by it in good faith and believed by it to be authorized or within the discretion, rights or powers conferred upon it by this Indenture other than any liabilities arising out of the negligence, negligent failure to act or willful misconduct of the Trustee;</w:t>
      </w:r>
    </w:p>
    <w:p>
      <w:pPr>
        <w:spacing w:after="0" w:line="135" w:lineRule="exact"/>
        <w:rPr>
          <w:rFonts w:ascii="Times New Roman" w:cs="Times New Roman" w:eastAsia="Times New Roman" w:hAnsi="Times New Roman"/>
          <w:sz w:val="14"/>
          <w:szCs w:val="14"/>
          <w:color w:val="auto"/>
        </w:rPr>
      </w:pPr>
    </w:p>
    <w:p>
      <w:pPr>
        <w:ind w:left="120" w:right="139" w:firstLine="357"/>
        <w:spacing w:after="0" w:line="264" w:lineRule="auto"/>
        <w:tabs>
          <w:tab w:leader="none" w:pos="649" w:val="left"/>
        </w:tabs>
        <w:numPr>
          <w:ilvl w:val="0"/>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not be bound to make any investigation into the facts or matters stated in any resolution, certificate, statement, instrument, opinion, report, notice, request, direction, consent, order, approval, appraisal, bond, debenture, note, coupon, security or other paper or document; provided that, the Trustee in its discretion may make such further inquiry or investigation into such facts or matters as it may deem fit, and, if the Trustee shall determine to make such further inquiry or investigation, it shall be entitled to examine the books, records and premises of the Company, personally or by agent or attorney at the sole cost of the Company and shall incur no liability or additional liability of any kind by reason of such inquiry or investigation;</w:t>
      </w:r>
    </w:p>
    <w:p>
      <w:pPr>
        <w:spacing w:after="0" w:line="316" w:lineRule="exact"/>
        <w:rPr>
          <w:rFonts w:ascii="Times New Roman" w:cs="Times New Roman" w:eastAsia="Times New Roman" w:hAnsi="Times New Roman"/>
          <w:sz w:val="14"/>
          <w:szCs w:val="14"/>
          <w:color w:val="auto"/>
        </w:rPr>
      </w:pPr>
    </w:p>
    <w:p>
      <w:pPr>
        <w:ind w:left="120" w:right="379" w:firstLine="357"/>
        <w:spacing w:after="0" w:line="274" w:lineRule="auto"/>
        <w:tabs>
          <w:tab w:leader="none" w:pos="672" w:val="left"/>
        </w:tabs>
        <w:numPr>
          <w:ilvl w:val="0"/>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35" w:lineRule="exact"/>
        <w:rPr>
          <w:rFonts w:ascii="Times New Roman" w:cs="Times New Roman" w:eastAsia="Times New Roman" w:hAnsi="Times New Roman"/>
          <w:sz w:val="14"/>
          <w:szCs w:val="14"/>
          <w:color w:val="auto"/>
        </w:rPr>
      </w:pPr>
    </w:p>
    <w:p>
      <w:pPr>
        <w:ind w:left="120" w:right="239" w:firstLine="357"/>
        <w:spacing w:after="0" w:line="265" w:lineRule="auto"/>
        <w:tabs>
          <w:tab w:leader="none" w:pos="672" w:val="left"/>
        </w:tabs>
        <w:numPr>
          <w:ilvl w:val="0"/>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Trustee shall not be required to take notice, and shall not be deemed to have notice, of any Default or Event of Default hereunder, except Events of Default described in </w:t>
      </w:r>
      <w:r>
        <w:rPr>
          <w:rFonts w:ascii="Times New Roman" w:cs="Times New Roman" w:eastAsia="Times New Roman" w:hAnsi="Times New Roman"/>
          <w:sz w:val="14"/>
          <w:szCs w:val="14"/>
          <w:u w:val="single" w:color="auto"/>
          <w:color w:val="auto"/>
        </w:rPr>
        <w:t>Subsections (a)</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(b)</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Section 5.01</w:t>
      </w:r>
      <w:r>
        <w:rPr>
          <w:rFonts w:ascii="Times New Roman" w:cs="Times New Roman" w:eastAsia="Times New Roman" w:hAnsi="Times New Roman"/>
          <w:sz w:val="14"/>
          <w:szCs w:val="14"/>
          <w:color w:val="auto"/>
        </w:rPr>
        <w:t xml:space="preserve"> hereof, unless a Responsible Officer of the Trustee has actual knowledge thereof or shall be notified specifically of the Default or Event of Default on a written instrument or document received by the Trustee at its Corporate Trust Office and such notice references this Indenture and the Securities. In the absence of such actual knowledge or delivery of notice satisfying those requirements, the Trustee may assume conclusively that there is no Default or Event of Default, except as noted above;</w:t>
      </w:r>
    </w:p>
    <w:p>
      <w:pPr>
        <w:spacing w:after="0" w:line="141" w:lineRule="exact"/>
        <w:rPr>
          <w:rFonts w:ascii="Times New Roman" w:cs="Times New Roman" w:eastAsia="Times New Roman" w:hAnsi="Times New Roman"/>
          <w:sz w:val="14"/>
          <w:szCs w:val="14"/>
          <w:color w:val="auto"/>
        </w:rPr>
      </w:pPr>
    </w:p>
    <w:p>
      <w:pPr>
        <w:ind w:left="120" w:right="199" w:firstLine="357"/>
        <w:spacing w:after="0" w:line="265" w:lineRule="auto"/>
        <w:tabs>
          <w:tab w:leader="none" w:pos="641" w:val="left"/>
        </w:tabs>
        <w:numPr>
          <w:ilvl w:val="0"/>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whenever in the administration of this Indenture the Trustee shall deem it desirable that a matter be proved or established prior to taking, suffering or omitting any action hereunder, the Trustee (unless other evidence be herein specifically prescribed) may, in the absence of bad faith on its part, request and conclusively rely upon an Officers’ Certificate and/or an Opinion of Counsel, and the Trustee may consult with counsel of its selection and the advice of such counsel or any Opinion of Counsel shall be full and complete authorization and protection from liability in respect of any action taken, suffered or omitted by it hereunder in good faith and in reliance thereon;</w:t>
      </w:r>
    </w:p>
    <w:p>
      <w:pPr>
        <w:spacing w:after="0" w:line="141" w:lineRule="exact"/>
        <w:rPr>
          <w:rFonts w:ascii="Times New Roman" w:cs="Times New Roman" w:eastAsia="Times New Roman" w:hAnsi="Times New Roman"/>
          <w:sz w:val="14"/>
          <w:szCs w:val="14"/>
          <w:color w:val="auto"/>
        </w:rPr>
      </w:pPr>
    </w:p>
    <w:p>
      <w:pPr>
        <w:ind w:left="120" w:right="259" w:firstLine="357"/>
        <w:spacing w:after="0" w:line="274" w:lineRule="auto"/>
        <w:tabs>
          <w:tab w:leader="none" w:pos="641" w:val="left"/>
        </w:tabs>
        <w:numPr>
          <w:ilvl w:val="0"/>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rights, privileges, protections, immunities and benefits given to the Trustee, including, without limitation, its right to be indemnified, are extended to, and shall be enforceable by, the Trustee in each of its capacities hereunder, and to each agent, custodian and other Person employed by the Trustee to act hereunder;</w:t>
      </w:r>
    </w:p>
    <w:p>
      <w:pPr>
        <w:spacing w:after="0" w:line="135" w:lineRule="exact"/>
        <w:rPr>
          <w:rFonts w:ascii="Times New Roman" w:cs="Times New Roman" w:eastAsia="Times New Roman" w:hAnsi="Times New Roman"/>
          <w:sz w:val="14"/>
          <w:szCs w:val="14"/>
          <w:color w:val="auto"/>
        </w:rPr>
      </w:pPr>
    </w:p>
    <w:p>
      <w:pPr>
        <w:ind w:left="120" w:right="359" w:firstLine="357"/>
        <w:spacing w:after="0" w:line="274" w:lineRule="auto"/>
        <w:tabs>
          <w:tab w:leader="none" w:pos="672" w:val="left"/>
        </w:tabs>
        <w:numPr>
          <w:ilvl w:val="0"/>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no event shall the Trustee be responsible or liable for special, indirect, incidental, punitive or consequential loss or damage of any kind whatsoever (including, but not limited to, loss of profit) irrespective of whether the Trustee has been advised of the likelihood of such loss or damage and regardless of the form of action;</w:t>
      </w:r>
    </w:p>
    <w:p>
      <w:pPr>
        <w:spacing w:after="0" w:line="135" w:lineRule="exact"/>
        <w:rPr>
          <w:rFonts w:ascii="Times New Roman" w:cs="Times New Roman" w:eastAsia="Times New Roman" w:hAnsi="Times New Roman"/>
          <w:sz w:val="14"/>
          <w:szCs w:val="14"/>
          <w:color w:val="auto"/>
        </w:rPr>
      </w:pPr>
    </w:p>
    <w:p>
      <w:pPr>
        <w:ind w:left="120" w:right="239" w:firstLine="357"/>
        <w:spacing w:after="0" w:line="292" w:lineRule="auto"/>
        <w:tabs>
          <w:tab w:leader="none" w:pos="641" w:val="left"/>
        </w:tabs>
        <w:numPr>
          <w:ilvl w:val="0"/>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may request that the Company deliver a certificate setting forth the names of individuals and/or titles of officers authorized at such time to take specified actions pursuant to this Indenture;</w:t>
      </w:r>
    </w:p>
    <w:p>
      <w:pPr>
        <w:spacing w:after="0" w:line="123" w:lineRule="exact"/>
        <w:rPr>
          <w:rFonts w:ascii="Times New Roman" w:cs="Times New Roman" w:eastAsia="Times New Roman" w:hAnsi="Times New Roman"/>
          <w:sz w:val="14"/>
          <w:szCs w:val="14"/>
          <w:color w:val="auto"/>
        </w:rPr>
      </w:pPr>
    </w:p>
    <w:p>
      <w:pPr>
        <w:ind w:left="720" w:hanging="243"/>
        <w:spacing w:after="0"/>
        <w:tabs>
          <w:tab w:leader="none" w:pos="720" w:val="left"/>
        </w:tabs>
        <w:numPr>
          <w:ilvl w:val="0"/>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not be required to give any bond or surety in respect of the performance of its powers and duties hereunder;</w:t>
      </w:r>
    </w:p>
    <w:p>
      <w:pPr>
        <w:spacing w:after="0" w:line="182" w:lineRule="exact"/>
        <w:rPr>
          <w:rFonts w:ascii="Times New Roman" w:cs="Times New Roman" w:eastAsia="Times New Roman" w:hAnsi="Times New Roman"/>
          <w:sz w:val="14"/>
          <w:szCs w:val="14"/>
          <w:color w:val="auto"/>
        </w:rPr>
      </w:pPr>
    </w:p>
    <w:p>
      <w:pPr>
        <w:ind w:left="680" w:hanging="203"/>
        <w:spacing w:after="0"/>
        <w:tabs>
          <w:tab w:leader="none" w:pos="680" w:val="left"/>
        </w:tabs>
        <w:numPr>
          <w:ilvl w:val="0"/>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permissive rights of the Trustee shall not be construed as duties.</w:t>
      </w:r>
    </w:p>
    <w:p>
      <w:pPr>
        <w:spacing w:after="0" w:line="182" w:lineRule="exact"/>
        <w:rPr>
          <w:rFonts w:ascii="Times New Roman" w:cs="Times New Roman" w:eastAsia="Times New Roman" w:hAnsi="Times New Roman"/>
          <w:sz w:val="14"/>
          <w:szCs w:val="14"/>
          <w:color w:val="auto"/>
        </w:rPr>
      </w:pPr>
    </w:p>
    <w:p>
      <w:pPr>
        <w:ind w:left="120" w:right="519" w:firstLine="357"/>
        <w:spacing w:after="0" w:line="292" w:lineRule="auto"/>
        <w:tabs>
          <w:tab w:leader="none" w:pos="672" w:val="left"/>
        </w:tabs>
        <w:numPr>
          <w:ilvl w:val="0"/>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otherwise specifically provided in this Indenture, any demand, request, direction or notice from the Company shall be sufficient if signed by an Officer of the Company;</w:t>
      </w:r>
    </w:p>
    <w:p>
      <w:pPr>
        <w:spacing w:after="0" w:line="123" w:lineRule="exact"/>
        <w:rPr>
          <w:rFonts w:ascii="Times New Roman" w:cs="Times New Roman" w:eastAsia="Times New Roman" w:hAnsi="Times New Roman"/>
          <w:sz w:val="14"/>
          <w:szCs w:val="14"/>
          <w:color w:val="auto"/>
        </w:rPr>
      </w:pPr>
    </w:p>
    <w:p>
      <w:pPr>
        <w:ind w:left="120" w:right="159" w:firstLine="357"/>
        <w:spacing w:after="0" w:line="274" w:lineRule="auto"/>
        <w:tabs>
          <w:tab w:leader="none" w:pos="672" w:val="left"/>
        </w:tabs>
        <w:numPr>
          <w:ilvl w:val="0"/>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action taken, or omitted to be taken, by the Trustee in good faith pursuant to this Indenture upon the request or authority or consent of any person who, at the time of making such request or giving such authority or consent, is a Holder, shall be conclusive and binding upon future Holders and upon Securities executed and delivered in exchange therefor or in place thereof; and</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ectPr>
          <w:pgSz w:w="11900" w:h="16838" w:orient="portrait"/>
          <w:cols w:equalWidth="0" w:num="1">
            <w:col w:w="9019"/>
          </w:cols>
          <w:pgMar w:left="1440" w:top="243" w:right="1440" w:bottom="1440" w:gutter="0" w:footer="0" w:header="0"/>
        </w:sectPr>
      </w:pPr>
    </w:p>
    <w:bookmarkStart w:id="214" w:name="page215"/>
    <w:bookmarkEnd w:id="214"/>
    <w:p>
      <w:pPr>
        <w:ind w:left="120" w:right="199" w:firstLine="357"/>
        <w:spacing w:after="0" w:line="292" w:lineRule="auto"/>
        <w:tabs>
          <w:tab w:leader="none" w:pos="672" w:val="left"/>
        </w:tabs>
        <w:numPr>
          <w:ilvl w:val="0"/>
          <w:numId w:val="1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4">
                      <a:extLst>
                        <a:ext uri="{28A0092B-C50C-407E-A947-70E740481C1C}"/>
                      </a:extLst>
                    </a:blip>
                    <a:srcRect/>
                    <a:stretch>
                      <a:fillRect/>
                    </a:stretch>
                  </pic:blipFill>
                  <pic:spPr bwMode="auto">
                    <a:xfrm>
                      <a:off x="0" y="0"/>
                      <a:ext cx="7199630" cy="33020"/>
                    </a:xfrm>
                    <a:prstGeom prst="rect">
                      <a:avLst/>
                    </a:prstGeom>
                    <a:noFill/>
                  </pic:spPr>
                </pic:pic>
              </a:graphicData>
            </a:graphic>
          </wp:anchor>
        </w:drawing>
        <w:t>in no event shall the Trustee be liable for failure to perform its duties hereunder if such failure is a direct or proximate result of another party’s failure to perform its obligations hereunder.</w:t>
      </w:r>
    </w:p>
    <w:p>
      <w:pPr>
        <w:spacing w:after="0" w:line="1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6.04 </w:t>
      </w:r>
      <w:r>
        <w:rPr>
          <w:rFonts w:ascii="Times New Roman" w:cs="Times New Roman" w:eastAsia="Times New Roman" w:hAnsi="Times New Roman"/>
          <w:sz w:val="14"/>
          <w:szCs w:val="14"/>
          <w:u w:val="single" w:color="auto"/>
          <w:color w:val="auto"/>
        </w:rPr>
        <w:t>TRUSTEE NOT RESPONSIBLE FOR RECITALS, DISPOSITIONS OF SECURITIES OR APPLICATION OF PROCEEDS THEREOF</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120" w:right="279" w:firstLine="350"/>
        <w:spacing w:after="0" w:line="263" w:lineRule="auto"/>
        <w:rPr>
          <w:sz w:val="20"/>
          <w:szCs w:val="20"/>
          <w:color w:val="auto"/>
        </w:rPr>
      </w:pPr>
      <w:r>
        <w:rPr>
          <w:rFonts w:ascii="Times New Roman" w:cs="Times New Roman" w:eastAsia="Times New Roman" w:hAnsi="Times New Roman"/>
          <w:sz w:val="14"/>
          <w:szCs w:val="14"/>
          <w:color w:val="auto"/>
        </w:rPr>
        <w:t>The recitals contained herein and in the Securities, except the Trustee’s certificates of authentication, shall be taken as the statements of the Company, and the Trustee assumes no responsibility for their correctness. The Trustee makes no representations as to the validity or sufficiency of this Indenture or of the Securities, except that the Trustee represents that it is duly authorized to execute and deliver this Indenture, authenticate the Securities and perform its obligations hereunder and that the statements made by it in any Statement of Eligibility on Form T-1 to be supplied to the Company will be true and accurate subject to the qualifications set forth therein. The Trustee shall not be accountable for the use or application by the Company of Securities or the proceeds thereof.</w:t>
      </w:r>
    </w:p>
    <w:p>
      <w:pPr>
        <w:spacing w:after="0" w:line="1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6.05 </w:t>
      </w:r>
      <w:r>
        <w:rPr>
          <w:rFonts w:ascii="Times New Roman" w:cs="Times New Roman" w:eastAsia="Times New Roman" w:hAnsi="Times New Roman"/>
          <w:sz w:val="14"/>
          <w:szCs w:val="14"/>
          <w:u w:val="single" w:color="auto"/>
          <w:color w:val="auto"/>
        </w:rPr>
        <w:t>TRUSTEE AND AGENTS MAY HOLD SECURITIES; COLLECTIONS; ETC.</w:t>
      </w:r>
    </w:p>
    <w:p>
      <w:pPr>
        <w:spacing w:after="0" w:line="182" w:lineRule="exact"/>
        <w:rPr>
          <w:sz w:val="20"/>
          <w:szCs w:val="20"/>
          <w:color w:val="auto"/>
        </w:rPr>
      </w:pPr>
    </w:p>
    <w:p>
      <w:pPr>
        <w:ind w:left="120" w:right="299" w:firstLine="350"/>
        <w:spacing w:after="0" w:line="268" w:lineRule="auto"/>
        <w:rPr>
          <w:sz w:val="20"/>
          <w:szCs w:val="20"/>
          <w:color w:val="auto"/>
        </w:rPr>
      </w:pPr>
      <w:r>
        <w:rPr>
          <w:rFonts w:ascii="Times New Roman" w:cs="Times New Roman" w:eastAsia="Times New Roman" w:hAnsi="Times New Roman"/>
          <w:sz w:val="14"/>
          <w:szCs w:val="14"/>
          <w:color w:val="auto"/>
        </w:rPr>
        <w:t>The Trustee, any Paying Agent, Security Registrar or any other agent of the Company, in its individual or any other capacity, may become the owner or pledgee of Securities, with the same rights it would have if it were not the Trustee, Paying Agent, Security Registrar or such other agent and, subject to Trust Indenture Act Sections 310 and 311, may otherwise deal with the Company and receive, collect, hold and retain collections from the Company with the same rights it would have if it were not the Trustee, Paying Agent, Security Registrar or such other agent.</w:t>
      </w:r>
    </w:p>
    <w:p>
      <w:pPr>
        <w:spacing w:after="0" w:line="1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6.06 </w:t>
      </w:r>
      <w:r>
        <w:rPr>
          <w:rFonts w:ascii="Times New Roman" w:cs="Times New Roman" w:eastAsia="Times New Roman" w:hAnsi="Times New Roman"/>
          <w:sz w:val="14"/>
          <w:szCs w:val="14"/>
          <w:u w:val="single" w:color="auto"/>
          <w:color w:val="auto"/>
        </w:rPr>
        <w:t>MONEY HELD IN TRUST</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120" w:right="239" w:firstLine="350"/>
        <w:spacing w:after="0" w:line="292" w:lineRule="auto"/>
        <w:rPr>
          <w:sz w:val="20"/>
          <w:szCs w:val="20"/>
          <w:color w:val="auto"/>
        </w:rPr>
      </w:pPr>
      <w:r>
        <w:rPr>
          <w:rFonts w:ascii="Times New Roman" w:cs="Times New Roman" w:eastAsia="Times New Roman" w:hAnsi="Times New Roman"/>
          <w:sz w:val="14"/>
          <w:szCs w:val="14"/>
          <w:color w:val="auto"/>
        </w:rPr>
        <w:t>All moneys received by the Trustee shall, until used or applied as herein provided, be held in trust for the purposes for which they were received, but need not be segregated from other funds, except to the extent required by mandatory provisions of law.</w:t>
      </w:r>
    </w:p>
    <w:p>
      <w:pPr>
        <w:spacing w:after="0" w:line="1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6.07 </w:t>
      </w:r>
      <w:r>
        <w:rPr>
          <w:rFonts w:ascii="Times New Roman" w:cs="Times New Roman" w:eastAsia="Times New Roman" w:hAnsi="Times New Roman"/>
          <w:sz w:val="14"/>
          <w:szCs w:val="14"/>
          <w:u w:val="single" w:color="auto"/>
          <w:color w:val="auto"/>
        </w:rPr>
        <w:t>COMPENSATION AND INDEMNIFICATION OF TRUSTEE AND ITS PRIOR CLAIM</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120" w:right="139" w:firstLine="350"/>
        <w:spacing w:after="0" w:line="258" w:lineRule="auto"/>
        <w:rPr>
          <w:sz w:val="20"/>
          <w:szCs w:val="20"/>
          <w:color w:val="auto"/>
        </w:rPr>
      </w:pPr>
      <w:r>
        <w:rPr>
          <w:rFonts w:ascii="Times New Roman" w:cs="Times New Roman" w:eastAsia="Times New Roman" w:hAnsi="Times New Roman"/>
          <w:sz w:val="14"/>
          <w:szCs w:val="14"/>
          <w:color w:val="auto"/>
        </w:rPr>
        <w:t>The Company covenants and agrees to pay to the Trustee from time to time, such compensation as agreed to in writing by the Company and the Trustee and reasonable compensation for all other services rendered by it hereunder (which compensation shall not be limited by any provision of law in regard to the compensation of a trustee of an express trust), and the Company covenants and agrees to pay or reimburse the Trustee and each predecessor Trustee upon its request for all reasonable fees, expenses, disbursements and advances incurred or made by or on behalf of the Trustee in accordance with any of the provisions of this Indenture and as agreed upon in the fee agreement between the Trustee and the Company (including the reasonable compensation and the fees, expenses and disbursements of its counsel and of all agents (other than any Authenticating Agent) and other persons not regularly in its employ); except any such expense, disbursement or advance as may arise from its negligence, negligent failure to act or willful misconduct. The Company also covenants and agrees to indemnify the Trustee and its directors, officers, agents and employees and each predecessor Trustee (the “</w:t>
      </w:r>
      <w:r>
        <w:rPr>
          <w:rFonts w:ascii="Times New Roman" w:cs="Times New Roman" w:eastAsia="Times New Roman" w:hAnsi="Times New Roman"/>
          <w:sz w:val="14"/>
          <w:szCs w:val="14"/>
          <w:u w:val="single" w:color="auto"/>
          <w:color w:val="auto"/>
        </w:rPr>
        <w:t>Indemnitees</w:t>
      </w:r>
      <w:r>
        <w:rPr>
          <w:rFonts w:ascii="Times New Roman" w:cs="Times New Roman" w:eastAsia="Times New Roman" w:hAnsi="Times New Roman"/>
          <w:sz w:val="14"/>
          <w:szCs w:val="14"/>
          <w:color w:val="auto"/>
        </w:rPr>
        <w:t xml:space="preserve">”) for, and to hold them harmless against, any claim, loss, liability, damage, tax, assessment or other governmental charge (other than taxes applicable to the Trustee’s compensation hereunder), cost or expense incurred without negligence, negligent failure to act or willful misconduct on its part, arising out of or in connection with the acceptance or administration of this Indenture or the trusts hereunder and its duties hereunder, including enforcement of this </w:t>
      </w:r>
      <w:r>
        <w:rPr>
          <w:rFonts w:ascii="Times New Roman" w:cs="Times New Roman" w:eastAsia="Times New Roman" w:hAnsi="Times New Roman"/>
          <w:sz w:val="14"/>
          <w:szCs w:val="14"/>
          <w:u w:val="single" w:color="auto"/>
          <w:color w:val="auto"/>
        </w:rPr>
        <w:t>Section 6.07</w:t>
      </w:r>
      <w:r>
        <w:rPr>
          <w:rFonts w:ascii="Times New Roman" w:cs="Times New Roman" w:eastAsia="Times New Roman" w:hAnsi="Times New Roman"/>
          <w:sz w:val="14"/>
          <w:szCs w:val="14"/>
          <w:color w:val="auto"/>
        </w:rPr>
        <w:t xml:space="preserve"> and also including any liability which the Indemnitees may incur as a result of failure to withhold, pay or report any tax, assessment, fine, penalty, damages or other governmental charge, and the costs, fees and expenses of defending itself against or investigating any claim (whether asserted by the Company, a Guarantor, a Holder, or any other Person) or liability in connection with the exercise or performance of any of its powers or duties hereunder. The obligations of the Company under this </w:t>
      </w:r>
      <w:r>
        <w:rPr>
          <w:rFonts w:ascii="Times New Roman" w:cs="Times New Roman" w:eastAsia="Times New Roman" w:hAnsi="Times New Roman"/>
          <w:sz w:val="14"/>
          <w:szCs w:val="14"/>
          <w:u w:val="single" w:color="auto"/>
          <w:color w:val="auto"/>
        </w:rPr>
        <w:t>Section 6.07</w:t>
      </w:r>
      <w:r>
        <w:rPr>
          <w:rFonts w:ascii="Times New Roman" w:cs="Times New Roman" w:eastAsia="Times New Roman" w:hAnsi="Times New Roman"/>
          <w:sz w:val="14"/>
          <w:szCs w:val="14"/>
          <w:color w:val="auto"/>
        </w:rPr>
        <w:t xml:space="preserve"> to compensate and indemnify the Indemnitees and each predecessor Trustee and to pay or reimburse the Trustee and each predecessor Trustee for reasonable fees, expenses, disbursements and advances shall constitute an additional obligation hereunder and shall survive the satisfaction and discharge of this Indenture and the resignation or removal of the Trustee and each predecessor Trustee.</w:t>
      </w:r>
    </w:p>
    <w:p>
      <w:pPr>
        <w:spacing w:after="0" w:line="147" w:lineRule="exact"/>
        <w:rPr>
          <w:sz w:val="20"/>
          <w:szCs w:val="20"/>
          <w:color w:val="auto"/>
        </w:rPr>
      </w:pPr>
    </w:p>
    <w:p>
      <w:pPr>
        <w:ind w:left="120" w:right="319" w:firstLine="350"/>
        <w:spacing w:after="0" w:line="292" w:lineRule="auto"/>
        <w:rPr>
          <w:sz w:val="20"/>
          <w:szCs w:val="20"/>
          <w:color w:val="auto"/>
        </w:rPr>
      </w:pPr>
      <w:r>
        <w:rPr>
          <w:rFonts w:ascii="Times New Roman" w:cs="Times New Roman" w:eastAsia="Times New Roman" w:hAnsi="Times New Roman"/>
          <w:sz w:val="14"/>
          <w:szCs w:val="14"/>
          <w:color w:val="auto"/>
        </w:rPr>
        <w:t xml:space="preserve">The Trustee shall have a lien prior to the Securities as to all property and funds held by it hereunder for any amount owing it or any predecessor Trustee pursuant to this </w:t>
      </w:r>
      <w:r>
        <w:rPr>
          <w:rFonts w:ascii="Times New Roman" w:cs="Times New Roman" w:eastAsia="Times New Roman" w:hAnsi="Times New Roman"/>
          <w:sz w:val="14"/>
          <w:szCs w:val="14"/>
          <w:u w:val="single" w:color="auto"/>
          <w:color w:val="auto"/>
        </w:rPr>
        <w:t>Section 6.07</w:t>
      </w:r>
      <w:r>
        <w:rPr>
          <w:rFonts w:ascii="Times New Roman" w:cs="Times New Roman" w:eastAsia="Times New Roman" w:hAnsi="Times New Roman"/>
          <w:sz w:val="14"/>
          <w:szCs w:val="14"/>
          <w:color w:val="auto"/>
        </w:rPr>
        <w:t>, except with respect to funds held in trust for the benefit of the Holders of particular Securities.</w:t>
      </w:r>
    </w:p>
    <w:p>
      <w:pPr>
        <w:spacing w:after="0" w:line="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w:t>
      </w:r>
    </w:p>
    <w:p>
      <w:pPr>
        <w:sectPr>
          <w:pgSz w:w="11900" w:h="16838" w:orient="portrait"/>
          <w:cols w:equalWidth="0" w:num="1">
            <w:col w:w="9019"/>
          </w:cols>
          <w:pgMar w:left="1440" w:top="243" w:right="1440" w:bottom="1440" w:gutter="0" w:footer="0" w:header="0"/>
        </w:sectPr>
      </w:pPr>
    </w:p>
    <w:bookmarkStart w:id="215" w:name="page216"/>
    <w:bookmarkEnd w:id="215"/>
    <w:p>
      <w:pPr>
        <w:jc w:val="both"/>
        <w:ind w:left="120" w:right="259" w:firstLine="350"/>
        <w:spacing w:after="0" w:line="27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5">
                      <a:extLst>
                        <a:ext uri="{28A0092B-C50C-407E-A947-70E740481C1C}"/>
                      </a:extLst>
                    </a:blip>
                    <a:srcRect/>
                    <a:stretch>
                      <a:fillRect/>
                    </a:stretch>
                  </pic:blipFill>
                  <pic:spPr bwMode="auto">
                    <a:xfrm>
                      <a:off x="0" y="0"/>
                      <a:ext cx="7199630" cy="33020"/>
                    </a:xfrm>
                    <a:prstGeom prst="rect">
                      <a:avLst/>
                    </a:prstGeom>
                    <a:noFill/>
                  </pic:spPr>
                </pic:pic>
              </a:graphicData>
            </a:graphic>
          </wp:anchor>
        </w:drawing>
        <w:t xml:space="preserve">When the Trustee incurs expenses or renders services in connection with an Event of Default specified in </w:t>
      </w:r>
      <w:r>
        <w:rPr>
          <w:rFonts w:ascii="Times New Roman" w:cs="Times New Roman" w:eastAsia="Times New Roman" w:hAnsi="Times New Roman"/>
          <w:sz w:val="14"/>
          <w:szCs w:val="14"/>
          <w:u w:val="single" w:color="auto"/>
          <w:color w:val="auto"/>
        </w:rPr>
        <w:t>Section 5.01(e)</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5.01(f)</w:t>
      </w:r>
      <w:r>
        <w:rPr>
          <w:rFonts w:ascii="Times New Roman" w:cs="Times New Roman" w:eastAsia="Times New Roman" w:hAnsi="Times New Roman"/>
          <w:sz w:val="14"/>
          <w:szCs w:val="14"/>
          <w:color w:val="auto"/>
        </w:rPr>
        <w:t>, the expenses (including the reasonable charges and expenses of its counsel) and the compensation for the services are intended to constitute administrative expenses for purposes of priority under any applicable Federal or state bankruptcy, insolvency or other similar law.</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6.08 </w:t>
      </w:r>
      <w:r>
        <w:rPr>
          <w:rFonts w:ascii="Times New Roman" w:cs="Times New Roman" w:eastAsia="Times New Roman" w:hAnsi="Times New Roman"/>
          <w:sz w:val="14"/>
          <w:szCs w:val="14"/>
          <w:u w:val="single" w:color="auto"/>
          <w:color w:val="auto"/>
        </w:rPr>
        <w:t>CONFLICTING INTERESTS</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The Trustee shall comply with the provisions of Section 310(b) of the Trust Indenture Act.</w:t>
      </w:r>
    </w:p>
    <w:p>
      <w:pPr>
        <w:spacing w:after="0" w:line="1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6.09 </w:t>
      </w:r>
      <w:r>
        <w:rPr>
          <w:rFonts w:ascii="Times New Roman" w:cs="Times New Roman" w:eastAsia="Times New Roman" w:hAnsi="Times New Roman"/>
          <w:sz w:val="14"/>
          <w:szCs w:val="14"/>
          <w:u w:val="single" w:color="auto"/>
          <w:color w:val="auto"/>
        </w:rPr>
        <w:t>TRUSTEE ELIGIBILITY; DISQUALIFICATION</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120" w:right="239" w:firstLine="350"/>
        <w:spacing w:after="0" w:line="268" w:lineRule="auto"/>
        <w:rPr>
          <w:sz w:val="20"/>
          <w:szCs w:val="20"/>
          <w:color w:val="auto"/>
        </w:rPr>
      </w:pPr>
      <w:r>
        <w:rPr>
          <w:rFonts w:ascii="Times New Roman" w:cs="Times New Roman" w:eastAsia="Times New Roman" w:hAnsi="Times New Roman"/>
          <w:sz w:val="14"/>
          <w:szCs w:val="14"/>
          <w:color w:val="auto"/>
        </w:rPr>
        <w:t>There shall at all times be a Trustee hereunder that is a corporation or limited liability company organized and doing business under the laws of the United States of America or of any state thereof that is authorized under such laws to exercise corporate trustee power, that is subject to supervision or examination by federal or state authorities and that has a combined capital and surplus of at least $150,000 as set forth in its most recent published annual report of condition.</w:t>
      </w:r>
    </w:p>
    <w:p>
      <w:pPr>
        <w:spacing w:after="0" w:line="139" w:lineRule="exact"/>
        <w:rPr>
          <w:sz w:val="20"/>
          <w:szCs w:val="20"/>
          <w:color w:val="auto"/>
        </w:rPr>
      </w:pPr>
    </w:p>
    <w:p>
      <w:pPr>
        <w:ind w:left="120" w:right="179" w:firstLine="350"/>
        <w:spacing w:after="0" w:line="292" w:lineRule="auto"/>
        <w:rPr>
          <w:sz w:val="20"/>
          <w:szCs w:val="20"/>
          <w:color w:val="auto"/>
        </w:rPr>
      </w:pPr>
      <w:r>
        <w:rPr>
          <w:rFonts w:ascii="Times New Roman" w:cs="Times New Roman" w:eastAsia="Times New Roman" w:hAnsi="Times New Roman"/>
          <w:sz w:val="14"/>
          <w:szCs w:val="14"/>
          <w:color w:val="auto"/>
        </w:rPr>
        <w:t>This Indenture shall always have a Trustee who satisfies the requirements of Trust Indenture Act § 310(a)(1), (2) and (5). The Trustee is subject to Trust Indenture Act § 310(b).</w:t>
      </w:r>
    </w:p>
    <w:p>
      <w:pPr>
        <w:spacing w:after="0" w:line="1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6.10 </w:t>
      </w:r>
      <w:r>
        <w:rPr>
          <w:rFonts w:ascii="Times New Roman" w:cs="Times New Roman" w:eastAsia="Times New Roman" w:hAnsi="Times New Roman"/>
          <w:sz w:val="14"/>
          <w:szCs w:val="14"/>
          <w:u w:val="single" w:color="auto"/>
          <w:color w:val="auto"/>
        </w:rPr>
        <w:t>RESIGNATION AND REMOVAL; APPOINTMENT OF SUCCESSOR TRUSTEE</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120" w:right="219" w:firstLine="357"/>
        <w:spacing w:after="0" w:line="292" w:lineRule="auto"/>
        <w:tabs>
          <w:tab w:leader="none" w:pos="664" w:val="left"/>
        </w:tabs>
        <w:numPr>
          <w:ilvl w:val="0"/>
          <w:numId w:val="1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 resignation or removal of the Trustee and no appointment of a successor trustee pursuant to this </w:t>
      </w:r>
      <w:r>
        <w:rPr>
          <w:rFonts w:ascii="Times New Roman" w:cs="Times New Roman" w:eastAsia="Times New Roman" w:hAnsi="Times New Roman"/>
          <w:sz w:val="14"/>
          <w:szCs w:val="14"/>
          <w:u w:val="single" w:color="auto"/>
          <w:color w:val="auto"/>
        </w:rPr>
        <w:t>Article VI</w:t>
      </w:r>
      <w:r>
        <w:rPr>
          <w:rFonts w:ascii="Times New Roman" w:cs="Times New Roman" w:eastAsia="Times New Roman" w:hAnsi="Times New Roman"/>
          <w:sz w:val="14"/>
          <w:szCs w:val="14"/>
          <w:color w:val="auto"/>
        </w:rPr>
        <w:t xml:space="preserve"> shall become effective until the acceptance of appointment by the successor trustee under </w:t>
      </w:r>
      <w:r>
        <w:rPr>
          <w:rFonts w:ascii="Times New Roman" w:cs="Times New Roman" w:eastAsia="Times New Roman" w:hAnsi="Times New Roman"/>
          <w:sz w:val="14"/>
          <w:szCs w:val="14"/>
          <w:u w:val="single" w:color="auto"/>
          <w:color w:val="auto"/>
        </w:rPr>
        <w:t>Section 6.11</w:t>
      </w:r>
      <w:r>
        <w:rPr>
          <w:rFonts w:ascii="Times New Roman" w:cs="Times New Roman" w:eastAsia="Times New Roman" w:hAnsi="Times New Roman"/>
          <w:sz w:val="14"/>
          <w:szCs w:val="14"/>
          <w:color w:val="auto"/>
        </w:rPr>
        <w:t>.</w:t>
      </w:r>
    </w:p>
    <w:p>
      <w:pPr>
        <w:spacing w:after="0" w:line="123" w:lineRule="exact"/>
        <w:rPr>
          <w:rFonts w:ascii="Times New Roman" w:cs="Times New Roman" w:eastAsia="Times New Roman" w:hAnsi="Times New Roman"/>
          <w:sz w:val="14"/>
          <w:szCs w:val="14"/>
          <w:color w:val="auto"/>
        </w:rPr>
      </w:pPr>
    </w:p>
    <w:p>
      <w:pPr>
        <w:ind w:left="120" w:right="199" w:firstLine="357"/>
        <w:spacing w:after="0" w:line="261" w:lineRule="auto"/>
        <w:tabs>
          <w:tab w:leader="none" w:pos="672" w:val="left"/>
        </w:tabs>
        <w:numPr>
          <w:ilvl w:val="0"/>
          <w:numId w:val="1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or any trustee or trustees hereafter appointed, may at any time resign by giving written notice thereof to the Company no later than 30 Business Days prior to the proposed date of resignation. Upon receiving such notice of resignation, the Company shall promptly appoint a successor trustee by written instrument executed by authority of the Board of Directors of the Company, a copy of which shall be delivered to the resigning Trustee and a copy to the successor trustee. If an instrument of acceptance by a successor trustee shall not have been delivered to the Trustee within 30 days after the giving of such notice of resignation, the resigning Trustee, at the expense of the Company, or any Holder who has been a bona fide Holder of a Security for at least six months, on behalf of himself and all others similarly situated, may petition any court of competent jurisdiction for the appointment of a successor trustee. Such court may thereupon, after such notice, if any, as it may deem proper, appoint and prescribe a successor trustee.</w:t>
      </w:r>
    </w:p>
    <w:p>
      <w:pPr>
        <w:spacing w:after="0" w:line="319" w:lineRule="exact"/>
        <w:rPr>
          <w:rFonts w:ascii="Times New Roman" w:cs="Times New Roman" w:eastAsia="Times New Roman" w:hAnsi="Times New Roman"/>
          <w:sz w:val="14"/>
          <w:szCs w:val="14"/>
          <w:color w:val="auto"/>
        </w:rPr>
      </w:pPr>
    </w:p>
    <w:p>
      <w:pPr>
        <w:ind w:left="120" w:right="159" w:firstLine="357"/>
        <w:spacing w:after="0" w:line="260" w:lineRule="auto"/>
        <w:tabs>
          <w:tab w:leader="none" w:pos="664" w:val="left"/>
        </w:tabs>
        <w:numPr>
          <w:ilvl w:val="0"/>
          <w:numId w:val="1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may be removed with respect to any particular series of Securities at any time for any cause or for no cause by an Act of the Holders of not less than a majority in aggregate principal amount of the Outstanding Securities of such series, delivered to the Trustee and to the Company at least 30 days prior to the proposed date of termination. Upon receiving such Act of the Holders, the Company shall promptly appoint a successor trustee by written instrument executed by authority of the Board of Directors of the Company, a copy of which shall be delivered to the removed Trustee and a copy to the successor trustee. If an instrument of acceptance by a successor trustee shall not have been delivered to the Trustee within 30 days after the receipt of such Act of the Holders, the removed Trustee, at the expense of the Company, or any Holder who has been a bona fide Holder of a Security for at least six months, on behalf of himself and all others similarly situated, may petition any court of competent jurisdiction for the appointment of a successor trustee. Such court may thereupon, after such notice, if any, as it may deem proper, appoint and prescribe a successor trustee.</w:t>
      </w:r>
    </w:p>
    <w:p>
      <w:pPr>
        <w:spacing w:after="0" w:line="321" w:lineRule="exact"/>
        <w:rPr>
          <w:rFonts w:ascii="Times New Roman" w:cs="Times New Roman" w:eastAsia="Times New Roman" w:hAnsi="Times New Roman"/>
          <w:sz w:val="14"/>
          <w:szCs w:val="14"/>
          <w:color w:val="auto"/>
        </w:rPr>
      </w:pPr>
    </w:p>
    <w:p>
      <w:pPr>
        <w:ind w:left="680" w:hanging="203"/>
        <w:spacing w:after="0"/>
        <w:tabs>
          <w:tab w:leader="none" w:pos="680" w:val="left"/>
        </w:tabs>
        <w:numPr>
          <w:ilvl w:val="0"/>
          <w:numId w:val="1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at any time:</w:t>
      </w:r>
    </w:p>
    <w:p>
      <w:pPr>
        <w:spacing w:after="0" w:line="97" w:lineRule="exact"/>
        <w:rPr>
          <w:sz w:val="20"/>
          <w:szCs w:val="20"/>
          <w:color w:val="auto"/>
        </w:rPr>
      </w:pPr>
    </w:p>
    <w:p>
      <w:pPr>
        <w:ind w:left="120" w:right="239" w:firstLine="357"/>
        <w:spacing w:after="0" w:line="292" w:lineRule="auto"/>
        <w:tabs>
          <w:tab w:leader="none" w:pos="672" w:val="left"/>
        </w:tabs>
        <w:numPr>
          <w:ilvl w:val="0"/>
          <w:numId w:val="1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fail to comply with the provisions of Trust Indenture Act Section 310(b) after written request therefor by the Company or by any Holder who has been a bona fide Holder of a Security for at least six months,</w:t>
      </w:r>
    </w:p>
    <w:p>
      <w:pPr>
        <w:spacing w:after="0" w:line="123" w:lineRule="exact"/>
        <w:rPr>
          <w:rFonts w:ascii="Times New Roman" w:cs="Times New Roman" w:eastAsia="Times New Roman" w:hAnsi="Times New Roman"/>
          <w:sz w:val="14"/>
          <w:szCs w:val="14"/>
          <w:color w:val="auto"/>
        </w:rPr>
      </w:pPr>
    </w:p>
    <w:p>
      <w:pPr>
        <w:ind w:left="120" w:right="179" w:firstLine="357"/>
        <w:spacing w:after="0" w:line="292" w:lineRule="auto"/>
        <w:tabs>
          <w:tab w:leader="none" w:pos="672" w:val="left"/>
        </w:tabs>
        <w:numPr>
          <w:ilvl w:val="0"/>
          <w:numId w:val="1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Trustee shall cease to be eligible under </w:t>
      </w:r>
      <w:r>
        <w:rPr>
          <w:rFonts w:ascii="Times New Roman" w:cs="Times New Roman" w:eastAsia="Times New Roman" w:hAnsi="Times New Roman"/>
          <w:sz w:val="14"/>
          <w:szCs w:val="14"/>
          <w:u w:val="single" w:color="auto"/>
          <w:color w:val="auto"/>
        </w:rPr>
        <w:t>Section 6.09</w:t>
      </w:r>
      <w:r>
        <w:rPr>
          <w:rFonts w:ascii="Times New Roman" w:cs="Times New Roman" w:eastAsia="Times New Roman" w:hAnsi="Times New Roman"/>
          <w:sz w:val="14"/>
          <w:szCs w:val="14"/>
          <w:color w:val="auto"/>
        </w:rPr>
        <w:t xml:space="preserve"> and shall fail to resign after written request therefor by the Company or by any Holder who has been a bona fide Holder of a Security for at least six months, or</w:t>
      </w:r>
    </w:p>
    <w:p>
      <w:pPr>
        <w:spacing w:after="0" w:line="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35</w:t>
      </w:r>
    </w:p>
    <w:p>
      <w:pPr>
        <w:sectPr>
          <w:pgSz w:w="11900" w:h="16838" w:orient="portrait"/>
          <w:cols w:equalWidth="0" w:num="1">
            <w:col w:w="9019"/>
          </w:cols>
          <w:pgMar w:left="1440" w:top="243" w:right="1440" w:bottom="1440" w:gutter="0" w:footer="0" w:header="0"/>
        </w:sectPr>
      </w:pPr>
    </w:p>
    <w:bookmarkStart w:id="216" w:name="page217"/>
    <w:bookmarkEnd w:id="216"/>
    <w:p>
      <w:pPr>
        <w:ind w:left="120" w:right="159" w:firstLine="357"/>
        <w:spacing w:after="0" w:line="274" w:lineRule="auto"/>
        <w:tabs>
          <w:tab w:leader="none" w:pos="672" w:val="left"/>
        </w:tabs>
        <w:numPr>
          <w:ilvl w:val="0"/>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6">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35" w:lineRule="exact"/>
        <w:rPr>
          <w:sz w:val="20"/>
          <w:szCs w:val="20"/>
          <w:color w:val="auto"/>
        </w:rPr>
      </w:pPr>
    </w:p>
    <w:p>
      <w:pPr>
        <w:ind w:left="120" w:right="159" w:firstLine="350"/>
        <w:spacing w:after="0" w:line="265" w:lineRule="auto"/>
        <w:rPr>
          <w:sz w:val="20"/>
          <w:szCs w:val="20"/>
          <w:color w:val="auto"/>
        </w:rPr>
      </w:pPr>
      <w:r>
        <w:rPr>
          <w:rFonts w:ascii="Times New Roman" w:cs="Times New Roman" w:eastAsia="Times New Roman" w:hAnsi="Times New Roman"/>
          <w:sz w:val="14"/>
          <w:szCs w:val="14"/>
          <w:color w:val="auto"/>
        </w:rPr>
        <w:t xml:space="preserve">then, in any case, and notwithstanding the provisions of </w:t>
      </w:r>
      <w:r>
        <w:rPr>
          <w:rFonts w:ascii="Times New Roman" w:cs="Times New Roman" w:eastAsia="Times New Roman" w:hAnsi="Times New Roman"/>
          <w:sz w:val="14"/>
          <w:szCs w:val="14"/>
          <w:u w:val="single" w:color="auto"/>
          <w:color w:val="auto"/>
        </w:rPr>
        <w:t>Section 6.10(c)</w:t>
      </w:r>
      <w:r>
        <w:rPr>
          <w:rFonts w:ascii="Times New Roman" w:cs="Times New Roman" w:eastAsia="Times New Roman" w:hAnsi="Times New Roman"/>
          <w:sz w:val="14"/>
          <w:szCs w:val="14"/>
          <w:color w:val="auto"/>
        </w:rPr>
        <w:t xml:space="preserve">: (i) the Company by or pursuant to a Board Resolution may immediately remove the Trustee, or (ii) subject to </w:t>
      </w:r>
      <w:r>
        <w:rPr>
          <w:rFonts w:ascii="Times New Roman" w:cs="Times New Roman" w:eastAsia="Times New Roman" w:hAnsi="Times New Roman"/>
          <w:sz w:val="14"/>
          <w:szCs w:val="14"/>
          <w:u w:val="single" w:color="auto"/>
          <w:color w:val="auto"/>
        </w:rPr>
        <w:t>Section 5.14</w:t>
      </w:r>
      <w:r>
        <w:rPr>
          <w:rFonts w:ascii="Times New Roman" w:cs="Times New Roman" w:eastAsia="Times New Roman" w:hAnsi="Times New Roman"/>
          <w:sz w:val="14"/>
          <w:szCs w:val="14"/>
          <w:color w:val="auto"/>
        </w:rPr>
        <w:t>, the Holder of any Security who has been a bona fide Holder of a Security for at least six months may, on behalf of himself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141" w:lineRule="exact"/>
        <w:rPr>
          <w:sz w:val="20"/>
          <w:szCs w:val="20"/>
          <w:color w:val="auto"/>
        </w:rPr>
      </w:pPr>
    </w:p>
    <w:p>
      <w:pPr>
        <w:ind w:left="120" w:right="139" w:firstLine="357"/>
        <w:spacing w:after="0" w:line="260" w:lineRule="auto"/>
        <w:tabs>
          <w:tab w:leader="none" w:pos="664" w:val="left"/>
        </w:tabs>
        <w:numPr>
          <w:ilvl w:val="0"/>
          <w:numId w:val="1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the Trustee shall resign, be removed or become incapable of acting, or if a vacancy shall occur in the office of Trustee for any cause, the Company, by or pursuant to a Board Resolution, shall promptly appoint a successor trustee and shall comply with the applicable requirements of </w:t>
      </w:r>
      <w:r>
        <w:rPr>
          <w:rFonts w:ascii="Times New Roman" w:cs="Times New Roman" w:eastAsia="Times New Roman" w:hAnsi="Times New Roman"/>
          <w:sz w:val="14"/>
          <w:szCs w:val="14"/>
          <w:u w:val="single" w:color="auto"/>
          <w:color w:val="auto"/>
        </w:rPr>
        <w:t>Section 6.11</w:t>
      </w:r>
      <w:r>
        <w:rPr>
          <w:rFonts w:ascii="Times New Roman" w:cs="Times New Roman" w:eastAsia="Times New Roman" w:hAnsi="Times New Roman"/>
          <w:sz w:val="14"/>
          <w:szCs w:val="14"/>
          <w:color w:val="auto"/>
        </w:rPr>
        <w:t xml:space="preserve">. If, within 60 days after such resignation, removal or incapability, or the occurrence of such vacancy, the Company has not appointed a successor Trustee with respect to Securities of a series, a successor trustee shall be appointed by the Act of the Holders of a majority in aggregate principal amount of the Outstanding Securities of such series delivered to the Company and the retiring Trustee. If no successor trustee shall have been so appointed by the Company or the Holders of the Securities and accepted appointment in the manner provided herein, the Trustee, at the expense of the Company, or the Holder of any Security who has been a bona fide Holder of a Security of such series for at least six months may, subject to </w:t>
      </w:r>
      <w:r>
        <w:rPr>
          <w:rFonts w:ascii="Times New Roman" w:cs="Times New Roman" w:eastAsia="Times New Roman" w:hAnsi="Times New Roman"/>
          <w:sz w:val="14"/>
          <w:szCs w:val="14"/>
          <w:u w:val="single" w:color="auto"/>
          <w:color w:val="auto"/>
        </w:rPr>
        <w:t>Section 5.14</w:t>
      </w:r>
      <w:r>
        <w:rPr>
          <w:rFonts w:ascii="Times New Roman" w:cs="Times New Roman" w:eastAsia="Times New Roman" w:hAnsi="Times New Roman"/>
          <w:sz w:val="14"/>
          <w:szCs w:val="14"/>
          <w:color w:val="auto"/>
        </w:rPr>
        <w:t>, on behalf of himself and all others similarly situated, petition any court of competent jurisdiction for the appointment of a successor trustee with respect to Securities of a series.</w:t>
      </w:r>
    </w:p>
    <w:p>
      <w:pPr>
        <w:spacing w:after="0" w:line="147" w:lineRule="exact"/>
        <w:rPr>
          <w:rFonts w:ascii="Times New Roman" w:cs="Times New Roman" w:eastAsia="Times New Roman" w:hAnsi="Times New Roman"/>
          <w:sz w:val="14"/>
          <w:szCs w:val="14"/>
          <w:color w:val="auto"/>
        </w:rPr>
      </w:pPr>
    </w:p>
    <w:p>
      <w:pPr>
        <w:ind w:left="120" w:right="379" w:firstLine="357"/>
        <w:spacing w:after="0" w:line="274" w:lineRule="auto"/>
        <w:tabs>
          <w:tab w:leader="none" w:pos="649" w:val="left"/>
        </w:tabs>
        <w:numPr>
          <w:ilvl w:val="0"/>
          <w:numId w:val="1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give notice of each resignation and each removal of the Trustee and each appointment of a successor trustee by mailing written notice of such event by first-class mail, postage prepaid, to the Holders of Securities as their names and addresses appear in the Security Register. Each notice shall include the name of the successor trustee and the address of its Corporate Trust Office or agent hereunder.</w:t>
      </w:r>
    </w:p>
    <w:p>
      <w:pPr>
        <w:spacing w:after="0" w:line="135" w:lineRule="exact"/>
        <w:rPr>
          <w:rFonts w:ascii="Times New Roman" w:cs="Times New Roman" w:eastAsia="Times New Roman" w:hAnsi="Times New Roman"/>
          <w:sz w:val="14"/>
          <w:szCs w:val="14"/>
          <w:color w:val="auto"/>
        </w:rPr>
      </w:pPr>
    </w:p>
    <w:p>
      <w:pPr>
        <w:ind w:left="120" w:right="239" w:firstLine="357"/>
        <w:spacing w:after="0" w:line="292" w:lineRule="auto"/>
        <w:tabs>
          <w:tab w:leader="none" w:pos="672" w:val="left"/>
        </w:tabs>
        <w:numPr>
          <w:ilvl w:val="0"/>
          <w:numId w:val="1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replacement of the Trustee pursuant to this Section 6.10, the Company’s and any Guarantors’ obligations under Section 6.07 hereof shall continue for the benefit of the retiring Trustee.</w:t>
      </w:r>
    </w:p>
    <w:p>
      <w:pPr>
        <w:spacing w:after="0" w:line="1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6.11 </w:t>
      </w:r>
      <w:r>
        <w:rPr>
          <w:rFonts w:ascii="Times New Roman" w:cs="Times New Roman" w:eastAsia="Times New Roman" w:hAnsi="Times New Roman"/>
          <w:sz w:val="14"/>
          <w:szCs w:val="14"/>
          <w:u w:val="single" w:color="auto"/>
          <w:color w:val="auto"/>
        </w:rPr>
        <w:t>ACCEPTANCE OF APPOINTMENT BY SUCCESSOR</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Every successor trustee appointed hereunder shall execute, acknowledge and deliver to the Company and to the retiring Trustee an instrument</w:t>
      </w:r>
    </w:p>
    <w:p>
      <w:pPr>
        <w:spacing w:after="0" w:line="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accepting such appointment, and thereupon the resignation or removal of the retiring Trustee shall become effective and such successor trustee, without</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any further act, deed or conveyance, shall become vested with all the rights, powers, trusts and duties of the retiring Trustee as if originally named as</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Trustee hereunder; but, nevertheless, on the written request of the Company or the successor trustee, upon payment of its charges pursuant to</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u w:val="single" w:color="auto"/>
          <w:color w:val="auto"/>
        </w:rPr>
        <w:t>Section 6.07</w:t>
      </w:r>
      <w:r>
        <w:rPr>
          <w:rFonts w:ascii="Times New Roman" w:cs="Times New Roman" w:eastAsia="Times New Roman" w:hAnsi="Times New Roman"/>
          <w:sz w:val="14"/>
          <w:szCs w:val="14"/>
          <w:color w:val="auto"/>
        </w:rPr>
        <w:t xml:space="preserve"> then unpaid, such retiring Trustee shall pay over to the successor trustee all moneys, cash equivalents and other property relating thereto at</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the time held by it hereunder and shall execute and deliver an instrument transferring to such successor trustee all such rights, powers, trusts and duties.</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Upon request of any such successor trustee, the Company shall execute any and all instruments for more fully and certainly vesting in and confirming to</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such successor trustee all such rights and powers.</w:t>
      </w:r>
    </w:p>
    <w:p>
      <w:pPr>
        <w:spacing w:after="0" w:line="169" w:lineRule="exact"/>
        <w:rPr>
          <w:sz w:val="20"/>
          <w:szCs w:val="20"/>
          <w:color w:val="auto"/>
        </w:rPr>
      </w:pPr>
    </w:p>
    <w:p>
      <w:pPr>
        <w:ind w:left="120" w:right="239" w:firstLine="350"/>
        <w:spacing w:after="0" w:line="274" w:lineRule="auto"/>
        <w:rPr>
          <w:sz w:val="20"/>
          <w:szCs w:val="20"/>
          <w:color w:val="auto"/>
        </w:rPr>
      </w:pPr>
      <w:r>
        <w:rPr>
          <w:rFonts w:ascii="Times New Roman" w:cs="Times New Roman" w:eastAsia="Times New Roman" w:hAnsi="Times New Roman"/>
          <w:sz w:val="14"/>
          <w:szCs w:val="14"/>
          <w:color w:val="auto"/>
        </w:rPr>
        <w:t xml:space="preserve">No successor trustee with respect to the Securities shall accept appointment as provided in this </w:t>
      </w:r>
      <w:r>
        <w:rPr>
          <w:rFonts w:ascii="Times New Roman" w:cs="Times New Roman" w:eastAsia="Times New Roman" w:hAnsi="Times New Roman"/>
          <w:sz w:val="14"/>
          <w:szCs w:val="14"/>
          <w:u w:val="single" w:color="auto"/>
          <w:color w:val="auto"/>
        </w:rPr>
        <w:t>Section 6.11</w:t>
      </w:r>
      <w:r>
        <w:rPr>
          <w:rFonts w:ascii="Times New Roman" w:cs="Times New Roman" w:eastAsia="Times New Roman" w:hAnsi="Times New Roman"/>
          <w:sz w:val="14"/>
          <w:szCs w:val="14"/>
          <w:color w:val="auto"/>
        </w:rPr>
        <w:t xml:space="preserve"> unless at the time of such acceptance such successor trustee shall be eligible to act as trustee under the provisions of Trust Indenture Act Section 310(a) and this </w:t>
      </w:r>
      <w:r>
        <w:rPr>
          <w:rFonts w:ascii="Times New Roman" w:cs="Times New Roman" w:eastAsia="Times New Roman" w:hAnsi="Times New Roman"/>
          <w:sz w:val="14"/>
          <w:szCs w:val="14"/>
          <w:u w:val="single" w:color="auto"/>
          <w:color w:val="auto"/>
        </w:rPr>
        <w:t>Article VI</w:t>
      </w:r>
      <w:r>
        <w:rPr>
          <w:rFonts w:ascii="Times New Roman" w:cs="Times New Roman" w:eastAsia="Times New Roman" w:hAnsi="Times New Roman"/>
          <w:sz w:val="14"/>
          <w:szCs w:val="14"/>
          <w:color w:val="auto"/>
        </w:rPr>
        <w:t xml:space="preserve"> and shall have a combined capital and surplus of at least $150,000 and have a Corporate Trust Office or an agent selected in accordance with </w:t>
      </w:r>
      <w:r>
        <w:rPr>
          <w:rFonts w:ascii="Times New Roman" w:cs="Times New Roman" w:eastAsia="Times New Roman" w:hAnsi="Times New Roman"/>
          <w:sz w:val="14"/>
          <w:szCs w:val="14"/>
          <w:u w:val="single" w:color="auto"/>
          <w:color w:val="auto"/>
        </w:rPr>
        <w:t>Section 6.09</w:t>
      </w:r>
      <w:r>
        <w:rPr>
          <w:rFonts w:ascii="Times New Roman" w:cs="Times New Roman" w:eastAsia="Times New Roman" w:hAnsi="Times New Roman"/>
          <w:sz w:val="14"/>
          <w:szCs w:val="14"/>
          <w:color w:val="auto"/>
        </w:rPr>
        <w:t>.</w:t>
      </w:r>
    </w:p>
    <w:p>
      <w:pPr>
        <w:spacing w:after="0" w:line="135" w:lineRule="exact"/>
        <w:rPr>
          <w:sz w:val="20"/>
          <w:szCs w:val="20"/>
          <w:color w:val="auto"/>
        </w:rPr>
      </w:pPr>
    </w:p>
    <w:p>
      <w:pPr>
        <w:ind w:left="120" w:right="159" w:firstLine="350"/>
        <w:spacing w:after="0" w:line="262" w:lineRule="auto"/>
        <w:rPr>
          <w:sz w:val="20"/>
          <w:szCs w:val="20"/>
          <w:color w:val="auto"/>
        </w:rPr>
      </w:pPr>
      <w:r>
        <w:rPr>
          <w:rFonts w:ascii="Times New Roman" w:cs="Times New Roman" w:eastAsia="Times New Roman" w:hAnsi="Times New Roman"/>
          <w:sz w:val="14"/>
          <w:szCs w:val="14"/>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w:t>
      </w: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ectPr>
          <w:pgSz w:w="11900" w:h="16838" w:orient="portrait"/>
          <w:cols w:equalWidth="0" w:num="1">
            <w:col w:w="9019"/>
          </w:cols>
          <w:pgMar w:left="1440" w:top="243" w:right="1440" w:bottom="1440" w:gutter="0" w:footer="0" w:header="0"/>
        </w:sectPr>
      </w:pPr>
    </w:p>
    <w:bookmarkStart w:id="217" w:name="page218"/>
    <w:bookmarkEnd w:id="217"/>
    <w:p>
      <w:pPr>
        <w:ind w:left="120" w:right="179"/>
        <w:spacing w:after="0" w:line="26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7">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 co-trustees of the same trust and that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w:t>
      </w:r>
    </w:p>
    <w:p>
      <w:pPr>
        <w:spacing w:after="0" w:line="319" w:lineRule="exact"/>
        <w:rPr>
          <w:sz w:val="20"/>
          <w:szCs w:val="20"/>
          <w:color w:val="auto"/>
        </w:rPr>
      </w:pPr>
    </w:p>
    <w:p>
      <w:pPr>
        <w:ind w:left="120" w:right="139" w:firstLine="350"/>
        <w:spacing w:after="0" w:line="265" w:lineRule="auto"/>
        <w:rPr>
          <w:sz w:val="20"/>
          <w:szCs w:val="20"/>
          <w:color w:val="auto"/>
        </w:rPr>
      </w:pPr>
      <w:r>
        <w:rPr>
          <w:rFonts w:ascii="Times New Roman" w:cs="Times New Roman" w:eastAsia="Times New Roman" w:hAnsi="Times New Roman"/>
          <w:sz w:val="14"/>
          <w:szCs w:val="14"/>
          <w:color w:val="auto"/>
        </w:rPr>
        <w:t xml:space="preserve">Upon acceptance of appointment by any successor trustee as provided in this </w:t>
      </w:r>
      <w:r>
        <w:rPr>
          <w:rFonts w:ascii="Times New Roman" w:cs="Times New Roman" w:eastAsia="Times New Roman" w:hAnsi="Times New Roman"/>
          <w:sz w:val="14"/>
          <w:szCs w:val="14"/>
          <w:u w:val="single" w:color="auto"/>
          <w:color w:val="auto"/>
        </w:rPr>
        <w:t>Section 6.11</w:t>
      </w:r>
      <w:r>
        <w:rPr>
          <w:rFonts w:ascii="Times New Roman" w:cs="Times New Roman" w:eastAsia="Times New Roman" w:hAnsi="Times New Roman"/>
          <w:sz w:val="14"/>
          <w:szCs w:val="14"/>
          <w:color w:val="auto"/>
        </w:rPr>
        <w:t xml:space="preserve">, the Company shall give notice thereof to the Holders of the Securities, by mailing such notice to such Holders at their addresses as they shall appear on the Security Register. If the acceptance of appointment is substantially contemporaneous with the appointment, then the notice called for by the preceding sentence may be combined with the notice called for by </w:t>
      </w:r>
      <w:r>
        <w:rPr>
          <w:rFonts w:ascii="Times New Roman" w:cs="Times New Roman" w:eastAsia="Times New Roman" w:hAnsi="Times New Roman"/>
          <w:sz w:val="14"/>
          <w:szCs w:val="14"/>
          <w:u w:val="single" w:color="auto"/>
          <w:color w:val="auto"/>
        </w:rPr>
        <w:t>Section 6.10</w:t>
      </w:r>
      <w:r>
        <w:rPr>
          <w:rFonts w:ascii="Times New Roman" w:cs="Times New Roman" w:eastAsia="Times New Roman" w:hAnsi="Times New Roman"/>
          <w:sz w:val="14"/>
          <w:szCs w:val="14"/>
          <w:color w:val="auto"/>
        </w:rPr>
        <w:t>. If the Company fails to give such notice within 10 days after acceptance of appointment by the successor trustee, the successor trustee shall cause such notice to be given at the expense of the Company.</w:t>
      </w:r>
    </w:p>
    <w:p>
      <w:pPr>
        <w:spacing w:after="0" w:line="1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6.12 </w:t>
      </w:r>
      <w:r>
        <w:rPr>
          <w:rFonts w:ascii="Times New Roman" w:cs="Times New Roman" w:eastAsia="Times New Roman" w:hAnsi="Times New Roman"/>
          <w:sz w:val="14"/>
          <w:szCs w:val="14"/>
          <w:u w:val="single" w:color="auto"/>
          <w:color w:val="auto"/>
        </w:rPr>
        <w:t>MERGER, CONVERSION, CONSOLIDATION OR SUCCESSION TO BUSINESS</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120" w:right="179" w:firstLine="350"/>
        <w:spacing w:after="0" w:line="263" w:lineRule="auto"/>
        <w:rPr>
          <w:sz w:val="20"/>
          <w:szCs w:val="20"/>
          <w:color w:val="auto"/>
        </w:rPr>
      </w:pPr>
      <w:r>
        <w:rPr>
          <w:rFonts w:ascii="Times New Roman" w:cs="Times New Roman" w:eastAsia="Times New Roman" w:hAnsi="Times New Roman"/>
          <w:sz w:val="14"/>
          <w:szCs w:val="14"/>
          <w:color w:val="auto"/>
        </w:rPr>
        <w:t xml:space="preserve">Any corporation into which the Trustee may be merged or converted or with which it may be consolidated, or any corporation resulting from any merger, conversion or consolidation to which the Trustee shall be a party, or any corporation succeeding to all or substantially all of the corporate trust business of the Trustee (including the trust created by this Indenture) shall be the successor of the Trustee hereunder, provided that such corporation shall be eligible under Trust Indenture Act Section 310(a) and this </w:t>
      </w:r>
      <w:r>
        <w:rPr>
          <w:rFonts w:ascii="Times New Roman" w:cs="Times New Roman" w:eastAsia="Times New Roman" w:hAnsi="Times New Roman"/>
          <w:sz w:val="14"/>
          <w:szCs w:val="14"/>
          <w:u w:val="single" w:color="auto"/>
          <w:color w:val="auto"/>
        </w:rPr>
        <w:t>Article VI</w:t>
      </w:r>
      <w:r>
        <w:rPr>
          <w:rFonts w:ascii="Times New Roman" w:cs="Times New Roman" w:eastAsia="Times New Roman" w:hAnsi="Times New Roman"/>
          <w:sz w:val="14"/>
          <w:szCs w:val="14"/>
          <w:color w:val="auto"/>
        </w:rPr>
        <w:t xml:space="preserve"> and shall have a combined capital and surplus of at least $150,000 and have a Corporate Trust Office or an agent selected in accordance with </w:t>
      </w:r>
      <w:r>
        <w:rPr>
          <w:rFonts w:ascii="Times New Roman" w:cs="Times New Roman" w:eastAsia="Times New Roman" w:hAnsi="Times New Roman"/>
          <w:sz w:val="14"/>
          <w:szCs w:val="14"/>
          <w:u w:val="single" w:color="auto"/>
          <w:color w:val="auto"/>
        </w:rPr>
        <w:t>Section 6.09</w:t>
      </w:r>
      <w:r>
        <w:rPr>
          <w:rFonts w:ascii="Times New Roman" w:cs="Times New Roman" w:eastAsia="Times New Roman" w:hAnsi="Times New Roman"/>
          <w:sz w:val="14"/>
          <w:szCs w:val="14"/>
          <w:color w:val="auto"/>
        </w:rPr>
        <w:t>, without the execution or filing of any paper or any further act on the part of any of the parties hereto.</w:t>
      </w:r>
    </w:p>
    <w:p>
      <w:pPr>
        <w:spacing w:after="0" w:line="143" w:lineRule="exact"/>
        <w:rPr>
          <w:sz w:val="20"/>
          <w:szCs w:val="20"/>
          <w:color w:val="auto"/>
        </w:rPr>
      </w:pPr>
    </w:p>
    <w:p>
      <w:pPr>
        <w:ind w:left="120" w:right="139" w:firstLine="350"/>
        <w:spacing w:after="0" w:line="261" w:lineRule="auto"/>
        <w:rPr>
          <w:sz w:val="20"/>
          <w:szCs w:val="20"/>
          <w:color w:val="auto"/>
        </w:rPr>
      </w:pPr>
      <w:r>
        <w:rPr>
          <w:rFonts w:ascii="Times New Roman" w:cs="Times New Roman" w:eastAsia="Times New Roman" w:hAnsi="Times New Roman"/>
          <w:sz w:val="14"/>
          <w:szCs w:val="14"/>
          <w:color w:val="auto"/>
        </w:rPr>
        <w:t>In case at the time such successor to the Trustee shall succeed to the trusts created by this Indenture any of the Securities shall have been authenticated but not delivered, any such successor to the Trustee may adopt the certificate of authentication of any predecessor Trustee and deliver such Securities so authenticated; and, in case at that time any of the Securities shall not have been authenticated, any successor to the Trustee may authenticate such Securities either in the name of any predecessor hereunder or in the name of the successor trustee; and in all such cases such certificate shall have the full force which it is anywhere in the Securities or in this Indenture provided that the certificate of the Trustee shall have; provided that the right to adopt the certificate of authentication of any predecessor Trustee or to authenticate Securities in the name of any predecessor Trustee shall apply only to its successor or successors by merger, conversion or consolidation.</w:t>
      </w:r>
    </w:p>
    <w:p>
      <w:pPr>
        <w:spacing w:after="0" w:line="1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6.13 </w:t>
      </w:r>
      <w:r>
        <w:rPr>
          <w:rFonts w:ascii="Times New Roman" w:cs="Times New Roman" w:eastAsia="Times New Roman" w:hAnsi="Times New Roman"/>
          <w:sz w:val="14"/>
          <w:szCs w:val="14"/>
          <w:u w:val="single" w:color="auto"/>
          <w:color w:val="auto"/>
        </w:rPr>
        <w:t>PREFERENTIAL COLLECTION OF CLAIMS AGAINST COMPANY</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120" w:right="179" w:firstLine="350"/>
        <w:spacing w:after="0" w:line="274" w:lineRule="auto"/>
        <w:rPr>
          <w:sz w:val="20"/>
          <w:szCs w:val="20"/>
          <w:color w:val="auto"/>
        </w:rPr>
      </w:pPr>
      <w:r>
        <w:rPr>
          <w:rFonts w:ascii="Times New Roman" w:cs="Times New Roman" w:eastAsia="Times New Roman" w:hAnsi="Times New Roman"/>
          <w:sz w:val="14"/>
          <w:szCs w:val="14"/>
          <w:color w:val="auto"/>
        </w:rPr>
        <w:t>If and when the Trustee shall be or become a creditor of the Company (or other obligor under the Securities), the Trustee shall be subject to the provisions of the Trust Indenture Act regarding the collection of claims against the Company (or any such other obligor). A Trustee who has resigned or been removed shall be subject to Trust Indenture Act Section 311(a) to the extent indicated therein, as qualified by Trust Indenture Act Section 311(b).</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6.14 </w:t>
      </w:r>
      <w:r>
        <w:rPr>
          <w:rFonts w:ascii="Times New Roman" w:cs="Times New Roman" w:eastAsia="Times New Roman" w:hAnsi="Times New Roman"/>
          <w:sz w:val="14"/>
          <w:szCs w:val="14"/>
          <w:u w:val="single" w:color="auto"/>
          <w:color w:val="auto"/>
        </w:rPr>
        <w:t>APPOINTMENT OF AUTHENTICATING AGENT</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120" w:right="239" w:firstLine="350"/>
        <w:spacing w:after="0" w:line="263" w:lineRule="auto"/>
        <w:rPr>
          <w:sz w:val="20"/>
          <w:szCs w:val="20"/>
          <w:color w:val="auto"/>
        </w:rPr>
      </w:pPr>
      <w:r>
        <w:rPr>
          <w:rFonts w:ascii="Times New Roman" w:cs="Times New Roman" w:eastAsia="Times New Roman" w:hAnsi="Times New Roman"/>
          <w:sz w:val="14"/>
          <w:szCs w:val="14"/>
          <w:color w:val="auto"/>
        </w:rPr>
        <w:t>At any time when any of the Securities remain Outstanding, the Trustee may appoint an Authenticating Agent or Agents with respect to one or more series of Securities which shall be authorized to act on behalf of the Trustee to authenticate Securities of such series issued upon exchange, registration of transfer or partial redemption thereof, and Securities so authenticated shall be entitled to the benefits of this Indenture and shall be valid and obligatory for all purposes as if authenticated by the Trustee hereunder. Wherever reference is made in this Indenture to the authentication and delivery of Securities by the Trustee or the Trustee’s certificate of authentication, such reference shall be deemed to include authentication and delivery on behalf of the Trustee by an Authenticating Agent and a</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ectPr>
          <w:pgSz w:w="11900" w:h="16838" w:orient="portrait"/>
          <w:cols w:equalWidth="0" w:num="1">
            <w:col w:w="9019"/>
          </w:cols>
          <w:pgMar w:left="1440" w:top="243" w:right="1440" w:bottom="1440" w:gutter="0" w:footer="0" w:header="0"/>
        </w:sectPr>
      </w:pPr>
    </w:p>
    <w:bookmarkStart w:id="218" w:name="page219"/>
    <w:bookmarkEnd w:id="218"/>
    <w:p>
      <w:pPr>
        <w:ind w:left="120" w:right="219"/>
        <w:spacing w:after="0" w:line="26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8">
                      <a:extLst>
                        <a:ext uri="{28A0092B-C50C-407E-A947-70E740481C1C}"/>
                      </a:extLst>
                    </a:blip>
                    <a:srcRect/>
                    <a:stretch>
                      <a:fillRect/>
                    </a:stretch>
                  </pic:blipFill>
                  <pic:spPr bwMode="auto">
                    <a:xfrm>
                      <a:off x="0" y="0"/>
                      <a:ext cx="7199630" cy="33020"/>
                    </a:xfrm>
                    <a:prstGeom prst="rect">
                      <a:avLst/>
                    </a:prstGeom>
                    <a:noFill/>
                  </pic:spPr>
                </pic:pic>
              </a:graphicData>
            </a:graphic>
          </wp:anchor>
        </w:drawing>
        <w:t xml:space="preserve">certificate of authentication executed on behalf of the Trustee by an Authenticating Agent. Each Authenticating Agent shall be reasonably acceptable to the Company and, except as may otherwise be provided pursuant to </w:t>
      </w:r>
      <w:r>
        <w:rPr>
          <w:rFonts w:ascii="Times New Roman" w:cs="Times New Roman" w:eastAsia="Times New Roman" w:hAnsi="Times New Roman"/>
          <w:sz w:val="14"/>
          <w:szCs w:val="14"/>
          <w:u w:val="single" w:color="auto"/>
          <w:color w:val="auto"/>
        </w:rPr>
        <w:t>Section 3.01</w:t>
      </w:r>
      <w:r>
        <w:rPr>
          <w:rFonts w:ascii="Times New Roman" w:cs="Times New Roman" w:eastAsia="Times New Roman" w:hAnsi="Times New Roman"/>
          <w:sz w:val="14"/>
          <w:szCs w:val="14"/>
          <w:color w:val="auto"/>
        </w:rPr>
        <w:t xml:space="preserve">, shall at all times be a bank or trust company or corporation organized and doing business and in good standing under the laws of the United States of America or of any State or the District of Columbia, authorized under such laws to act as Authenticating Agent, having a combined capital and surplus of not less than $150,000 and subject to supervision or examination by Federal or State authorities. If such Authenticating Agent publishes reports of condition at least annually, pursuant to law or the requirements of the aforesaid supervising or examining authority, then for the purposes of this </w:t>
      </w:r>
      <w:r>
        <w:rPr>
          <w:rFonts w:ascii="Times New Roman" w:cs="Times New Roman" w:eastAsia="Times New Roman" w:hAnsi="Times New Roman"/>
          <w:sz w:val="14"/>
          <w:szCs w:val="14"/>
          <w:u w:val="single" w:color="auto"/>
          <w:color w:val="auto"/>
        </w:rPr>
        <w:t>Section 6.14</w:t>
      </w:r>
      <w:r>
        <w:rPr>
          <w:rFonts w:ascii="Times New Roman" w:cs="Times New Roman" w:eastAsia="Times New Roman" w:hAnsi="Times New Roman"/>
          <w:sz w:val="14"/>
          <w:szCs w:val="14"/>
          <w:color w:val="auto"/>
        </w:rPr>
        <w:t xml:space="preserve">, the combined capital and surplus of such Authenticating Agent shall be deemed to be its combined capital and surplus as set forth in its most recent report of condition so published. In case at any time an Authenticating Agent shall cease to be eligible in accordance with the provisions of this </w:t>
      </w:r>
      <w:r>
        <w:rPr>
          <w:rFonts w:ascii="Times New Roman" w:cs="Times New Roman" w:eastAsia="Times New Roman" w:hAnsi="Times New Roman"/>
          <w:sz w:val="14"/>
          <w:szCs w:val="14"/>
          <w:u w:val="single" w:color="auto"/>
          <w:color w:val="auto"/>
        </w:rPr>
        <w:t>Section 6.14</w:t>
      </w:r>
      <w:r>
        <w:rPr>
          <w:rFonts w:ascii="Times New Roman" w:cs="Times New Roman" w:eastAsia="Times New Roman" w:hAnsi="Times New Roman"/>
          <w:sz w:val="14"/>
          <w:szCs w:val="14"/>
          <w:color w:val="auto"/>
        </w:rPr>
        <w:t xml:space="preserve">, such Authenticating Agent shall resign immediately in the manner and with the effect specified in this </w:t>
      </w:r>
      <w:r>
        <w:rPr>
          <w:rFonts w:ascii="Times New Roman" w:cs="Times New Roman" w:eastAsia="Times New Roman" w:hAnsi="Times New Roman"/>
          <w:sz w:val="14"/>
          <w:szCs w:val="14"/>
          <w:u w:val="single" w:color="auto"/>
          <w:color w:val="auto"/>
        </w:rPr>
        <w:t>Section 6.14</w:t>
      </w:r>
      <w:r>
        <w:rPr>
          <w:rFonts w:ascii="Times New Roman" w:cs="Times New Roman" w:eastAsia="Times New Roman" w:hAnsi="Times New Roman"/>
          <w:sz w:val="14"/>
          <w:szCs w:val="14"/>
          <w:color w:val="auto"/>
        </w:rPr>
        <w:t>.</w:t>
      </w:r>
    </w:p>
    <w:p>
      <w:pPr>
        <w:spacing w:after="0" w:line="147" w:lineRule="exact"/>
        <w:rPr>
          <w:sz w:val="20"/>
          <w:szCs w:val="20"/>
          <w:color w:val="auto"/>
        </w:rPr>
      </w:pPr>
    </w:p>
    <w:p>
      <w:pPr>
        <w:ind w:left="120" w:right="239" w:firstLine="350"/>
        <w:spacing w:after="0" w:line="265" w:lineRule="auto"/>
        <w:rPr>
          <w:sz w:val="20"/>
          <w:szCs w:val="20"/>
          <w:color w:val="auto"/>
        </w:rPr>
      </w:pPr>
      <w:r>
        <w:rPr>
          <w:rFonts w:ascii="Times New Roman" w:cs="Times New Roman" w:eastAsia="Times New Roman" w:hAnsi="Times New Roman"/>
          <w:sz w:val="14"/>
          <w:szCs w:val="14"/>
          <w:color w:val="auto"/>
        </w:rPr>
        <w:t xml:space="preserve">Any corporation into which an Authenticating Agent may be merged or converted or with which it may be consolidated, or any corporation resulting from any merger, conversion or consolidation to which such Authenticating Agent shall be a party, or any corporation succeeding to all or substantially all the corporate agency or corporate trust business of an Authenticating Agent, shall continue to be an Authenticating Agent, provided such corporation shall be otherwise eligible under this </w:t>
      </w:r>
      <w:r>
        <w:rPr>
          <w:rFonts w:ascii="Times New Roman" w:cs="Times New Roman" w:eastAsia="Times New Roman" w:hAnsi="Times New Roman"/>
          <w:sz w:val="14"/>
          <w:szCs w:val="14"/>
          <w:u w:val="single" w:color="auto"/>
          <w:color w:val="auto"/>
        </w:rPr>
        <w:t>Section 6.14</w:t>
      </w:r>
      <w:r>
        <w:rPr>
          <w:rFonts w:ascii="Times New Roman" w:cs="Times New Roman" w:eastAsia="Times New Roman" w:hAnsi="Times New Roman"/>
          <w:sz w:val="14"/>
          <w:szCs w:val="14"/>
          <w:color w:val="auto"/>
        </w:rPr>
        <w:t>, without the execution or filing of any paper or further act on the part of the Trustee or the Authenticating Agent.</w:t>
      </w:r>
    </w:p>
    <w:p>
      <w:pPr>
        <w:spacing w:after="0" w:line="141" w:lineRule="exact"/>
        <w:rPr>
          <w:sz w:val="20"/>
          <w:szCs w:val="20"/>
          <w:color w:val="auto"/>
        </w:rPr>
      </w:pPr>
    </w:p>
    <w:p>
      <w:pPr>
        <w:ind w:left="120" w:right="159" w:firstLine="350"/>
        <w:spacing w:after="0" w:line="260" w:lineRule="auto"/>
        <w:rPr>
          <w:sz w:val="20"/>
          <w:szCs w:val="20"/>
          <w:color w:val="auto"/>
        </w:rPr>
      </w:pPr>
      <w:r>
        <w:rPr>
          <w:rFonts w:ascii="Times New Roman" w:cs="Times New Roman" w:eastAsia="Times New Roman" w:hAnsi="Times New Roman"/>
          <w:sz w:val="14"/>
          <w:szCs w:val="14"/>
          <w:color w:val="auto"/>
        </w:rPr>
        <w:t xml:space="preserve">An Authenticating Agent for any series of Securities may at any time resign by giving written notice of resignation to the Trustee for such series and to the Company. The Trustee for any series of Securities may at any time terminate the agency of an Authenticating Agent by giving written notice of termination to such Authenticating Agent and to the Company. Upon receiving such a notice of resignation or upon such a termination, or in case of any time such Authenticating Agent shall cease to be eligible in accordance with the provisions of this </w:t>
      </w:r>
      <w:r>
        <w:rPr>
          <w:rFonts w:ascii="Times New Roman" w:cs="Times New Roman" w:eastAsia="Times New Roman" w:hAnsi="Times New Roman"/>
          <w:sz w:val="14"/>
          <w:szCs w:val="14"/>
          <w:u w:val="single" w:color="auto"/>
          <w:color w:val="auto"/>
        </w:rPr>
        <w:t>Section 6.14</w:t>
      </w:r>
      <w:r>
        <w:rPr>
          <w:rFonts w:ascii="Times New Roman" w:cs="Times New Roman" w:eastAsia="Times New Roman" w:hAnsi="Times New Roman"/>
          <w:sz w:val="14"/>
          <w:szCs w:val="14"/>
          <w:color w:val="auto"/>
        </w:rPr>
        <w:t xml:space="preserve">, the Trustee for such series may appoint a successor Authenticating Agent which shall be acceptable to the Company and shall give notice of such appointment to all Holders of Securities of the series with respect to which such Authenticating Agent will serve in the manner set forth in </w:t>
      </w:r>
      <w:r>
        <w:rPr>
          <w:rFonts w:ascii="Times New Roman" w:cs="Times New Roman" w:eastAsia="Times New Roman" w:hAnsi="Times New Roman"/>
          <w:sz w:val="14"/>
          <w:szCs w:val="14"/>
          <w:u w:val="single" w:color="auto"/>
          <w:color w:val="auto"/>
        </w:rPr>
        <w:t>Section 1.07</w:t>
      </w:r>
      <w:r>
        <w:rPr>
          <w:rFonts w:ascii="Times New Roman" w:cs="Times New Roman" w:eastAsia="Times New Roman" w:hAnsi="Times New Roman"/>
          <w:sz w:val="14"/>
          <w:szCs w:val="14"/>
          <w:color w:val="auto"/>
        </w:rPr>
        <w:t xml:space="preserve">. Any successor Authenticating Agent upon acceptance of its appointment hereunder shall become vested with all the rights, powers and duties of its predecessor hereunder, with like effect as if originally named as an Authenticating Agent herein. No successor Authenticating Agent shall be appointed unless eligible under the provisions of this </w:t>
      </w:r>
      <w:r>
        <w:rPr>
          <w:rFonts w:ascii="Times New Roman" w:cs="Times New Roman" w:eastAsia="Times New Roman" w:hAnsi="Times New Roman"/>
          <w:sz w:val="14"/>
          <w:szCs w:val="14"/>
          <w:u w:val="single" w:color="auto"/>
          <w:color w:val="auto"/>
        </w:rPr>
        <w:t>Section 6.14</w:t>
      </w:r>
      <w:r>
        <w:rPr>
          <w:rFonts w:ascii="Times New Roman" w:cs="Times New Roman" w:eastAsia="Times New Roman" w:hAnsi="Times New Roman"/>
          <w:sz w:val="14"/>
          <w:szCs w:val="14"/>
          <w:color w:val="auto"/>
        </w:rPr>
        <w:t>.</w:t>
      </w:r>
    </w:p>
    <w:p>
      <w:pPr>
        <w:spacing w:after="0" w:line="147" w:lineRule="exact"/>
        <w:rPr>
          <w:sz w:val="20"/>
          <w:szCs w:val="20"/>
          <w:color w:val="auto"/>
        </w:rPr>
      </w:pPr>
    </w:p>
    <w:p>
      <w:pPr>
        <w:ind w:left="120" w:right="139" w:firstLine="350"/>
        <w:spacing w:after="0" w:line="292" w:lineRule="auto"/>
        <w:rPr>
          <w:sz w:val="20"/>
          <w:szCs w:val="20"/>
          <w:color w:val="auto"/>
        </w:rPr>
      </w:pPr>
      <w:r>
        <w:rPr>
          <w:rFonts w:ascii="Times New Roman" w:cs="Times New Roman" w:eastAsia="Times New Roman" w:hAnsi="Times New Roman"/>
          <w:sz w:val="14"/>
          <w:szCs w:val="14"/>
          <w:color w:val="auto"/>
        </w:rPr>
        <w:t xml:space="preserve">If an appointment with respect to one or more series is made pursuant to this </w:t>
      </w:r>
      <w:r>
        <w:rPr>
          <w:rFonts w:ascii="Times New Roman" w:cs="Times New Roman" w:eastAsia="Times New Roman" w:hAnsi="Times New Roman"/>
          <w:sz w:val="14"/>
          <w:szCs w:val="14"/>
          <w:u w:val="single" w:color="auto"/>
          <w:color w:val="auto"/>
        </w:rPr>
        <w:t>Section 6.14</w:t>
      </w:r>
      <w:r>
        <w:rPr>
          <w:rFonts w:ascii="Times New Roman" w:cs="Times New Roman" w:eastAsia="Times New Roman" w:hAnsi="Times New Roman"/>
          <w:sz w:val="14"/>
          <w:szCs w:val="14"/>
          <w:color w:val="auto"/>
        </w:rPr>
        <w:t>, the Securities of such series may have endorsed thereon, in addition to or in lieu of the Trustee’s certificate of authentication, an alternate certificate of authentication substantially in the following form:</w:t>
      </w:r>
    </w:p>
    <w:p>
      <w:pPr>
        <w:spacing w:after="0" w:line="1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This is one of the Securities of the series designated therein referred to in the within-mentioned Indenture.</w:t>
      </w:r>
    </w:p>
    <w:p>
      <w:pPr>
        <w:spacing w:after="0" w:line="1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Dated:</w:t>
      </w:r>
    </w:p>
    <w:p>
      <w:pPr>
        <w:spacing w:after="0" w:line="2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[NAME OF AUTHENTICATING AGENT], as</w:t>
      </w:r>
    </w:p>
    <w:p>
      <w:pPr>
        <w:spacing w:after="0" w:line="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Authenticating Agent</w:t>
      </w:r>
    </w:p>
    <w:p>
      <w:pPr>
        <w:spacing w:after="0" w:line="1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BY:</w:t>
      </w:r>
    </w:p>
    <w:p>
      <w:pPr>
        <w:spacing w:after="0" w:line="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-100965</wp:posOffset>
            </wp:positionV>
            <wp:extent cx="2044065" cy="698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9">
                      <a:extLst>
                        <a:ext uri="{28A0092B-C50C-407E-A947-70E740481C1C}"/>
                      </a:extLst>
                    </a:blip>
                    <a:srcRect/>
                    <a:stretch>
                      <a:fillRect/>
                    </a:stretch>
                  </pic:blipFill>
                  <pic:spPr bwMode="auto">
                    <a:xfrm>
                      <a:off x="0" y="0"/>
                      <a:ext cx="2044065" cy="6985"/>
                    </a:xfrm>
                    <a:prstGeom prst="rect">
                      <a:avLst/>
                    </a:prstGeom>
                    <a:noFill/>
                  </pic:spPr>
                </pic:pic>
              </a:graphicData>
            </a:graphic>
          </wp:anchor>
        </w:drawing>
      </w:r>
    </w:p>
    <w:p>
      <w:pPr>
        <w:spacing w:after="0" w:line="15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6.15 </w:t>
      </w:r>
      <w:r>
        <w:rPr>
          <w:rFonts w:ascii="Times New Roman" w:cs="Times New Roman" w:eastAsia="Times New Roman" w:hAnsi="Times New Roman"/>
          <w:sz w:val="14"/>
          <w:szCs w:val="14"/>
          <w:u w:val="single" w:color="auto"/>
          <w:color w:val="auto"/>
        </w:rPr>
        <w:t>APPOINTMENT OF CO-TRUSTEE</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120" w:right="199" w:firstLine="357"/>
        <w:spacing w:after="0" w:line="263" w:lineRule="auto"/>
        <w:tabs>
          <w:tab w:leader="none" w:pos="664" w:val="left"/>
        </w:tabs>
        <w:numPr>
          <w:ilvl w:val="0"/>
          <w:numId w:val="1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For the purpose of meeting any legal requirements of any jurisdiction in which the Company may at the time be located in connection with the enforcement of any right or the taking of any action on behalf of the Holders of any Securities issued hereunder, the Trustee shall have the power and may execute and deliver all instruments necessary to appoint one or more Persons to act as a co-trustee or co-trustees, or separate trustee or separate trustees, with such powers, duties, obligations, rights and trusts as the Trustee may consider necessary or desirable. Each co-trustee or separate trustee hereunder shall be required to meet the terms of eligibility as a trustee under </w:t>
      </w:r>
      <w:r>
        <w:rPr>
          <w:rFonts w:ascii="Times New Roman" w:cs="Times New Roman" w:eastAsia="Times New Roman" w:hAnsi="Times New Roman"/>
          <w:sz w:val="14"/>
          <w:szCs w:val="14"/>
          <w:u w:val="single" w:color="auto"/>
          <w:color w:val="auto"/>
        </w:rPr>
        <w:t>Section 6.09</w:t>
      </w:r>
      <w:r>
        <w:rPr>
          <w:rFonts w:ascii="Times New Roman" w:cs="Times New Roman" w:eastAsia="Times New Roman" w:hAnsi="Times New Roman"/>
          <w:sz w:val="14"/>
          <w:szCs w:val="14"/>
          <w:color w:val="auto"/>
        </w:rPr>
        <w:t xml:space="preserve">. The Trustee shall promptly notify the Holders and the Company of the appointment of a co-trustee or separate trustee under this </w:t>
      </w:r>
      <w:r>
        <w:rPr>
          <w:rFonts w:ascii="Times New Roman" w:cs="Times New Roman" w:eastAsia="Times New Roman" w:hAnsi="Times New Roman"/>
          <w:sz w:val="14"/>
          <w:szCs w:val="14"/>
          <w:u w:val="single" w:color="auto"/>
          <w:color w:val="auto"/>
        </w:rPr>
        <w:t>Section 6.15</w:t>
      </w:r>
      <w:r>
        <w:rPr>
          <w:rFonts w:ascii="Times New Roman" w:cs="Times New Roman" w:eastAsia="Times New Roman" w:hAnsi="Times New Roman"/>
          <w:sz w:val="14"/>
          <w:szCs w:val="14"/>
          <w:color w:val="auto"/>
        </w:rPr>
        <w:t>.</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ectPr>
          <w:pgSz w:w="11900" w:h="16838" w:orient="portrait"/>
          <w:cols w:equalWidth="0" w:num="1">
            <w:col w:w="9019"/>
          </w:cols>
          <w:pgMar w:left="1440" w:top="243" w:right="1440" w:bottom="1440" w:gutter="0" w:footer="0" w:header="0"/>
        </w:sectPr>
      </w:pPr>
    </w:p>
    <w:bookmarkStart w:id="219" w:name="page220"/>
    <w:bookmarkEnd w:id="219"/>
    <w:p>
      <w:pPr>
        <w:ind w:left="120" w:right="639" w:firstLine="357"/>
        <w:spacing w:after="0" w:line="292" w:lineRule="auto"/>
        <w:tabs>
          <w:tab w:leader="none" w:pos="672" w:val="left"/>
        </w:tabs>
        <w:numPr>
          <w:ilvl w:val="0"/>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0">
                      <a:extLst>
                        <a:ext uri="{28A0092B-C50C-407E-A947-70E740481C1C}"/>
                      </a:extLst>
                    </a:blip>
                    <a:srcRect/>
                    <a:stretch>
                      <a:fillRect/>
                    </a:stretch>
                  </pic:blipFill>
                  <pic:spPr bwMode="auto">
                    <a:xfrm>
                      <a:off x="0" y="0"/>
                      <a:ext cx="7199630" cy="33020"/>
                    </a:xfrm>
                    <a:prstGeom prst="rect">
                      <a:avLst/>
                    </a:prstGeom>
                    <a:noFill/>
                  </pic:spPr>
                </pic:pic>
              </a:graphicData>
            </a:graphic>
          </wp:anchor>
        </w:drawing>
        <w:t>Every separate trustee and co-trustee shall, to the extent permitted by law, be appointed and act subject to the following provisions and conditions:</w:t>
      </w:r>
    </w:p>
    <w:p>
      <w:pPr>
        <w:spacing w:after="0" w:line="37" w:lineRule="exact"/>
        <w:rPr>
          <w:sz w:val="20"/>
          <w:szCs w:val="20"/>
          <w:color w:val="auto"/>
        </w:rPr>
      </w:pPr>
    </w:p>
    <w:p>
      <w:pPr>
        <w:ind w:left="120" w:right="279" w:firstLine="357"/>
        <w:spacing w:after="0" w:line="265" w:lineRule="auto"/>
        <w:tabs>
          <w:tab w:leader="none" w:pos="672"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rights, powers, duties and obligations conferred or imposed upon the Trustee shall be conferred or imposed upon and exercised or performed by the Trustee and such separate trustee or co-trustee jointly (it being understood that such separate trustee or co-trustee is not authorized to act separately without the Trustee joining in such act), except to the extent that under any law of any jurisdiction in which any particular act or acts are to be performed the Trustee shall be incompetent or unqualified to perform such act or acts, in which event such rights, powers, duties and obligations shall be exercised and performed singly by such separate trustee or co-trustee, but solely at the direction of the Trustee;</w:t>
      </w:r>
    </w:p>
    <w:p>
      <w:pPr>
        <w:spacing w:after="0" w:line="141" w:lineRule="exact"/>
        <w:rPr>
          <w:rFonts w:ascii="Times New Roman" w:cs="Times New Roman" w:eastAsia="Times New Roman" w:hAnsi="Times New Roman"/>
          <w:sz w:val="14"/>
          <w:szCs w:val="14"/>
          <w:color w:val="auto"/>
        </w:rPr>
      </w:pPr>
    </w:p>
    <w:p>
      <w:pPr>
        <w:ind w:left="680" w:hanging="203"/>
        <w:spacing w:after="0"/>
        <w:tabs>
          <w:tab w:leader="none" w:pos="680"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trustee hereunder shall be personally liable by reason of any act or omission of any other trustee hereunder;</w:t>
      </w:r>
    </w:p>
    <w:p>
      <w:pPr>
        <w:spacing w:after="0" w:line="182" w:lineRule="exact"/>
        <w:rPr>
          <w:rFonts w:ascii="Times New Roman" w:cs="Times New Roman" w:eastAsia="Times New Roman" w:hAnsi="Times New Roman"/>
          <w:sz w:val="14"/>
          <w:szCs w:val="14"/>
          <w:color w:val="auto"/>
        </w:rPr>
      </w:pPr>
    </w:p>
    <w:p>
      <w:pPr>
        <w:ind w:left="680" w:hanging="203"/>
        <w:spacing w:after="0"/>
        <w:tabs>
          <w:tab w:leader="none" w:pos="680"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may at any time accept the resignation of or remove any separate trustee or co-trustee;</w:t>
      </w:r>
    </w:p>
    <w:p>
      <w:pPr>
        <w:spacing w:after="0" w:line="182" w:lineRule="exact"/>
        <w:rPr>
          <w:rFonts w:ascii="Times New Roman" w:cs="Times New Roman" w:eastAsia="Times New Roman" w:hAnsi="Times New Roman"/>
          <w:sz w:val="14"/>
          <w:szCs w:val="14"/>
          <w:color w:val="auto"/>
        </w:rPr>
      </w:pPr>
    </w:p>
    <w:p>
      <w:pPr>
        <w:ind w:left="680" w:hanging="203"/>
        <w:spacing w:after="0"/>
        <w:tabs>
          <w:tab w:leader="none" w:pos="680"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notice, request or other writing given to the Trustee shall be deemed to have been given to each of the then separate trustees and</w:t>
      </w:r>
    </w:p>
    <w:p>
      <w:pPr>
        <w:spacing w:after="0" w:line="24" w:lineRule="exact"/>
        <w:rPr>
          <w:sz w:val="20"/>
          <w:szCs w:val="20"/>
          <w:color w:val="auto"/>
        </w:rPr>
      </w:pPr>
    </w:p>
    <w:p>
      <w:pPr>
        <w:ind w:left="120" w:right="159"/>
        <w:spacing w:after="0" w:line="259" w:lineRule="auto"/>
        <w:rPr>
          <w:sz w:val="20"/>
          <w:szCs w:val="20"/>
          <w:color w:val="auto"/>
        </w:rPr>
      </w:pPr>
      <w:r>
        <w:rPr>
          <w:rFonts w:ascii="Times New Roman" w:cs="Times New Roman" w:eastAsia="Times New Roman" w:hAnsi="Times New Roman"/>
          <w:sz w:val="14"/>
          <w:szCs w:val="14"/>
          <w:color w:val="auto"/>
        </w:rPr>
        <w:t xml:space="preserve">co-trustees, as effectively as if given to each of them. Every instrument appointing any separate trustee or co-trustee shall refer to this Indenture and the conditions of this </w:t>
      </w:r>
      <w:r>
        <w:rPr>
          <w:rFonts w:ascii="Times New Roman" w:cs="Times New Roman" w:eastAsia="Times New Roman" w:hAnsi="Times New Roman"/>
          <w:sz w:val="14"/>
          <w:szCs w:val="14"/>
          <w:u w:val="single" w:color="auto"/>
          <w:color w:val="auto"/>
        </w:rPr>
        <w:t>Article VI</w:t>
      </w:r>
      <w:r>
        <w:rPr>
          <w:rFonts w:ascii="Times New Roman" w:cs="Times New Roman" w:eastAsia="Times New Roman" w:hAnsi="Times New Roman"/>
          <w:sz w:val="14"/>
          <w:szCs w:val="14"/>
          <w:color w:val="auto"/>
        </w:rPr>
        <w:t>. Each separate trustee and co-trustee, upon its acceptance of the trusts conferred, shall be vested with the estates or property specified in its instrument of appointment, either jointly with the Trustee or separately, as may be provided therein, subject to all the provisions of this Indenture, specifically including every provision of this Indenture relating to the conduct of, affecting the liability of, or affording protection or rights (including the rights to compensation, reimbursement and indemnification hereunder) to, the Trustee. Every such instrument shall be filed with the Trustee; and</w:t>
      </w:r>
    </w:p>
    <w:p>
      <w:pPr>
        <w:spacing w:after="0" w:line="146" w:lineRule="exact"/>
        <w:rPr>
          <w:sz w:val="20"/>
          <w:szCs w:val="20"/>
          <w:color w:val="auto"/>
        </w:rPr>
      </w:pPr>
    </w:p>
    <w:p>
      <w:pPr>
        <w:ind w:left="120" w:right="159" w:firstLine="357"/>
        <w:spacing w:after="0" w:line="274" w:lineRule="auto"/>
        <w:tabs>
          <w:tab w:leader="none" w:pos="672" w:val="left"/>
        </w:tabs>
        <w:numPr>
          <w:ilvl w:val="0"/>
          <w:numId w:val="1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separate trustee or co-trustee may at any time constitute the Trustee its agent or attorney-in-fact with full power and authority, to the extent not prohibited by law, to do any lawful act under or in respect of this Indenture on its behalf and in its name for the purposes of enforcing any rights or taking any other action on behalf of the Holders of any Securities issued hereunder.</w:t>
      </w: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VII</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HOLDERS’ LISTS AND REPORTS BY TRUSTEE</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7.01 </w:t>
      </w:r>
      <w:r>
        <w:rPr>
          <w:rFonts w:ascii="Times New Roman" w:cs="Times New Roman" w:eastAsia="Times New Roman" w:hAnsi="Times New Roman"/>
          <w:sz w:val="14"/>
          <w:szCs w:val="14"/>
          <w:u w:val="single" w:color="auto"/>
          <w:color w:val="auto"/>
        </w:rPr>
        <w:t>COMPANY TO FURNISH TRUSTEE NAMES AND ADDRESSES OF HOLDERS</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The Company will furnish or cause to be furnished to the Trustee:</w:t>
      </w:r>
    </w:p>
    <w:p>
      <w:pPr>
        <w:spacing w:after="0" w:line="97" w:lineRule="exact"/>
        <w:rPr>
          <w:sz w:val="20"/>
          <w:szCs w:val="20"/>
          <w:color w:val="auto"/>
        </w:rPr>
      </w:pPr>
    </w:p>
    <w:p>
      <w:pPr>
        <w:ind w:left="120" w:right="279" w:firstLine="357"/>
        <w:spacing w:after="0" w:line="292" w:lineRule="auto"/>
        <w:tabs>
          <w:tab w:leader="none" w:pos="664" w:val="left"/>
        </w:tabs>
        <w:numPr>
          <w:ilvl w:val="0"/>
          <w:numId w:val="1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semiannually, not more than 10 days after each Regular Record Date, a list, in such form as the Trustee may reasonably require, of the names and addresses of the Holders as of such Regular Record Date; and</w:t>
      </w:r>
    </w:p>
    <w:p>
      <w:pPr>
        <w:spacing w:after="0" w:line="123" w:lineRule="exact"/>
        <w:rPr>
          <w:rFonts w:ascii="Times New Roman" w:cs="Times New Roman" w:eastAsia="Times New Roman" w:hAnsi="Times New Roman"/>
          <w:sz w:val="14"/>
          <w:szCs w:val="14"/>
          <w:color w:val="auto"/>
        </w:rPr>
      </w:pPr>
    </w:p>
    <w:p>
      <w:pPr>
        <w:ind w:left="120" w:right="199" w:firstLine="357"/>
        <w:spacing w:after="0" w:line="274" w:lineRule="auto"/>
        <w:tabs>
          <w:tab w:leader="none" w:pos="672" w:val="left"/>
        </w:tabs>
        <w:numPr>
          <w:ilvl w:val="0"/>
          <w:numId w:val="1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at such other times as the Trustee may reasonably request in writing, within 30 days after receipt by the Company of any such request, a list of similar form and content to that in </w:t>
      </w:r>
      <w:r>
        <w:rPr>
          <w:rFonts w:ascii="Times New Roman" w:cs="Times New Roman" w:eastAsia="Times New Roman" w:hAnsi="Times New Roman"/>
          <w:sz w:val="14"/>
          <w:szCs w:val="14"/>
          <w:u w:val="single" w:color="auto"/>
          <w:color w:val="auto"/>
        </w:rPr>
        <w:t>Subsection (a)</w:t>
      </w:r>
      <w:r>
        <w:rPr>
          <w:rFonts w:ascii="Times New Roman" w:cs="Times New Roman" w:eastAsia="Times New Roman" w:hAnsi="Times New Roman"/>
          <w:sz w:val="14"/>
          <w:szCs w:val="14"/>
          <w:color w:val="auto"/>
        </w:rPr>
        <w:t xml:space="preserve"> hereof as of a date not more than 15 days prior to the time such list is furnished; provided, however, that if and so long as the Trustee shall be the Security Registrar, no such list need be furnished.</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7.02 </w:t>
      </w:r>
      <w:r>
        <w:rPr>
          <w:rFonts w:ascii="Times New Roman" w:cs="Times New Roman" w:eastAsia="Times New Roman" w:hAnsi="Times New Roman"/>
          <w:sz w:val="14"/>
          <w:szCs w:val="14"/>
          <w:u w:val="single" w:color="auto"/>
          <w:color w:val="auto"/>
        </w:rPr>
        <w:t>DISCLOSURE OF NAMES AND ADDRESSES OF HOLDERS</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jc w:val="both"/>
        <w:ind w:left="120" w:right="299" w:firstLine="350"/>
        <w:spacing w:after="0" w:line="274" w:lineRule="auto"/>
        <w:rPr>
          <w:sz w:val="20"/>
          <w:szCs w:val="20"/>
          <w:color w:val="auto"/>
        </w:rPr>
      </w:pPr>
      <w:r>
        <w:rPr>
          <w:rFonts w:ascii="Times New Roman" w:cs="Times New Roman" w:eastAsia="Times New Roman" w:hAnsi="Times New Roman"/>
          <w:sz w:val="14"/>
          <w:szCs w:val="14"/>
          <w:color w:val="auto"/>
        </w:rPr>
        <w:t>Holders may communicate pursuant to Trust Indenture Act Section 312(b) with other Holders with respect to their rights under this Indenture or the Securities, and the Trustee shall comply with Trust Indenture Act Section 312(b). The Company, the Trustee, the Security Registrar and any other Person shall have the protection of Trust Indenture Act Section 312(c).</w:t>
      </w:r>
    </w:p>
    <w:p>
      <w:pPr>
        <w:spacing w:after="0" w:line="135" w:lineRule="exact"/>
        <w:rPr>
          <w:sz w:val="20"/>
          <w:szCs w:val="20"/>
          <w:color w:val="auto"/>
        </w:rPr>
      </w:pPr>
    </w:p>
    <w:p>
      <w:pPr>
        <w:ind w:left="120" w:right="159" w:firstLine="350"/>
        <w:spacing w:after="0" w:line="268" w:lineRule="auto"/>
        <w:rPr>
          <w:sz w:val="20"/>
          <w:szCs w:val="20"/>
          <w:color w:val="auto"/>
        </w:rPr>
      </w:pPr>
      <w:r>
        <w:rPr>
          <w:rFonts w:ascii="Times New Roman" w:cs="Times New Roman" w:eastAsia="Times New Roman" w:hAnsi="Times New Roman"/>
          <w:sz w:val="14"/>
          <w:szCs w:val="14"/>
          <w:color w:val="auto"/>
        </w:rPr>
        <w:t>Further, every Holder of Securities, by receiving and holding the same, agrees with the Company and the Trustee that neither the Company nor the Trustee or any agent of either of them shall be held accountable by reason of the disclosure of any information as to the names and addresses of the Holders in accordance with Trust Indenture Act Section 312, regardless of the source from which such information was derived, and that the Trustee shall not be held accountable by reason of mailing any material pursuant to a request made under Trust Indenture Act Section 312.</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39</w:t>
      </w:r>
    </w:p>
    <w:p>
      <w:pPr>
        <w:sectPr>
          <w:pgSz w:w="11900" w:h="16838" w:orient="portrait"/>
          <w:cols w:equalWidth="0" w:num="1">
            <w:col w:w="9019"/>
          </w:cols>
          <w:pgMar w:left="1440" w:top="243" w:right="1440" w:bottom="1440" w:gutter="0" w:footer="0" w:header="0"/>
        </w:sectPr>
      </w:pPr>
    </w:p>
    <w:bookmarkStart w:id="220" w:name="page221"/>
    <w:bookmarkEnd w:id="220"/>
    <w:p>
      <w:pPr>
        <w:ind w:left="1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1">
                      <a:extLst>
                        <a:ext uri="{28A0092B-C50C-407E-A947-70E740481C1C}"/>
                      </a:extLst>
                    </a:blip>
                    <a:srcRect/>
                    <a:stretch>
                      <a:fillRect/>
                    </a:stretch>
                  </pic:blipFill>
                  <pic:spPr bwMode="auto">
                    <a:xfrm>
                      <a:off x="0" y="0"/>
                      <a:ext cx="7199630" cy="33020"/>
                    </a:xfrm>
                    <a:prstGeom prst="rect">
                      <a:avLst/>
                    </a:prstGeom>
                    <a:noFill/>
                  </pic:spPr>
                </pic:pic>
              </a:graphicData>
            </a:graphic>
          </wp:anchor>
        </w:drawing>
        <w:t xml:space="preserve">Section 7.03 </w:t>
      </w:r>
      <w:r>
        <w:rPr>
          <w:rFonts w:ascii="Times New Roman" w:cs="Times New Roman" w:eastAsia="Times New Roman" w:hAnsi="Times New Roman"/>
          <w:sz w:val="14"/>
          <w:szCs w:val="14"/>
          <w:u w:val="single" w:color="auto"/>
          <w:color w:val="auto"/>
        </w:rPr>
        <w:t>REPORTS BY TRUSTEE</w:t>
      </w:r>
      <w:r>
        <w:rPr>
          <w:rFonts w:ascii="Times New Roman" w:cs="Times New Roman" w:eastAsia="Times New Roman" w:hAnsi="Times New Roman"/>
          <w:sz w:val="14"/>
          <w:szCs w:val="14"/>
          <w:color w:val="auto"/>
        </w:rPr>
        <w:t>.</w:t>
      </w:r>
    </w:p>
    <w:p>
      <w:pPr>
        <w:spacing w:after="0" w:line="97" w:lineRule="exact"/>
        <w:rPr>
          <w:sz w:val="20"/>
          <w:szCs w:val="20"/>
          <w:color w:val="auto"/>
        </w:rPr>
      </w:pPr>
    </w:p>
    <w:p>
      <w:pPr>
        <w:ind w:left="120" w:right="199" w:firstLine="357"/>
        <w:spacing w:after="0" w:line="265" w:lineRule="auto"/>
        <w:tabs>
          <w:tab w:leader="none" w:pos="664" w:val="left"/>
        </w:tabs>
        <w:numPr>
          <w:ilvl w:val="0"/>
          <w:numId w:val="1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Within 60 days after May 1 of each year commencing with the first May 1 after the issuance of Securities, the Trustee, if so required under the Trust Indenture Act, shall transmit by mail to all Holders, in the manner and to the extent provided in Trust Indenture Act Section 313(c), a brief report dated as of such May 1 in accordance with and with respect to the matters required by Trust Indenture Act Section 313(a). The Trustee shall also transmit by mail to all Holders, in the manner and to the extent provided in Trust Indenture Act Section 313(c), a brief report in accordance with and with respect to the matters required by Trust Indenture Act Section 313(b)(2).</w:t>
      </w:r>
    </w:p>
    <w:p>
      <w:pPr>
        <w:spacing w:after="0" w:line="141" w:lineRule="exact"/>
        <w:rPr>
          <w:rFonts w:ascii="Times New Roman" w:cs="Times New Roman" w:eastAsia="Times New Roman" w:hAnsi="Times New Roman"/>
          <w:sz w:val="14"/>
          <w:szCs w:val="14"/>
          <w:color w:val="auto"/>
        </w:rPr>
      </w:pPr>
    </w:p>
    <w:p>
      <w:pPr>
        <w:ind w:left="120" w:right="339" w:firstLine="357"/>
        <w:spacing w:after="0" w:line="274" w:lineRule="auto"/>
        <w:tabs>
          <w:tab w:leader="none" w:pos="672" w:val="left"/>
        </w:tabs>
        <w:numPr>
          <w:ilvl w:val="0"/>
          <w:numId w:val="1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 copy of each report transmitted to Holders pursuant to this </w:t>
      </w:r>
      <w:r>
        <w:rPr>
          <w:rFonts w:ascii="Times New Roman" w:cs="Times New Roman" w:eastAsia="Times New Roman" w:hAnsi="Times New Roman"/>
          <w:sz w:val="14"/>
          <w:szCs w:val="14"/>
          <w:u w:val="single" w:color="auto"/>
          <w:color w:val="auto"/>
        </w:rPr>
        <w:t>Section 7.03</w:t>
      </w:r>
      <w:r>
        <w:rPr>
          <w:rFonts w:ascii="Times New Roman" w:cs="Times New Roman" w:eastAsia="Times New Roman" w:hAnsi="Times New Roman"/>
          <w:sz w:val="14"/>
          <w:szCs w:val="14"/>
          <w:color w:val="auto"/>
        </w:rPr>
        <w:t xml:space="preserve"> shall, at the time of such transmission, be mailed to the Company and filed with each stock exchange, if any, upon which the Securities are listed and also with the Commission. The Company will notify the Trustee promptly in writing if the Securities are listed on any stock exchange or delisted therefrom.</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7.04 </w:t>
      </w:r>
      <w:r>
        <w:rPr>
          <w:rFonts w:ascii="Times New Roman" w:cs="Times New Roman" w:eastAsia="Times New Roman" w:hAnsi="Times New Roman"/>
          <w:sz w:val="14"/>
          <w:szCs w:val="14"/>
          <w:u w:val="single" w:color="auto"/>
          <w:color w:val="auto"/>
        </w:rPr>
        <w:t>CALCULATION OF ORIGINAL ISSUE DISCOUNT</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120" w:right="139" w:firstLine="350"/>
        <w:spacing w:after="0" w:line="268" w:lineRule="auto"/>
        <w:rPr>
          <w:sz w:val="20"/>
          <w:szCs w:val="20"/>
          <w:color w:val="auto"/>
        </w:rPr>
      </w:pPr>
      <w:r>
        <w:rPr>
          <w:rFonts w:ascii="Times New Roman" w:cs="Times New Roman" w:eastAsia="Times New Roman" w:hAnsi="Times New Roman"/>
          <w:sz w:val="14"/>
          <w:szCs w:val="14"/>
          <w:color w:val="auto"/>
        </w:rPr>
        <w:t>If Securities of a series are issued with original issue discount, upon request of the Trustee, the Company shall file with the Trustee promptly at the end of each calendar year (i) a written notice specifying the amount of original issue discount (including daily rates and accrual periods), if any, accrued on Outstanding Securities as of the end of such year and (ii) such other specific information relating to such original issue discount as may then be relevant under the Internal Revenue Code of 1986, as amended from time to time.</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VIII</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CONSOLIDATION, MERGER, SALE OF ASSETS</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8.01 </w:t>
      </w:r>
      <w:r>
        <w:rPr>
          <w:rFonts w:ascii="Times New Roman" w:cs="Times New Roman" w:eastAsia="Times New Roman" w:hAnsi="Times New Roman"/>
          <w:sz w:val="14"/>
          <w:szCs w:val="14"/>
          <w:u w:val="single" w:color="auto"/>
          <w:color w:val="auto"/>
        </w:rPr>
        <w:t>COMPANY MAY CONSOLIDATE, ETC., ONLY ON CERTAIN TERMS</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120" w:right="159" w:firstLine="350"/>
        <w:spacing w:after="0" w:line="263" w:lineRule="auto"/>
        <w:rPr>
          <w:sz w:val="20"/>
          <w:szCs w:val="20"/>
          <w:color w:val="auto"/>
        </w:rPr>
      </w:pPr>
      <w:r>
        <w:rPr>
          <w:rFonts w:ascii="Times New Roman" w:cs="Times New Roman" w:eastAsia="Times New Roman" w:hAnsi="Times New Roman"/>
          <w:sz w:val="14"/>
          <w:szCs w:val="14"/>
          <w:color w:val="auto"/>
        </w:rPr>
        <w:t xml:space="preserve">The terms on which the Company may consolidate, amalgamate, combine or merge with or into any other Person or, directly or indirectly, sell, assign, convey, lease, transfer or otherwise dispose of all or substantially all of its properties and assets to any Person or group of Persons, or permit any of its Restricted Subsidiaries to enter into any such transaction or series of transactions, if such transaction or series of transactions, in the aggregate, would result in a sale, assignment, conveyance, lease, transfer or disposition of all or substantially all of the properties and assets of the Company and its Restricted Subsidiaries on a Consolidated basis to any other Person or group of Persons will be set out in one or more amendments to or indentures supplemental hereto, pursuant to </w:t>
      </w:r>
      <w:r>
        <w:rPr>
          <w:rFonts w:ascii="Times New Roman" w:cs="Times New Roman" w:eastAsia="Times New Roman" w:hAnsi="Times New Roman"/>
          <w:sz w:val="14"/>
          <w:szCs w:val="14"/>
          <w:u w:val="single" w:color="auto"/>
          <w:color w:val="auto"/>
        </w:rPr>
        <w:t>Section 3.01</w:t>
      </w:r>
      <w:r>
        <w:rPr>
          <w:rFonts w:ascii="Times New Roman" w:cs="Times New Roman" w:eastAsia="Times New Roman" w:hAnsi="Times New Roman"/>
          <w:sz w:val="14"/>
          <w:szCs w:val="14"/>
          <w:color w:val="auto"/>
        </w:rPr>
        <w:t>.</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IX</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SUPPLEMENTAL INDENTURES</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9.01 </w:t>
      </w:r>
      <w:r>
        <w:rPr>
          <w:rFonts w:ascii="Times New Roman" w:cs="Times New Roman" w:eastAsia="Times New Roman" w:hAnsi="Times New Roman"/>
          <w:sz w:val="14"/>
          <w:szCs w:val="14"/>
          <w:u w:val="single" w:color="auto"/>
          <w:color w:val="auto"/>
        </w:rPr>
        <w:t>SUPPLEMENTAL INDENTURES AND AGREEMENTS WITHOUT CONSENT OF HOLDERS.</w:t>
      </w:r>
    </w:p>
    <w:p>
      <w:pPr>
        <w:spacing w:after="0" w:line="182" w:lineRule="exact"/>
        <w:rPr>
          <w:sz w:val="20"/>
          <w:szCs w:val="20"/>
          <w:color w:val="auto"/>
        </w:rPr>
      </w:pPr>
    </w:p>
    <w:p>
      <w:pPr>
        <w:ind w:left="120" w:right="279" w:firstLine="350"/>
        <w:spacing w:after="0" w:line="274" w:lineRule="auto"/>
        <w:rPr>
          <w:sz w:val="20"/>
          <w:szCs w:val="20"/>
          <w:color w:val="auto"/>
        </w:rPr>
      </w:pPr>
      <w:r>
        <w:rPr>
          <w:rFonts w:ascii="Times New Roman" w:cs="Times New Roman" w:eastAsia="Times New Roman" w:hAnsi="Times New Roman"/>
          <w:sz w:val="14"/>
          <w:szCs w:val="14"/>
          <w:color w:val="auto"/>
        </w:rPr>
        <w:t>Without the consent of any Holders, the Company and any other obligor under the Securities when authorized by a Board Resolution, and the Trustee, at any time and from time to time, may enter into one or more indentures supplemental hereto or agreements or other instruments with respect to this Indenture or any series of the Securities, in form satisfactory to the Trustee, for any of the following purposes:</w:t>
      </w:r>
    </w:p>
    <w:p>
      <w:pPr>
        <w:spacing w:after="0" w:line="49" w:lineRule="exact"/>
        <w:rPr>
          <w:sz w:val="20"/>
          <w:szCs w:val="20"/>
          <w:color w:val="auto"/>
        </w:rPr>
      </w:pPr>
    </w:p>
    <w:p>
      <w:pPr>
        <w:ind w:left="680" w:hanging="203"/>
        <w:spacing w:after="0"/>
        <w:tabs>
          <w:tab w:leader="none" w:pos="680" w:val="left"/>
        </w:tabs>
        <w:numPr>
          <w:ilvl w:val="0"/>
          <w:numId w:val="1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cure any ambiguity, defect or inconsistency;</w:t>
      </w:r>
    </w:p>
    <w:p>
      <w:pPr>
        <w:spacing w:after="0" w:line="182" w:lineRule="exact"/>
        <w:rPr>
          <w:rFonts w:ascii="Times New Roman" w:cs="Times New Roman" w:eastAsia="Times New Roman" w:hAnsi="Times New Roman"/>
          <w:sz w:val="14"/>
          <w:szCs w:val="14"/>
          <w:color w:val="auto"/>
        </w:rPr>
      </w:pPr>
    </w:p>
    <w:p>
      <w:pPr>
        <w:ind w:left="680" w:hanging="203"/>
        <w:spacing w:after="0"/>
        <w:tabs>
          <w:tab w:leader="none" w:pos="680" w:val="left"/>
        </w:tabs>
        <w:numPr>
          <w:ilvl w:val="0"/>
          <w:numId w:val="1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uncertificated Securities in addition to or in place of certificated Securities;</w:t>
      </w:r>
    </w:p>
    <w:p>
      <w:pPr>
        <w:spacing w:after="0" w:line="182" w:lineRule="exact"/>
        <w:rPr>
          <w:rFonts w:ascii="Times New Roman" w:cs="Times New Roman" w:eastAsia="Times New Roman" w:hAnsi="Times New Roman"/>
          <w:sz w:val="14"/>
          <w:szCs w:val="14"/>
          <w:color w:val="auto"/>
        </w:rPr>
      </w:pPr>
    </w:p>
    <w:p>
      <w:pPr>
        <w:ind w:left="120" w:right="339" w:firstLine="357"/>
        <w:spacing w:after="0" w:line="292" w:lineRule="auto"/>
        <w:tabs>
          <w:tab w:leader="none" w:pos="664" w:val="left"/>
        </w:tabs>
        <w:numPr>
          <w:ilvl w:val="0"/>
          <w:numId w:val="1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the assumption of the Company’s or any Guarantor’s obligations to Holders of Securities of a series in the case of a merger or consolidation or sale of all or substantially all of the Company’s or such Guarantor’s assets;</w:t>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ectPr>
          <w:pgSz w:w="11900" w:h="16838" w:orient="portrait"/>
          <w:cols w:equalWidth="0" w:num="1">
            <w:col w:w="9019"/>
          </w:cols>
          <w:pgMar w:left="1440" w:top="243" w:right="1440" w:bottom="1440" w:gutter="0" w:footer="0" w:header="0"/>
        </w:sectPr>
      </w:pPr>
    </w:p>
    <w:bookmarkStart w:id="221" w:name="page222"/>
    <w:bookmarkEnd w:id="221"/>
    <w:p>
      <w:pPr>
        <w:ind w:left="120" w:right="239" w:firstLine="357"/>
        <w:spacing w:after="0" w:line="292" w:lineRule="auto"/>
        <w:tabs>
          <w:tab w:leader="none" w:pos="672" w:val="left"/>
        </w:tabs>
        <w:numPr>
          <w:ilvl w:val="0"/>
          <w:numId w:val="1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2">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to make any change that would provide any additional rights or benefits to the Holders of Securities or that does not adversely affect the legal rights under this Indenture of any such Holder;</w:t>
      </w:r>
    </w:p>
    <w:p>
      <w:pPr>
        <w:spacing w:after="0" w:line="123" w:lineRule="exact"/>
        <w:rPr>
          <w:rFonts w:ascii="Times New Roman" w:cs="Times New Roman" w:eastAsia="Times New Roman" w:hAnsi="Times New Roman"/>
          <w:sz w:val="14"/>
          <w:szCs w:val="14"/>
          <w:color w:val="auto"/>
        </w:rPr>
      </w:pPr>
    </w:p>
    <w:p>
      <w:pPr>
        <w:ind w:left="680" w:hanging="203"/>
        <w:spacing w:after="0"/>
        <w:tabs>
          <w:tab w:leader="none" w:pos="680" w:val="left"/>
        </w:tabs>
        <w:numPr>
          <w:ilvl w:val="0"/>
          <w:numId w:val="1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requirements of the Commission in order to effect or maintain the qualification of this Indenture under the Trust Indenture Act;</w:t>
      </w:r>
    </w:p>
    <w:p>
      <w:pPr>
        <w:spacing w:after="0" w:line="182" w:lineRule="exact"/>
        <w:rPr>
          <w:rFonts w:ascii="Times New Roman" w:cs="Times New Roman" w:eastAsia="Times New Roman" w:hAnsi="Times New Roman"/>
          <w:sz w:val="14"/>
          <w:szCs w:val="14"/>
          <w:color w:val="auto"/>
        </w:rPr>
      </w:pPr>
    </w:p>
    <w:p>
      <w:pPr>
        <w:ind w:left="120" w:right="179" w:firstLine="357"/>
        <w:spacing w:after="0" w:line="274" w:lineRule="auto"/>
        <w:tabs>
          <w:tab w:leader="none" w:pos="649" w:val="left"/>
        </w:tabs>
        <w:numPr>
          <w:ilvl w:val="0"/>
          <w:numId w:val="1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conform the text of this Indenture, or any Securities or any Guarantee thereof, to any provision of the description of such securities in any offering memorandum with respect thereto to the extent that such provision in the description of such Securities was intended to be a verbatim recitation of a provision of this Indenture, the Securities or any Guarantee thereof as evidenced in an Officers’ Certificate;</w:t>
      </w:r>
    </w:p>
    <w:p>
      <w:pPr>
        <w:spacing w:after="0" w:line="135" w:lineRule="exact"/>
        <w:rPr>
          <w:rFonts w:ascii="Times New Roman" w:cs="Times New Roman" w:eastAsia="Times New Roman" w:hAnsi="Times New Roman"/>
          <w:sz w:val="14"/>
          <w:szCs w:val="14"/>
          <w:color w:val="auto"/>
        </w:rPr>
      </w:pPr>
    </w:p>
    <w:p>
      <w:pPr>
        <w:ind w:left="120" w:right="399" w:firstLine="357"/>
        <w:spacing w:after="0" w:line="292" w:lineRule="auto"/>
        <w:tabs>
          <w:tab w:leader="none" w:pos="672" w:val="left"/>
        </w:tabs>
        <w:numPr>
          <w:ilvl w:val="0"/>
          <w:numId w:val="1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allow a Guarantor to execute a supplemental indenture for the purpose of providing a guarantee of any Securities in accordance with the provisions of this Indenture or any indenture supplemental hereto;</w:t>
      </w:r>
    </w:p>
    <w:p>
      <w:pPr>
        <w:spacing w:after="0" w:line="123" w:lineRule="exact"/>
        <w:rPr>
          <w:rFonts w:ascii="Times New Roman" w:cs="Times New Roman" w:eastAsia="Times New Roman" w:hAnsi="Times New Roman"/>
          <w:sz w:val="14"/>
          <w:szCs w:val="14"/>
          <w:color w:val="auto"/>
        </w:rPr>
      </w:pPr>
    </w:p>
    <w:p>
      <w:pPr>
        <w:ind w:left="680" w:hanging="203"/>
        <w:spacing w:after="0"/>
        <w:tabs>
          <w:tab w:leader="none" w:pos="680" w:val="left"/>
        </w:tabs>
        <w:numPr>
          <w:ilvl w:val="0"/>
          <w:numId w:val="1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establish the form or terms of Securities of any series as permitted by this Indenture, which is not yet issued;</w:t>
      </w:r>
    </w:p>
    <w:p>
      <w:pPr>
        <w:spacing w:after="0" w:line="182" w:lineRule="exact"/>
        <w:rPr>
          <w:rFonts w:ascii="Times New Roman" w:cs="Times New Roman" w:eastAsia="Times New Roman" w:hAnsi="Times New Roman"/>
          <w:sz w:val="14"/>
          <w:szCs w:val="14"/>
          <w:color w:val="auto"/>
        </w:rPr>
      </w:pPr>
    </w:p>
    <w:p>
      <w:pPr>
        <w:jc w:val="both"/>
        <w:ind w:left="120" w:right="139" w:firstLine="357"/>
        <w:spacing w:after="0" w:line="274" w:lineRule="auto"/>
        <w:tabs>
          <w:tab w:leader="none" w:pos="641" w:val="left"/>
        </w:tabs>
        <w:numPr>
          <w:ilvl w:val="0"/>
          <w:numId w:val="1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to supplement any of the provisions of this Indenture to such extent as shall be necessary to permit or facilitate the defeasance and discharge of any series of Securities pursuant to </w:t>
      </w:r>
      <w:r>
        <w:rPr>
          <w:rFonts w:ascii="Times New Roman" w:cs="Times New Roman" w:eastAsia="Times New Roman" w:hAnsi="Times New Roman"/>
          <w:sz w:val="14"/>
          <w:szCs w:val="14"/>
          <w:u w:val="single" w:color="auto"/>
          <w:color w:val="auto"/>
        </w:rPr>
        <w:t>Section 4.02</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4.03</w:t>
      </w:r>
      <w:r>
        <w:rPr>
          <w:rFonts w:ascii="Times New Roman" w:cs="Times New Roman" w:eastAsia="Times New Roman" w:hAnsi="Times New Roman"/>
          <w:sz w:val="14"/>
          <w:szCs w:val="14"/>
          <w:color w:val="auto"/>
        </w:rPr>
        <w:t>; provided that any such actions shall not adversely affect the interests of Holders of Securities of such series in any material respect; or</w:t>
      </w:r>
    </w:p>
    <w:p>
      <w:pPr>
        <w:spacing w:after="0" w:line="135" w:lineRule="exact"/>
        <w:rPr>
          <w:rFonts w:ascii="Times New Roman" w:cs="Times New Roman" w:eastAsia="Times New Roman" w:hAnsi="Times New Roman"/>
          <w:sz w:val="14"/>
          <w:szCs w:val="14"/>
          <w:color w:val="auto"/>
        </w:rPr>
      </w:pPr>
    </w:p>
    <w:p>
      <w:pPr>
        <w:ind w:left="120" w:right="139" w:firstLine="357"/>
        <w:spacing w:after="0" w:line="274" w:lineRule="auto"/>
        <w:tabs>
          <w:tab w:leader="none" w:pos="641" w:val="left"/>
        </w:tabs>
        <w:numPr>
          <w:ilvl w:val="0"/>
          <w:numId w:val="1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evidence and provide for the acceptance of appointment by a successor or separate Trustee with respect to the Securities of any series and to add to or change any of the provisions of this Indenture as shall be necessary to provide for or facilitate the administration of this Indenture by more than one Trustee.</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9.02 </w:t>
      </w:r>
      <w:r>
        <w:rPr>
          <w:rFonts w:ascii="Times New Roman" w:cs="Times New Roman" w:eastAsia="Times New Roman" w:hAnsi="Times New Roman"/>
          <w:sz w:val="14"/>
          <w:szCs w:val="14"/>
          <w:u w:val="single" w:color="auto"/>
          <w:color w:val="auto"/>
        </w:rPr>
        <w:t>SUPPLEMENTAL INDENTURES AND AGREEMENTS WITH CONSENT OF HOLDERS</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120" w:right="139" w:firstLine="350"/>
        <w:spacing w:after="0" w:line="259" w:lineRule="auto"/>
        <w:rPr>
          <w:sz w:val="20"/>
          <w:szCs w:val="20"/>
          <w:color w:val="auto"/>
        </w:rPr>
      </w:pPr>
      <w:r>
        <w:rPr>
          <w:rFonts w:ascii="Times New Roman" w:cs="Times New Roman" w:eastAsia="Times New Roman" w:hAnsi="Times New Roman"/>
          <w:sz w:val="14"/>
          <w:szCs w:val="14"/>
          <w:color w:val="auto"/>
        </w:rPr>
        <w:t xml:space="preserve">Except as permitted by </w:t>
      </w:r>
      <w:r>
        <w:rPr>
          <w:rFonts w:ascii="Times New Roman" w:cs="Times New Roman" w:eastAsia="Times New Roman" w:hAnsi="Times New Roman"/>
          <w:sz w:val="14"/>
          <w:szCs w:val="14"/>
          <w:u w:val="single" w:color="auto"/>
          <w:color w:val="auto"/>
        </w:rPr>
        <w:t>Section 9.01</w:t>
      </w:r>
      <w:r>
        <w:rPr>
          <w:rFonts w:ascii="Times New Roman" w:cs="Times New Roman" w:eastAsia="Times New Roman" w:hAnsi="Times New Roman"/>
          <w:sz w:val="14"/>
          <w:szCs w:val="14"/>
          <w:color w:val="auto"/>
        </w:rPr>
        <w:t xml:space="preserve"> or as provided pursuant to </w:t>
      </w:r>
      <w:r>
        <w:rPr>
          <w:rFonts w:ascii="Times New Roman" w:cs="Times New Roman" w:eastAsia="Times New Roman" w:hAnsi="Times New Roman"/>
          <w:sz w:val="14"/>
          <w:szCs w:val="14"/>
          <w:u w:val="single" w:color="auto"/>
          <w:color w:val="auto"/>
        </w:rPr>
        <w:t>Section 3.01</w:t>
      </w:r>
      <w:r>
        <w:rPr>
          <w:rFonts w:ascii="Times New Roman" w:cs="Times New Roman" w:eastAsia="Times New Roman" w:hAnsi="Times New Roman"/>
          <w:sz w:val="14"/>
          <w:szCs w:val="14"/>
          <w:color w:val="auto"/>
        </w:rPr>
        <w:t xml:space="preserve">, with the consent of the Holders of at least a majority in aggregate principal amount of the Outstanding Securities of any series of Securities (including, without limitation, consents obtained in connection with a purchase of, or tender offer or exchange offer for, such Securities), by Act of said Holders delivered to the Company and the Trustee, the Company and the Guarantors when authorized by Board Resolutions, and the Trustee may (i) enter into an indenture or indentures supplemental hereto or agreements for the purpose of adding any provisions to, amending, modifying or changing in any manner, or eliminating any of the provisions of this Indenture with respect to such series, of any supplemental indenture with respect to such series or the Securities of such series (including but not limited to, for the purpose of modifying in any manner the rights of the Holders of such series under this Indenture with respect to such series or the Securities of such series) or (ii) waive compliance with any provision in this Indenture with respect to such series or the Securities of such series (other than waivers of past defaults covered by </w:t>
      </w:r>
      <w:r>
        <w:rPr>
          <w:rFonts w:ascii="Times New Roman" w:cs="Times New Roman" w:eastAsia="Times New Roman" w:hAnsi="Times New Roman"/>
          <w:sz w:val="14"/>
          <w:szCs w:val="14"/>
          <w:u w:val="single" w:color="auto"/>
          <w:color w:val="auto"/>
        </w:rPr>
        <w:t>Section 5.13</w:t>
      </w:r>
      <w:r>
        <w:rPr>
          <w:rFonts w:ascii="Times New Roman" w:cs="Times New Roman" w:eastAsia="Times New Roman" w:hAnsi="Times New Roman"/>
          <w:sz w:val="14"/>
          <w:szCs w:val="14"/>
          <w:color w:val="auto"/>
        </w:rPr>
        <w:t>); provided, however, that no such supplemental indenture, agreement, instrument or waiver shall, without the consent of each Holder of a Security of such series affected thereby:</w:t>
      </w:r>
    </w:p>
    <w:p>
      <w:pPr>
        <w:spacing w:after="0" w:line="65" w:lineRule="exact"/>
        <w:rPr>
          <w:sz w:val="20"/>
          <w:szCs w:val="20"/>
          <w:color w:val="auto"/>
        </w:rPr>
      </w:pPr>
    </w:p>
    <w:p>
      <w:pPr>
        <w:ind w:left="680" w:hanging="203"/>
        <w:spacing w:after="0"/>
        <w:tabs>
          <w:tab w:leader="none" w:pos="680" w:val="left"/>
        </w:tabs>
        <w:numPr>
          <w:ilvl w:val="0"/>
          <w:numId w:val="1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principal amount of Securities of such series whose Holders must consent to an amendment, supplement or waiver;</w:t>
      </w:r>
    </w:p>
    <w:p>
      <w:pPr>
        <w:spacing w:after="0" w:line="182" w:lineRule="exact"/>
        <w:rPr>
          <w:rFonts w:ascii="Times New Roman" w:cs="Times New Roman" w:eastAsia="Times New Roman" w:hAnsi="Times New Roman"/>
          <w:sz w:val="14"/>
          <w:szCs w:val="14"/>
          <w:color w:val="auto"/>
        </w:rPr>
      </w:pPr>
    </w:p>
    <w:p>
      <w:pPr>
        <w:ind w:left="680" w:hanging="203"/>
        <w:spacing w:after="0"/>
        <w:tabs>
          <w:tab w:leader="none" w:pos="680" w:val="left"/>
        </w:tabs>
        <w:numPr>
          <w:ilvl w:val="0"/>
          <w:numId w:val="1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rate of or change the time for payment of interest on any Securities of such series;</w:t>
      </w:r>
    </w:p>
    <w:p>
      <w:pPr>
        <w:spacing w:after="0" w:line="182" w:lineRule="exact"/>
        <w:rPr>
          <w:rFonts w:ascii="Times New Roman" w:cs="Times New Roman" w:eastAsia="Times New Roman" w:hAnsi="Times New Roman"/>
          <w:sz w:val="14"/>
          <w:szCs w:val="14"/>
          <w:color w:val="auto"/>
        </w:rPr>
      </w:pPr>
    </w:p>
    <w:p>
      <w:pPr>
        <w:ind w:left="120" w:right="199" w:firstLine="357"/>
        <w:spacing w:after="0" w:line="274" w:lineRule="auto"/>
        <w:tabs>
          <w:tab w:leader="none" w:pos="664" w:val="left"/>
        </w:tabs>
        <w:numPr>
          <w:ilvl w:val="0"/>
          <w:numId w:val="1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principal of or change the Stated Maturity of any Security of such series or change the optional redemption dates or optional redemption prices from those set forth in any supplemental indenture or Board Resolution applicable to such series of Securities (except amendments or changes to any notice provisions, which may be amended with the consent of Holders of a majority of the Securities of such series);</w:t>
      </w:r>
    </w:p>
    <w:p>
      <w:pPr>
        <w:spacing w:after="0" w:line="135" w:lineRule="exact"/>
        <w:rPr>
          <w:rFonts w:ascii="Times New Roman" w:cs="Times New Roman" w:eastAsia="Times New Roman" w:hAnsi="Times New Roman"/>
          <w:sz w:val="14"/>
          <w:szCs w:val="14"/>
          <w:color w:val="auto"/>
        </w:rPr>
      </w:pPr>
    </w:p>
    <w:p>
      <w:pPr>
        <w:ind w:left="120" w:right="139" w:firstLine="357"/>
        <w:spacing w:after="0" w:line="292" w:lineRule="auto"/>
        <w:tabs>
          <w:tab w:leader="none" w:pos="672" w:val="left"/>
        </w:tabs>
        <w:numPr>
          <w:ilvl w:val="0"/>
          <w:numId w:val="1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impair the right to institute suit for the enforcement of any payment on or with respect to the Securities of such series or the Guarantees of such Securities, if any;</w:t>
      </w:r>
    </w:p>
    <w:p>
      <w:pPr>
        <w:spacing w:after="0" w:line="123" w:lineRule="exact"/>
        <w:rPr>
          <w:rFonts w:ascii="Times New Roman" w:cs="Times New Roman" w:eastAsia="Times New Roman" w:hAnsi="Times New Roman"/>
          <w:sz w:val="14"/>
          <w:szCs w:val="14"/>
          <w:color w:val="auto"/>
        </w:rPr>
      </w:pPr>
    </w:p>
    <w:p>
      <w:pPr>
        <w:ind w:left="680" w:hanging="203"/>
        <w:spacing w:after="0"/>
        <w:tabs>
          <w:tab w:leader="none" w:pos="680" w:val="left"/>
        </w:tabs>
        <w:numPr>
          <w:ilvl w:val="0"/>
          <w:numId w:val="1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the Securities of such series payable in currency other than that stated in such Securities;</w:t>
      </w:r>
    </w:p>
    <w:p>
      <w:pPr>
        <w:spacing w:after="0" w:line="182" w:lineRule="exact"/>
        <w:rPr>
          <w:rFonts w:ascii="Times New Roman" w:cs="Times New Roman" w:eastAsia="Times New Roman" w:hAnsi="Times New Roman"/>
          <w:sz w:val="14"/>
          <w:szCs w:val="14"/>
          <w:color w:val="auto"/>
        </w:rPr>
      </w:pPr>
    </w:p>
    <w:p>
      <w:pPr>
        <w:ind w:left="660" w:hanging="183"/>
        <w:spacing w:after="0"/>
        <w:tabs>
          <w:tab w:leader="none" w:pos="660" w:val="left"/>
        </w:tabs>
        <w:numPr>
          <w:ilvl w:val="0"/>
          <w:numId w:val="1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modify any of the provisions of this </w:t>
      </w:r>
      <w:r>
        <w:rPr>
          <w:rFonts w:ascii="Times New Roman" w:cs="Times New Roman" w:eastAsia="Times New Roman" w:hAnsi="Times New Roman"/>
          <w:sz w:val="14"/>
          <w:szCs w:val="14"/>
          <w:u w:val="single" w:color="auto"/>
          <w:color w:val="auto"/>
        </w:rPr>
        <w:t>Section 9.02</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5.13</w:t>
      </w:r>
      <w:r>
        <w:rPr>
          <w:rFonts w:ascii="Times New Roman" w:cs="Times New Roman" w:eastAsia="Times New Roman" w:hAnsi="Times New Roman"/>
          <w:sz w:val="14"/>
          <w:szCs w:val="14"/>
          <w:color w:val="auto"/>
        </w:rPr>
        <w:t>;</w:t>
      </w:r>
    </w:p>
    <w:p>
      <w:pPr>
        <w:spacing w:after="0" w:line="182" w:lineRule="exact"/>
        <w:rPr>
          <w:rFonts w:ascii="Times New Roman" w:cs="Times New Roman" w:eastAsia="Times New Roman" w:hAnsi="Times New Roman"/>
          <w:sz w:val="14"/>
          <w:szCs w:val="14"/>
          <w:color w:val="auto"/>
        </w:rPr>
      </w:pPr>
    </w:p>
    <w:p>
      <w:pPr>
        <w:ind w:left="120" w:right="219" w:firstLine="357"/>
        <w:spacing w:after="0" w:line="292" w:lineRule="auto"/>
        <w:tabs>
          <w:tab w:leader="none" w:pos="672" w:val="left"/>
        </w:tabs>
        <w:numPr>
          <w:ilvl w:val="0"/>
          <w:numId w:val="1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release any Guarantor from any of its obligations under its Guarantee of such Securities or this Indenture, except in accordance with the terms of this Indenture;</w:t>
      </w:r>
    </w:p>
    <w:p>
      <w:pPr>
        <w:spacing w:after="0" w:line="123" w:lineRule="exact"/>
        <w:rPr>
          <w:rFonts w:ascii="Times New Roman" w:cs="Times New Roman" w:eastAsia="Times New Roman" w:hAnsi="Times New Roman"/>
          <w:sz w:val="14"/>
          <w:szCs w:val="14"/>
          <w:color w:val="auto"/>
        </w:rPr>
      </w:pPr>
    </w:p>
    <w:p>
      <w:pPr>
        <w:ind w:left="120" w:right="159" w:firstLine="357"/>
        <w:spacing w:after="0" w:line="274" w:lineRule="auto"/>
        <w:tabs>
          <w:tab w:leader="none" w:pos="672" w:val="left"/>
        </w:tabs>
        <w:numPr>
          <w:ilvl w:val="0"/>
          <w:numId w:val="1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waive a Default or Event of Default in the payment of principal of, or interest or premium, if any, on such Securities (except a rescission of acceleration of such Securities by the Holders of at least a majority in aggregate principal amount of such Securities and a waiver of the payment default that resulted from such acceleration);</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ectPr>
          <w:pgSz w:w="11900" w:h="16838" w:orient="portrait"/>
          <w:cols w:equalWidth="0" w:num="1">
            <w:col w:w="9019"/>
          </w:cols>
          <w:pgMar w:left="1440" w:top="243" w:right="1440" w:bottom="1440" w:gutter="0" w:footer="0" w:header="0"/>
        </w:sectPr>
      </w:pPr>
    </w:p>
    <w:bookmarkStart w:id="222" w:name="page223"/>
    <w:bookmarkEnd w:id="222"/>
    <w:p>
      <w:pPr>
        <w:ind w:left="120" w:right="359" w:firstLine="357"/>
        <w:spacing w:after="0" w:line="292" w:lineRule="auto"/>
        <w:tabs>
          <w:tab w:leader="none" w:pos="641" w:val="left"/>
        </w:tabs>
        <w:numPr>
          <w:ilvl w:val="0"/>
          <w:numId w:val="1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3">
                      <a:extLst>
                        <a:ext uri="{28A0092B-C50C-407E-A947-70E740481C1C}"/>
                      </a:extLst>
                    </a:blip>
                    <a:srcRect/>
                    <a:stretch>
                      <a:fillRect/>
                    </a:stretch>
                  </pic:blipFill>
                  <pic:spPr bwMode="auto">
                    <a:xfrm>
                      <a:off x="0" y="0"/>
                      <a:ext cx="7199630" cy="33020"/>
                    </a:xfrm>
                    <a:prstGeom prst="rect">
                      <a:avLst/>
                    </a:prstGeom>
                    <a:noFill/>
                  </pic:spPr>
                </pic:pic>
              </a:graphicData>
            </a:graphic>
          </wp:anchor>
        </w:drawing>
        <w:t>make any change in the provisions of this Indenture relating to waivers of past Defaults or the rights of Holders of such Securities to receive payments of principal of, or interest or premium, if any, on such Securities; or</w:t>
      </w:r>
    </w:p>
    <w:p>
      <w:pPr>
        <w:spacing w:after="0" w:line="123" w:lineRule="exact"/>
        <w:rPr>
          <w:rFonts w:ascii="Times New Roman" w:cs="Times New Roman" w:eastAsia="Times New Roman" w:hAnsi="Times New Roman"/>
          <w:sz w:val="14"/>
          <w:szCs w:val="14"/>
          <w:color w:val="auto"/>
        </w:rPr>
      </w:pPr>
    </w:p>
    <w:p>
      <w:pPr>
        <w:ind w:left="640" w:hanging="163"/>
        <w:spacing w:after="0"/>
        <w:tabs>
          <w:tab w:leader="none" w:pos="640" w:val="left"/>
        </w:tabs>
        <w:numPr>
          <w:ilvl w:val="0"/>
          <w:numId w:val="1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waive a redemption payment with respect to any Security.</w:t>
      </w:r>
    </w:p>
    <w:p>
      <w:pPr>
        <w:spacing w:after="0" w:line="182" w:lineRule="exact"/>
        <w:rPr>
          <w:sz w:val="20"/>
          <w:szCs w:val="20"/>
          <w:color w:val="auto"/>
        </w:rPr>
      </w:pPr>
    </w:p>
    <w:p>
      <w:pPr>
        <w:ind w:left="120" w:right="519" w:firstLine="350"/>
        <w:spacing w:after="0" w:line="274" w:lineRule="auto"/>
        <w:rPr>
          <w:sz w:val="20"/>
          <w:szCs w:val="20"/>
          <w:color w:val="auto"/>
        </w:rPr>
      </w:pPr>
      <w:r>
        <w:rPr>
          <w:rFonts w:ascii="Times New Roman" w:cs="Times New Roman" w:eastAsia="Times New Roman" w:hAnsi="Times New Roman"/>
          <w:sz w:val="14"/>
          <w:szCs w:val="14"/>
          <w:color w:val="auto"/>
        </w:rPr>
        <w:t>Upon the written request of the Company, accompanied by a copy of Board Resolutions authorizing the execution of any such supplemental indenture, and upon the filing with the Trustee of evidence of the consent of Holders as aforesaid, the Trustee shall join with the Company in the execution of such supplemental indenture.</w:t>
      </w:r>
    </w:p>
    <w:p>
      <w:pPr>
        <w:spacing w:after="0" w:line="135" w:lineRule="exact"/>
        <w:rPr>
          <w:sz w:val="20"/>
          <w:szCs w:val="20"/>
          <w:color w:val="auto"/>
        </w:rPr>
      </w:pPr>
    </w:p>
    <w:p>
      <w:pPr>
        <w:ind w:left="120" w:right="139" w:firstLine="350"/>
        <w:spacing w:after="0" w:line="292" w:lineRule="auto"/>
        <w:rPr>
          <w:sz w:val="20"/>
          <w:szCs w:val="20"/>
          <w:color w:val="auto"/>
        </w:rPr>
      </w:pPr>
      <w:r>
        <w:rPr>
          <w:rFonts w:ascii="Times New Roman" w:cs="Times New Roman" w:eastAsia="Times New Roman" w:hAnsi="Times New Roman"/>
          <w:sz w:val="14"/>
          <w:szCs w:val="14"/>
          <w:color w:val="auto"/>
        </w:rPr>
        <w:t xml:space="preserve">It shall not be necessary for any Act of Holders under this </w:t>
      </w:r>
      <w:r>
        <w:rPr>
          <w:rFonts w:ascii="Times New Roman" w:cs="Times New Roman" w:eastAsia="Times New Roman" w:hAnsi="Times New Roman"/>
          <w:sz w:val="14"/>
          <w:szCs w:val="14"/>
          <w:u w:val="single" w:color="auto"/>
          <w:color w:val="auto"/>
        </w:rPr>
        <w:t>Section 9.02</w:t>
      </w:r>
      <w:r>
        <w:rPr>
          <w:rFonts w:ascii="Times New Roman" w:cs="Times New Roman" w:eastAsia="Times New Roman" w:hAnsi="Times New Roman"/>
          <w:sz w:val="14"/>
          <w:szCs w:val="14"/>
          <w:color w:val="auto"/>
        </w:rPr>
        <w:t xml:space="preserve"> to approve the particular form of any proposed supplemental indenture, but it shall be sufficient if such Act shall approve the substance thereof.</w:t>
      </w:r>
    </w:p>
    <w:p>
      <w:pPr>
        <w:spacing w:after="0" w:line="123" w:lineRule="exact"/>
        <w:rPr>
          <w:sz w:val="20"/>
          <w:szCs w:val="20"/>
          <w:color w:val="auto"/>
        </w:rPr>
      </w:pPr>
    </w:p>
    <w:p>
      <w:pPr>
        <w:ind w:left="120" w:right="179" w:firstLine="350"/>
        <w:spacing w:after="0" w:line="274" w:lineRule="auto"/>
        <w:rPr>
          <w:sz w:val="20"/>
          <w:szCs w:val="20"/>
          <w:color w:val="auto"/>
        </w:rPr>
      </w:pPr>
      <w:r>
        <w:rPr>
          <w:rFonts w:ascii="Times New Roman" w:cs="Times New Roman" w:eastAsia="Times New Roman" w:hAnsi="Times New Roman"/>
          <w:sz w:val="14"/>
          <w:szCs w:val="14"/>
          <w:color w:val="auto"/>
        </w:rPr>
        <w:t>A supplemental indenture which changes or eliminates any covenant or other provision of this Indenture which has expressly been included solely for the benefit of one or more particular series of Securities, or which modifies the rights of Holders with respect to such covenant or other provisions, shall be deemed not to affect the rights under this Indenture of the Holders of any other series.</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9.03 </w:t>
      </w:r>
      <w:r>
        <w:rPr>
          <w:rFonts w:ascii="Times New Roman" w:cs="Times New Roman" w:eastAsia="Times New Roman" w:hAnsi="Times New Roman"/>
          <w:sz w:val="14"/>
          <w:szCs w:val="14"/>
          <w:u w:val="single" w:color="auto"/>
          <w:color w:val="auto"/>
        </w:rPr>
        <w:t>EXECUTION OF SUPPLEMENTAL INDENTURES AND AGREEMENTS</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120" w:right="179" w:firstLine="350"/>
        <w:spacing w:after="0" w:line="261" w:lineRule="auto"/>
        <w:rPr>
          <w:sz w:val="20"/>
          <w:szCs w:val="20"/>
          <w:color w:val="auto"/>
        </w:rPr>
      </w:pPr>
      <w:r>
        <w:rPr>
          <w:rFonts w:ascii="Times New Roman" w:cs="Times New Roman" w:eastAsia="Times New Roman" w:hAnsi="Times New Roman"/>
          <w:sz w:val="14"/>
          <w:szCs w:val="14"/>
          <w:color w:val="auto"/>
        </w:rPr>
        <w:t xml:space="preserve">In executing, or accepting the additional trusts created by, any supplemental indenture, agreement, instrument or waiver permitted by this </w:t>
      </w:r>
      <w:r>
        <w:rPr>
          <w:rFonts w:ascii="Times New Roman" w:cs="Times New Roman" w:eastAsia="Times New Roman" w:hAnsi="Times New Roman"/>
          <w:sz w:val="14"/>
          <w:szCs w:val="14"/>
          <w:u w:val="single" w:color="auto"/>
          <w:color w:val="auto"/>
        </w:rPr>
        <w:t>Article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IX</w:t>
      </w:r>
      <w:r>
        <w:rPr>
          <w:rFonts w:ascii="Times New Roman" w:cs="Times New Roman" w:eastAsia="Times New Roman" w:hAnsi="Times New Roman"/>
          <w:sz w:val="14"/>
          <w:szCs w:val="14"/>
          <w:color w:val="auto"/>
        </w:rPr>
        <w:t xml:space="preserve"> or the modifications thereby of the trusts created by this Indenture, the Trustee shall receive, and (subject to Trust Indenture Act Sections 315(a) through 315(d) and </w:t>
      </w:r>
      <w:r>
        <w:rPr>
          <w:rFonts w:ascii="Times New Roman" w:cs="Times New Roman" w:eastAsia="Times New Roman" w:hAnsi="Times New Roman"/>
          <w:sz w:val="14"/>
          <w:szCs w:val="14"/>
          <w:u w:val="single" w:color="auto"/>
          <w:color w:val="auto"/>
        </w:rPr>
        <w:t>Section 6.01</w:t>
      </w:r>
      <w:r>
        <w:rPr>
          <w:rFonts w:ascii="Times New Roman" w:cs="Times New Roman" w:eastAsia="Times New Roman" w:hAnsi="Times New Roman"/>
          <w:sz w:val="14"/>
          <w:szCs w:val="14"/>
          <w:color w:val="auto"/>
        </w:rPr>
        <w:t xml:space="preserve"> hereof) shall be fully protected in relying upon, an Opinion of Counsel and an Officers’ Certificate each stating that the execution of such supplemental indenture, agreement or instrument is authorized or permitted by this Indenture and is the legal, valid and binding obligation of the Company, enforceable in accordance with its terms, subject to customary exceptions as to the enforceability thereof. The Trustee may, but shall not be obligated to, enter into any such supplemental indenture, agreement or instrument which affects the Trustee’s own rights, duties or immunities under this Indenture or otherwise.</w:t>
      </w:r>
    </w:p>
    <w:p>
      <w:pPr>
        <w:spacing w:after="0" w:line="1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9.04 </w:t>
      </w:r>
      <w:r>
        <w:rPr>
          <w:rFonts w:ascii="Times New Roman" w:cs="Times New Roman" w:eastAsia="Times New Roman" w:hAnsi="Times New Roman"/>
          <w:sz w:val="14"/>
          <w:szCs w:val="14"/>
          <w:u w:val="single" w:color="auto"/>
          <w:color w:val="auto"/>
        </w:rPr>
        <w:t>EFFECT OF SUPPLEMENTAL INDENTURES</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120" w:right="339" w:firstLine="350"/>
        <w:spacing w:after="0" w:line="274" w:lineRule="auto"/>
        <w:rPr>
          <w:sz w:val="20"/>
          <w:szCs w:val="20"/>
          <w:color w:val="auto"/>
        </w:rPr>
      </w:pPr>
      <w:r>
        <w:rPr>
          <w:rFonts w:ascii="Times New Roman" w:cs="Times New Roman" w:eastAsia="Times New Roman" w:hAnsi="Times New Roman"/>
          <w:sz w:val="14"/>
          <w:szCs w:val="14"/>
          <w:color w:val="auto"/>
        </w:rPr>
        <w:t xml:space="preserve">Upon the execution of any supplemental indenture under this </w:t>
      </w:r>
      <w:r>
        <w:rPr>
          <w:rFonts w:ascii="Times New Roman" w:cs="Times New Roman" w:eastAsia="Times New Roman" w:hAnsi="Times New Roman"/>
          <w:sz w:val="14"/>
          <w:szCs w:val="14"/>
          <w:u w:val="single" w:color="auto"/>
          <w:color w:val="auto"/>
        </w:rPr>
        <w:t>Article IX</w:t>
      </w:r>
      <w:r>
        <w:rPr>
          <w:rFonts w:ascii="Times New Roman" w:cs="Times New Roman" w:eastAsia="Times New Roman" w:hAnsi="Times New Roman"/>
          <w:sz w:val="14"/>
          <w:szCs w:val="14"/>
          <w:color w:val="auto"/>
        </w:rPr>
        <w:t>, this Indenture shall be modified in accordance therewith, and such supplemental indenture shall form a part of this Indenture for all purposes; and every Holder of Securities of the series affected thereby theretofore or thereafter authenticated and delivered hereunder shall be bound thereby.</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9.05 </w:t>
      </w:r>
      <w:r>
        <w:rPr>
          <w:rFonts w:ascii="Times New Roman" w:cs="Times New Roman" w:eastAsia="Times New Roman" w:hAnsi="Times New Roman"/>
          <w:sz w:val="14"/>
          <w:szCs w:val="14"/>
          <w:u w:val="single" w:color="auto"/>
          <w:color w:val="auto"/>
        </w:rPr>
        <w:t>CONFORMITY WITH TRUST INDENTURE ACT</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120" w:right="179" w:firstLine="350"/>
        <w:spacing w:after="0" w:line="292" w:lineRule="auto"/>
        <w:rPr>
          <w:sz w:val="20"/>
          <w:szCs w:val="20"/>
          <w:color w:val="auto"/>
        </w:rPr>
      </w:pPr>
      <w:r>
        <w:rPr>
          <w:rFonts w:ascii="Times New Roman" w:cs="Times New Roman" w:eastAsia="Times New Roman" w:hAnsi="Times New Roman"/>
          <w:sz w:val="14"/>
          <w:szCs w:val="14"/>
          <w:color w:val="auto"/>
        </w:rPr>
        <w:t xml:space="preserve">Every supplemental indenture executed pursuant to this </w:t>
      </w:r>
      <w:r>
        <w:rPr>
          <w:rFonts w:ascii="Times New Roman" w:cs="Times New Roman" w:eastAsia="Times New Roman" w:hAnsi="Times New Roman"/>
          <w:sz w:val="14"/>
          <w:szCs w:val="14"/>
          <w:u w:val="single" w:color="auto"/>
          <w:color w:val="auto"/>
        </w:rPr>
        <w:t>Article IX</w:t>
      </w:r>
      <w:r>
        <w:rPr>
          <w:rFonts w:ascii="Times New Roman" w:cs="Times New Roman" w:eastAsia="Times New Roman" w:hAnsi="Times New Roman"/>
          <w:sz w:val="14"/>
          <w:szCs w:val="14"/>
          <w:color w:val="auto"/>
        </w:rPr>
        <w:t xml:space="preserve"> shall conform to the mandatory requirements of the Trust Indenture Act as then in effect.</w:t>
      </w:r>
    </w:p>
    <w:p>
      <w:pPr>
        <w:spacing w:after="0" w:line="1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9.06 </w:t>
      </w:r>
      <w:r>
        <w:rPr>
          <w:rFonts w:ascii="Times New Roman" w:cs="Times New Roman" w:eastAsia="Times New Roman" w:hAnsi="Times New Roman"/>
          <w:sz w:val="14"/>
          <w:szCs w:val="14"/>
          <w:u w:val="single" w:color="auto"/>
          <w:color w:val="auto"/>
        </w:rPr>
        <w:t>REFERENCE IN SECURITIES TO SUPPLEMENTAL INDENTURES</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120" w:right="179" w:firstLine="350"/>
        <w:spacing w:after="0" w:line="266" w:lineRule="auto"/>
        <w:rPr>
          <w:sz w:val="20"/>
          <w:szCs w:val="20"/>
          <w:color w:val="auto"/>
        </w:rPr>
      </w:pPr>
      <w:r>
        <w:rPr>
          <w:rFonts w:ascii="Times New Roman" w:cs="Times New Roman" w:eastAsia="Times New Roman" w:hAnsi="Times New Roman"/>
          <w:sz w:val="14"/>
          <w:szCs w:val="14"/>
          <w:color w:val="auto"/>
        </w:rPr>
        <w:t xml:space="preserve">Securities of any series authenticated and delivered after the execution of any supplemental indenture pursuant to this </w:t>
      </w:r>
      <w:r>
        <w:rPr>
          <w:rFonts w:ascii="Times New Roman" w:cs="Times New Roman" w:eastAsia="Times New Roman" w:hAnsi="Times New Roman"/>
          <w:sz w:val="14"/>
          <w:szCs w:val="14"/>
          <w:u w:val="single" w:color="auto"/>
          <w:color w:val="auto"/>
        </w:rPr>
        <w:t>Article IX</w:t>
      </w:r>
      <w:r>
        <w:rPr>
          <w:rFonts w:ascii="Times New Roman" w:cs="Times New Roman" w:eastAsia="Times New Roman" w:hAnsi="Times New Roman"/>
          <w:sz w:val="14"/>
          <w:szCs w:val="14"/>
          <w:color w:val="auto"/>
        </w:rPr>
        <w:t xml:space="preserve"> may, and shall if required by the Trustee, bear a notation in form approved by the Trustee as to any matter provided for in such supplemental indenture. If the Company shall so determine, new Securities so modified as to conform, in the opinion of the Trustee and the Board of Directors, to any such supplemental indenture may be prepared and executed by the Company and authenticated and delivered by the Trustee in exchange for Outstanding Securities of such series.</w:t>
      </w:r>
    </w:p>
    <w:p>
      <w:pPr>
        <w:spacing w:after="0" w:line="3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9.07 </w:t>
      </w:r>
      <w:r>
        <w:rPr>
          <w:rFonts w:ascii="Times New Roman" w:cs="Times New Roman" w:eastAsia="Times New Roman" w:hAnsi="Times New Roman"/>
          <w:sz w:val="14"/>
          <w:szCs w:val="14"/>
          <w:u w:val="single" w:color="auto"/>
          <w:color w:val="auto"/>
        </w:rPr>
        <w:t>NOTICE OF SUPPLEMENTAL INDENTURES</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120" w:right="179" w:firstLine="350"/>
        <w:spacing w:after="0" w:line="268" w:lineRule="auto"/>
        <w:rPr>
          <w:sz w:val="20"/>
          <w:szCs w:val="20"/>
          <w:color w:val="auto"/>
        </w:rPr>
      </w:pPr>
      <w:r>
        <w:rPr>
          <w:rFonts w:ascii="Times New Roman" w:cs="Times New Roman" w:eastAsia="Times New Roman" w:hAnsi="Times New Roman"/>
          <w:sz w:val="14"/>
          <w:szCs w:val="14"/>
          <w:color w:val="auto"/>
        </w:rPr>
        <w:t xml:space="preserve">Promptly after the execution by the Company and the Trustee of any supplemental indenture pursuant to the provisions of </w:t>
      </w:r>
      <w:r>
        <w:rPr>
          <w:rFonts w:ascii="Times New Roman" w:cs="Times New Roman" w:eastAsia="Times New Roman" w:hAnsi="Times New Roman"/>
          <w:sz w:val="14"/>
          <w:szCs w:val="14"/>
          <w:u w:val="single" w:color="auto"/>
          <w:color w:val="auto"/>
        </w:rPr>
        <w:t>Section 9.02</w:t>
      </w:r>
      <w:r>
        <w:rPr>
          <w:rFonts w:ascii="Times New Roman" w:cs="Times New Roman" w:eastAsia="Times New Roman" w:hAnsi="Times New Roman"/>
          <w:sz w:val="14"/>
          <w:szCs w:val="14"/>
          <w:color w:val="auto"/>
        </w:rPr>
        <w:t xml:space="preserve">, the Company shall give notice thereof to the Holders of each Outstanding Security of any series affected, in the manner provided for in </w:t>
      </w:r>
      <w:r>
        <w:rPr>
          <w:rFonts w:ascii="Times New Roman" w:cs="Times New Roman" w:eastAsia="Times New Roman" w:hAnsi="Times New Roman"/>
          <w:sz w:val="14"/>
          <w:szCs w:val="14"/>
          <w:u w:val="single" w:color="auto"/>
          <w:color w:val="auto"/>
        </w:rPr>
        <w:t>Section 1.07</w:t>
      </w:r>
      <w:r>
        <w:rPr>
          <w:rFonts w:ascii="Times New Roman" w:cs="Times New Roman" w:eastAsia="Times New Roman" w:hAnsi="Times New Roman"/>
          <w:sz w:val="14"/>
          <w:szCs w:val="14"/>
          <w:color w:val="auto"/>
        </w:rPr>
        <w:t>, setting forth in general terms the substance of such supplemental indenture. Any failure of the Company to mail such notice, or any defect therein, shall not, however, in any way impair or affect the validity of any such supplemental indenture.</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ectPr>
          <w:pgSz w:w="11900" w:h="16838" w:orient="portrait"/>
          <w:cols w:equalWidth="0" w:num="1">
            <w:col w:w="9019"/>
          </w:cols>
          <w:pgMar w:left="1440" w:top="243" w:right="1440" w:bottom="1440" w:gutter="0" w:footer="0" w:header="0"/>
        </w:sectPr>
      </w:pPr>
    </w:p>
    <w:bookmarkStart w:id="223" w:name="page224"/>
    <w:bookmarkEnd w:id="223"/>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4">
                      <a:extLst>
                        <a:ext uri="{28A0092B-C50C-407E-A947-70E740481C1C}"/>
                      </a:extLst>
                    </a:blip>
                    <a:srcRect/>
                    <a:stretch>
                      <a:fillRect/>
                    </a:stretch>
                  </pic:blipFill>
                  <pic:spPr bwMode="auto">
                    <a:xfrm>
                      <a:off x="0" y="0"/>
                      <a:ext cx="7199630" cy="33020"/>
                    </a:xfrm>
                    <a:prstGeom prst="rect">
                      <a:avLst/>
                    </a:prstGeom>
                    <a:noFill/>
                  </pic:spPr>
                </pic:pic>
              </a:graphicData>
            </a:graphic>
          </wp:anchor>
        </w:drawing>
        <w:t>ARTICLE X</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COVENANTS</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10.01 </w:t>
      </w:r>
      <w:r>
        <w:rPr>
          <w:rFonts w:ascii="Times New Roman" w:cs="Times New Roman" w:eastAsia="Times New Roman" w:hAnsi="Times New Roman"/>
          <w:sz w:val="14"/>
          <w:szCs w:val="14"/>
          <w:u w:val="single" w:color="auto"/>
          <w:color w:val="auto"/>
        </w:rPr>
        <w:t>PAYMENT OF PRINCIPAL, PREMIUM AND INTEREST</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jc w:val="both"/>
        <w:ind w:left="120" w:right="279" w:firstLine="350"/>
        <w:spacing w:after="0" w:line="274" w:lineRule="auto"/>
        <w:rPr>
          <w:sz w:val="20"/>
          <w:szCs w:val="20"/>
          <w:color w:val="auto"/>
        </w:rPr>
      </w:pPr>
      <w:r>
        <w:rPr>
          <w:rFonts w:ascii="Times New Roman" w:cs="Times New Roman" w:eastAsia="Times New Roman" w:hAnsi="Times New Roman"/>
          <w:sz w:val="14"/>
          <w:szCs w:val="14"/>
          <w:color w:val="auto"/>
        </w:rPr>
        <w:t xml:space="preserve">The Company shall duly and punctually pay the principal of, premium, if any, and interest on each of the series of Securities in accordance with the terms of the applicable series of the Securities and this Indenture. Unless otherwise specified pursuant to </w:t>
      </w:r>
      <w:r>
        <w:rPr>
          <w:rFonts w:ascii="Times New Roman" w:cs="Times New Roman" w:eastAsia="Times New Roman" w:hAnsi="Times New Roman"/>
          <w:sz w:val="14"/>
          <w:szCs w:val="14"/>
          <w:u w:val="single" w:color="auto"/>
          <w:color w:val="auto"/>
        </w:rPr>
        <w:t>Section 3.01</w:t>
      </w:r>
      <w:r>
        <w:rPr>
          <w:rFonts w:ascii="Times New Roman" w:cs="Times New Roman" w:eastAsia="Times New Roman" w:hAnsi="Times New Roman"/>
          <w:sz w:val="14"/>
          <w:szCs w:val="14"/>
          <w:color w:val="auto"/>
        </w:rPr>
        <w:t>, payments for any Securities may be made by check or wire transfer.</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10.02 </w:t>
      </w:r>
      <w:r>
        <w:rPr>
          <w:rFonts w:ascii="Times New Roman" w:cs="Times New Roman" w:eastAsia="Times New Roman" w:hAnsi="Times New Roman"/>
          <w:sz w:val="14"/>
          <w:szCs w:val="14"/>
          <w:u w:val="single" w:color="auto"/>
          <w:color w:val="auto"/>
        </w:rPr>
        <w:t>MAINTENANCE OF OFFICE OR AGENCY</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120" w:right="139" w:firstLine="350"/>
        <w:spacing w:after="0" w:line="260" w:lineRule="auto"/>
        <w:rPr>
          <w:sz w:val="20"/>
          <w:szCs w:val="20"/>
          <w:color w:val="auto"/>
        </w:rPr>
      </w:pPr>
      <w:r>
        <w:rPr>
          <w:rFonts w:ascii="Times New Roman" w:cs="Times New Roman" w:eastAsia="Times New Roman" w:hAnsi="Times New Roman"/>
          <w:sz w:val="14"/>
          <w:szCs w:val="14"/>
          <w:color w:val="auto"/>
        </w:rPr>
        <w:t>The Company shall maintain an office or agency where Securities may be presented or surrendered for payment, and will also maintain in continental United States an office or agency where Securities may be surrendered for registration of transfer, redemption or exchange and where notices and demands to or upon the Company in respect of the Securities and this Indenture may be served which, in each case, may be an office of the Trustee or an agent of the Trustee. The office of the Trustee will be such office or agency of the Company, unless the Company shall designate and maintain some other office or agency for one or more of such purposes. The Company will give prompt written notice to the Trustee of the location and any change in the location of any such offices or agencies. If at any time the Company shall fail to maintain any such required offices or agencies or shall fail to furnish the Trustee with the address thereof, such presentations, surrenders, notices and demands may be made or served at the Corporate Trust Office of the Trustee and the Company hereby appoints the Trustee as its agent to receive all such presentations, surrenders, notices and demands; provided, however, that the Trustee shall not be deemed an agent of the Company for service of legal process.</w:t>
      </w:r>
    </w:p>
    <w:p>
      <w:pPr>
        <w:spacing w:after="0" w:line="147" w:lineRule="exact"/>
        <w:rPr>
          <w:sz w:val="20"/>
          <w:szCs w:val="20"/>
          <w:color w:val="auto"/>
        </w:rPr>
      </w:pPr>
    </w:p>
    <w:p>
      <w:pPr>
        <w:ind w:left="120" w:right="159" w:firstLine="350"/>
        <w:spacing w:after="0" w:line="274" w:lineRule="auto"/>
        <w:rPr>
          <w:sz w:val="20"/>
          <w:szCs w:val="20"/>
          <w:color w:val="auto"/>
        </w:rPr>
      </w:pPr>
      <w:r>
        <w:rPr>
          <w:rFonts w:ascii="Times New Roman" w:cs="Times New Roman" w:eastAsia="Times New Roman" w:hAnsi="Times New Roman"/>
          <w:sz w:val="14"/>
          <w:szCs w:val="14"/>
          <w:color w:val="auto"/>
        </w:rPr>
        <w:t>The Company may from time to time designate one or more other offices or agencies (in or outside of The City of New York) where the Securities may be presented or surrendered for any or all such purposes, and may from time to time rescind such designation. The Company will give prompt written notice to the Trustee of any such designation or rescission and any change in the location of any such office or agency.</w:t>
      </w:r>
    </w:p>
    <w:p>
      <w:pPr>
        <w:spacing w:after="0" w:line="13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The Trustee or its agent shall initially act as Paying Agent for the Securities.</w:t>
      </w:r>
    </w:p>
    <w:p>
      <w:pPr>
        <w:spacing w:after="0" w:line="1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10.03 </w:t>
      </w:r>
      <w:r>
        <w:rPr>
          <w:rFonts w:ascii="Times New Roman" w:cs="Times New Roman" w:eastAsia="Times New Roman" w:hAnsi="Times New Roman"/>
          <w:sz w:val="14"/>
          <w:szCs w:val="14"/>
          <w:u w:val="single" w:color="auto"/>
          <w:color w:val="auto"/>
        </w:rPr>
        <w:t>MONEY FOR SECURITY PAYMENTS TO BE HELD IN TRUST</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120" w:right="359" w:firstLine="350"/>
        <w:spacing w:after="0" w:line="268" w:lineRule="auto"/>
        <w:rPr>
          <w:sz w:val="20"/>
          <w:szCs w:val="20"/>
          <w:color w:val="auto"/>
        </w:rPr>
      </w:pPr>
      <w:r>
        <w:rPr>
          <w:rFonts w:ascii="Times New Roman" w:cs="Times New Roman" w:eastAsia="Times New Roman" w:hAnsi="Times New Roman"/>
          <w:sz w:val="14"/>
          <w:szCs w:val="14"/>
          <w:color w:val="auto"/>
        </w:rPr>
        <w:t>If the Company or any of its Affiliates shall at any time act as Paying Agent, it will, on or before each due date of the principal of, premium, if any, or interest on any of the Securities, segregate and hold in trust for the benefit of the Holders entitled thereto a sum sufficient to pay the principal, premium, if any, or interest so becoming due until such sums shall be paid to such Persons or otherwise disposed of as herein provided, and will promptly notify the Trustee of its action or failure so to act.</w:t>
      </w:r>
    </w:p>
    <w:p>
      <w:pPr>
        <w:spacing w:after="0" w:line="139" w:lineRule="exact"/>
        <w:rPr>
          <w:sz w:val="20"/>
          <w:szCs w:val="20"/>
          <w:color w:val="auto"/>
        </w:rPr>
      </w:pPr>
    </w:p>
    <w:p>
      <w:pPr>
        <w:ind w:left="120" w:right="219" w:firstLine="350"/>
        <w:spacing w:after="0" w:line="268" w:lineRule="auto"/>
        <w:rPr>
          <w:sz w:val="20"/>
          <w:szCs w:val="20"/>
          <w:color w:val="auto"/>
        </w:rPr>
      </w:pPr>
      <w:r>
        <w:rPr>
          <w:rFonts w:ascii="Times New Roman" w:cs="Times New Roman" w:eastAsia="Times New Roman" w:hAnsi="Times New Roman"/>
          <w:sz w:val="14"/>
          <w:szCs w:val="14"/>
          <w:color w:val="auto"/>
        </w:rPr>
        <w:t>If the Company or any of its Affiliates is not acting as Paying Agent, the Company will, at or before 11:00 a.m. Eastern Time of each due date of the principal of, premium, if any, or interest on any of the Securities, deposit with a Paying Agent a sum in same day funds sufficient to pay the principal, premium, if any, or interest so becoming due, such sum to be held in trust for the benefit of the Persons entitled to such principal, premium or interest, and (unless such Paying Agent is the Trustee or its agent) the Company will promptly notify the Trustee of such action or any failure so to act.</w:t>
      </w:r>
    </w:p>
    <w:p>
      <w:pPr>
        <w:spacing w:after="0" w:line="139" w:lineRule="exact"/>
        <w:rPr>
          <w:sz w:val="20"/>
          <w:szCs w:val="20"/>
          <w:color w:val="auto"/>
        </w:rPr>
      </w:pPr>
    </w:p>
    <w:p>
      <w:pPr>
        <w:ind w:left="120" w:right="339" w:firstLine="350"/>
        <w:spacing w:after="0" w:line="274" w:lineRule="auto"/>
        <w:rPr>
          <w:sz w:val="20"/>
          <w:szCs w:val="20"/>
          <w:color w:val="auto"/>
        </w:rPr>
      </w:pPr>
      <w:r>
        <w:rPr>
          <w:rFonts w:ascii="Times New Roman" w:cs="Times New Roman" w:eastAsia="Times New Roman" w:hAnsi="Times New Roman"/>
          <w:sz w:val="14"/>
          <w:szCs w:val="14"/>
          <w:color w:val="auto"/>
        </w:rPr>
        <w:t xml:space="preserve">If the Company is not acting as Paying Agent, the Company shall cause each Paying Agent other than the Trustee or its agent to execute and deliver to the Trustee an instrument in which such Paying Agent shall agree with the Trustee, subject to the provisions of this </w:t>
      </w:r>
      <w:r>
        <w:rPr>
          <w:rFonts w:ascii="Times New Roman" w:cs="Times New Roman" w:eastAsia="Times New Roman" w:hAnsi="Times New Roman"/>
          <w:sz w:val="14"/>
          <w:szCs w:val="14"/>
          <w:u w:val="single" w:color="auto"/>
          <w:color w:val="auto"/>
        </w:rPr>
        <w:t>Section 10.03</w:t>
      </w:r>
      <w:r>
        <w:rPr>
          <w:rFonts w:ascii="Times New Roman" w:cs="Times New Roman" w:eastAsia="Times New Roman" w:hAnsi="Times New Roman"/>
          <w:sz w:val="14"/>
          <w:szCs w:val="14"/>
          <w:color w:val="auto"/>
        </w:rPr>
        <w:t>, that such Paying Agent will:</w:t>
      </w:r>
    </w:p>
    <w:p>
      <w:pPr>
        <w:spacing w:after="0" w:line="49" w:lineRule="exact"/>
        <w:rPr>
          <w:sz w:val="20"/>
          <w:szCs w:val="20"/>
          <w:color w:val="auto"/>
        </w:rPr>
      </w:pPr>
    </w:p>
    <w:p>
      <w:pPr>
        <w:ind w:left="120" w:right="259" w:firstLine="357"/>
        <w:spacing w:after="0" w:line="292" w:lineRule="auto"/>
        <w:tabs>
          <w:tab w:leader="none" w:pos="664" w:val="left"/>
        </w:tabs>
        <w:numPr>
          <w:ilvl w:val="0"/>
          <w:numId w:val="1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hold all sums held by it for the payment of the principal of, premium, if any, or interest on the Securities in trust for the benefit of the Persons entitled thereto until such sums shall be paid to such Persons or otherwise disposed of as herein provided;</w:t>
      </w:r>
    </w:p>
    <w:p>
      <w:pPr>
        <w:spacing w:after="0" w:line="123" w:lineRule="exact"/>
        <w:rPr>
          <w:rFonts w:ascii="Times New Roman" w:cs="Times New Roman" w:eastAsia="Times New Roman" w:hAnsi="Times New Roman"/>
          <w:sz w:val="14"/>
          <w:szCs w:val="14"/>
          <w:color w:val="auto"/>
        </w:rPr>
      </w:pPr>
    </w:p>
    <w:p>
      <w:pPr>
        <w:ind w:left="120" w:right="439" w:firstLine="357"/>
        <w:spacing w:after="0" w:line="292" w:lineRule="auto"/>
        <w:tabs>
          <w:tab w:leader="none" w:pos="672" w:val="left"/>
        </w:tabs>
        <w:numPr>
          <w:ilvl w:val="0"/>
          <w:numId w:val="1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give the Trustee prompt notice of any Default by the Company (or any other obligor upon the Securities) in the making of any payment of principal, premium, if any, or interest on the Securities;</w:t>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ectPr>
          <w:pgSz w:w="11900" w:h="16838" w:orient="portrait"/>
          <w:cols w:equalWidth="0" w:num="1">
            <w:col w:w="9019"/>
          </w:cols>
          <w:pgMar w:left="1440" w:top="241" w:right="1440" w:bottom="1440" w:gutter="0" w:footer="0" w:header="0"/>
        </w:sectPr>
      </w:pPr>
    </w:p>
    <w:bookmarkStart w:id="224" w:name="page225"/>
    <w:bookmarkEnd w:id="224"/>
    <w:p>
      <w:pPr>
        <w:ind w:left="120" w:right="159" w:firstLine="357"/>
        <w:spacing w:after="0" w:line="292" w:lineRule="auto"/>
        <w:tabs>
          <w:tab w:leader="none" w:pos="664" w:val="left"/>
        </w:tabs>
        <w:numPr>
          <w:ilvl w:val="0"/>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5">
                      <a:extLst>
                        <a:ext uri="{28A0092B-C50C-407E-A947-70E740481C1C}"/>
                      </a:extLst>
                    </a:blip>
                    <a:srcRect/>
                    <a:stretch>
                      <a:fillRect/>
                    </a:stretch>
                  </pic:blipFill>
                  <pic:spPr bwMode="auto">
                    <a:xfrm>
                      <a:off x="0" y="0"/>
                      <a:ext cx="7199630" cy="33020"/>
                    </a:xfrm>
                    <a:prstGeom prst="rect">
                      <a:avLst/>
                    </a:prstGeom>
                    <a:noFill/>
                  </pic:spPr>
                </pic:pic>
              </a:graphicData>
            </a:graphic>
          </wp:anchor>
        </w:drawing>
        <w:t>at any time during the continuance of any such Default, upon the written request of the Trustee, forthwith pay to the Trustee all sums so held in trust by such Paying Agent; and</w:t>
      </w:r>
    </w:p>
    <w:p>
      <w:pPr>
        <w:spacing w:after="0" w:line="123" w:lineRule="exact"/>
        <w:rPr>
          <w:rFonts w:ascii="Times New Roman" w:cs="Times New Roman" w:eastAsia="Times New Roman" w:hAnsi="Times New Roman"/>
          <w:sz w:val="14"/>
          <w:szCs w:val="14"/>
          <w:color w:val="auto"/>
        </w:rPr>
      </w:pPr>
    </w:p>
    <w:p>
      <w:pPr>
        <w:ind w:left="120" w:right="199" w:firstLine="357"/>
        <w:spacing w:after="0" w:line="292" w:lineRule="auto"/>
        <w:tabs>
          <w:tab w:leader="none" w:pos="672" w:val="left"/>
        </w:tabs>
        <w:numPr>
          <w:ilvl w:val="0"/>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acknowledge, accept and agree to comply in all aspects with the provisions of this Indenture relating to the duties, rights and liabilities of such Paying Agent.</w:t>
      </w:r>
    </w:p>
    <w:p>
      <w:pPr>
        <w:spacing w:after="0" w:line="123" w:lineRule="exact"/>
        <w:rPr>
          <w:sz w:val="20"/>
          <w:szCs w:val="20"/>
          <w:color w:val="auto"/>
        </w:rPr>
      </w:pPr>
    </w:p>
    <w:p>
      <w:pPr>
        <w:ind w:left="120" w:right="179" w:firstLine="350"/>
        <w:spacing w:after="0" w:line="268" w:lineRule="auto"/>
        <w:rPr>
          <w:sz w:val="20"/>
          <w:szCs w:val="20"/>
          <w:color w:val="auto"/>
        </w:rPr>
      </w:pPr>
      <w:r>
        <w:rPr>
          <w:rFonts w:ascii="Times New Roman" w:cs="Times New Roman" w:eastAsia="Times New Roman" w:hAnsi="Times New Roman"/>
          <w:sz w:val="14"/>
          <w:szCs w:val="14"/>
          <w:color w:val="auto"/>
        </w:rPr>
        <w:t>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all further liability with respect to such money.</w:t>
      </w:r>
    </w:p>
    <w:p>
      <w:pPr>
        <w:spacing w:after="0" w:line="139" w:lineRule="exact"/>
        <w:rPr>
          <w:sz w:val="20"/>
          <w:szCs w:val="20"/>
          <w:color w:val="auto"/>
        </w:rPr>
      </w:pPr>
    </w:p>
    <w:p>
      <w:pPr>
        <w:ind w:left="120" w:right="159" w:firstLine="350"/>
        <w:spacing w:after="0" w:line="263" w:lineRule="auto"/>
        <w:rPr>
          <w:sz w:val="20"/>
          <w:szCs w:val="20"/>
          <w:color w:val="auto"/>
        </w:rPr>
      </w:pPr>
      <w:r>
        <w:rPr>
          <w:rFonts w:ascii="Times New Roman" w:cs="Times New Roman" w:eastAsia="Times New Roman" w:hAnsi="Times New Roman"/>
          <w:sz w:val="14"/>
          <w:szCs w:val="14"/>
          <w:color w:val="auto"/>
        </w:rPr>
        <w:t>Except as otherwise provided in the Securities of any series, subject to applicable law, any money deposited with the Trustee or any Paying Agent, or then held by the Company, in trust for the payment of the principal of, premium, if any, or interest on any Security and remaining unclaimed for two years after such principal and premium, if any, or interest has become due and payable shall promptly be paid to the Company on Company Request, or (if then held by the Company) shall be discharged from such trust; and the Holder of such Security shall thereafter, as an unsecured general creditor, look only to the Company for payment thereof, and all liability of the Trustee or such Paying Agent with respect to such trust money, and all liability of the Company as trustee thereof, shall thereupon cease.</w:t>
      </w:r>
    </w:p>
    <w:p>
      <w:pPr>
        <w:spacing w:after="0" w:line="1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10.04 </w:t>
      </w:r>
      <w:r>
        <w:rPr>
          <w:rFonts w:ascii="Times New Roman" w:cs="Times New Roman" w:eastAsia="Times New Roman" w:hAnsi="Times New Roman"/>
          <w:sz w:val="14"/>
          <w:szCs w:val="14"/>
          <w:u w:val="single" w:color="auto"/>
          <w:color w:val="auto"/>
        </w:rPr>
        <w:t>REPORTS OF THE COMPANY AND PROVISION OF FINANCIAL STATEMENTS</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120" w:right="639" w:firstLine="357"/>
        <w:spacing w:after="0" w:line="292" w:lineRule="auto"/>
        <w:tabs>
          <w:tab w:leader="none" w:pos="664" w:val="left"/>
        </w:tabs>
        <w:numPr>
          <w:ilvl w:val="0"/>
          <w:numId w:val="1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or not required by the Commission, so long as any Securities are outstanding, the Company, upon request, shall furnish to the Holders, within the time periods specified in the Commission’s rules and regulations:</w:t>
      </w:r>
    </w:p>
    <w:p>
      <w:pPr>
        <w:spacing w:after="0" w:line="37" w:lineRule="exact"/>
        <w:rPr>
          <w:sz w:val="20"/>
          <w:szCs w:val="20"/>
          <w:color w:val="auto"/>
        </w:rPr>
      </w:pPr>
    </w:p>
    <w:p>
      <w:pPr>
        <w:ind w:left="120" w:right="199" w:firstLine="357"/>
        <w:spacing w:after="0" w:line="268" w:lineRule="auto"/>
        <w:tabs>
          <w:tab w:leader="none" w:pos="641" w:val="left"/>
        </w:tabs>
        <w:numPr>
          <w:ilvl w:val="0"/>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quarterly and annual financial and other information that would be required to be contained in a filing with the Commission on Forms 10-Q and 10-K if the Company were required to file such Forms, including a “Management’s Discussion and Analysis of Financial Condition and Results of Operations” and, with respect to the annual information only, a report on the annual financial statements by the Company’s certified independent accountants; and</w:t>
      </w:r>
    </w:p>
    <w:p>
      <w:pPr>
        <w:spacing w:after="0" w:line="139" w:lineRule="exact"/>
        <w:rPr>
          <w:rFonts w:ascii="Times New Roman" w:cs="Times New Roman" w:eastAsia="Times New Roman" w:hAnsi="Times New Roman"/>
          <w:sz w:val="14"/>
          <w:szCs w:val="14"/>
          <w:color w:val="auto"/>
        </w:rPr>
      </w:pPr>
    </w:p>
    <w:p>
      <w:pPr>
        <w:ind w:left="680" w:hanging="203"/>
        <w:spacing w:after="0"/>
        <w:tabs>
          <w:tab w:leader="none" w:pos="680" w:val="left"/>
        </w:tabs>
        <w:numPr>
          <w:ilvl w:val="0"/>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current reports that would be required to be filed with the Commission on Form 8-K if the Company were required to file such reports.</w:t>
      </w:r>
    </w:p>
    <w:p>
      <w:pPr>
        <w:spacing w:after="0" w:line="182" w:lineRule="exact"/>
        <w:rPr>
          <w:sz w:val="20"/>
          <w:szCs w:val="20"/>
          <w:color w:val="auto"/>
        </w:rPr>
      </w:pPr>
    </w:p>
    <w:p>
      <w:pPr>
        <w:ind w:left="120" w:right="439" w:firstLine="357"/>
        <w:spacing w:after="0" w:line="274" w:lineRule="auto"/>
        <w:tabs>
          <w:tab w:leader="none" w:pos="672" w:val="left"/>
        </w:tabs>
        <w:numPr>
          <w:ilvl w:val="1"/>
          <w:numId w:val="1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addition, whether or not required by the Commission, the Company shall file a copy of all of the information and reports referred to in clauses (a)(i) and (ii) above with the Commission for public availability within the time periods specified in the Commission’s rules and regulations (unless the Commission will not accept such a filing) and make such information available to prospective investors upon request.</w:t>
      </w:r>
    </w:p>
    <w:p>
      <w:pPr>
        <w:spacing w:after="0" w:line="135" w:lineRule="exact"/>
        <w:rPr>
          <w:rFonts w:ascii="Times New Roman" w:cs="Times New Roman" w:eastAsia="Times New Roman" w:hAnsi="Times New Roman"/>
          <w:sz w:val="14"/>
          <w:szCs w:val="14"/>
          <w:color w:val="auto"/>
        </w:rPr>
      </w:pPr>
    </w:p>
    <w:p>
      <w:pPr>
        <w:ind w:left="120" w:right="139" w:firstLine="357"/>
        <w:spacing w:after="0" w:line="268" w:lineRule="auto"/>
        <w:tabs>
          <w:tab w:leader="none" w:pos="664" w:val="left"/>
        </w:tabs>
        <w:numPr>
          <w:ilvl w:val="1"/>
          <w:numId w:val="1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the Company has designated any of its Subsidiaries as Unrestricted Subsidiaries, then the quarterly and annual financial information required by </w:t>
      </w:r>
      <w:r>
        <w:rPr>
          <w:rFonts w:ascii="Times New Roman" w:cs="Times New Roman" w:eastAsia="Times New Roman" w:hAnsi="Times New Roman"/>
          <w:sz w:val="14"/>
          <w:szCs w:val="14"/>
          <w:u w:val="single" w:color="auto"/>
          <w:color w:val="auto"/>
        </w:rPr>
        <w:t>Section 10.04(a)</w:t>
      </w:r>
      <w:r>
        <w:rPr>
          <w:rFonts w:ascii="Times New Roman" w:cs="Times New Roman" w:eastAsia="Times New Roman" w:hAnsi="Times New Roman"/>
          <w:sz w:val="14"/>
          <w:szCs w:val="14"/>
          <w:color w:val="auto"/>
        </w:rPr>
        <w:t xml:space="preserve"> shall include a reasonably detailed presentation, either on the face of the financial statements or in the footnotes thereto, and in “Management’s Discussion and Analysis of Financial Condition and Results of Operations,” of the financial condition and results of operations of the Company and its Restricted Subsidiaries separate from the financial condition and results of operations of the Unrestricted Subsidiaries of the Company.</w:t>
      </w:r>
    </w:p>
    <w:p>
      <w:pPr>
        <w:spacing w:after="0" w:line="139" w:lineRule="exact"/>
        <w:rPr>
          <w:rFonts w:ascii="Times New Roman" w:cs="Times New Roman" w:eastAsia="Times New Roman" w:hAnsi="Times New Roman"/>
          <w:sz w:val="14"/>
          <w:szCs w:val="14"/>
          <w:color w:val="auto"/>
        </w:rPr>
      </w:pPr>
    </w:p>
    <w:p>
      <w:pPr>
        <w:jc w:val="both"/>
        <w:ind w:left="120" w:right="419" w:firstLine="357"/>
        <w:spacing w:after="0" w:line="266" w:lineRule="auto"/>
        <w:tabs>
          <w:tab w:leader="none" w:pos="672" w:val="left"/>
        </w:tabs>
        <w:numPr>
          <w:ilvl w:val="1"/>
          <w:numId w:val="1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Notwithstanding </w:t>
      </w:r>
      <w:r>
        <w:rPr>
          <w:rFonts w:ascii="Times New Roman" w:cs="Times New Roman" w:eastAsia="Times New Roman" w:hAnsi="Times New Roman"/>
          <w:sz w:val="14"/>
          <w:szCs w:val="14"/>
          <w:u w:val="single" w:color="auto"/>
          <w:color w:val="auto"/>
        </w:rPr>
        <w:t>Sections 10.04(a)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(b)</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(c)</w:t>
      </w:r>
      <w:r>
        <w:rPr>
          <w:rFonts w:ascii="Times New Roman" w:cs="Times New Roman" w:eastAsia="Times New Roman" w:hAnsi="Times New Roman"/>
          <w:sz w:val="14"/>
          <w:szCs w:val="14"/>
          <w:color w:val="auto"/>
        </w:rPr>
        <w:t xml:space="preserve">, if any direct or indirect parent company of the Company provides a full and unconditional guarantee of the Securities, the reports, information and other documents required to be filed and furnished as required by </w:t>
      </w:r>
      <w:r>
        <w:rPr>
          <w:rFonts w:ascii="Times New Roman" w:cs="Times New Roman" w:eastAsia="Times New Roman" w:hAnsi="Times New Roman"/>
          <w:sz w:val="14"/>
          <w:szCs w:val="14"/>
          <w:u w:val="single" w:color="auto"/>
          <w:color w:val="auto"/>
        </w:rPr>
        <w:t>Sections 10.04(a)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(b)</w:t>
      </w:r>
      <w:r>
        <w:rPr>
          <w:rFonts w:ascii="Times New Roman" w:cs="Times New Roman" w:eastAsia="Times New Roman" w:hAnsi="Times New Roman"/>
          <w:sz w:val="14"/>
          <w:szCs w:val="14"/>
          <w:color w:val="auto"/>
        </w:rPr>
        <w:t xml:space="preserve"> and</w:t>
      </w:r>
    </w:p>
    <w:p>
      <w:pPr>
        <w:ind w:left="120" w:right="339" w:firstLine="7"/>
        <w:spacing w:after="0" w:line="258" w:lineRule="auto"/>
        <w:tabs>
          <w:tab w:leader="none" w:pos="314" w:val="left"/>
        </w:tabs>
        <w:numPr>
          <w:ilvl w:val="0"/>
          <w:numId w:val="169"/>
        </w:numPr>
        <w:rPr>
          <w:rFonts w:ascii="Times New Roman" w:cs="Times New Roman" w:eastAsia="Times New Roman" w:hAnsi="Times New Roman"/>
          <w:sz w:val="14"/>
          <w:szCs w:val="14"/>
          <w:u w:val="single" w:color="auto"/>
          <w:color w:val="auto"/>
        </w:rPr>
      </w:pPr>
      <w:r>
        <w:rPr>
          <w:rFonts w:ascii="Times New Roman" w:cs="Times New Roman" w:eastAsia="Times New Roman" w:hAnsi="Times New Roman"/>
          <w:sz w:val="14"/>
          <w:szCs w:val="14"/>
          <w:color w:val="auto"/>
        </w:rPr>
        <w:t xml:space="preserve">may be those of such parent company, rather than those of the Company; provided that, if and so long as such parent company shall have Independent Assets or Operations, the same is accompanied by consolidating information relating to such parent company, on the one hand, and information relating to the Company and its Restricted Subsidiaries on a standalone basis, on the other hand. The Company shall be deemed to have furnished to the Holders of Securities, and to have delivered to the Trustee, the information and reports referred to in subclauses (i) and (ii) of </w:t>
      </w:r>
      <w:r>
        <w:rPr>
          <w:rFonts w:ascii="Times New Roman" w:cs="Times New Roman" w:eastAsia="Times New Roman" w:hAnsi="Times New Roman"/>
          <w:sz w:val="14"/>
          <w:szCs w:val="14"/>
          <w:u w:val="single" w:color="auto"/>
          <w:color w:val="auto"/>
        </w:rPr>
        <w:t>Section 10.04(a)</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10.04(c)</w:t>
      </w:r>
      <w:r>
        <w:rPr>
          <w:rFonts w:ascii="Times New Roman" w:cs="Times New Roman" w:eastAsia="Times New Roman" w:hAnsi="Times New Roman"/>
          <w:sz w:val="14"/>
          <w:szCs w:val="14"/>
          <w:color w:val="auto"/>
        </w:rPr>
        <w:t xml:space="preserve"> and this </w:t>
      </w:r>
      <w:r>
        <w:rPr>
          <w:rFonts w:ascii="Times New Roman" w:cs="Times New Roman" w:eastAsia="Times New Roman" w:hAnsi="Times New Roman"/>
          <w:sz w:val="14"/>
          <w:szCs w:val="14"/>
          <w:u w:val="single" w:color="auto"/>
          <w:color w:val="auto"/>
        </w:rPr>
        <w:t>clause (d)</w:t>
      </w:r>
      <w:r>
        <w:rPr>
          <w:rFonts w:ascii="Times New Roman" w:cs="Times New Roman" w:eastAsia="Times New Roman" w:hAnsi="Times New Roman"/>
          <w:sz w:val="14"/>
          <w:szCs w:val="14"/>
          <w:color w:val="auto"/>
        </w:rPr>
        <w:t xml:space="preserve"> (or such information and reports of a direct or indirect parent company of the Company, if applicable), if such information and reports have been filed with the Commission via the EDGAR filing system (or any successor filing system of the Commission) and are publicly available (provided that the Trustee shall have no responsibility whatsoever to determine whether such filing has occurred). “</w:t>
      </w:r>
      <w:r>
        <w:rPr>
          <w:rFonts w:ascii="Times New Roman" w:cs="Times New Roman" w:eastAsia="Times New Roman" w:hAnsi="Times New Roman"/>
          <w:sz w:val="14"/>
          <w:szCs w:val="14"/>
          <w:u w:val="single" w:color="auto"/>
          <w:color w:val="auto"/>
        </w:rPr>
        <w:t>Independent Assets or Operations</w:t>
      </w:r>
      <w:r>
        <w:rPr>
          <w:rFonts w:ascii="Times New Roman" w:cs="Times New Roman" w:eastAsia="Times New Roman" w:hAnsi="Times New Roman"/>
          <w:sz w:val="14"/>
          <w:szCs w:val="14"/>
          <w:color w:val="auto"/>
        </w:rPr>
        <w:t>” means, with respect to any direct or indirect parent company of the Company, that each of the total assets, revenues,</w:t>
      </w: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ectPr>
          <w:pgSz w:w="11900" w:h="16838" w:orient="portrait"/>
          <w:cols w:equalWidth="0" w:num="1">
            <w:col w:w="9019"/>
          </w:cols>
          <w:pgMar w:left="1440" w:top="243" w:right="1440" w:bottom="1440" w:gutter="0" w:footer="0" w:header="0"/>
        </w:sectPr>
      </w:pPr>
    </w:p>
    <w:bookmarkStart w:id="225" w:name="page226"/>
    <w:bookmarkEnd w:id="225"/>
    <w:p>
      <w:pPr>
        <w:ind w:left="120" w:right="179"/>
        <w:spacing w:after="0" w:line="26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6">
                      <a:extLst>
                        <a:ext uri="{28A0092B-C50C-407E-A947-70E740481C1C}"/>
                      </a:extLst>
                    </a:blip>
                    <a:srcRect/>
                    <a:stretch>
                      <a:fillRect/>
                    </a:stretch>
                  </pic:blipFill>
                  <pic:spPr bwMode="auto">
                    <a:xfrm>
                      <a:off x="0" y="0"/>
                      <a:ext cx="7199630" cy="33020"/>
                    </a:xfrm>
                    <a:prstGeom prst="rect">
                      <a:avLst/>
                    </a:prstGeom>
                    <a:noFill/>
                  </pic:spPr>
                </pic:pic>
              </a:graphicData>
            </a:graphic>
          </wp:anchor>
        </w:drawing>
        <w:t>income from continuing operations before income taxes and cash flows from operating activities of such parent company, determined on a consolidated basis in accordance with GAAP, but excluding in each case amounts related to its investment in the Company and the Restricted Subsidiaries, as shown in the most recent fiscal quarter financial statements of such parent company (measured on a most recent trailing four fiscal quarter basis with respect to revenues, income from continuing operations before income taxes and cash flows from operating activities), is more than 3.0% of such parent company’s corresponding consolidated amount determined in accordance with GAAP.</w:t>
      </w:r>
    </w:p>
    <w:p>
      <w:pPr>
        <w:spacing w:after="0" w:line="141" w:lineRule="exact"/>
        <w:rPr>
          <w:sz w:val="20"/>
          <w:szCs w:val="20"/>
          <w:color w:val="auto"/>
        </w:rPr>
      </w:pPr>
    </w:p>
    <w:p>
      <w:pPr>
        <w:ind w:left="120" w:right="179" w:firstLine="357"/>
        <w:spacing w:after="0" w:line="259" w:lineRule="auto"/>
        <w:tabs>
          <w:tab w:leader="none" w:pos="664" w:val="left"/>
        </w:tabs>
        <w:numPr>
          <w:ilvl w:val="0"/>
          <w:numId w:val="1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and shall cause each Guarantor (if any) (to the extent that such Guarantor is so required under the Trust Indenture Act) to deliver to the Trustee, within 90 days after the end of each fiscal year, an Officers’ Certificate stating that a review of the activities of the Company and its Subsidiaries during the preceding fiscal year has been made under the supervision of the signing Officers with a view to determining whether the Company has kept, observed, performed and fulfilled its obligations under this Indenture, and further stating, as to each such Officer signing such certificate, that to the best of his or her knowledge, the Company has kept, observed, performed and fulfilled its obligations under this Indenture and is not in default in the performance or observance of any of the terms, provisions and conditions of this Indenture (or, if a Default or Event of Default shall have occurred, describing all such Defaults or Events of Default of which he or she may have knowledge and what action the Company is taking or proposes to take with respect thereto) and that to the best of his or her knowledge no event has occurred and remains in existence by reason of which payments on account of the principal of or interest, if any, on the Securities is prohibited or if such event has occurred, a description of the event and what action the Company is taking or proposes to take with respect thereto.</w:t>
      </w:r>
    </w:p>
    <w:p>
      <w:pPr>
        <w:spacing w:after="0" w:line="151" w:lineRule="exact"/>
        <w:rPr>
          <w:rFonts w:ascii="Times New Roman" w:cs="Times New Roman" w:eastAsia="Times New Roman" w:hAnsi="Times New Roman"/>
          <w:sz w:val="14"/>
          <w:szCs w:val="14"/>
          <w:color w:val="auto"/>
        </w:rPr>
      </w:pPr>
    </w:p>
    <w:p>
      <w:pPr>
        <w:ind w:left="120" w:right="179" w:firstLine="357"/>
        <w:spacing w:after="0" w:line="262" w:lineRule="auto"/>
        <w:tabs>
          <w:tab w:leader="none" w:pos="649" w:val="left"/>
        </w:tabs>
        <w:numPr>
          <w:ilvl w:val="0"/>
          <w:numId w:val="1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 long as not contrary to the then current recommendations of the American Institute of Certified Public Accountants, the year-end financial statements delivered pursuant to Section 10.04(a)(i) shall be accompanied by a written statement of the Company’s independent public accountants (which shall be a firm of established national reputation) that in making the examination necessary for certification of such financial statements, nothing has come to their attention that would lead them to believe that the Company has violated any provisions of Article X hereof or any covenants of the Company contained in any amendment or indenture supplemental hereto or, if any such violation has occurred, specifying the nature and period of existence thereof, it being understood that such accountants shall not be liable directly or indirectly to any Person for any failure to obtain knowledge of any such violation.</w:t>
      </w:r>
    </w:p>
    <w:p>
      <w:pPr>
        <w:spacing w:after="0" w:line="318" w:lineRule="exact"/>
        <w:rPr>
          <w:rFonts w:ascii="Times New Roman" w:cs="Times New Roman" w:eastAsia="Times New Roman" w:hAnsi="Times New Roman"/>
          <w:sz w:val="14"/>
          <w:szCs w:val="14"/>
          <w:color w:val="auto"/>
        </w:rPr>
      </w:pPr>
    </w:p>
    <w:p>
      <w:pPr>
        <w:ind w:left="120" w:right="279" w:firstLine="357"/>
        <w:spacing w:after="0" w:line="274" w:lineRule="auto"/>
        <w:tabs>
          <w:tab w:leader="none" w:pos="672" w:val="left"/>
        </w:tabs>
        <w:numPr>
          <w:ilvl w:val="0"/>
          <w:numId w:val="1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deliver to the Trustee, forthwith after the Company becomes aware of the occurrence of any Event of Default or an event which, with notice or the lapse of time or both, would constitute an Event of Default, an Officers’ Certificate setting forth the details of such Event of Default or Default and the action which the Company proposes to take with respect thereto.</w:t>
      </w:r>
    </w:p>
    <w:p>
      <w:pPr>
        <w:spacing w:after="0" w:line="135" w:lineRule="exact"/>
        <w:rPr>
          <w:rFonts w:ascii="Times New Roman" w:cs="Times New Roman" w:eastAsia="Times New Roman" w:hAnsi="Times New Roman"/>
          <w:sz w:val="14"/>
          <w:szCs w:val="14"/>
          <w:color w:val="auto"/>
        </w:rPr>
      </w:pPr>
    </w:p>
    <w:p>
      <w:pPr>
        <w:ind w:left="120" w:right="199" w:firstLine="357"/>
        <w:spacing w:after="0" w:line="265" w:lineRule="auto"/>
        <w:tabs>
          <w:tab w:leader="none" w:pos="672" w:val="left"/>
        </w:tabs>
        <w:numPr>
          <w:ilvl w:val="0"/>
          <w:numId w:val="1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be under no obligation to analyze or make any credit decision with respect to any financial statements or reports received by it hereunder. Delivery of such reports, information and documents to the Trustee hereunder is for informational purposes only and the Trustee’s receipt of such shall not constitute actual or constructive notice of any information contained therein or determinable from information contained therein, including the Company’s compliance with any of its covenants hereunder (as to which the Trustee is entitled to rely exclusively on Officers’ Certificates). The Trustee shall have no responsibility or liability for the filing, timeliness or content of such reports, information or documents.</w:t>
      </w:r>
    </w:p>
    <w:p>
      <w:pPr>
        <w:spacing w:after="0" w:line="141" w:lineRule="exact"/>
        <w:rPr>
          <w:rFonts w:ascii="Times New Roman" w:cs="Times New Roman" w:eastAsia="Times New Roman" w:hAnsi="Times New Roman"/>
          <w:sz w:val="14"/>
          <w:szCs w:val="14"/>
          <w:color w:val="auto"/>
        </w:rPr>
      </w:pPr>
    </w:p>
    <w:p>
      <w:pPr>
        <w:jc w:val="both"/>
        <w:ind w:left="120" w:right="279" w:firstLine="357"/>
        <w:spacing w:after="0" w:line="274" w:lineRule="auto"/>
        <w:tabs>
          <w:tab w:leader="none" w:pos="641" w:val="left"/>
        </w:tabs>
        <w:numPr>
          <w:ilvl w:val="0"/>
          <w:numId w:val="1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Notwithstanding anything herein to the contrary, the Company shall not be deemed to have failed to comply with any of its obligations under this Section 10.04 for purposes of Article V of this Indenture until 120 days after the date any report under this </w:t>
      </w:r>
      <w:r>
        <w:rPr>
          <w:rFonts w:ascii="Times New Roman" w:cs="Times New Roman" w:eastAsia="Times New Roman" w:hAnsi="Times New Roman"/>
          <w:sz w:val="14"/>
          <w:szCs w:val="14"/>
          <w:u w:val="single" w:color="auto"/>
          <w:color w:val="auto"/>
        </w:rPr>
        <w:t>Section 10.04</w:t>
      </w:r>
      <w:r>
        <w:rPr>
          <w:rFonts w:ascii="Times New Roman" w:cs="Times New Roman" w:eastAsia="Times New Roman" w:hAnsi="Times New Roman"/>
          <w:sz w:val="14"/>
          <w:szCs w:val="14"/>
          <w:color w:val="auto"/>
        </w:rPr>
        <w:t xml:space="preserve"> is due; provided that this subclause (i) shall not apply to subclauses (e) and (g) of this Section 10.04.</w:t>
      </w:r>
    </w:p>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45</w:t>
      </w:r>
    </w:p>
    <w:p>
      <w:pPr>
        <w:sectPr>
          <w:pgSz w:w="11900" w:h="16838" w:orient="portrait"/>
          <w:cols w:equalWidth="0" w:num="1">
            <w:col w:w="9019"/>
          </w:cols>
          <w:pgMar w:left="1440" w:top="243" w:right="1440" w:bottom="1440" w:gutter="0" w:footer="0" w:header="0"/>
        </w:sectPr>
      </w:pPr>
    </w:p>
    <w:bookmarkStart w:id="226" w:name="page227"/>
    <w:bookmarkEnd w:id="22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7">
                      <a:extLst>
                        <a:ext uri="{28A0092B-C50C-407E-A947-70E740481C1C}"/>
                      </a:extLst>
                    </a:blip>
                    <a:srcRect/>
                    <a:stretch>
                      <a:fillRect/>
                    </a:stretch>
                  </pic:blipFill>
                  <pic:spPr bwMode="auto">
                    <a:xfrm>
                      <a:off x="0" y="0"/>
                      <a:ext cx="7199630" cy="33020"/>
                    </a:xfrm>
                    <a:prstGeom prst="rect">
                      <a:avLst/>
                    </a:prstGeom>
                    <a:noFill/>
                  </pic:spPr>
                </pic:pic>
              </a:graphicData>
            </a:graphic>
          </wp:anchor>
        </w:drawing>
        <w:t>ARTICLE XI</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REDEMPTION OF SECURITIES</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11.01 </w:t>
      </w:r>
      <w:r>
        <w:rPr>
          <w:rFonts w:ascii="Times New Roman" w:cs="Times New Roman" w:eastAsia="Times New Roman" w:hAnsi="Times New Roman"/>
          <w:sz w:val="14"/>
          <w:szCs w:val="14"/>
          <w:u w:val="single" w:color="auto"/>
          <w:color w:val="auto"/>
        </w:rPr>
        <w:t>RIGHTS OF REDEMPTION</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120" w:right="359" w:firstLine="350"/>
        <w:spacing w:after="0" w:line="292" w:lineRule="auto"/>
        <w:rPr>
          <w:sz w:val="20"/>
          <w:szCs w:val="20"/>
          <w:color w:val="auto"/>
        </w:rPr>
      </w:pPr>
      <w:r>
        <w:rPr>
          <w:rFonts w:ascii="Times New Roman" w:cs="Times New Roman" w:eastAsia="Times New Roman" w:hAnsi="Times New Roman"/>
          <w:sz w:val="14"/>
          <w:szCs w:val="14"/>
          <w:color w:val="auto"/>
        </w:rPr>
        <w:t>The Company shall have such rights to redeem the Securities of any series as are set forth, if any, in any amendment or indenture supplemental hereto, pursuant to Section 3.01. The provisions of this Article XI shall apply to any redemption of any series of Securities hereunder.</w:t>
      </w:r>
    </w:p>
    <w:p>
      <w:pPr>
        <w:spacing w:after="0" w:line="1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11.02 </w:t>
      </w:r>
      <w:r>
        <w:rPr>
          <w:rFonts w:ascii="Times New Roman" w:cs="Times New Roman" w:eastAsia="Times New Roman" w:hAnsi="Times New Roman"/>
          <w:sz w:val="14"/>
          <w:szCs w:val="14"/>
          <w:u w:val="single" w:color="auto"/>
          <w:color w:val="auto"/>
        </w:rPr>
        <w:t>APPLICABILITY OF ARTICLE</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120" w:right="279" w:firstLine="350"/>
        <w:spacing w:after="0" w:line="292" w:lineRule="auto"/>
        <w:rPr>
          <w:sz w:val="20"/>
          <w:szCs w:val="20"/>
          <w:color w:val="auto"/>
        </w:rPr>
      </w:pPr>
      <w:r>
        <w:rPr>
          <w:rFonts w:ascii="Times New Roman" w:cs="Times New Roman" w:eastAsia="Times New Roman" w:hAnsi="Times New Roman"/>
          <w:sz w:val="14"/>
          <w:szCs w:val="14"/>
          <w:color w:val="auto"/>
        </w:rPr>
        <w:t xml:space="preserve">Redemption of Securities at the election of the Company or otherwise, as permitted or required by any provision of this Indenture, shall be made in accordance with such provision and this </w:t>
      </w:r>
      <w:r>
        <w:rPr>
          <w:rFonts w:ascii="Times New Roman" w:cs="Times New Roman" w:eastAsia="Times New Roman" w:hAnsi="Times New Roman"/>
          <w:sz w:val="14"/>
          <w:szCs w:val="14"/>
          <w:u w:val="single" w:color="auto"/>
          <w:color w:val="auto"/>
        </w:rPr>
        <w:t>Article XI</w:t>
      </w:r>
      <w:r>
        <w:rPr>
          <w:rFonts w:ascii="Times New Roman" w:cs="Times New Roman" w:eastAsia="Times New Roman" w:hAnsi="Times New Roman"/>
          <w:sz w:val="14"/>
          <w:szCs w:val="14"/>
          <w:color w:val="auto"/>
        </w:rPr>
        <w:t xml:space="preserve"> except as otherwise specified as contemplated by </w:t>
      </w:r>
      <w:r>
        <w:rPr>
          <w:rFonts w:ascii="Times New Roman" w:cs="Times New Roman" w:eastAsia="Times New Roman" w:hAnsi="Times New Roman"/>
          <w:sz w:val="14"/>
          <w:szCs w:val="14"/>
          <w:u w:val="single" w:color="auto"/>
          <w:color w:val="auto"/>
        </w:rPr>
        <w:t>Section 3.01</w:t>
      </w:r>
      <w:r>
        <w:rPr>
          <w:rFonts w:ascii="Times New Roman" w:cs="Times New Roman" w:eastAsia="Times New Roman" w:hAnsi="Times New Roman"/>
          <w:sz w:val="14"/>
          <w:szCs w:val="14"/>
          <w:color w:val="auto"/>
        </w:rPr>
        <w:t xml:space="preserve"> for Securities of any series.</w:t>
      </w:r>
    </w:p>
    <w:p>
      <w:pPr>
        <w:spacing w:after="0" w:line="1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11.03 </w:t>
      </w:r>
      <w:r>
        <w:rPr>
          <w:rFonts w:ascii="Times New Roman" w:cs="Times New Roman" w:eastAsia="Times New Roman" w:hAnsi="Times New Roman"/>
          <w:sz w:val="14"/>
          <w:szCs w:val="14"/>
          <w:u w:val="single" w:color="auto"/>
          <w:color w:val="auto"/>
        </w:rPr>
        <w:t>ELECTION TO REDEEM; NOTICE TO TRUSTEE</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120" w:right="479" w:firstLine="350"/>
        <w:spacing w:after="0" w:line="268" w:lineRule="auto"/>
        <w:rPr>
          <w:sz w:val="20"/>
          <w:szCs w:val="20"/>
          <w:color w:val="auto"/>
        </w:rPr>
      </w:pPr>
      <w:r>
        <w:rPr>
          <w:rFonts w:ascii="Times New Roman" w:cs="Times New Roman" w:eastAsia="Times New Roman" w:hAnsi="Times New Roman"/>
          <w:sz w:val="14"/>
          <w:szCs w:val="14"/>
          <w:color w:val="auto"/>
        </w:rPr>
        <w:t xml:space="preserve">The election of the Company to redeem any Securities shall be evidenced by a Company Order and an Officers’ Certificate. In case of any redemption at the election of the Company, the Company shall, not less than 45 days prior to the Redemption Date fixed by the Company (unless a shorter notice period shall be satisfactory to the Trustee), notify the Trustee in writing of such Redemption Date and of the principal amount of the applicable series of Securities to be redeemed except as otherwise specified as contemplated by </w:t>
      </w:r>
      <w:r>
        <w:rPr>
          <w:rFonts w:ascii="Times New Roman" w:cs="Times New Roman" w:eastAsia="Times New Roman" w:hAnsi="Times New Roman"/>
          <w:sz w:val="14"/>
          <w:szCs w:val="14"/>
          <w:u w:val="single" w:color="auto"/>
          <w:color w:val="auto"/>
        </w:rPr>
        <w:t>Section 3.01</w:t>
      </w:r>
      <w:r>
        <w:rPr>
          <w:rFonts w:ascii="Times New Roman" w:cs="Times New Roman" w:eastAsia="Times New Roman" w:hAnsi="Times New Roman"/>
          <w:sz w:val="14"/>
          <w:szCs w:val="14"/>
          <w:color w:val="auto"/>
        </w:rPr>
        <w:t xml:space="preserve"> for Securities of any series.</w:t>
      </w:r>
    </w:p>
    <w:p>
      <w:pPr>
        <w:spacing w:after="0" w:line="1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11.04 </w:t>
      </w:r>
      <w:r>
        <w:rPr>
          <w:rFonts w:ascii="Times New Roman" w:cs="Times New Roman" w:eastAsia="Times New Roman" w:hAnsi="Times New Roman"/>
          <w:sz w:val="14"/>
          <w:szCs w:val="14"/>
          <w:u w:val="single" w:color="auto"/>
          <w:color w:val="auto"/>
        </w:rPr>
        <w:t>SELECTION BY TRUSTEE OF SECURITIES TO BE REDEEMED</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120" w:right="379" w:firstLine="350"/>
        <w:spacing w:after="0" w:line="274" w:lineRule="auto"/>
        <w:rPr>
          <w:sz w:val="20"/>
          <w:szCs w:val="20"/>
          <w:color w:val="auto"/>
        </w:rPr>
      </w:pPr>
      <w:r>
        <w:rPr>
          <w:rFonts w:ascii="Times New Roman" w:cs="Times New Roman" w:eastAsia="Times New Roman" w:hAnsi="Times New Roman"/>
          <w:sz w:val="14"/>
          <w:szCs w:val="14"/>
          <w:color w:val="auto"/>
        </w:rPr>
        <w:t>If less than all of the applicable series of Securities are to be redeemed, the particular Securities or portions thereof to be redeemed shall be selected not more than 60 nor less than 30 days prior to the Redemption Date. If less than all of the Securities of any series are to be redeemed at any time, the Trustee shall select Securities of such series for redemption as follows:</w:t>
      </w:r>
    </w:p>
    <w:p>
      <w:pPr>
        <w:spacing w:after="0" w:line="49" w:lineRule="exact"/>
        <w:rPr>
          <w:sz w:val="20"/>
          <w:szCs w:val="20"/>
          <w:color w:val="auto"/>
        </w:rPr>
      </w:pPr>
    </w:p>
    <w:p>
      <w:pPr>
        <w:ind w:left="120" w:right="679" w:firstLine="357"/>
        <w:spacing w:after="0" w:line="292" w:lineRule="auto"/>
        <w:tabs>
          <w:tab w:leader="none" w:pos="672" w:val="left"/>
        </w:tabs>
        <w:numPr>
          <w:ilvl w:val="0"/>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Securities are listed on any national securities exchange, in compliance with the requirements of the principal national securities exchange on which the Securities are listed; or</w:t>
      </w:r>
    </w:p>
    <w:p>
      <w:pPr>
        <w:spacing w:after="0" w:line="123" w:lineRule="exact"/>
        <w:rPr>
          <w:rFonts w:ascii="Times New Roman" w:cs="Times New Roman" w:eastAsia="Times New Roman" w:hAnsi="Times New Roman"/>
          <w:sz w:val="14"/>
          <w:szCs w:val="14"/>
          <w:color w:val="auto"/>
        </w:rPr>
      </w:pPr>
    </w:p>
    <w:p>
      <w:pPr>
        <w:ind w:left="120" w:right="259" w:firstLine="357"/>
        <w:spacing w:after="0" w:line="263" w:lineRule="auto"/>
        <w:tabs>
          <w:tab w:leader="none" w:pos="672" w:val="left"/>
        </w:tabs>
        <w:numPr>
          <w:ilvl w:val="0"/>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Securities are not listed on any national securities exchange, on a pro rata basis (based on amounts tendered), pro rata, by lot or by such method as the Trustee deems fair and appropriate in accordance with DTC procedures. No Securities of $2,000 or less can be redeemed in part. The amounts to be redeemed shall be equal to $2,000 or any integral multiples of $1,000 in excess thereof, unless provided otherwise in any supplemental indenture with respect to any particular series of Securities. No Securities of $2,000 or less can be redeemed in part. The amounts to be redeemed shall be equal to $2,000 or any integral multiples of $1,000 in excess thereof, unless provided otherwise in any supplemental indenture with respect to any particular series of Securities.</w:t>
      </w:r>
    </w:p>
    <w:p>
      <w:pPr>
        <w:spacing w:after="0" w:line="143" w:lineRule="exact"/>
        <w:rPr>
          <w:sz w:val="20"/>
          <w:szCs w:val="20"/>
          <w:color w:val="auto"/>
        </w:rPr>
      </w:pPr>
    </w:p>
    <w:p>
      <w:pPr>
        <w:ind w:left="120" w:right="279" w:firstLine="350"/>
        <w:spacing w:after="0" w:line="292" w:lineRule="auto"/>
        <w:rPr>
          <w:sz w:val="20"/>
          <w:szCs w:val="20"/>
          <w:color w:val="auto"/>
        </w:rPr>
      </w:pPr>
      <w:r>
        <w:rPr>
          <w:rFonts w:ascii="Times New Roman" w:cs="Times New Roman" w:eastAsia="Times New Roman" w:hAnsi="Times New Roman"/>
          <w:sz w:val="14"/>
          <w:szCs w:val="14"/>
          <w:color w:val="auto"/>
        </w:rPr>
        <w:t>The Trustee shall promptly notify the Company and the Security Registrar in writing of the Securities selected for redemption and, in the case of any Securities selected for partial redemption, the principal amount thereof to be redeemed.</w:t>
      </w:r>
    </w:p>
    <w:p>
      <w:pPr>
        <w:spacing w:after="0" w:line="123" w:lineRule="exact"/>
        <w:rPr>
          <w:sz w:val="20"/>
          <w:szCs w:val="20"/>
          <w:color w:val="auto"/>
        </w:rPr>
      </w:pPr>
    </w:p>
    <w:p>
      <w:pPr>
        <w:ind w:left="120" w:right="219" w:firstLine="350"/>
        <w:spacing w:after="0" w:line="292" w:lineRule="auto"/>
        <w:rPr>
          <w:sz w:val="20"/>
          <w:szCs w:val="20"/>
          <w:color w:val="auto"/>
        </w:rPr>
      </w:pPr>
      <w:r>
        <w:rPr>
          <w:rFonts w:ascii="Times New Roman" w:cs="Times New Roman" w:eastAsia="Times New Roman" w:hAnsi="Times New Roman"/>
          <w:sz w:val="14"/>
          <w:szCs w:val="14"/>
          <w:color w:val="auto"/>
        </w:rPr>
        <w:t>For all purposes of this Indenture, unless the context otherwise requires, all provisions relating to redemption of Securities shall relate, in the case of any Security redeemed or to be redeemed only in part, to the portion of the principal amount of such Security which has been or is to be redeemed.</w:t>
      </w:r>
    </w:p>
    <w:p>
      <w:pPr>
        <w:spacing w:after="0" w:line="1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11.05 </w:t>
      </w:r>
      <w:r>
        <w:rPr>
          <w:rFonts w:ascii="Times New Roman" w:cs="Times New Roman" w:eastAsia="Times New Roman" w:hAnsi="Times New Roman"/>
          <w:sz w:val="14"/>
          <w:szCs w:val="14"/>
          <w:u w:val="single" w:color="auto"/>
          <w:color w:val="auto"/>
        </w:rPr>
        <w:t>NOTICE OF REDEMPTION</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120" w:right="219" w:firstLine="350"/>
        <w:spacing w:after="0" w:line="265" w:lineRule="auto"/>
        <w:rPr>
          <w:sz w:val="20"/>
          <w:szCs w:val="20"/>
          <w:color w:val="auto"/>
        </w:rPr>
      </w:pPr>
      <w:r>
        <w:rPr>
          <w:rFonts w:ascii="Times New Roman" w:cs="Times New Roman" w:eastAsia="Times New Roman" w:hAnsi="Times New Roman"/>
          <w:sz w:val="14"/>
          <w:szCs w:val="14"/>
          <w:color w:val="auto"/>
        </w:rPr>
        <w:t xml:space="preserve">Notice of redemption shall be given by first-class mail, postage prepaid, mailed not less than 30 days nor more than 60 days prior to the Redemption Date unless a shorter period is specified by the terms of such series established pursuant to </w:t>
      </w:r>
      <w:r>
        <w:rPr>
          <w:rFonts w:ascii="Times New Roman" w:cs="Times New Roman" w:eastAsia="Times New Roman" w:hAnsi="Times New Roman"/>
          <w:sz w:val="14"/>
          <w:szCs w:val="14"/>
          <w:u w:val="single" w:color="auto"/>
          <w:color w:val="auto"/>
        </w:rPr>
        <w:t>Section 3.01</w:t>
      </w:r>
      <w:r>
        <w:rPr>
          <w:rFonts w:ascii="Times New Roman" w:cs="Times New Roman" w:eastAsia="Times New Roman" w:hAnsi="Times New Roman"/>
          <w:sz w:val="14"/>
          <w:szCs w:val="14"/>
          <w:color w:val="auto"/>
        </w:rPr>
        <w:t>, to each Holder of Securities to be redeemed, at its address appearing in the Security Register. Redemption notices may be mailed more than 60 days prior to a Redemption Date if the notice is issued in connection with a defeasance of the Securities or a satisfaction and discharge of this Indenture. As long as the Securities are issued in global form, notices to be given to Holders will be given to the Depositary, in accordance with its applicable policies as in effect from time to time.</w:t>
      </w:r>
    </w:p>
    <w:p>
      <w:pPr>
        <w:spacing w:after="0" w:line="1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All notices of redemption shall state:</w:t>
      </w:r>
    </w:p>
    <w:p>
      <w:pPr>
        <w:spacing w:after="0" w:line="97" w:lineRule="exact"/>
        <w:rPr>
          <w:sz w:val="20"/>
          <w:szCs w:val="20"/>
          <w:color w:val="auto"/>
        </w:rPr>
      </w:pPr>
    </w:p>
    <w:p>
      <w:pPr>
        <w:ind w:left="680" w:hanging="203"/>
        <w:spacing w:after="0"/>
        <w:tabs>
          <w:tab w:leader="none" w:pos="680" w:val="left"/>
        </w:tabs>
        <w:numPr>
          <w:ilvl w:val="0"/>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Redemption Date;</w:t>
      </w:r>
    </w:p>
    <w:p>
      <w:pPr>
        <w:spacing w:after="0" w:line="182" w:lineRule="exact"/>
        <w:rPr>
          <w:rFonts w:ascii="Times New Roman" w:cs="Times New Roman" w:eastAsia="Times New Roman" w:hAnsi="Times New Roman"/>
          <w:sz w:val="14"/>
          <w:szCs w:val="14"/>
          <w:color w:val="auto"/>
        </w:rPr>
      </w:pPr>
    </w:p>
    <w:p>
      <w:pPr>
        <w:ind w:left="4440" w:right="3159" w:hanging="3963"/>
        <w:spacing w:after="0" w:line="468" w:lineRule="auto"/>
        <w:tabs>
          <w:tab w:leader="none" w:pos="687" w:val="left"/>
        </w:tabs>
        <w:numPr>
          <w:ilvl w:val="0"/>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Redemption Price or the method by which such Redemption Price shall be determined; 46</w:t>
      </w:r>
    </w:p>
    <w:p>
      <w:pPr>
        <w:sectPr>
          <w:pgSz w:w="11900" w:h="16838" w:orient="portrait"/>
          <w:cols w:equalWidth="0" w:num="1">
            <w:col w:w="9019"/>
          </w:cols>
          <w:pgMar w:left="1440" w:top="241" w:right="1440" w:bottom="1440" w:gutter="0" w:footer="0" w:header="0"/>
        </w:sectPr>
      </w:pPr>
    </w:p>
    <w:bookmarkStart w:id="227" w:name="page228"/>
    <w:bookmarkEnd w:id="227"/>
    <w:p>
      <w:pPr>
        <w:ind w:left="680" w:hanging="203"/>
        <w:spacing w:after="0"/>
        <w:tabs>
          <w:tab w:leader="none" w:pos="680"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8">
                      <a:extLst>
                        <a:ext uri="{28A0092B-C50C-407E-A947-70E740481C1C}"/>
                      </a:extLst>
                    </a:blip>
                    <a:srcRect/>
                    <a:stretch>
                      <a:fillRect/>
                    </a:stretch>
                  </pic:blipFill>
                  <pic:spPr bwMode="auto">
                    <a:xfrm>
                      <a:off x="0" y="0"/>
                      <a:ext cx="7199630" cy="33020"/>
                    </a:xfrm>
                    <a:prstGeom prst="rect">
                      <a:avLst/>
                    </a:prstGeom>
                    <a:noFill/>
                  </pic:spPr>
                </pic:pic>
              </a:graphicData>
            </a:graphic>
          </wp:anchor>
        </w:drawing>
        <w:t>if less than all Outstanding Securities of a series are to be redeemed, the identification of the particular Securities to be redeemed;</w:t>
      </w:r>
    </w:p>
    <w:p>
      <w:pPr>
        <w:spacing w:after="0" w:line="182" w:lineRule="exact"/>
        <w:rPr>
          <w:rFonts w:ascii="Times New Roman" w:cs="Times New Roman" w:eastAsia="Times New Roman" w:hAnsi="Times New Roman"/>
          <w:sz w:val="14"/>
          <w:szCs w:val="14"/>
          <w:color w:val="auto"/>
        </w:rPr>
      </w:pPr>
    </w:p>
    <w:p>
      <w:pPr>
        <w:ind w:left="120" w:right="159" w:firstLine="357"/>
        <w:spacing w:after="0" w:line="292" w:lineRule="auto"/>
        <w:tabs>
          <w:tab w:leader="none" w:pos="672"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 Security to be redeemed in part, the principal amount of such Security to be redeemed and that after the Redemption Date upon surrender of such Security, new Security or Securities in the aggregate principal amount equal to the unredeemed portion thereof will be issued;</w:t>
      </w:r>
    </w:p>
    <w:p>
      <w:pPr>
        <w:spacing w:after="0" w:line="123" w:lineRule="exact"/>
        <w:rPr>
          <w:rFonts w:ascii="Times New Roman" w:cs="Times New Roman" w:eastAsia="Times New Roman" w:hAnsi="Times New Roman"/>
          <w:sz w:val="14"/>
          <w:szCs w:val="14"/>
          <w:color w:val="auto"/>
        </w:rPr>
      </w:pPr>
    </w:p>
    <w:p>
      <w:pPr>
        <w:ind w:left="680" w:hanging="203"/>
        <w:spacing w:after="0"/>
        <w:tabs>
          <w:tab w:leader="none" w:pos="680"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Securities called for redemption must be surrendered to the Paying Agent to collect the Redemption Price;</w:t>
      </w:r>
    </w:p>
    <w:p>
      <w:pPr>
        <w:spacing w:after="0" w:line="182" w:lineRule="exact"/>
        <w:rPr>
          <w:rFonts w:ascii="Times New Roman" w:cs="Times New Roman" w:eastAsia="Times New Roman" w:hAnsi="Times New Roman"/>
          <w:sz w:val="14"/>
          <w:szCs w:val="14"/>
          <w:color w:val="auto"/>
        </w:rPr>
      </w:pPr>
    </w:p>
    <w:p>
      <w:pPr>
        <w:ind w:left="120" w:right="279" w:firstLine="357"/>
        <w:spacing w:after="0" w:line="292" w:lineRule="auto"/>
        <w:tabs>
          <w:tab w:leader="none" w:pos="649"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on the Redemption Date, the Redemption Price will become due and payable upon each such Security or portion thereof to be redeemed, and that (unless the Company shall default in payment of the Redemption Price) interest thereon shall cease to accrue on and after said date;</w:t>
      </w:r>
    </w:p>
    <w:p>
      <w:pPr>
        <w:spacing w:after="0" w:line="123" w:lineRule="exact"/>
        <w:rPr>
          <w:rFonts w:ascii="Times New Roman" w:cs="Times New Roman" w:eastAsia="Times New Roman" w:hAnsi="Times New Roman"/>
          <w:sz w:val="14"/>
          <w:szCs w:val="14"/>
          <w:color w:val="auto"/>
        </w:rPr>
      </w:pPr>
    </w:p>
    <w:p>
      <w:pPr>
        <w:ind w:left="120" w:right="779" w:firstLine="357"/>
        <w:spacing w:after="0" w:line="292" w:lineRule="auto"/>
        <w:tabs>
          <w:tab w:leader="none" w:pos="672"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names and addresses of the Paying Agent and the offices or agencies referred to in </w:t>
      </w:r>
      <w:r>
        <w:rPr>
          <w:rFonts w:ascii="Times New Roman" w:cs="Times New Roman" w:eastAsia="Times New Roman" w:hAnsi="Times New Roman"/>
          <w:sz w:val="14"/>
          <w:szCs w:val="14"/>
          <w:u w:val="single" w:color="auto"/>
          <w:color w:val="auto"/>
        </w:rPr>
        <w:t>Section 10.02</w:t>
      </w:r>
      <w:r>
        <w:rPr>
          <w:rFonts w:ascii="Times New Roman" w:cs="Times New Roman" w:eastAsia="Times New Roman" w:hAnsi="Times New Roman"/>
          <w:sz w:val="14"/>
          <w:szCs w:val="14"/>
          <w:color w:val="auto"/>
        </w:rPr>
        <w:t xml:space="preserve"> where such Securities are to be surrendered for payment of the Redemption Price;</w:t>
      </w:r>
    </w:p>
    <w:p>
      <w:pPr>
        <w:spacing w:after="0" w:line="123" w:lineRule="exact"/>
        <w:rPr>
          <w:rFonts w:ascii="Times New Roman" w:cs="Times New Roman" w:eastAsia="Times New Roman" w:hAnsi="Times New Roman"/>
          <w:sz w:val="14"/>
          <w:szCs w:val="14"/>
          <w:color w:val="auto"/>
        </w:rPr>
      </w:pPr>
    </w:p>
    <w:p>
      <w:pPr>
        <w:ind w:left="680" w:hanging="203"/>
        <w:spacing w:after="0"/>
        <w:tabs>
          <w:tab w:leader="none" w:pos="680"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CUSIP number, if any, relating to such Securities; and</w:t>
      </w:r>
    </w:p>
    <w:p>
      <w:pPr>
        <w:spacing w:after="0" w:line="182" w:lineRule="exact"/>
        <w:rPr>
          <w:rFonts w:ascii="Times New Roman" w:cs="Times New Roman" w:eastAsia="Times New Roman" w:hAnsi="Times New Roman"/>
          <w:sz w:val="14"/>
          <w:szCs w:val="14"/>
          <w:color w:val="auto"/>
        </w:rPr>
      </w:pPr>
    </w:p>
    <w:p>
      <w:pPr>
        <w:ind w:left="640" w:hanging="163"/>
        <w:spacing w:after="0"/>
        <w:tabs>
          <w:tab w:leader="none" w:pos="640"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procedures that a Holder must follow to surrender the Securities to be redeemed.</w:t>
      </w:r>
    </w:p>
    <w:p>
      <w:pPr>
        <w:spacing w:after="0" w:line="182" w:lineRule="exact"/>
        <w:rPr>
          <w:sz w:val="20"/>
          <w:szCs w:val="20"/>
          <w:color w:val="auto"/>
        </w:rPr>
      </w:pPr>
    </w:p>
    <w:p>
      <w:pPr>
        <w:ind w:left="120" w:right="339" w:firstLine="350"/>
        <w:spacing w:after="0" w:line="268" w:lineRule="auto"/>
        <w:rPr>
          <w:sz w:val="20"/>
          <w:szCs w:val="20"/>
          <w:color w:val="auto"/>
        </w:rPr>
      </w:pPr>
      <w:r>
        <w:rPr>
          <w:rFonts w:ascii="Times New Roman" w:cs="Times New Roman" w:eastAsia="Times New Roman" w:hAnsi="Times New Roman"/>
          <w:sz w:val="14"/>
          <w:szCs w:val="14"/>
          <w:color w:val="auto"/>
        </w:rPr>
        <w:t xml:space="preserve">Notice of redemption of Securities to be redeemed at the election of the Company shall be given by the Company or, at the Company’s written request delivered at least 15 days prior to the date such notice is to be given (unless a shorter period shall be reasonably acceptable to the Trustee), by the Trustee in the name and at the expense of the Company. If the Company elects to give notice of redemption, it shall provide the Trustee with a certificate stating that such notice has been given in compliance with the requirements of this </w:t>
      </w:r>
      <w:r>
        <w:rPr>
          <w:rFonts w:ascii="Times New Roman" w:cs="Times New Roman" w:eastAsia="Times New Roman" w:hAnsi="Times New Roman"/>
          <w:sz w:val="14"/>
          <w:szCs w:val="14"/>
          <w:u w:val="single" w:color="auto"/>
          <w:color w:val="auto"/>
        </w:rPr>
        <w:t>Section 11.05</w:t>
      </w:r>
      <w:r>
        <w:rPr>
          <w:rFonts w:ascii="Times New Roman" w:cs="Times New Roman" w:eastAsia="Times New Roman" w:hAnsi="Times New Roman"/>
          <w:sz w:val="14"/>
          <w:szCs w:val="14"/>
          <w:color w:val="auto"/>
        </w:rPr>
        <w:t>.</w:t>
      </w:r>
    </w:p>
    <w:p>
      <w:pPr>
        <w:spacing w:after="0" w:line="139" w:lineRule="exact"/>
        <w:rPr>
          <w:sz w:val="20"/>
          <w:szCs w:val="20"/>
          <w:color w:val="auto"/>
        </w:rPr>
      </w:pPr>
    </w:p>
    <w:p>
      <w:pPr>
        <w:ind w:left="120" w:right="239" w:firstLine="350"/>
        <w:spacing w:after="0" w:line="274" w:lineRule="auto"/>
        <w:rPr>
          <w:sz w:val="20"/>
          <w:szCs w:val="20"/>
          <w:color w:val="auto"/>
        </w:rPr>
      </w:pPr>
      <w:r>
        <w:rPr>
          <w:rFonts w:ascii="Times New Roman" w:cs="Times New Roman" w:eastAsia="Times New Roman" w:hAnsi="Times New Roman"/>
          <w:sz w:val="14"/>
          <w:szCs w:val="14"/>
          <w:color w:val="auto"/>
        </w:rPr>
        <w:t>The notice if mailed in the manner herein provided shall be conclusively presumed to have been given, whether or not the Holder receives such notice. In any case, failure to give such notice by mail or any defect in the notice to the Holder of any Security designated for redemption as a whole or in part shall not affect the validity of the proceedings for the redemption of any other Security.</w:t>
      </w:r>
    </w:p>
    <w:p>
      <w:pPr>
        <w:spacing w:after="0" w:line="135" w:lineRule="exact"/>
        <w:rPr>
          <w:sz w:val="20"/>
          <w:szCs w:val="20"/>
          <w:color w:val="auto"/>
        </w:rPr>
      </w:pPr>
    </w:p>
    <w:p>
      <w:pPr>
        <w:ind w:left="120" w:right="159" w:firstLine="350"/>
        <w:spacing w:after="0" w:line="292" w:lineRule="auto"/>
        <w:rPr>
          <w:sz w:val="20"/>
          <w:szCs w:val="20"/>
          <w:color w:val="auto"/>
        </w:rPr>
      </w:pPr>
      <w:r>
        <w:rPr>
          <w:rFonts w:ascii="Times New Roman" w:cs="Times New Roman" w:eastAsia="Times New Roman" w:hAnsi="Times New Roman"/>
          <w:sz w:val="14"/>
          <w:szCs w:val="14"/>
          <w:color w:val="auto"/>
        </w:rPr>
        <w:t>Once notice of redemption is mailed in accordance with Section 3.03 hereof, Securities called for redemption become irrevocably due and payable on the Redemption Date at the Redemption Price. A notice of redemption may not be conditional.</w:t>
      </w:r>
    </w:p>
    <w:p>
      <w:pPr>
        <w:spacing w:after="0" w:line="1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11.06 </w:t>
      </w:r>
      <w:r>
        <w:rPr>
          <w:rFonts w:ascii="Times New Roman" w:cs="Times New Roman" w:eastAsia="Times New Roman" w:hAnsi="Times New Roman"/>
          <w:sz w:val="14"/>
          <w:szCs w:val="14"/>
          <w:u w:val="single" w:color="auto"/>
          <w:color w:val="auto"/>
        </w:rPr>
        <w:t>DEPOSIT OF REDEMPTION PRICE</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120" w:right="139" w:firstLine="350"/>
        <w:spacing w:after="0" w:line="261" w:lineRule="auto"/>
        <w:rPr>
          <w:sz w:val="20"/>
          <w:szCs w:val="20"/>
          <w:color w:val="auto"/>
        </w:rPr>
      </w:pPr>
      <w:r>
        <w:rPr>
          <w:rFonts w:ascii="Times New Roman" w:cs="Times New Roman" w:eastAsia="Times New Roman" w:hAnsi="Times New Roman"/>
          <w:sz w:val="14"/>
          <w:szCs w:val="14"/>
          <w:color w:val="auto"/>
        </w:rPr>
        <w:t xml:space="preserve">At or prior to 11:00 a.m., Eastern Time, on any Redemption Date, the Company shall deposit with the Trustee or with a Paying Agent (or, if the Company or any of its Affiliates is acting as Paying Agent, segregate and hold in trust as provided in </w:t>
      </w:r>
      <w:r>
        <w:rPr>
          <w:rFonts w:ascii="Times New Roman" w:cs="Times New Roman" w:eastAsia="Times New Roman" w:hAnsi="Times New Roman"/>
          <w:sz w:val="14"/>
          <w:szCs w:val="14"/>
          <w:u w:val="single" w:color="auto"/>
          <w:color w:val="auto"/>
        </w:rPr>
        <w:t>Section 10.03</w:t>
      </w:r>
      <w:r>
        <w:rPr>
          <w:rFonts w:ascii="Times New Roman" w:cs="Times New Roman" w:eastAsia="Times New Roman" w:hAnsi="Times New Roman"/>
          <w:sz w:val="14"/>
          <w:szCs w:val="14"/>
          <w:color w:val="auto"/>
        </w:rPr>
        <w:t xml:space="preserve">) an amount of money in same day funds sufficient to pay the Redemption Price of, and (except if the Redemption Date shall be an Interest Payment Date or Special Payment Date) accrued interest on, all the applicable series of Securities or portions thereof which are to be redeemed. The Trustee or the Paying Agent shall promptly return to the Company any money deposited with the Trustee or the Paying Agent by the Company in excess of the amounts necessary to pay the redemption price of, and accrued interest on, all Securities to be redeemed. The Paying Agent shall promptly mail or deliver to Holders of Securities so redeemed payment in an amount equal to the Redemption Price of the Securities. Subject to </w:t>
      </w:r>
      <w:r>
        <w:rPr>
          <w:rFonts w:ascii="Times New Roman" w:cs="Times New Roman" w:eastAsia="Times New Roman" w:hAnsi="Times New Roman"/>
          <w:sz w:val="14"/>
          <w:szCs w:val="14"/>
          <w:u w:val="single" w:color="auto"/>
          <w:color w:val="auto"/>
        </w:rPr>
        <w:t>Section 6.01(f)</w:t>
      </w:r>
      <w:r>
        <w:rPr>
          <w:rFonts w:ascii="Times New Roman" w:cs="Times New Roman" w:eastAsia="Times New Roman" w:hAnsi="Times New Roman"/>
          <w:sz w:val="14"/>
          <w:szCs w:val="14"/>
          <w:color w:val="auto"/>
        </w:rPr>
        <w:t>, all money, if any, earned on funds held in trust by the Trustee or any Paying Agent shall be remitted to the Company.</w:t>
      </w:r>
    </w:p>
    <w:p>
      <w:pPr>
        <w:spacing w:after="0" w:line="1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11.07 </w:t>
      </w:r>
      <w:r>
        <w:rPr>
          <w:rFonts w:ascii="Times New Roman" w:cs="Times New Roman" w:eastAsia="Times New Roman" w:hAnsi="Times New Roman"/>
          <w:sz w:val="14"/>
          <w:szCs w:val="14"/>
          <w:u w:val="single" w:color="auto"/>
          <w:color w:val="auto"/>
        </w:rPr>
        <w:t>SECURITIES PAYABLE ON REDEMPTION DATE</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120" w:right="179" w:firstLine="350"/>
        <w:spacing w:after="0" w:line="274" w:lineRule="auto"/>
        <w:rPr>
          <w:sz w:val="20"/>
          <w:szCs w:val="20"/>
          <w:color w:val="auto"/>
        </w:rPr>
      </w:pPr>
      <w:r>
        <w:rPr>
          <w:rFonts w:ascii="Times New Roman" w:cs="Times New Roman" w:eastAsia="Times New Roman" w:hAnsi="Times New Roman"/>
          <w:sz w:val="14"/>
          <w:szCs w:val="14"/>
          <w:color w:val="auto"/>
        </w:rPr>
        <w:t xml:space="preserve">Notice of redemption having been given as aforesaid, the Securities of any series so to be redeemed shall, on the Redemption Date, become due and payable at the Redemption Price therein specified and from and after such date (unless the Company shall default in the payment of the Redemption Price and accrued interest) such Securities of such series (except as otherwise specified pursuant to </w:t>
      </w:r>
      <w:r>
        <w:rPr>
          <w:rFonts w:ascii="Times New Roman" w:cs="Times New Roman" w:eastAsia="Times New Roman" w:hAnsi="Times New Roman"/>
          <w:sz w:val="14"/>
          <w:szCs w:val="14"/>
          <w:u w:val="single" w:color="auto"/>
          <w:color w:val="auto"/>
        </w:rPr>
        <w:t>Section 3.01</w:t>
      </w:r>
      <w:r>
        <w:rPr>
          <w:rFonts w:ascii="Times New Roman" w:cs="Times New Roman" w:eastAsia="Times New Roman" w:hAnsi="Times New Roman"/>
          <w:sz w:val="14"/>
          <w:szCs w:val="14"/>
          <w:color w:val="auto"/>
        </w:rPr>
        <w:t>) shall cease to bear interest.</w:t>
      </w:r>
    </w:p>
    <w:p>
      <w:pPr>
        <w:spacing w:after="0" w:line="135" w:lineRule="exact"/>
        <w:rPr>
          <w:sz w:val="20"/>
          <w:szCs w:val="20"/>
          <w:color w:val="auto"/>
        </w:rPr>
      </w:pPr>
    </w:p>
    <w:p>
      <w:pPr>
        <w:ind w:left="120" w:right="139" w:firstLine="350"/>
        <w:spacing w:after="0" w:line="268" w:lineRule="auto"/>
        <w:rPr>
          <w:sz w:val="20"/>
          <w:szCs w:val="20"/>
          <w:color w:val="auto"/>
        </w:rPr>
      </w:pPr>
      <w:r>
        <w:rPr>
          <w:rFonts w:ascii="Times New Roman" w:cs="Times New Roman" w:eastAsia="Times New Roman" w:hAnsi="Times New Roman"/>
          <w:sz w:val="14"/>
          <w:szCs w:val="14"/>
          <w:color w:val="auto"/>
        </w:rPr>
        <w:t xml:space="preserve">Upon surrender of any such Security for redemption in accordance with said notice, such Security shall be paid by the Company at the Redemption Price, together with accrued interest to the Redemption Date; provided, however, that installments of interest whose Stated Maturity is on or prior to the Redemption Date shall be payable to the Holders of such Securities, or one or more Predecessor Securities, registered as such on the relevant Regular Record Dates or Special Record Dates according to the terms and the provisions of </w:t>
      </w:r>
      <w:r>
        <w:rPr>
          <w:rFonts w:ascii="Times New Roman" w:cs="Times New Roman" w:eastAsia="Times New Roman" w:hAnsi="Times New Roman"/>
          <w:sz w:val="14"/>
          <w:szCs w:val="14"/>
          <w:u w:val="single" w:color="auto"/>
          <w:color w:val="auto"/>
        </w:rPr>
        <w:t>Section 3.08</w:t>
      </w:r>
      <w:r>
        <w:rPr>
          <w:rFonts w:ascii="Times New Roman" w:cs="Times New Roman" w:eastAsia="Times New Roman" w:hAnsi="Times New Roman"/>
          <w:sz w:val="14"/>
          <w:szCs w:val="14"/>
          <w:color w:val="auto"/>
        </w:rPr>
        <w:t>.</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47</w:t>
      </w:r>
    </w:p>
    <w:p>
      <w:pPr>
        <w:sectPr>
          <w:pgSz w:w="11900" w:h="16838" w:orient="portrait"/>
          <w:cols w:equalWidth="0" w:num="1">
            <w:col w:w="9019"/>
          </w:cols>
          <w:pgMar w:left="1440" w:top="243" w:right="1440" w:bottom="1440" w:gutter="0" w:footer="0" w:header="0"/>
        </w:sectPr>
      </w:pPr>
    </w:p>
    <w:bookmarkStart w:id="228" w:name="page229"/>
    <w:bookmarkEnd w:id="228"/>
    <w:p>
      <w:pPr>
        <w:ind w:left="120" w:right="399" w:firstLine="350"/>
        <w:spacing w:after="0" w:line="29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9">
                      <a:extLst>
                        <a:ext uri="{28A0092B-C50C-407E-A947-70E740481C1C}"/>
                      </a:extLst>
                    </a:blip>
                    <a:srcRect/>
                    <a:stretch>
                      <a:fillRect/>
                    </a:stretch>
                  </pic:blipFill>
                  <pic:spPr bwMode="auto">
                    <a:xfrm>
                      <a:off x="0" y="0"/>
                      <a:ext cx="7199630" cy="33020"/>
                    </a:xfrm>
                    <a:prstGeom prst="rect">
                      <a:avLst/>
                    </a:prstGeom>
                    <a:noFill/>
                  </pic:spPr>
                </pic:pic>
              </a:graphicData>
            </a:graphic>
          </wp:anchor>
        </w:drawing>
        <w:t>If any Security called for redemption shall not be so paid upon surrender thereof for redemption, the principal and premium, if any, shall, until paid, bear interest from the Redemption Date at the rate borne by such Security.</w:t>
      </w:r>
    </w:p>
    <w:p>
      <w:pPr>
        <w:spacing w:after="0" w:line="1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11.08 </w:t>
      </w:r>
      <w:r>
        <w:rPr>
          <w:rFonts w:ascii="Times New Roman" w:cs="Times New Roman" w:eastAsia="Times New Roman" w:hAnsi="Times New Roman"/>
          <w:sz w:val="14"/>
          <w:szCs w:val="14"/>
          <w:u w:val="single" w:color="auto"/>
          <w:color w:val="auto"/>
        </w:rPr>
        <w:t>SECURITIES REDEEMED OR PURCHASED IN PART</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120" w:right="139" w:firstLine="350"/>
        <w:spacing w:after="0" w:line="263" w:lineRule="auto"/>
        <w:rPr>
          <w:sz w:val="20"/>
          <w:szCs w:val="20"/>
          <w:color w:val="auto"/>
        </w:rPr>
      </w:pPr>
      <w:r>
        <w:rPr>
          <w:rFonts w:ascii="Times New Roman" w:cs="Times New Roman" w:eastAsia="Times New Roman" w:hAnsi="Times New Roman"/>
          <w:sz w:val="14"/>
          <w:szCs w:val="14"/>
          <w:color w:val="auto"/>
        </w:rPr>
        <w:t xml:space="preserve">Any Security which is to be redeemed or purchased only in part shall be surrendered to the Paying Agent at the office or agency maintained for such purpose pursuant to </w:t>
      </w:r>
      <w:r>
        <w:rPr>
          <w:rFonts w:ascii="Times New Roman" w:cs="Times New Roman" w:eastAsia="Times New Roman" w:hAnsi="Times New Roman"/>
          <w:sz w:val="14"/>
          <w:szCs w:val="14"/>
          <w:u w:val="single" w:color="auto"/>
          <w:color w:val="auto"/>
        </w:rPr>
        <w:t>Section 10.02</w:t>
      </w:r>
      <w:r>
        <w:rPr>
          <w:rFonts w:ascii="Times New Roman" w:cs="Times New Roman" w:eastAsia="Times New Roman" w:hAnsi="Times New Roman"/>
          <w:sz w:val="14"/>
          <w:szCs w:val="14"/>
          <w:color w:val="auto"/>
        </w:rPr>
        <w:t xml:space="preserve"> (with, if the Company, the Security Registrar or the Trustee so requires, due endorsement by, or a written instrument of transfer in form satisfactory to the Company, the Security Registrar or the Trustee, as the case may be, duly executed by, the Holder thereof or such Holder’s attorney duly authorized in writing), and the Company shall execute, and the Trustee shall authenticate and deliver to the Holder of such Security without service charge, a new Security or Securities, of any authorized denomination as requested by such Holder in aggregate principal amount equal to, and in exchange for, the unredeemed portion of the principal of the Security so surrendered that is not redeemed or purchased.</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XII</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SATISFACTION AND DISCHARGE</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12.01 </w:t>
      </w:r>
      <w:r>
        <w:rPr>
          <w:rFonts w:ascii="Times New Roman" w:cs="Times New Roman" w:eastAsia="Times New Roman" w:hAnsi="Times New Roman"/>
          <w:sz w:val="14"/>
          <w:szCs w:val="14"/>
          <w:u w:val="single" w:color="auto"/>
          <w:color w:val="auto"/>
        </w:rPr>
        <w:t>SATISFACTION AND DISCHARGE OF INDENTURE</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120" w:right="299" w:firstLine="350"/>
        <w:spacing w:after="0" w:line="265" w:lineRule="auto"/>
        <w:rPr>
          <w:sz w:val="20"/>
          <w:szCs w:val="20"/>
          <w:color w:val="auto"/>
        </w:rPr>
      </w:pPr>
      <w:r>
        <w:rPr>
          <w:rFonts w:ascii="Times New Roman" w:cs="Times New Roman" w:eastAsia="Times New Roman" w:hAnsi="Times New Roman"/>
          <w:sz w:val="14"/>
          <w:szCs w:val="14"/>
          <w:color w:val="auto"/>
        </w:rPr>
        <w:t xml:space="preserve">Unless otherwise specified pursuant to </w:t>
      </w:r>
      <w:r>
        <w:rPr>
          <w:rFonts w:ascii="Times New Roman" w:cs="Times New Roman" w:eastAsia="Times New Roman" w:hAnsi="Times New Roman"/>
          <w:sz w:val="14"/>
          <w:szCs w:val="14"/>
          <w:u w:val="single" w:color="auto"/>
          <w:color w:val="auto"/>
        </w:rPr>
        <w:t>Section 3.01</w:t>
      </w:r>
      <w:r>
        <w:rPr>
          <w:rFonts w:ascii="Times New Roman" w:cs="Times New Roman" w:eastAsia="Times New Roman" w:hAnsi="Times New Roman"/>
          <w:sz w:val="14"/>
          <w:szCs w:val="14"/>
          <w:color w:val="auto"/>
        </w:rPr>
        <w:t xml:space="preserve">, this Indenture shall, upon Company Request, be discharged and shall cease to be of further effect (except as to surviving rights of registration of transfer or exchange of Securities as expressly provided for herein), and the provisions of </w:t>
      </w:r>
      <w:r>
        <w:rPr>
          <w:rFonts w:ascii="Times New Roman" w:cs="Times New Roman" w:eastAsia="Times New Roman" w:hAnsi="Times New Roman"/>
          <w:sz w:val="14"/>
          <w:szCs w:val="14"/>
          <w:u w:val="single" w:color="auto"/>
          <w:color w:val="auto"/>
        </w:rPr>
        <w:t>Article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XIV</w:t>
      </w:r>
      <w:r>
        <w:rPr>
          <w:rFonts w:ascii="Times New Roman" w:cs="Times New Roman" w:eastAsia="Times New Roman" w:hAnsi="Times New Roman"/>
          <w:sz w:val="14"/>
          <w:szCs w:val="14"/>
          <w:color w:val="auto"/>
        </w:rPr>
        <w:t xml:space="preserve"> shall cease to be effective, as to all Outstanding Securities of any series hereunder specified in such Company Request, and the Trustee, upon Company Request and at the expense of the Company, shall execute proper instruments acknowledging satisfaction and discharge of this Indenture, when:</w:t>
      </w:r>
    </w:p>
    <w:p>
      <w:pPr>
        <w:spacing w:after="0" w:line="5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(a) either:</w:t>
      </w:r>
    </w:p>
    <w:p>
      <w:pPr>
        <w:spacing w:after="0" w:line="97" w:lineRule="exact"/>
        <w:rPr>
          <w:sz w:val="20"/>
          <w:szCs w:val="20"/>
          <w:color w:val="auto"/>
        </w:rPr>
      </w:pPr>
    </w:p>
    <w:p>
      <w:pPr>
        <w:ind w:left="120" w:right="319" w:firstLine="357"/>
        <w:spacing w:after="0" w:line="274" w:lineRule="auto"/>
        <w:tabs>
          <w:tab w:leader="none" w:pos="672" w:val="left"/>
        </w:tabs>
        <w:numPr>
          <w:ilvl w:val="0"/>
          <w:numId w:val="1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all the Securities of such series theretofore authenticated and delivered (other than (i) lost, stolen or destroyed Securities of such series that have been replaced or paid as provided in </w:t>
      </w:r>
      <w:r>
        <w:rPr>
          <w:rFonts w:ascii="Times New Roman" w:cs="Times New Roman" w:eastAsia="Times New Roman" w:hAnsi="Times New Roman"/>
          <w:sz w:val="14"/>
          <w:szCs w:val="14"/>
          <w:u w:val="single" w:color="auto"/>
          <w:color w:val="auto"/>
        </w:rPr>
        <w:t>Section 3.07</w:t>
      </w:r>
      <w:r>
        <w:rPr>
          <w:rFonts w:ascii="Times New Roman" w:cs="Times New Roman" w:eastAsia="Times New Roman" w:hAnsi="Times New Roman"/>
          <w:sz w:val="14"/>
          <w:szCs w:val="14"/>
          <w:color w:val="auto"/>
        </w:rPr>
        <w:t xml:space="preserve"> or (ii) all Securities of such series for whose payment money has theretofore been deposited in trust and thereafter repaid to the Company have been delivered to the Trustee for cancellation; or</w:t>
      </w:r>
    </w:p>
    <w:p>
      <w:pPr>
        <w:spacing w:after="0" w:line="135" w:lineRule="exact"/>
        <w:rPr>
          <w:rFonts w:ascii="Times New Roman" w:cs="Times New Roman" w:eastAsia="Times New Roman" w:hAnsi="Times New Roman"/>
          <w:sz w:val="14"/>
          <w:szCs w:val="14"/>
          <w:color w:val="auto"/>
        </w:rPr>
      </w:pPr>
    </w:p>
    <w:p>
      <w:pPr>
        <w:ind w:left="120" w:right="219" w:firstLine="357"/>
        <w:spacing w:after="0" w:line="261" w:lineRule="auto"/>
        <w:tabs>
          <w:tab w:leader="none" w:pos="672" w:val="left"/>
        </w:tabs>
        <w:numPr>
          <w:ilvl w:val="0"/>
          <w:numId w:val="1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such Securities of such series not theretofore delivered to the Trustee for cancellation (i) have become due and payable by reason of the mailing of a Notice of Redemption or otherwise or, (ii) will become due and payable within one year; and the Company or any Guarantor has irrevocably deposited or caused to be deposited with the Trustee as trust funds in trust solely for the benefit of the Holders, cash in United States Dollars, non-callable Government Securities, or a combination of cash in United States Dollars and non-callable Government Securities, in amounts as will be sufficient (in the opinion of a nationally recognized firm of independent public accountants expressed in a written certification thereof delivered to the Trustee) to pay and discharge (without consideration of any reinvestment of interest) the entire Indebtedness on the Securities of such series not theretofore delivered to the Trustee for cancellation, including the principal of, premium, if any, and accrued interest on, the Securities of such series to such Maturity, or Redemption Date;</w:t>
      </w:r>
    </w:p>
    <w:p>
      <w:pPr>
        <w:spacing w:after="0" w:line="144" w:lineRule="exact"/>
        <w:rPr>
          <w:sz w:val="20"/>
          <w:szCs w:val="20"/>
          <w:color w:val="auto"/>
        </w:rPr>
      </w:pPr>
    </w:p>
    <w:p>
      <w:pPr>
        <w:ind w:left="120" w:right="239" w:firstLine="357"/>
        <w:spacing w:after="0" w:line="274" w:lineRule="auto"/>
        <w:tabs>
          <w:tab w:leader="none" w:pos="672" w:val="left"/>
        </w:tabs>
        <w:numPr>
          <w:ilvl w:val="0"/>
          <w:numId w:val="1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Default or Event of Default has occurred and is continuing on the date of the deposit or will occur as a result of the deposit and the deposit will not result in a breach or violation of, or constitute a default under, any other instrument to which the Company or any Guarantor is a party or by which the Company or any Guarantor is bound;</w:t>
      </w:r>
    </w:p>
    <w:p>
      <w:pPr>
        <w:spacing w:after="0" w:line="135" w:lineRule="exact"/>
        <w:rPr>
          <w:rFonts w:ascii="Times New Roman" w:cs="Times New Roman" w:eastAsia="Times New Roman" w:hAnsi="Times New Roman"/>
          <w:sz w:val="14"/>
          <w:szCs w:val="14"/>
          <w:color w:val="auto"/>
        </w:rPr>
      </w:pPr>
    </w:p>
    <w:p>
      <w:pPr>
        <w:ind w:left="680" w:hanging="203"/>
        <w:spacing w:after="0"/>
        <w:tabs>
          <w:tab w:leader="none" w:pos="680" w:val="left"/>
        </w:tabs>
        <w:numPr>
          <w:ilvl w:val="0"/>
          <w:numId w:val="1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or any Guarantor of the Securities of such series has paid or caused to be paid all other sums payable by it hereunder;</w:t>
      </w:r>
    </w:p>
    <w:p>
      <w:pPr>
        <w:spacing w:after="0" w:line="182" w:lineRule="exact"/>
        <w:rPr>
          <w:rFonts w:ascii="Times New Roman" w:cs="Times New Roman" w:eastAsia="Times New Roman" w:hAnsi="Times New Roman"/>
          <w:sz w:val="14"/>
          <w:szCs w:val="14"/>
          <w:color w:val="auto"/>
        </w:rPr>
      </w:pPr>
    </w:p>
    <w:p>
      <w:pPr>
        <w:ind w:left="120" w:right="339" w:firstLine="357"/>
        <w:spacing w:after="0" w:line="292" w:lineRule="auto"/>
        <w:tabs>
          <w:tab w:leader="none" w:pos="672" w:val="left"/>
        </w:tabs>
        <w:numPr>
          <w:ilvl w:val="0"/>
          <w:numId w:val="1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delivered irrevocable instructions to the Trustee under this Indenture to apply the deposited money toward the payment of the Securities of such series at Maturity or the Redemption Date, as the case may be; and</w:t>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ectPr>
          <w:pgSz w:w="11900" w:h="16838" w:orient="portrait"/>
          <w:cols w:equalWidth="0" w:num="1">
            <w:col w:w="9019"/>
          </w:cols>
          <w:pgMar w:left="1440" w:top="243" w:right="1440" w:bottom="1440" w:gutter="0" w:footer="0" w:header="0"/>
        </w:sectPr>
      </w:pPr>
    </w:p>
    <w:bookmarkStart w:id="229" w:name="page230"/>
    <w:bookmarkEnd w:id="229"/>
    <w:p>
      <w:pPr>
        <w:ind w:left="120" w:right="159" w:firstLine="357"/>
        <w:spacing w:after="0" w:line="274" w:lineRule="auto"/>
        <w:tabs>
          <w:tab w:leader="none" w:pos="664" w:val="left"/>
        </w:tabs>
        <w:numPr>
          <w:ilvl w:val="0"/>
          <w:numId w:val="1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0">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the Company has delivered to the Trustee an Officers’ Certificate and an Opinion of Counsel, each stating that (i) all conditions precedent herein relating to the satisfaction and discharge hereof have been complied with, (ii) no Default with respect to the Securities of such series has occurred and is continuing on the date of such deposit and (iii) such deposit does not result in a breach or violation of, or constitute a Default under, the Indenture.</w:t>
      </w:r>
    </w:p>
    <w:p>
      <w:pPr>
        <w:spacing w:after="0" w:line="135" w:lineRule="exact"/>
        <w:rPr>
          <w:sz w:val="20"/>
          <w:szCs w:val="20"/>
          <w:color w:val="auto"/>
        </w:rPr>
      </w:pPr>
    </w:p>
    <w:p>
      <w:pPr>
        <w:ind w:left="120" w:right="259" w:firstLine="350"/>
        <w:spacing w:after="0" w:line="274" w:lineRule="auto"/>
        <w:rPr>
          <w:sz w:val="20"/>
          <w:szCs w:val="20"/>
          <w:color w:val="auto"/>
        </w:rPr>
      </w:pPr>
      <w:r>
        <w:rPr>
          <w:rFonts w:ascii="Times New Roman" w:cs="Times New Roman" w:eastAsia="Times New Roman" w:hAnsi="Times New Roman"/>
          <w:sz w:val="14"/>
          <w:szCs w:val="14"/>
          <w:color w:val="auto"/>
        </w:rPr>
        <w:t xml:space="preserve">Notwithstanding the satisfaction and discharge hereof, the obligations of the Company to the Trustee under </w:t>
      </w:r>
      <w:r>
        <w:rPr>
          <w:rFonts w:ascii="Times New Roman" w:cs="Times New Roman" w:eastAsia="Times New Roman" w:hAnsi="Times New Roman"/>
          <w:sz w:val="14"/>
          <w:szCs w:val="14"/>
          <w:u w:val="single" w:color="auto"/>
          <w:color w:val="auto"/>
        </w:rPr>
        <w:t>Sections 6.06</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6.07</w:t>
      </w:r>
      <w:r>
        <w:rPr>
          <w:rFonts w:ascii="Times New Roman" w:cs="Times New Roman" w:eastAsia="Times New Roman" w:hAnsi="Times New Roman"/>
          <w:sz w:val="14"/>
          <w:szCs w:val="14"/>
          <w:color w:val="auto"/>
        </w:rPr>
        <w:t xml:space="preserve"> and, if United States dollars shall have been deposited with the Trustee pursuant to </w:t>
      </w:r>
      <w:r>
        <w:rPr>
          <w:rFonts w:ascii="Times New Roman" w:cs="Times New Roman" w:eastAsia="Times New Roman" w:hAnsi="Times New Roman"/>
          <w:sz w:val="14"/>
          <w:szCs w:val="14"/>
          <w:u w:val="single" w:color="auto"/>
          <w:color w:val="auto"/>
        </w:rPr>
        <w:t>Clause (2)</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Subsection (a)</w:t>
      </w:r>
      <w:r>
        <w:rPr>
          <w:rFonts w:ascii="Times New Roman" w:cs="Times New Roman" w:eastAsia="Times New Roman" w:hAnsi="Times New Roman"/>
          <w:sz w:val="14"/>
          <w:szCs w:val="14"/>
          <w:color w:val="auto"/>
        </w:rPr>
        <w:t xml:space="preserve"> of this </w:t>
      </w:r>
      <w:r>
        <w:rPr>
          <w:rFonts w:ascii="Times New Roman" w:cs="Times New Roman" w:eastAsia="Times New Roman" w:hAnsi="Times New Roman"/>
          <w:sz w:val="14"/>
          <w:szCs w:val="14"/>
          <w:u w:val="single" w:color="auto"/>
          <w:color w:val="auto"/>
        </w:rPr>
        <w:t>Section 12.01</w:t>
      </w:r>
      <w:r>
        <w:rPr>
          <w:rFonts w:ascii="Times New Roman" w:cs="Times New Roman" w:eastAsia="Times New Roman" w:hAnsi="Times New Roman"/>
          <w:sz w:val="14"/>
          <w:szCs w:val="14"/>
          <w:color w:val="auto"/>
        </w:rPr>
        <w:t xml:space="preserve">, the obligations of the Trustee under </w:t>
      </w:r>
      <w:r>
        <w:rPr>
          <w:rFonts w:ascii="Times New Roman" w:cs="Times New Roman" w:eastAsia="Times New Roman" w:hAnsi="Times New Roman"/>
          <w:sz w:val="14"/>
          <w:szCs w:val="14"/>
          <w:u w:val="single" w:color="auto"/>
          <w:color w:val="auto"/>
        </w:rPr>
        <w:t>Section 12.02</w:t>
      </w:r>
      <w:r>
        <w:rPr>
          <w:rFonts w:ascii="Times New Roman" w:cs="Times New Roman" w:eastAsia="Times New Roman" w:hAnsi="Times New Roman"/>
          <w:sz w:val="14"/>
          <w:szCs w:val="14"/>
          <w:color w:val="auto"/>
        </w:rPr>
        <w:t xml:space="preserve"> and the last paragraph of </w:t>
      </w:r>
      <w:r>
        <w:rPr>
          <w:rFonts w:ascii="Times New Roman" w:cs="Times New Roman" w:eastAsia="Times New Roman" w:hAnsi="Times New Roman"/>
          <w:sz w:val="14"/>
          <w:szCs w:val="14"/>
          <w:u w:val="single" w:color="auto"/>
          <w:color w:val="auto"/>
        </w:rPr>
        <w:t>Section 10.03</w:t>
      </w:r>
      <w:r>
        <w:rPr>
          <w:rFonts w:ascii="Times New Roman" w:cs="Times New Roman" w:eastAsia="Times New Roman" w:hAnsi="Times New Roman"/>
          <w:sz w:val="14"/>
          <w:szCs w:val="14"/>
          <w:color w:val="auto"/>
        </w:rPr>
        <w:t xml:space="preserve"> shall survive.</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12.02 </w:t>
      </w:r>
      <w:r>
        <w:rPr>
          <w:rFonts w:ascii="Times New Roman" w:cs="Times New Roman" w:eastAsia="Times New Roman" w:hAnsi="Times New Roman"/>
          <w:sz w:val="14"/>
          <w:szCs w:val="14"/>
          <w:u w:val="single" w:color="auto"/>
          <w:color w:val="auto"/>
        </w:rPr>
        <w:t>APPLICATION OF TRUST MONEY</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120" w:right="159" w:firstLine="350"/>
        <w:spacing w:after="0" w:line="265" w:lineRule="auto"/>
        <w:rPr>
          <w:sz w:val="20"/>
          <w:szCs w:val="20"/>
          <w:color w:val="auto"/>
        </w:rPr>
      </w:pPr>
      <w:r>
        <w:rPr>
          <w:rFonts w:ascii="Times New Roman" w:cs="Times New Roman" w:eastAsia="Times New Roman" w:hAnsi="Times New Roman"/>
          <w:sz w:val="14"/>
          <w:szCs w:val="14"/>
          <w:color w:val="auto"/>
        </w:rPr>
        <w:t xml:space="preserve">Subject to the provisions of the last paragraph of </w:t>
      </w:r>
      <w:r>
        <w:rPr>
          <w:rFonts w:ascii="Times New Roman" w:cs="Times New Roman" w:eastAsia="Times New Roman" w:hAnsi="Times New Roman"/>
          <w:sz w:val="14"/>
          <w:szCs w:val="14"/>
          <w:u w:val="single" w:color="auto"/>
          <w:color w:val="auto"/>
        </w:rPr>
        <w:t>Section 10.03</w:t>
      </w:r>
      <w:r>
        <w:rPr>
          <w:rFonts w:ascii="Times New Roman" w:cs="Times New Roman" w:eastAsia="Times New Roman" w:hAnsi="Times New Roman"/>
          <w:sz w:val="14"/>
          <w:szCs w:val="14"/>
          <w:color w:val="auto"/>
        </w:rPr>
        <w:t xml:space="preserve">, all United States dollars deposited with the Trustee pursuant to </w:t>
      </w:r>
      <w:r>
        <w:rPr>
          <w:rFonts w:ascii="Times New Roman" w:cs="Times New Roman" w:eastAsia="Times New Roman" w:hAnsi="Times New Roman"/>
          <w:sz w:val="14"/>
          <w:szCs w:val="14"/>
          <w:u w:val="single" w:color="auto"/>
          <w:color w:val="auto"/>
        </w:rPr>
        <w:t>Section 12.01</w:t>
      </w:r>
      <w:r>
        <w:rPr>
          <w:rFonts w:ascii="Times New Roman" w:cs="Times New Roman" w:eastAsia="Times New Roman" w:hAnsi="Times New Roman"/>
          <w:sz w:val="14"/>
          <w:szCs w:val="14"/>
          <w:color w:val="auto"/>
        </w:rPr>
        <w:t xml:space="preserve">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of, premium, if any, and interest on, the Securities for whose payment such United States dollars have been deposited with the Trustee. Money and U.S. Government Obligations so held in trust shall not be subject to the provisions of </w:t>
      </w:r>
      <w:r>
        <w:rPr>
          <w:rFonts w:ascii="Times New Roman" w:cs="Times New Roman" w:eastAsia="Times New Roman" w:hAnsi="Times New Roman"/>
          <w:sz w:val="14"/>
          <w:szCs w:val="14"/>
          <w:u w:val="single" w:color="auto"/>
          <w:color w:val="auto"/>
        </w:rPr>
        <w:t>Article XIV</w:t>
      </w:r>
      <w:r>
        <w:rPr>
          <w:rFonts w:ascii="Times New Roman" w:cs="Times New Roman" w:eastAsia="Times New Roman" w:hAnsi="Times New Roman"/>
          <w:sz w:val="14"/>
          <w:szCs w:val="14"/>
          <w:color w:val="auto"/>
        </w:rPr>
        <w:t>.</w:t>
      </w:r>
    </w:p>
    <w:p>
      <w:pPr>
        <w:spacing w:after="0" w:line="1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12.03 </w:t>
      </w:r>
      <w:r>
        <w:rPr>
          <w:rFonts w:ascii="Times New Roman" w:cs="Times New Roman" w:eastAsia="Times New Roman" w:hAnsi="Times New Roman"/>
          <w:sz w:val="14"/>
          <w:szCs w:val="14"/>
          <w:u w:val="single" w:color="auto"/>
          <w:color w:val="auto"/>
        </w:rPr>
        <w:t>REPAYMENT TO THE COMPANY</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120" w:right="139" w:firstLine="350"/>
        <w:spacing w:after="0" w:line="265" w:lineRule="auto"/>
        <w:rPr>
          <w:sz w:val="20"/>
          <w:szCs w:val="20"/>
          <w:color w:val="auto"/>
        </w:rPr>
      </w:pPr>
      <w:r>
        <w:rPr>
          <w:rFonts w:ascii="Times New Roman" w:cs="Times New Roman" w:eastAsia="Times New Roman" w:hAnsi="Times New Roman"/>
          <w:sz w:val="14"/>
          <w:szCs w:val="14"/>
          <w:color w:val="auto"/>
        </w:rPr>
        <w:t>Subject to applicable law, any money deposited with the Trustee or any Paying Agent, or then held by the Company, in trust for the payment of the principal of, or interest on, any Security and remaining unclaimed for two years after such principal, or interest has become due and payable shall be paid to the Company on its request or (if then held by the Company) shall be discharged from such trust; and the Holder of such Security shall thereafter look only to the Company for payment thereof, and all liability of the Trustee or such Paying Agent with respect to such trust money, and all liability of the Company as Trustee thereof, shall thereupon cease.</w:t>
      </w:r>
    </w:p>
    <w:p>
      <w:pPr>
        <w:spacing w:after="0" w:line="31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4"/>
          <w:szCs w:val="14"/>
          <w:b w:val="1"/>
          <w:bCs w:val="1"/>
          <w:color w:val="auto"/>
        </w:rPr>
        <w:t>ARTICLE XIII</w:t>
      </w:r>
    </w:p>
    <w:p>
      <w:pPr>
        <w:spacing w:after="0" w:line="9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4"/>
          <w:szCs w:val="14"/>
          <w:b w:val="1"/>
          <w:bCs w:val="1"/>
          <w:color w:val="auto"/>
        </w:rPr>
        <w:t>GUARANTEES</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13.01 </w:t>
      </w:r>
      <w:r>
        <w:rPr>
          <w:rFonts w:ascii="Times New Roman" w:cs="Times New Roman" w:eastAsia="Times New Roman" w:hAnsi="Times New Roman"/>
          <w:sz w:val="14"/>
          <w:szCs w:val="14"/>
          <w:u w:val="single" w:color="auto"/>
          <w:color w:val="auto"/>
        </w:rPr>
        <w:t>SECURITIES GUARANTEE</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120" w:right="199" w:firstLine="350"/>
        <w:spacing w:after="0" w:line="274" w:lineRule="auto"/>
        <w:rPr>
          <w:sz w:val="20"/>
          <w:szCs w:val="20"/>
          <w:color w:val="auto"/>
        </w:rPr>
      </w:pPr>
      <w:r>
        <w:rPr>
          <w:rFonts w:ascii="Times New Roman" w:cs="Times New Roman" w:eastAsia="Times New Roman" w:hAnsi="Times New Roman"/>
          <w:sz w:val="14"/>
          <w:szCs w:val="14"/>
          <w:color w:val="auto"/>
        </w:rPr>
        <w:t xml:space="preserve">As and to the extent set forth in a supplemental indenture established as contemplated by </w:t>
      </w:r>
      <w:r>
        <w:rPr>
          <w:rFonts w:ascii="Times New Roman" w:cs="Times New Roman" w:eastAsia="Times New Roman" w:hAnsi="Times New Roman"/>
          <w:sz w:val="14"/>
          <w:szCs w:val="14"/>
          <w:u w:val="single" w:color="auto"/>
          <w:color w:val="auto"/>
        </w:rPr>
        <w:t>Section 3.01</w:t>
      </w:r>
      <w:r>
        <w:rPr>
          <w:rFonts w:ascii="Times New Roman" w:cs="Times New Roman" w:eastAsia="Times New Roman" w:hAnsi="Times New Roman"/>
          <w:sz w:val="14"/>
          <w:szCs w:val="14"/>
          <w:color w:val="auto"/>
        </w:rPr>
        <w:t xml:space="preserve"> with respect to any series of Securities, one or more persons (each, a “</w:t>
      </w:r>
      <w:r>
        <w:rPr>
          <w:rFonts w:ascii="Times New Roman" w:cs="Times New Roman" w:eastAsia="Times New Roman" w:hAnsi="Times New Roman"/>
          <w:sz w:val="14"/>
          <w:szCs w:val="14"/>
          <w:u w:val="single" w:color="auto"/>
          <w:color w:val="auto"/>
        </w:rPr>
        <w:t>Guarantor</w:t>
      </w:r>
      <w:r>
        <w:rPr>
          <w:rFonts w:ascii="Times New Roman" w:cs="Times New Roman" w:eastAsia="Times New Roman" w:hAnsi="Times New Roman"/>
          <w:sz w:val="14"/>
          <w:szCs w:val="14"/>
          <w:color w:val="auto"/>
        </w:rPr>
        <w:t>”) may guarantee that series of Securities on the terms and subject to the conditions set forth in such supplemental indenture.</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XIV</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SUBORDINATION OF SECURITIES</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14.01 </w:t>
      </w:r>
      <w:r>
        <w:rPr>
          <w:rFonts w:ascii="Times New Roman" w:cs="Times New Roman" w:eastAsia="Times New Roman" w:hAnsi="Times New Roman"/>
          <w:sz w:val="14"/>
          <w:szCs w:val="14"/>
          <w:u w:val="single" w:color="auto"/>
          <w:color w:val="auto"/>
        </w:rPr>
        <w:t>SECURITIES SUBORDINATE TO SENIOR DEBT</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120" w:right="319" w:firstLine="350"/>
        <w:spacing w:after="0" w:line="268" w:lineRule="auto"/>
        <w:rPr>
          <w:sz w:val="20"/>
          <w:szCs w:val="20"/>
          <w:color w:val="auto"/>
        </w:rPr>
      </w:pPr>
      <w:r>
        <w:rPr>
          <w:rFonts w:ascii="Times New Roman" w:cs="Times New Roman" w:eastAsia="Times New Roman" w:hAnsi="Times New Roman"/>
          <w:sz w:val="14"/>
          <w:szCs w:val="14"/>
          <w:color w:val="auto"/>
        </w:rPr>
        <w:t xml:space="preserve">The Company covenants and agrees, and each Holder of a Security, by his acceptance thereof, likewise covenants and agrees, that, to the extent and in the manner hereinafter set forth in this Article (subject to the provisions of </w:t>
      </w:r>
      <w:r>
        <w:rPr>
          <w:rFonts w:ascii="Times New Roman" w:cs="Times New Roman" w:eastAsia="Times New Roman" w:hAnsi="Times New Roman"/>
          <w:sz w:val="14"/>
          <w:szCs w:val="14"/>
          <w:u w:val="single" w:color="auto"/>
          <w:color w:val="auto"/>
        </w:rPr>
        <w:t>Article IV</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Article XIII</w:t>
      </w:r>
      <w:r>
        <w:rPr>
          <w:rFonts w:ascii="Times New Roman" w:cs="Times New Roman" w:eastAsia="Times New Roman" w:hAnsi="Times New Roman"/>
          <w:sz w:val="14"/>
          <w:szCs w:val="14"/>
          <w:color w:val="auto"/>
        </w:rPr>
        <w:t>), the payment of the principal of (and premium, if any) and interest on each and all of the Securities are hereby expressly made subordinate and subject in right of payment to the prior payment in full of all Senior Debt.</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ectPr>
          <w:pgSz w:w="11900" w:h="16838" w:orient="portrait"/>
          <w:cols w:equalWidth="0" w:num="1">
            <w:col w:w="9019"/>
          </w:cols>
          <w:pgMar w:left="1440" w:top="243" w:right="1440" w:bottom="1440" w:gutter="0" w:footer="0" w:header="0"/>
        </w:sectPr>
      </w:pPr>
    </w:p>
    <w:bookmarkStart w:id="230" w:name="page231"/>
    <w:bookmarkEnd w:id="230"/>
    <w:p>
      <w:pPr>
        <w:ind w:left="1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1">
                      <a:extLst>
                        <a:ext uri="{28A0092B-C50C-407E-A947-70E740481C1C}"/>
                      </a:extLst>
                    </a:blip>
                    <a:srcRect/>
                    <a:stretch>
                      <a:fillRect/>
                    </a:stretch>
                  </pic:blipFill>
                  <pic:spPr bwMode="auto">
                    <a:xfrm>
                      <a:off x="0" y="0"/>
                      <a:ext cx="7199630" cy="33020"/>
                    </a:xfrm>
                    <a:prstGeom prst="rect">
                      <a:avLst/>
                    </a:prstGeom>
                    <a:noFill/>
                  </pic:spPr>
                </pic:pic>
              </a:graphicData>
            </a:graphic>
          </wp:anchor>
        </w:drawing>
        <w:t xml:space="preserve">Section 14.02 </w:t>
      </w:r>
      <w:r>
        <w:rPr>
          <w:rFonts w:ascii="Times New Roman" w:cs="Times New Roman" w:eastAsia="Times New Roman" w:hAnsi="Times New Roman"/>
          <w:sz w:val="14"/>
          <w:szCs w:val="14"/>
          <w:u w:val="single" w:color="auto"/>
          <w:color w:val="auto"/>
        </w:rPr>
        <w:t>PAYMENT OF PROCEEDS UPON DISSOLUTION, ETC.</w:t>
      </w:r>
    </w:p>
    <w:p>
      <w:pPr>
        <w:spacing w:after="0" w:line="182" w:lineRule="exact"/>
        <w:rPr>
          <w:sz w:val="20"/>
          <w:szCs w:val="20"/>
          <w:color w:val="auto"/>
        </w:rPr>
      </w:pPr>
    </w:p>
    <w:p>
      <w:pPr>
        <w:ind w:left="120" w:right="139" w:firstLine="350"/>
        <w:spacing w:after="0" w:line="259" w:lineRule="auto"/>
        <w:rPr>
          <w:sz w:val="20"/>
          <w:szCs w:val="20"/>
          <w:color w:val="auto"/>
        </w:rPr>
      </w:pPr>
      <w:r>
        <w:rPr>
          <w:rFonts w:ascii="Times New Roman" w:cs="Times New Roman" w:eastAsia="Times New Roman" w:hAnsi="Times New Roman"/>
          <w:sz w:val="14"/>
          <w:szCs w:val="14"/>
          <w:color w:val="auto"/>
        </w:rPr>
        <w:t>In the event of (a) any insolvency or bankruptcy case or proceeding, or any receivership, liquidation, reorganization or other similar case or proceeding in connection therewith, relative to the Company or to its creditors, as such, or to its assets, or (b) any liquidation, dissolution or other winding up of the Company, whether voluntary or involuntary and whether or not involving insolvency or bankruptcy, or (c) any assignment for the benefit of creditors or any other marshalling of assets or liabilities of the Company, then and in any such event specified in (a), (b) or (c) above (each such event, if any, herein sometimes referred to as a “Proceeding”) the holders of Senior Debt will be first entitled to receive payment in full of all amounts due or to become due on or in respect of all Senior Debt, or provision shall be made for such payment, in cash or Cash Equivalents or otherwise in a manner satisfactory to the holders of Senior Debt, before the Holders of the Securities are entitled to receive any payment or distribution of any kind or character, on account of principal of (or premium, if any) or interest on or other obligations in respect of the Securities or on account of any purchase or other acquisition of Securities by the Company or any Subsidiary of the Company (all such payments, distributions, purchases and acquisitions herein referred to, individually and collectively, as a “</w:t>
      </w:r>
      <w:r>
        <w:rPr>
          <w:rFonts w:ascii="Times New Roman" w:cs="Times New Roman" w:eastAsia="Times New Roman" w:hAnsi="Times New Roman"/>
          <w:sz w:val="14"/>
          <w:szCs w:val="14"/>
          <w:u w:val="single" w:color="auto"/>
          <w:color w:val="auto"/>
        </w:rPr>
        <w:t>Securities Payment</w:t>
      </w:r>
      <w:r>
        <w:rPr>
          <w:rFonts w:ascii="Times New Roman" w:cs="Times New Roman" w:eastAsia="Times New Roman" w:hAnsi="Times New Roman"/>
          <w:sz w:val="14"/>
          <w:szCs w:val="14"/>
          <w:color w:val="auto"/>
        </w:rPr>
        <w:t>”), and to that end the holders of Senior Debt shall be entitled to receive, for application to the payment thereof, any Securities Payment which may be payable or deliverable in respect of the Securities in any such Proceeding.</w:t>
      </w:r>
    </w:p>
    <w:p>
      <w:pPr>
        <w:spacing w:after="0" w:line="149" w:lineRule="exact"/>
        <w:rPr>
          <w:sz w:val="20"/>
          <w:szCs w:val="20"/>
          <w:color w:val="auto"/>
        </w:rPr>
      </w:pPr>
    </w:p>
    <w:p>
      <w:pPr>
        <w:ind w:left="120" w:right="219" w:firstLine="350"/>
        <w:spacing w:after="0" w:line="265" w:lineRule="auto"/>
        <w:rPr>
          <w:sz w:val="20"/>
          <w:szCs w:val="20"/>
          <w:color w:val="auto"/>
        </w:rPr>
      </w:pPr>
      <w:r>
        <w:rPr>
          <w:rFonts w:ascii="Times New Roman" w:cs="Times New Roman" w:eastAsia="Times New Roman" w:hAnsi="Times New Roman"/>
          <w:sz w:val="14"/>
          <w:szCs w:val="14"/>
          <w:color w:val="auto"/>
        </w:rPr>
        <w:t>In the event that, notwithstanding the foregoing provisions of this Section, the Trustee receives payment or distribution of assets of the Company of any kind or character, before all the Senior Debt is paid in full in cash or Cash Equivalents, then and in such event, at the direction of the Company, such Securities Payment shall be paid over or delivered forthwith to the trustee in bankruptcy, receiver, liquidating trustee, custodian, assignee, agent or other Person making payment or distribution of assets of the Company for application to the payment of all Senior Debt remaining unpaid, to the extent necessary to pay the Senior Debt in full in cash or Cash Equivalents.</w:t>
      </w:r>
    </w:p>
    <w:p>
      <w:pPr>
        <w:spacing w:after="0" w:line="141" w:lineRule="exact"/>
        <w:rPr>
          <w:sz w:val="20"/>
          <w:szCs w:val="20"/>
          <w:color w:val="auto"/>
        </w:rPr>
      </w:pPr>
    </w:p>
    <w:p>
      <w:pPr>
        <w:ind w:left="120" w:right="179" w:firstLine="350"/>
        <w:spacing w:after="0" w:line="259" w:lineRule="auto"/>
        <w:rPr>
          <w:sz w:val="20"/>
          <w:szCs w:val="20"/>
          <w:color w:val="auto"/>
        </w:rPr>
      </w:pPr>
      <w:r>
        <w:rPr>
          <w:rFonts w:ascii="Times New Roman" w:cs="Times New Roman" w:eastAsia="Times New Roman" w:hAnsi="Times New Roman"/>
          <w:sz w:val="14"/>
          <w:szCs w:val="14"/>
          <w:color w:val="auto"/>
        </w:rPr>
        <w:t xml:space="preserve">For purposes of this Article only, the words “any payment or distribution of any kind or character, whether in cash, property or securities” shall not be deemed to include a payment or distribution of stock or securities of the Company provided for by a plan of reorganization or readjustment authorized by an order or decree of a court of competent jurisdiction in a reorganization proceeding under any applicable bankruptcy law or of any other corporation provided for by such plan of reorganization or readjustment which stock or securities are subordinated in right of payment to all then outstanding Senior Debt to at least the same extent as the Securities are so subordinated as provided in this Article; provided, however, that (a) if a new corporation results from such reorganization or readjustment, such corporation assumes any Senior Debt not paid in full in cash or Cash Equivalents in connection with such reorganization or readjustment and (b) the rights of the holders of such Senior Debt are not, without the consent of such holders, altered by such reorganization or readjustment. The consolidation of the Company with, or the merger of the Company into, another Person or the liquidation or dissolution of the Company following the conveyance or transfer of all or substantially all of its properties and assets as an entirety to another Person upon the terms and conditions set forth in </w:t>
      </w:r>
      <w:r>
        <w:rPr>
          <w:rFonts w:ascii="Times New Roman" w:cs="Times New Roman" w:eastAsia="Times New Roman" w:hAnsi="Times New Roman"/>
          <w:sz w:val="14"/>
          <w:szCs w:val="14"/>
          <w:u w:val="single" w:color="auto"/>
          <w:color w:val="auto"/>
        </w:rPr>
        <w:t>Article VIII</w:t>
      </w:r>
      <w:r>
        <w:rPr>
          <w:rFonts w:ascii="Times New Roman" w:cs="Times New Roman" w:eastAsia="Times New Roman" w:hAnsi="Times New Roman"/>
          <w:sz w:val="14"/>
          <w:szCs w:val="14"/>
          <w:color w:val="auto"/>
        </w:rPr>
        <w:t xml:space="preserve"> shall not be deemed a Proceeding for the purposes of this Section if the Person formed by such consolidation or into which the Company is merged or the Person which acquires by conveyance or transfer such properties and assets as an entirety, as the case may be, shall, as a part of such consolidation, merger, conveyance or transfer, comply with the conditions set forth in </w:t>
      </w:r>
      <w:r>
        <w:rPr>
          <w:rFonts w:ascii="Times New Roman" w:cs="Times New Roman" w:eastAsia="Times New Roman" w:hAnsi="Times New Roman"/>
          <w:sz w:val="14"/>
          <w:szCs w:val="14"/>
          <w:u w:val="single" w:color="auto"/>
          <w:color w:val="auto"/>
        </w:rPr>
        <w:t>Article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VIII</w:t>
      </w:r>
      <w:r>
        <w:rPr>
          <w:rFonts w:ascii="Times New Roman" w:cs="Times New Roman" w:eastAsia="Times New Roman" w:hAnsi="Times New Roman"/>
          <w:sz w:val="14"/>
          <w:szCs w:val="14"/>
          <w:color w:val="auto"/>
        </w:rPr>
        <w:t>.</w:t>
      </w:r>
    </w:p>
    <w:p>
      <w:pPr>
        <w:spacing w:after="0" w:line="3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14.03 </w:t>
      </w:r>
      <w:r>
        <w:rPr>
          <w:rFonts w:ascii="Times New Roman" w:cs="Times New Roman" w:eastAsia="Times New Roman" w:hAnsi="Times New Roman"/>
          <w:sz w:val="14"/>
          <w:szCs w:val="14"/>
          <w:u w:val="single" w:color="auto"/>
          <w:color w:val="auto"/>
        </w:rPr>
        <w:t>NO PAYMENT WHEN SENIOR DEBT IN DEFAULT</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120" w:right="199" w:firstLine="350"/>
        <w:spacing w:after="0" w:line="265" w:lineRule="auto"/>
        <w:rPr>
          <w:sz w:val="20"/>
          <w:szCs w:val="20"/>
          <w:color w:val="auto"/>
        </w:rPr>
      </w:pPr>
      <w:r>
        <w:rPr>
          <w:rFonts w:ascii="Times New Roman" w:cs="Times New Roman" w:eastAsia="Times New Roman" w:hAnsi="Times New Roman"/>
          <w:sz w:val="14"/>
          <w:szCs w:val="14"/>
          <w:color w:val="auto"/>
        </w:rPr>
        <w:t>In the event that any Senior Payment Default (as defined below) shall have occurred and be continuing, then no Securities Payment shall be made unless and until such Senior Payment Default shall have been cured or waived or shall have ceased to exist or all amounts then due and payable in respect of Senior Debt shall have been paid in full, or provision shall have been made for such payment, in cash or Cash Equivalents or otherwise in a manner satisfactory to the holders of Senior Debt. “</w:t>
      </w:r>
      <w:r>
        <w:rPr>
          <w:rFonts w:ascii="Times New Roman" w:cs="Times New Roman" w:eastAsia="Times New Roman" w:hAnsi="Times New Roman"/>
          <w:sz w:val="14"/>
          <w:szCs w:val="14"/>
          <w:u w:val="single" w:color="auto"/>
          <w:color w:val="auto"/>
        </w:rPr>
        <w:t>Senior Payment Default</w:t>
      </w:r>
      <w:r>
        <w:rPr>
          <w:rFonts w:ascii="Times New Roman" w:cs="Times New Roman" w:eastAsia="Times New Roman" w:hAnsi="Times New Roman"/>
          <w:sz w:val="14"/>
          <w:szCs w:val="14"/>
          <w:color w:val="auto"/>
        </w:rPr>
        <w:t>” means any default in the payment of principal of (or premium, if any) or interest on any Senior Debt when due, whether at the Maturity thereof or by declaration of acceleration, call for redemption or otherwise.</w:t>
      </w:r>
    </w:p>
    <w:p>
      <w:pPr>
        <w:spacing w:after="0" w:line="141" w:lineRule="exact"/>
        <w:rPr>
          <w:sz w:val="20"/>
          <w:szCs w:val="20"/>
          <w:color w:val="auto"/>
        </w:rPr>
      </w:pPr>
    </w:p>
    <w:p>
      <w:pPr>
        <w:ind w:left="120" w:right="259" w:firstLine="350"/>
        <w:spacing w:after="0" w:line="262" w:lineRule="auto"/>
        <w:rPr>
          <w:sz w:val="20"/>
          <w:szCs w:val="20"/>
          <w:color w:val="auto"/>
        </w:rPr>
      </w:pPr>
      <w:r>
        <w:rPr>
          <w:rFonts w:ascii="Times New Roman" w:cs="Times New Roman" w:eastAsia="Times New Roman" w:hAnsi="Times New Roman"/>
          <w:sz w:val="14"/>
          <w:szCs w:val="14"/>
          <w:color w:val="auto"/>
        </w:rPr>
        <w:t>In the event that any Senior Nonmonetary Default (as defined below) shall have occurred and be continuing, then, upon the receipt by the Company and the Trustee of written notice of such Senior Nonmonetary Default from the representatives of holders of the Designated Senior Debt to which such default relates, the Company may not make any payments (other than payments previously made pursuant to Article Fifteen) on account of the Securities or on account of the purchase or redemption or other acquisition of Securities for a period (the “</w:t>
      </w:r>
      <w:r>
        <w:rPr>
          <w:rFonts w:ascii="Times New Roman" w:cs="Times New Roman" w:eastAsia="Times New Roman" w:hAnsi="Times New Roman"/>
          <w:sz w:val="14"/>
          <w:szCs w:val="14"/>
          <w:u w:val="single" w:color="auto"/>
          <w:color w:val="auto"/>
        </w:rPr>
        <w:t>blockage period</w:t>
      </w:r>
      <w:r>
        <w:rPr>
          <w:rFonts w:ascii="Times New Roman" w:cs="Times New Roman" w:eastAsia="Times New Roman" w:hAnsi="Times New Roman"/>
          <w:sz w:val="14"/>
          <w:szCs w:val="14"/>
          <w:color w:val="auto"/>
        </w:rPr>
        <w:t>”) commencing on the date the Company and Trustee receive such written notice and ending on the earlier of (a) the 179th day after the date of such receipt of such written notice and (b) the date, if any, on which the Designated Senior Debt to which such default relates is discharged or such default is waived or otherwise cured. In any event,</w:t>
      </w: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50</w:t>
      </w:r>
    </w:p>
    <w:p>
      <w:pPr>
        <w:sectPr>
          <w:pgSz w:w="11900" w:h="16838" w:orient="portrait"/>
          <w:cols w:equalWidth="0" w:num="1">
            <w:col w:w="9019"/>
          </w:cols>
          <w:pgMar w:left="1440" w:top="243" w:right="1440" w:bottom="1440" w:gutter="0" w:footer="0" w:header="0"/>
        </w:sectPr>
      </w:pPr>
    </w:p>
    <w:bookmarkStart w:id="231" w:name="page232"/>
    <w:bookmarkEnd w:id="231"/>
    <w:p>
      <w:pPr>
        <w:ind w:left="120" w:right="159"/>
        <w:spacing w:after="0" w:line="26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2">
                      <a:extLst>
                        <a:ext uri="{28A0092B-C50C-407E-A947-70E740481C1C}"/>
                      </a:extLst>
                    </a:blip>
                    <a:srcRect/>
                    <a:stretch>
                      <a:fillRect/>
                    </a:stretch>
                  </pic:blipFill>
                  <pic:spPr bwMode="auto">
                    <a:xfrm>
                      <a:off x="0" y="0"/>
                      <a:ext cx="7199630" cy="33020"/>
                    </a:xfrm>
                    <a:prstGeom prst="rect">
                      <a:avLst/>
                    </a:prstGeom>
                    <a:noFill/>
                  </pic:spPr>
                </pic:pic>
              </a:graphicData>
            </a:graphic>
          </wp:anchor>
        </w:drawing>
        <w:t>not more than one blockage period may be commenced during any period of 360 consecutive days and there shall be a period of at least 181 consecutive days in each period of 360 consecutive days when no blockage period is in effect. For all purposes of this paragraph, no Senior Nonmonetary Default that existed or was continuing on the date of commencement of any blockage period with respect to the Designated Senior Debt initiating such blockage period will be, or can be, made the basis for the commencement of a subsequent blockage period unless such default has been cured or waived for a period of not less than 180 consecutive days. “</w:t>
      </w:r>
      <w:r>
        <w:rPr>
          <w:rFonts w:ascii="Times New Roman" w:cs="Times New Roman" w:eastAsia="Times New Roman" w:hAnsi="Times New Roman"/>
          <w:sz w:val="14"/>
          <w:szCs w:val="14"/>
          <w:u w:val="single" w:color="auto"/>
          <w:color w:val="auto"/>
        </w:rPr>
        <w:t>Senior Nonmonetary Default</w:t>
      </w:r>
      <w:r>
        <w:rPr>
          <w:rFonts w:ascii="Times New Roman" w:cs="Times New Roman" w:eastAsia="Times New Roman" w:hAnsi="Times New Roman"/>
          <w:sz w:val="14"/>
          <w:szCs w:val="14"/>
          <w:color w:val="auto"/>
        </w:rPr>
        <w:t>” means the occurrence or existence and continuance of any event of default, or of any event which, after notice or lapse of time (or both), would become an event of default, under the terms of any instrument pursuant to which any Designated Senior Debt is outstanding, permitting (after notice or lapse of time or both) one or more holders of such Senior Debt (or a trustee or agent on behalf of the holders thereof) to declare such Senior Debt due and payable prior to the date on which it would otherwise become due and payable, other than a Senior Payment Default.</w:t>
      </w:r>
    </w:p>
    <w:p>
      <w:pPr>
        <w:spacing w:after="0" w:line="147" w:lineRule="exact"/>
        <w:rPr>
          <w:sz w:val="20"/>
          <w:szCs w:val="20"/>
          <w:color w:val="auto"/>
        </w:rPr>
      </w:pPr>
    </w:p>
    <w:p>
      <w:pPr>
        <w:ind w:left="120" w:right="159" w:firstLine="350"/>
        <w:spacing w:after="0" w:line="263" w:lineRule="auto"/>
        <w:rPr>
          <w:sz w:val="20"/>
          <w:szCs w:val="20"/>
          <w:color w:val="auto"/>
        </w:rPr>
      </w:pPr>
      <w:r>
        <w:rPr>
          <w:rFonts w:ascii="Times New Roman" w:cs="Times New Roman" w:eastAsia="Times New Roman" w:hAnsi="Times New Roman"/>
          <w:sz w:val="14"/>
          <w:szCs w:val="14"/>
          <w:color w:val="auto"/>
        </w:rPr>
        <w:t>In the event and during the continuation of any default in the payment of principal of, or interest on any Senior Debt beyond any applicable grace period with respect thereto, or in the event that any event of default with respect to any Senior Debt shall have occurred and be continuing permitting the holders of such Senior Debt (or a trustee on behalf of the holders thereof) to declare such Senior Debt, and shall have resulted in such Senior Debt becoming or being declared, due and payable prior to the date on which it would otherwise have become due and payable, unless and until such event of default shall have been cured or waived or shall have ceased to exist, or in the event any judicial proceeding shall be pending with respect to any such default in payment or event of default, then no Securities Payment shall be made.</w:t>
      </w:r>
    </w:p>
    <w:p>
      <w:pPr>
        <w:spacing w:after="0" w:line="143" w:lineRule="exact"/>
        <w:rPr>
          <w:sz w:val="20"/>
          <w:szCs w:val="20"/>
          <w:color w:val="auto"/>
        </w:rPr>
      </w:pPr>
    </w:p>
    <w:p>
      <w:pPr>
        <w:jc w:val="both"/>
        <w:ind w:left="120" w:right="219" w:firstLine="350"/>
        <w:spacing w:after="0" w:line="274" w:lineRule="auto"/>
        <w:rPr>
          <w:sz w:val="20"/>
          <w:szCs w:val="20"/>
          <w:color w:val="auto"/>
        </w:rPr>
      </w:pPr>
      <w:r>
        <w:rPr>
          <w:rFonts w:ascii="Times New Roman" w:cs="Times New Roman" w:eastAsia="Times New Roman" w:hAnsi="Times New Roman"/>
          <w:sz w:val="14"/>
          <w:szCs w:val="14"/>
          <w:color w:val="auto"/>
        </w:rPr>
        <w:t xml:space="preserve">In the event that, notwithstanding the foregoing, the Company shall make any Securities Payment to the Trustee or any Holder prohibited by the foregoing provisions of this Section, then and in such event, at the direction of the Company, subject to </w:t>
      </w:r>
      <w:r>
        <w:rPr>
          <w:rFonts w:ascii="Times New Roman" w:cs="Times New Roman" w:eastAsia="Times New Roman" w:hAnsi="Times New Roman"/>
          <w:sz w:val="14"/>
          <w:szCs w:val="14"/>
          <w:u w:val="single" w:color="auto"/>
          <w:color w:val="auto"/>
        </w:rPr>
        <w:t>Section 14.04</w:t>
      </w:r>
      <w:r>
        <w:rPr>
          <w:rFonts w:ascii="Times New Roman" w:cs="Times New Roman" w:eastAsia="Times New Roman" w:hAnsi="Times New Roman"/>
          <w:sz w:val="14"/>
          <w:szCs w:val="14"/>
          <w:color w:val="auto"/>
        </w:rPr>
        <w:t>, such Securities Payment shall be paid over and delivered forthwith to the holders of the Senior Debt remaining unpaid, to the extent necessary to pay in full all the Senior Debt.</w:t>
      </w:r>
    </w:p>
    <w:p>
      <w:pPr>
        <w:spacing w:after="0" w:line="13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 xml:space="preserve">The provisions of this Section shall not apply to any Securities Payment with respect to which </w:t>
      </w:r>
      <w:r>
        <w:rPr>
          <w:rFonts w:ascii="Times New Roman" w:cs="Times New Roman" w:eastAsia="Times New Roman" w:hAnsi="Times New Roman"/>
          <w:sz w:val="14"/>
          <w:szCs w:val="14"/>
          <w:u w:val="single" w:color="auto"/>
          <w:color w:val="auto"/>
        </w:rPr>
        <w:t>Section 14.02</w:t>
      </w:r>
      <w:r>
        <w:rPr>
          <w:rFonts w:ascii="Times New Roman" w:cs="Times New Roman" w:eastAsia="Times New Roman" w:hAnsi="Times New Roman"/>
          <w:sz w:val="14"/>
          <w:szCs w:val="14"/>
          <w:color w:val="auto"/>
        </w:rPr>
        <w:t xml:space="preserve"> would be applicable.</w:t>
      </w:r>
    </w:p>
    <w:p>
      <w:pPr>
        <w:spacing w:after="0" w:line="1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14.04 </w:t>
      </w:r>
      <w:r>
        <w:rPr>
          <w:rFonts w:ascii="Times New Roman" w:cs="Times New Roman" w:eastAsia="Times New Roman" w:hAnsi="Times New Roman"/>
          <w:sz w:val="14"/>
          <w:szCs w:val="14"/>
          <w:u w:val="single" w:color="auto"/>
          <w:color w:val="auto"/>
        </w:rPr>
        <w:t>PAYMENT PERMITTED IF NO DEFAULT</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120" w:right="459" w:firstLine="350"/>
        <w:spacing w:after="0" w:line="265" w:lineRule="auto"/>
        <w:rPr>
          <w:sz w:val="20"/>
          <w:szCs w:val="20"/>
          <w:color w:val="auto"/>
        </w:rPr>
      </w:pPr>
      <w:r>
        <w:rPr>
          <w:rFonts w:ascii="Times New Roman" w:cs="Times New Roman" w:eastAsia="Times New Roman" w:hAnsi="Times New Roman"/>
          <w:sz w:val="14"/>
          <w:szCs w:val="14"/>
          <w:color w:val="auto"/>
        </w:rPr>
        <w:t xml:space="preserve">Nothing contained in this Article or elsewhere in this Indenture or in any of the Securities shall prevent (a) the Company, at any time except during the pendency of any Proceeding referred to in </w:t>
      </w:r>
      <w:r>
        <w:rPr>
          <w:rFonts w:ascii="Times New Roman" w:cs="Times New Roman" w:eastAsia="Times New Roman" w:hAnsi="Times New Roman"/>
          <w:sz w:val="14"/>
          <w:szCs w:val="14"/>
          <w:u w:val="single" w:color="auto"/>
          <w:color w:val="auto"/>
        </w:rPr>
        <w:t>Section 14.02</w:t>
      </w:r>
      <w:r>
        <w:rPr>
          <w:rFonts w:ascii="Times New Roman" w:cs="Times New Roman" w:eastAsia="Times New Roman" w:hAnsi="Times New Roman"/>
          <w:sz w:val="14"/>
          <w:szCs w:val="14"/>
          <w:color w:val="auto"/>
        </w:rPr>
        <w:t xml:space="preserve"> or under the conditions described in </w:t>
      </w:r>
      <w:r>
        <w:rPr>
          <w:rFonts w:ascii="Times New Roman" w:cs="Times New Roman" w:eastAsia="Times New Roman" w:hAnsi="Times New Roman"/>
          <w:sz w:val="14"/>
          <w:szCs w:val="14"/>
          <w:u w:val="single" w:color="auto"/>
          <w:color w:val="auto"/>
        </w:rPr>
        <w:t>Section 14.03</w:t>
      </w:r>
      <w:r>
        <w:rPr>
          <w:rFonts w:ascii="Times New Roman" w:cs="Times New Roman" w:eastAsia="Times New Roman" w:hAnsi="Times New Roman"/>
          <w:sz w:val="14"/>
          <w:szCs w:val="14"/>
          <w:color w:val="auto"/>
        </w:rPr>
        <w:t>, from making Securities Payments, or (b) the application by the Trustee of any money deposited with it hereunder to Securities Payments or the retention of such Securities Payment by the Holders, if, at the time of such application by the Trustee, it did not have knowledge that such Securities Payment would have been prohibited by the provisions of this Article.</w:t>
      </w:r>
    </w:p>
    <w:p>
      <w:pPr>
        <w:spacing w:after="0" w:line="1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14.05 </w:t>
      </w:r>
      <w:r>
        <w:rPr>
          <w:rFonts w:ascii="Times New Roman" w:cs="Times New Roman" w:eastAsia="Times New Roman" w:hAnsi="Times New Roman"/>
          <w:sz w:val="14"/>
          <w:szCs w:val="14"/>
          <w:u w:val="single" w:color="auto"/>
          <w:color w:val="auto"/>
        </w:rPr>
        <w:t>SUBROGATION TO RIGHTS OF HOLDERS OF SENIOR DEBT</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120" w:right="159" w:firstLine="350"/>
        <w:spacing w:after="0" w:line="259" w:lineRule="auto"/>
        <w:rPr>
          <w:sz w:val="20"/>
          <w:szCs w:val="20"/>
          <w:color w:val="auto"/>
        </w:rPr>
      </w:pPr>
      <w:r>
        <w:rPr>
          <w:rFonts w:ascii="Times New Roman" w:cs="Times New Roman" w:eastAsia="Times New Roman" w:hAnsi="Times New Roman"/>
          <w:sz w:val="14"/>
          <w:szCs w:val="14"/>
          <w:color w:val="auto"/>
        </w:rPr>
        <w:t>Subject to the payment in full of all amounts due or to become due on or in respect of Senior Debt, or the provision for such payment, in cash or Cash Equivalents or otherwise in a manner satisfactory to the holders of Senior Debt, the Holders of the Securities shall be subrogated (equally and ratably with the holders of all Indebtedness of the Company which by its express terms is subordinated to Indebtedness of the Company to substantially the same extent as the Securities are subordinated to the Senior Debt and is entitled to like rights of subrogation by reason of any payments or distributions made to holders of such Senior Debt) to the rights of the holders of such Senior Debt to receive payments and distributions of cash, property and securities applicable to the Senior Debt until the principal of (and premium, if any) and interest on the Securities shall be paid in full. For purposes of such subrogation, no payments or distributions to the holders of the Senior Debt of any cash, property or securities to which the Holders of the Securities or the Trustee would be entitled except for the provisions of this Article, and no payments over pursuant to the provisions of this Article to the holders of Senior Debt by Holders of the Securities or the Trustee, shall, as among the Company, its creditors other than holders of Senior Debt and the Holders of the Securities, be deemed to be a payment or distribution by the Company to or on account of the Senior Debt.</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51</w:t>
      </w:r>
    </w:p>
    <w:p>
      <w:pPr>
        <w:sectPr>
          <w:pgSz w:w="11900" w:h="16838" w:orient="portrait"/>
          <w:cols w:equalWidth="0" w:num="1">
            <w:col w:w="9019"/>
          </w:cols>
          <w:pgMar w:left="1440" w:top="243" w:right="1440" w:bottom="1440" w:gutter="0" w:footer="0" w:header="0"/>
        </w:sectPr>
      </w:pPr>
    </w:p>
    <w:bookmarkStart w:id="232" w:name="page233"/>
    <w:bookmarkEnd w:id="232"/>
    <w:p>
      <w:pPr>
        <w:ind w:left="1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3">
                      <a:extLst>
                        <a:ext uri="{28A0092B-C50C-407E-A947-70E740481C1C}"/>
                      </a:extLst>
                    </a:blip>
                    <a:srcRect/>
                    <a:stretch>
                      <a:fillRect/>
                    </a:stretch>
                  </pic:blipFill>
                  <pic:spPr bwMode="auto">
                    <a:xfrm>
                      <a:off x="0" y="0"/>
                      <a:ext cx="7199630" cy="33020"/>
                    </a:xfrm>
                    <a:prstGeom prst="rect">
                      <a:avLst/>
                    </a:prstGeom>
                    <a:noFill/>
                  </pic:spPr>
                </pic:pic>
              </a:graphicData>
            </a:graphic>
          </wp:anchor>
        </w:drawing>
        <w:t xml:space="preserve">Section 14.06 </w:t>
      </w:r>
      <w:r>
        <w:rPr>
          <w:rFonts w:ascii="Times New Roman" w:cs="Times New Roman" w:eastAsia="Times New Roman" w:hAnsi="Times New Roman"/>
          <w:sz w:val="14"/>
          <w:szCs w:val="14"/>
          <w:u w:val="single" w:color="auto"/>
          <w:color w:val="auto"/>
        </w:rPr>
        <w:t>PROVISIONS SOLELY TO DEFINE RELATIVE RIGHTS</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120" w:right="439" w:firstLine="350"/>
        <w:spacing w:after="0" w:line="266" w:lineRule="auto"/>
        <w:rPr>
          <w:sz w:val="20"/>
          <w:szCs w:val="20"/>
          <w:color w:val="auto"/>
        </w:rPr>
      </w:pPr>
      <w:r>
        <w:rPr>
          <w:rFonts w:ascii="Times New Roman" w:cs="Times New Roman" w:eastAsia="Times New Roman" w:hAnsi="Times New Roman"/>
          <w:sz w:val="14"/>
          <w:szCs w:val="14"/>
          <w:color w:val="auto"/>
        </w:rPr>
        <w:t>The provisions of this Article are and are intended solely for the purpose of defining the relative rights of the Holders on the one hand and the holders of Senior Debt on the other hand. Nothing contained in this Article or elsewhere in this Indenture or in the Securities is intended to or shall</w:t>
      </w:r>
    </w:p>
    <w:p>
      <w:pPr>
        <w:ind w:left="120" w:right="259" w:firstLine="7"/>
        <w:spacing w:after="0" w:line="259" w:lineRule="auto"/>
        <w:tabs>
          <w:tab w:leader="none" w:pos="314" w:val="left"/>
        </w:tabs>
        <w:numPr>
          <w:ilvl w:val="0"/>
          <w:numId w:val="1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impair, as among the Company, its creditors other than holders of Senior Debt and the Holders of the Securities, the obligation of the Company, which is absolute and unconditional, to pay to the Holders of the Securities the principal of, and interest on, the Securities as and when the same shall become due and payable in accordance with their terms; or (b) affect the relative rights against the Company of the Holders of the Securities and creditors of the Company other than the holders of Senior Debt; or (c) prevent the Trustee or the Holder of any Security from exercising all remedies otherwise permitted by applicable law upon default under this Indenture, subject to the rights, if any, under this Article of the holders of Senior Debt to receive cash, property and securities otherwise payable or deliverable to the Trustee or such Holder.</w:t>
      </w:r>
    </w:p>
    <w:p>
      <w:pPr>
        <w:spacing w:after="0" w:line="1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14.07 </w:t>
      </w:r>
      <w:r>
        <w:rPr>
          <w:rFonts w:ascii="Times New Roman" w:cs="Times New Roman" w:eastAsia="Times New Roman" w:hAnsi="Times New Roman"/>
          <w:sz w:val="14"/>
          <w:szCs w:val="14"/>
          <w:u w:val="single" w:color="auto"/>
          <w:color w:val="auto"/>
        </w:rPr>
        <w:t>TRUSTEE TO EFFECTUATE SUBORDINATION</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120" w:right="379" w:firstLine="350"/>
        <w:spacing w:after="0" w:line="292" w:lineRule="auto"/>
        <w:rPr>
          <w:sz w:val="20"/>
          <w:szCs w:val="20"/>
          <w:color w:val="auto"/>
        </w:rPr>
      </w:pPr>
      <w:r>
        <w:rPr>
          <w:rFonts w:ascii="Times New Roman" w:cs="Times New Roman" w:eastAsia="Times New Roman" w:hAnsi="Times New Roman"/>
          <w:sz w:val="14"/>
          <w:szCs w:val="14"/>
          <w:color w:val="auto"/>
        </w:rPr>
        <w:t>Each Holder of a Security by his acceptance thereof authorizes and directs the Trustee on his behalf to take such action as may be necessary or appropriate to effectuate the subordination provided in this Article and appoints the Trustee his attorney-in-fact for any and all such purposes.</w:t>
      </w:r>
    </w:p>
    <w:p>
      <w:pPr>
        <w:spacing w:after="0" w:line="1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14.08 </w:t>
      </w:r>
      <w:r>
        <w:rPr>
          <w:rFonts w:ascii="Times New Roman" w:cs="Times New Roman" w:eastAsia="Times New Roman" w:hAnsi="Times New Roman"/>
          <w:sz w:val="14"/>
          <w:szCs w:val="14"/>
          <w:u w:val="single" w:color="auto"/>
          <w:color w:val="auto"/>
        </w:rPr>
        <w:t>NO WAIVER OF SUBORDINATION PROVISIONS.</w:t>
      </w:r>
    </w:p>
    <w:p>
      <w:pPr>
        <w:spacing w:after="0" w:line="182" w:lineRule="exact"/>
        <w:rPr>
          <w:sz w:val="20"/>
          <w:szCs w:val="20"/>
          <w:color w:val="auto"/>
        </w:rPr>
      </w:pPr>
    </w:p>
    <w:p>
      <w:pPr>
        <w:ind w:left="120" w:right="179" w:firstLine="350"/>
        <w:spacing w:after="0" w:line="268" w:lineRule="auto"/>
        <w:rPr>
          <w:sz w:val="20"/>
          <w:szCs w:val="20"/>
          <w:color w:val="auto"/>
        </w:rPr>
      </w:pPr>
      <w:r>
        <w:rPr>
          <w:rFonts w:ascii="Times New Roman" w:cs="Times New Roman" w:eastAsia="Times New Roman" w:hAnsi="Times New Roman"/>
          <w:sz w:val="14"/>
          <w:szCs w:val="14"/>
          <w:color w:val="auto"/>
        </w:rPr>
        <w:t>No right of any present or future holder of any Senior Debt to enforce subordination as herein provided shall at any time in any way be prejudiced or impaired by any act or failure to act on the part of the Company or by any act or failure to act, in good faith, by any such holder, or by any noncompliance by the Company with the terms, provisions and covenants of this Indenture, regardless of any knowledge thereof any such holder may have or be otherwise charged with.</w:t>
      </w:r>
    </w:p>
    <w:p>
      <w:pPr>
        <w:spacing w:after="0" w:line="139" w:lineRule="exact"/>
        <w:rPr>
          <w:sz w:val="20"/>
          <w:szCs w:val="20"/>
          <w:color w:val="auto"/>
        </w:rPr>
      </w:pPr>
    </w:p>
    <w:p>
      <w:pPr>
        <w:ind w:left="120" w:right="199" w:firstLine="350"/>
        <w:spacing w:after="0" w:line="259" w:lineRule="auto"/>
        <w:rPr>
          <w:sz w:val="20"/>
          <w:szCs w:val="20"/>
          <w:color w:val="auto"/>
        </w:rPr>
      </w:pPr>
      <w:r>
        <w:rPr>
          <w:rFonts w:ascii="Times New Roman" w:cs="Times New Roman" w:eastAsia="Times New Roman" w:hAnsi="Times New Roman"/>
          <w:sz w:val="14"/>
          <w:szCs w:val="14"/>
          <w:color w:val="auto"/>
        </w:rPr>
        <w:t>Without in any way limiting the generality of the foregoing paragraph, the holders of Senior Debt may, at any time and from time to time, without the consent of or notice to the Trustee or the Holders of the Securities, without incurring responsibility to the Holders of the Securities and without impairing or releasing the subordination provided in this Article or the obligations hereunder of the Holders of the Securities to the holders of Senior Debt, do any one or more of the following: (a) change the manner, place or terms of payment or extend the time of payment of, or renew, increase or alter, Senior Debt, or otherwise amend or supplement in any manner Senior Debt or any instrument evidencing the same or any agreement under which Senior Debt is outstanding; (b) sell, exchange, release or otherwise deal with any property pledged, mortgaged or otherwise securing Senior Debt;</w:t>
      </w:r>
    </w:p>
    <w:p>
      <w:pPr>
        <w:spacing w:after="0" w:line="1" w:lineRule="exact"/>
        <w:rPr>
          <w:sz w:val="20"/>
          <w:szCs w:val="20"/>
          <w:color w:val="auto"/>
        </w:rPr>
      </w:pPr>
    </w:p>
    <w:p>
      <w:pPr>
        <w:ind w:left="120" w:right="319" w:firstLine="7"/>
        <w:spacing w:after="0" w:line="271" w:lineRule="auto"/>
        <w:tabs>
          <w:tab w:leader="none" w:pos="314" w:val="left"/>
        </w:tabs>
        <w:numPr>
          <w:ilvl w:val="0"/>
          <w:numId w:val="1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release any Person liable in any manner for the payment or collection of Senior Debt; and (d) exercise or refrain from exercising any rights against the Company and any other Person.</w:t>
      </w:r>
    </w:p>
    <w:p>
      <w:pPr>
        <w:spacing w:after="0" w:line="13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14.09 </w:t>
      </w:r>
      <w:r>
        <w:rPr>
          <w:rFonts w:ascii="Times New Roman" w:cs="Times New Roman" w:eastAsia="Times New Roman" w:hAnsi="Times New Roman"/>
          <w:sz w:val="14"/>
          <w:szCs w:val="14"/>
          <w:u w:val="single" w:color="auto"/>
          <w:color w:val="auto"/>
        </w:rPr>
        <w:t>NOTICE TO TRUSTEE</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120" w:right="159" w:firstLine="350"/>
        <w:spacing w:after="0" w:line="259" w:lineRule="auto"/>
        <w:rPr>
          <w:sz w:val="20"/>
          <w:szCs w:val="20"/>
          <w:color w:val="auto"/>
        </w:rPr>
      </w:pPr>
      <w:r>
        <w:rPr>
          <w:rFonts w:ascii="Times New Roman" w:cs="Times New Roman" w:eastAsia="Times New Roman" w:hAnsi="Times New Roman"/>
          <w:sz w:val="14"/>
          <w:szCs w:val="14"/>
          <w:color w:val="auto"/>
        </w:rPr>
        <w:t xml:space="preserve">The Company shall give prompt written notice to the Trustee of any fact known to the Company which would prohibit the making of any payment to or by the Trustee in respect of the Securities. Notwithstanding the provisions of this Article or any other provision of this Indenture, the Trustee shall not be charged with knowledge of the existence of any facts which would prohibit the making of any payment to or by the Trustee in respect of the Securities, unless and until the Trustee shall have received written notice thereof from the Company or a holder of Senior Debt or from any trustee therefor; and, prior to the receipt of any such written notice, the Trustee, subject to the provisions of </w:t>
      </w:r>
      <w:r>
        <w:rPr>
          <w:rFonts w:ascii="Times New Roman" w:cs="Times New Roman" w:eastAsia="Times New Roman" w:hAnsi="Times New Roman"/>
          <w:sz w:val="14"/>
          <w:szCs w:val="14"/>
          <w:u w:val="single" w:color="auto"/>
          <w:color w:val="auto"/>
        </w:rPr>
        <w:t>Section 6.01</w:t>
      </w:r>
      <w:r>
        <w:rPr>
          <w:rFonts w:ascii="Times New Roman" w:cs="Times New Roman" w:eastAsia="Times New Roman" w:hAnsi="Times New Roman"/>
          <w:sz w:val="14"/>
          <w:szCs w:val="14"/>
          <w:color w:val="auto"/>
        </w:rPr>
        <w:t>, shall be entitled in all respects to assume that no such facts exist; provided, however, that if the Trustee shall not have received the notice provided for in this Section at least three Business Days prior to the date upon which by the terms hereof any money may become payable for any purpose (including, without limitation, the payment of the principal of (and premium, if any) or interest on any Security), then, anything herein contained to the contrary notwithstanding, the Trustee shall have full power and authority to receive such money and to apply the same to the purpose for which such money was received and shall not be affected by any notice to the contrary which may be received by it within three Business Days prior to such date.</w:t>
      </w:r>
    </w:p>
    <w:p>
      <w:pPr>
        <w:spacing w:after="0" w:line="151" w:lineRule="exact"/>
        <w:rPr>
          <w:sz w:val="20"/>
          <w:szCs w:val="20"/>
          <w:color w:val="auto"/>
        </w:rPr>
      </w:pPr>
    </w:p>
    <w:p>
      <w:pPr>
        <w:ind w:left="120" w:right="159" w:firstLine="350"/>
        <w:spacing w:after="0" w:line="271" w:lineRule="auto"/>
        <w:rPr>
          <w:sz w:val="20"/>
          <w:szCs w:val="20"/>
          <w:color w:val="auto"/>
        </w:rPr>
      </w:pPr>
      <w:r>
        <w:rPr>
          <w:rFonts w:ascii="Times New Roman" w:cs="Times New Roman" w:eastAsia="Times New Roman" w:hAnsi="Times New Roman"/>
          <w:sz w:val="14"/>
          <w:szCs w:val="14"/>
          <w:color w:val="auto"/>
        </w:rPr>
        <w:t xml:space="preserve">Subject to the provisions of </w:t>
      </w:r>
      <w:r>
        <w:rPr>
          <w:rFonts w:ascii="Times New Roman" w:cs="Times New Roman" w:eastAsia="Times New Roman" w:hAnsi="Times New Roman"/>
          <w:sz w:val="14"/>
          <w:szCs w:val="14"/>
          <w:u w:val="single" w:color="auto"/>
          <w:color w:val="auto"/>
        </w:rPr>
        <w:t>Section 6.01</w:t>
      </w:r>
      <w:r>
        <w:rPr>
          <w:rFonts w:ascii="Times New Roman" w:cs="Times New Roman" w:eastAsia="Times New Roman" w:hAnsi="Times New Roman"/>
          <w:sz w:val="14"/>
          <w:szCs w:val="14"/>
          <w:color w:val="auto"/>
        </w:rPr>
        <w:t>, the Trustee shall be entitled to rely on the delivery to it of a written notice by a Person representing himself to be a holder of Senior Debt (or a trustee therefor) to establish that such notice has been given by a holder of Senior Debt (or a trustee therefor). In the event that the Trustee determines in good faith that further evidence is required with respect to the right of any Person as a holder of Senior Debt to</w:t>
      </w: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52</w:t>
      </w:r>
    </w:p>
    <w:p>
      <w:pPr>
        <w:sectPr>
          <w:pgSz w:w="11900" w:h="16838" w:orient="portrait"/>
          <w:cols w:equalWidth="0" w:num="1">
            <w:col w:w="9019"/>
          </w:cols>
          <w:pgMar w:left="1440" w:top="243" w:right="1440" w:bottom="1440" w:gutter="0" w:footer="0" w:header="0"/>
        </w:sectPr>
      </w:pPr>
    </w:p>
    <w:bookmarkStart w:id="233" w:name="page234"/>
    <w:bookmarkEnd w:id="233"/>
    <w:p>
      <w:pPr>
        <w:ind w:left="120" w:right="179"/>
        <w:spacing w:after="0" w:line="26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4">
                      <a:extLst>
                        <a:ext uri="{28A0092B-C50C-407E-A947-70E740481C1C}"/>
                      </a:extLst>
                    </a:blip>
                    <a:srcRect/>
                    <a:stretch>
                      <a:fillRect/>
                    </a:stretch>
                  </pic:blipFill>
                  <pic:spPr bwMode="auto">
                    <a:xfrm>
                      <a:off x="0" y="0"/>
                      <a:ext cx="7199630" cy="33020"/>
                    </a:xfrm>
                    <a:prstGeom prst="rect">
                      <a:avLst/>
                    </a:prstGeom>
                    <a:noFill/>
                  </pic:spPr>
                </pic:pic>
              </a:graphicData>
            </a:graphic>
          </wp:anchor>
        </w:drawing>
        <w:t>participate in any payment or distribution pursuant to this Article, the Trustee may request such Person to furnish evidence to the reasonable satisfaction of the Trustee as to the amount of Senior Debt held by such Person, the extent to which such Person is entitled to participate in such payment or distribution and any other facts pertinent to the rights of such Person under this Article, and if such evidence is not furnished, the Trustee may defer any payment to such Person pending judicial determination as to the right of such Person to receive such payment.</w:t>
      </w:r>
    </w:p>
    <w:p>
      <w:pPr>
        <w:spacing w:after="0" w:line="1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14.10 </w:t>
      </w:r>
      <w:r>
        <w:rPr>
          <w:rFonts w:ascii="Times New Roman" w:cs="Times New Roman" w:eastAsia="Times New Roman" w:hAnsi="Times New Roman"/>
          <w:sz w:val="14"/>
          <w:szCs w:val="14"/>
          <w:u w:val="single" w:color="auto"/>
          <w:color w:val="auto"/>
        </w:rPr>
        <w:t>RELIANCE ON JUDICIAL ORDER OR CERTIFICATE OF LIQUIDATING AGENT</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120" w:right="159" w:firstLine="350"/>
        <w:spacing w:after="0" w:line="263" w:lineRule="auto"/>
        <w:rPr>
          <w:sz w:val="20"/>
          <w:szCs w:val="20"/>
          <w:color w:val="auto"/>
        </w:rPr>
      </w:pPr>
      <w:r>
        <w:rPr>
          <w:rFonts w:ascii="Times New Roman" w:cs="Times New Roman" w:eastAsia="Times New Roman" w:hAnsi="Times New Roman"/>
          <w:sz w:val="14"/>
          <w:szCs w:val="14"/>
          <w:color w:val="auto"/>
        </w:rPr>
        <w:t xml:space="preserve">Upon any payment or distribution of assets of the Company referred to in this Article, the Trustee, subject to the provisions of </w:t>
      </w:r>
      <w:r>
        <w:rPr>
          <w:rFonts w:ascii="Times New Roman" w:cs="Times New Roman" w:eastAsia="Times New Roman" w:hAnsi="Times New Roman"/>
          <w:sz w:val="14"/>
          <w:szCs w:val="14"/>
          <w:u w:val="single" w:color="auto"/>
          <w:color w:val="auto"/>
        </w:rPr>
        <w:t>Section 6.01</w:t>
      </w:r>
      <w:r>
        <w:rPr>
          <w:rFonts w:ascii="Times New Roman" w:cs="Times New Roman" w:eastAsia="Times New Roman" w:hAnsi="Times New Roman"/>
          <w:sz w:val="14"/>
          <w:szCs w:val="14"/>
          <w:color w:val="auto"/>
        </w:rPr>
        <w:t>, and the Holders of the Securities shall be entitled to rely upon any order or decree entered by any court of competent jurisdiction in which such Proceeding is pending, or a certificate of the trustee in bankruptcy, receiver, liquidating trustee, custodian, assignee for the benefit of creditors, agent or other Person making such payment or distribution, delivered to the Trustee or to the Holders of Securities, for the purpose of ascertaining the Persons entitled to participate in such payment or distribution, the holders of the Senior Debt and other indebtedness of the Company, the amount thereof or payable thereon, the amount or amounts paid or distributed thereon and all other facts pertinent thereto or to this Article.</w:t>
      </w:r>
    </w:p>
    <w:p>
      <w:pPr>
        <w:spacing w:after="0" w:line="1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14.11 </w:t>
      </w:r>
      <w:r>
        <w:rPr>
          <w:rFonts w:ascii="Times New Roman" w:cs="Times New Roman" w:eastAsia="Times New Roman" w:hAnsi="Times New Roman"/>
          <w:sz w:val="14"/>
          <w:szCs w:val="14"/>
          <w:u w:val="single" w:color="auto"/>
          <w:color w:val="auto"/>
        </w:rPr>
        <w:t>TRUSTEE NOT FIDUCIARY FOR HOLDERS OF SENIOR DEBT</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120" w:right="239" w:firstLine="350"/>
        <w:spacing w:after="0" w:line="274" w:lineRule="auto"/>
        <w:rPr>
          <w:sz w:val="20"/>
          <w:szCs w:val="20"/>
          <w:color w:val="auto"/>
        </w:rPr>
      </w:pPr>
      <w:r>
        <w:rPr>
          <w:rFonts w:ascii="Times New Roman" w:cs="Times New Roman" w:eastAsia="Times New Roman" w:hAnsi="Times New Roman"/>
          <w:sz w:val="14"/>
          <w:szCs w:val="14"/>
          <w:color w:val="auto"/>
        </w:rPr>
        <w:t>The Trustee shall not be deemed to owe any fiduciary duty to the holders of Senior Debt and shall not be liable to any such holders if it shall in good faith mistakenly pay over or distribute to Holders of Securities or to the Company or to any other Person cash, property or securities to which any holders of Senior Debt shall be entitled by virtue of this Article or otherwise.</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14.12 </w:t>
      </w:r>
      <w:r>
        <w:rPr>
          <w:rFonts w:ascii="Times New Roman" w:cs="Times New Roman" w:eastAsia="Times New Roman" w:hAnsi="Times New Roman"/>
          <w:sz w:val="14"/>
          <w:szCs w:val="14"/>
          <w:u w:val="single" w:color="auto"/>
          <w:color w:val="auto"/>
        </w:rPr>
        <w:t>RIGHTS OF TRUSTEE AS HOLDER OF SENIOR DEBT; PRESERVATION OF TRUSTEE’S RIGHTS</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jc w:val="both"/>
        <w:ind w:left="120" w:right="359" w:firstLine="350"/>
        <w:spacing w:after="0" w:line="274" w:lineRule="auto"/>
        <w:rPr>
          <w:sz w:val="20"/>
          <w:szCs w:val="20"/>
          <w:color w:val="auto"/>
        </w:rPr>
      </w:pPr>
      <w:r>
        <w:rPr>
          <w:rFonts w:ascii="Times New Roman" w:cs="Times New Roman" w:eastAsia="Times New Roman" w:hAnsi="Times New Roman"/>
          <w:sz w:val="14"/>
          <w:szCs w:val="14"/>
          <w:color w:val="auto"/>
        </w:rPr>
        <w:t>The Trustee in its individual capacity shall be entitled to all the rights set forth in this Article with respect to any Senior Debt which may at any time be held by it, to the same extent as any other holder of Senior Debt, and nothing in this Indenture shall deprive the Trustee of any of its rights as such holder.</w:t>
      </w:r>
    </w:p>
    <w:p>
      <w:pPr>
        <w:spacing w:after="0" w:line="13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 xml:space="preserve">Nothing in this Article shall apply to claims of, or payments to, the Trustee under or pursuant to </w:t>
      </w:r>
      <w:r>
        <w:rPr>
          <w:rFonts w:ascii="Times New Roman" w:cs="Times New Roman" w:eastAsia="Times New Roman" w:hAnsi="Times New Roman"/>
          <w:sz w:val="14"/>
          <w:szCs w:val="14"/>
          <w:u w:val="single" w:color="auto"/>
          <w:color w:val="auto"/>
        </w:rPr>
        <w:t>Section 6.07</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14.13 </w:t>
      </w:r>
      <w:r>
        <w:rPr>
          <w:rFonts w:ascii="Times New Roman" w:cs="Times New Roman" w:eastAsia="Times New Roman" w:hAnsi="Times New Roman"/>
          <w:sz w:val="14"/>
          <w:szCs w:val="14"/>
          <w:u w:val="single" w:color="auto"/>
          <w:color w:val="auto"/>
        </w:rPr>
        <w:t>ARTICLE APPLICABLE TO PAYING AGENTS</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120" w:right="219" w:firstLine="350"/>
        <w:spacing w:after="0" w:line="266" w:lineRule="auto"/>
        <w:rPr>
          <w:sz w:val="20"/>
          <w:szCs w:val="20"/>
          <w:color w:val="auto"/>
        </w:rPr>
      </w:pPr>
      <w:r>
        <w:rPr>
          <w:rFonts w:ascii="Times New Roman" w:cs="Times New Roman" w:eastAsia="Times New Roman" w:hAnsi="Times New Roman"/>
          <w:sz w:val="14"/>
          <w:szCs w:val="14"/>
          <w:color w:val="auto"/>
        </w:rPr>
        <w:t xml:space="preserve">In case at any time any Paying Agent other than the Trustee or its agent shall have been appointed by the Company and be then acting hereunder, the term “Trustee” as used in this Article shall in such case (unless the context otherwise requires) be construed as extending to and including such Paying Agent within its meaning as fully for all intents and purposes as if such Paying Agent were named in this Article in addition to or in place of the Trustee; provided, however, that </w:t>
      </w:r>
      <w:r>
        <w:rPr>
          <w:rFonts w:ascii="Times New Roman" w:cs="Times New Roman" w:eastAsia="Times New Roman" w:hAnsi="Times New Roman"/>
          <w:sz w:val="14"/>
          <w:szCs w:val="14"/>
          <w:u w:val="single" w:color="auto"/>
          <w:color w:val="auto"/>
        </w:rPr>
        <w:t>Section 14.13</w:t>
      </w:r>
      <w:r>
        <w:rPr>
          <w:rFonts w:ascii="Times New Roman" w:cs="Times New Roman" w:eastAsia="Times New Roman" w:hAnsi="Times New Roman"/>
          <w:sz w:val="14"/>
          <w:szCs w:val="14"/>
          <w:color w:val="auto"/>
        </w:rPr>
        <w:t xml:space="preserve"> shall not apply to the Company or any Affiliate of the Company if it or such Affiliate acts as Paying Agent.</w:t>
      </w:r>
    </w:p>
    <w:p>
      <w:pPr>
        <w:spacing w:after="0" w:line="3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Section 14.14 </w:t>
      </w:r>
      <w:r>
        <w:rPr>
          <w:rFonts w:ascii="Times New Roman" w:cs="Times New Roman" w:eastAsia="Times New Roman" w:hAnsi="Times New Roman"/>
          <w:sz w:val="14"/>
          <w:szCs w:val="14"/>
          <w:u w:val="single" w:color="auto"/>
          <w:color w:val="auto"/>
        </w:rPr>
        <w:t>DEFEASANCE OF THIS ARTICLE XIV</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120" w:right="279" w:firstLine="350"/>
        <w:spacing w:after="0" w:line="274" w:lineRule="auto"/>
        <w:rPr>
          <w:sz w:val="20"/>
          <w:szCs w:val="20"/>
          <w:color w:val="auto"/>
        </w:rPr>
      </w:pPr>
      <w:r>
        <w:rPr>
          <w:rFonts w:ascii="Times New Roman" w:cs="Times New Roman" w:eastAsia="Times New Roman" w:hAnsi="Times New Roman"/>
          <w:sz w:val="14"/>
          <w:szCs w:val="14"/>
          <w:color w:val="auto"/>
        </w:rPr>
        <w:t xml:space="preserve">The subordination of the Securities provided by this Article is expressly made subject to the provisions for defeasance or covenant defeasance in Article Four hereof and, anything herein to the contrary notwithstanding, upon the effectiveness of any such defeasance or covenant defeasance, the Securities then outstanding shall thereupon cease to be subordinated pursuant to this </w:t>
      </w:r>
      <w:r>
        <w:rPr>
          <w:rFonts w:ascii="Times New Roman" w:cs="Times New Roman" w:eastAsia="Times New Roman" w:hAnsi="Times New Roman"/>
          <w:sz w:val="14"/>
          <w:szCs w:val="14"/>
          <w:u w:val="single" w:color="auto"/>
          <w:color w:val="auto"/>
        </w:rPr>
        <w:t>Article XIV</w:t>
      </w:r>
      <w:r>
        <w:rPr>
          <w:rFonts w:ascii="Times New Roman" w:cs="Times New Roman" w:eastAsia="Times New Roman" w:hAnsi="Times New Roman"/>
          <w:sz w:val="14"/>
          <w:szCs w:val="14"/>
          <w:color w:val="auto"/>
        </w:rPr>
        <w:t>.</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ectPr>
          <w:pgSz w:w="11900" w:h="16838" w:orient="portrait"/>
          <w:cols w:equalWidth="0" w:num="1">
            <w:col w:w="9019"/>
          </w:cols>
          <w:pgMar w:left="1440" w:top="243" w:right="1440" w:bottom="1440" w:gutter="0" w:footer="0" w:header="0"/>
        </w:sectPr>
      </w:pPr>
    </w:p>
    <w:bookmarkStart w:id="234" w:name="page235"/>
    <w:bookmarkEnd w:id="234"/>
    <w:p>
      <w:pPr>
        <w:ind w:left="48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5">
                      <a:extLst>
                        <a:ext uri="{28A0092B-C50C-407E-A947-70E740481C1C}"/>
                      </a:extLst>
                    </a:blip>
                    <a:srcRect/>
                    <a:stretch>
                      <a:fillRect/>
                    </a:stretch>
                  </pic:blipFill>
                  <pic:spPr bwMode="auto">
                    <a:xfrm>
                      <a:off x="0" y="0"/>
                      <a:ext cx="7199630" cy="33020"/>
                    </a:xfrm>
                    <a:prstGeom prst="rect">
                      <a:avLst/>
                    </a:prstGeom>
                    <a:noFill/>
                  </pic:spPr>
                </pic:pic>
              </a:graphicData>
            </a:graphic>
          </wp:anchor>
        </w:drawing>
        <w:t>IN WITNESS WHEREOF, the parties hereto have caused this Indenture to be duly executed, all as of the day and year first above written.</w:t>
      </w:r>
    </w:p>
    <w:p>
      <w:pPr>
        <w:spacing w:after="0" w:line="2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THE GEO GROUP, INC.</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By:</w:t>
      </w:r>
    </w:p>
    <w:p>
      <w:pPr>
        <w:spacing w:after="0" w:line="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wp:posOffset>
            </wp:positionH>
            <wp:positionV relativeFrom="paragraph">
              <wp:posOffset>-100965</wp:posOffset>
            </wp:positionV>
            <wp:extent cx="2064385" cy="698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6">
                      <a:extLst>
                        <a:ext uri="{28A0092B-C50C-407E-A947-70E740481C1C}"/>
                      </a:extLst>
                    </a:blip>
                    <a:srcRect/>
                    <a:stretch>
                      <a:fillRect/>
                    </a:stretch>
                  </pic:blipFill>
                  <pic:spPr bwMode="auto">
                    <a:xfrm>
                      <a:off x="0" y="0"/>
                      <a:ext cx="2064385" cy="6985"/>
                    </a:xfrm>
                    <a:prstGeom prst="rect">
                      <a:avLst/>
                    </a:prstGeom>
                    <a:noFill/>
                  </pic:spPr>
                </pic:pic>
              </a:graphicData>
            </a:graphic>
          </wp:anchor>
        </w:drawing>
      </w:r>
    </w:p>
    <w:p>
      <w:pPr>
        <w:spacing w:after="0" w:line="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Title:</w:t>
      </w:r>
    </w:p>
    <w:p>
      <w:pPr>
        <w:spacing w:after="0" w:line="1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 xml:space="preserve">ANKURA TRUST COMPANY, LLC, </w:t>
      </w:r>
      <w:r>
        <w:rPr>
          <w:rFonts w:ascii="Times New Roman" w:cs="Times New Roman" w:eastAsia="Times New Roman" w:hAnsi="Times New Roman"/>
          <w:sz w:val="14"/>
          <w:szCs w:val="14"/>
          <w:color w:val="auto"/>
        </w:rPr>
        <w:t>as Trustee</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By:</w:t>
      </w:r>
    </w:p>
    <w:p>
      <w:pPr>
        <w:spacing w:after="0" w:line="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wp:posOffset>
            </wp:positionH>
            <wp:positionV relativeFrom="paragraph">
              <wp:posOffset>-100965</wp:posOffset>
            </wp:positionV>
            <wp:extent cx="2064385" cy="698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7">
                      <a:extLst>
                        <a:ext uri="{28A0092B-C50C-407E-A947-70E740481C1C}"/>
                      </a:extLst>
                    </a:blip>
                    <a:srcRect/>
                    <a:stretch>
                      <a:fillRect/>
                    </a:stretch>
                  </pic:blipFill>
                  <pic:spPr bwMode="auto">
                    <a:xfrm>
                      <a:off x="0" y="0"/>
                      <a:ext cx="2064385" cy="6985"/>
                    </a:xfrm>
                    <a:prstGeom prst="rect">
                      <a:avLst/>
                    </a:prstGeom>
                    <a:noFill/>
                  </pic:spPr>
                </pic:pic>
              </a:graphicData>
            </a:graphic>
          </wp:anchor>
        </w:drawing>
      </w:r>
    </w:p>
    <w:p>
      <w:pPr>
        <w:spacing w:after="0" w:line="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Title:</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54</w:t>
      </w:r>
    </w:p>
    <w:p>
      <w:pPr>
        <w:sectPr>
          <w:pgSz w:w="11900" w:h="16838" w:orient="portrait"/>
          <w:cols w:equalWidth="0" w:num="1">
            <w:col w:w="9019"/>
          </w:cols>
          <w:pgMar w:left="1440" w:top="243" w:right="1440" w:bottom="1440" w:gutter="0" w:footer="0" w:header="0"/>
        </w:sectPr>
      </w:pPr>
    </w:p>
    <w:bookmarkStart w:id="235" w:name="page236"/>
    <w:bookmarkEnd w:id="235"/>
    <w:p>
      <w:pPr>
        <w:jc w:val="right"/>
        <w:ind w:right="139"/>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8">
                      <a:extLst>
                        <a:ext uri="{28A0092B-C50C-407E-A947-70E740481C1C}"/>
                      </a:extLst>
                    </a:blip>
                    <a:srcRect/>
                    <a:stretch>
                      <a:fillRect/>
                    </a:stretch>
                  </pic:blipFill>
                  <pic:spPr bwMode="auto">
                    <a:xfrm>
                      <a:off x="0" y="0"/>
                      <a:ext cx="7199630" cy="33020"/>
                    </a:xfrm>
                    <a:prstGeom prst="rect">
                      <a:avLst/>
                    </a:prstGeom>
                    <a:noFill/>
                  </pic:spPr>
                </pic:pic>
              </a:graphicData>
            </a:graphic>
          </wp:anchor>
        </w:drawing>
        <w:t>EXHIBIT A</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[Legend if Security is a Global Security]</w:t>
      </w:r>
    </w:p>
    <w:p>
      <w:pPr>
        <w:spacing w:after="0" w:line="182" w:lineRule="exact"/>
        <w:rPr>
          <w:sz w:val="20"/>
          <w:szCs w:val="20"/>
          <w:color w:val="auto"/>
        </w:rPr>
      </w:pPr>
    </w:p>
    <w:p>
      <w:pPr>
        <w:ind w:left="120" w:right="159"/>
        <w:spacing w:after="0" w:line="265" w:lineRule="auto"/>
        <w:rPr>
          <w:sz w:val="20"/>
          <w:szCs w:val="20"/>
          <w:color w:val="auto"/>
        </w:rPr>
      </w:pPr>
      <w:r>
        <w:rPr>
          <w:rFonts w:ascii="Times New Roman" w:cs="Times New Roman" w:eastAsia="Times New Roman" w:hAnsi="Times New Roman"/>
          <w:sz w:val="14"/>
          <w:szCs w:val="14"/>
          <w:color w:val="auto"/>
        </w:rPr>
        <w:t xml:space="preserve">THIS SECURITY IS A GLOBAL SECURITY WITHIN THE MEANING OF THE INDENTURE HEREINAFTER REFERRED TO AND IS REGISTERED IN THE NAME OF A DEPOSITARY OR A NOMINEE OF A DEPOSITARY OR A SUCCESSOR DEPOSITARY. TRANSFERS OF THIS GLOBAL SECURITY SHALL BE LIMITED TO TRANSFERS IN WHOLE, BUT NOT IN PART, TO NOMINEES OF CEDE &amp; CO. OR TO A SUCCESSOR THEREOF OR SUCH SUCCESSOR’S NOMINEE AND TRANSFERS OF PORTIONS OF THIS GLOBAL SECURITY SHALL BE LIMITED TO TRANSFERS MADE IN ACCORDANCE WITH THE RESTRICTIONS SET FORTH IN </w:t>
      </w:r>
      <w:r>
        <w:rPr>
          <w:rFonts w:ascii="Times New Roman" w:cs="Times New Roman" w:eastAsia="Times New Roman" w:hAnsi="Times New Roman"/>
          <w:sz w:val="14"/>
          <w:szCs w:val="14"/>
          <w:u w:val="single" w:color="auto"/>
          <w:color w:val="auto"/>
        </w:rPr>
        <w:t>SECTION 3.06</w:t>
      </w:r>
      <w:r>
        <w:rPr>
          <w:rFonts w:ascii="Times New Roman" w:cs="Times New Roman" w:eastAsia="Times New Roman" w:hAnsi="Times New Roman"/>
          <w:sz w:val="14"/>
          <w:szCs w:val="14"/>
          <w:color w:val="auto"/>
        </w:rPr>
        <w:t xml:space="preserve"> OF THE INDENTURE.</w:t>
      </w:r>
    </w:p>
    <w:p>
      <w:pPr>
        <w:spacing w:after="0" w:line="141" w:lineRule="exact"/>
        <w:rPr>
          <w:sz w:val="20"/>
          <w:szCs w:val="20"/>
          <w:color w:val="auto"/>
        </w:rPr>
      </w:pPr>
    </w:p>
    <w:p>
      <w:pPr>
        <w:ind w:left="120" w:right="199"/>
        <w:spacing w:after="0" w:line="261" w:lineRule="auto"/>
        <w:rPr>
          <w:sz w:val="20"/>
          <w:szCs w:val="20"/>
          <w:color w:val="auto"/>
        </w:rPr>
      </w:pPr>
      <w:r>
        <w:rPr>
          <w:rFonts w:ascii="Times New Roman" w:cs="Times New Roman" w:eastAsia="Times New Roman" w:hAnsi="Times New Roman"/>
          <w:sz w:val="14"/>
          <w:szCs w:val="14"/>
          <w:color w:val="auto"/>
        </w:rPr>
        <w:t>UNLESS THIS CERTIFICATE IS PRESENTED BY AN AUTHORIZED REPRESENTATIVE OF THE DEPOSITORY TRUST COMPANY, A NEW YORK CORPORATION (“</w:t>
      </w:r>
      <w:r>
        <w:rPr>
          <w:rFonts w:ascii="Times New Roman" w:cs="Times New Roman" w:eastAsia="Times New Roman" w:hAnsi="Times New Roman"/>
          <w:sz w:val="14"/>
          <w:szCs w:val="14"/>
          <w:u w:val="single" w:color="auto"/>
          <w:color w:val="auto"/>
        </w:rPr>
        <w:t>DTC</w:t>
      </w:r>
      <w:r>
        <w:rPr>
          <w:rFonts w:ascii="Times New Roman" w:cs="Times New Roman" w:eastAsia="Times New Roman" w:hAnsi="Times New Roman"/>
          <w:sz w:val="14"/>
          <w:szCs w:val="14"/>
          <w:color w:val="auto"/>
        </w:rPr>
        <w:t>”), TO THE COMPANY OR ITS AGENT FOR REGISTRATION OF TRANSFER, EXCHANGE, OR PAYMENT AND ANY SUCH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GEO GROUP, INC.</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NOTE DUE</w:t>
      </w:r>
    </w:p>
    <w:p>
      <w:pPr>
        <w:spacing w:after="0" w:line="182" w:lineRule="exact"/>
        <w:rPr>
          <w:sz w:val="20"/>
          <w:szCs w:val="20"/>
          <w:color w:val="auto"/>
        </w:rPr>
      </w:pPr>
    </w:p>
    <w:p>
      <w:pPr>
        <w:jc w:val="right"/>
        <w:ind w:right="139"/>
        <w:spacing w:after="0"/>
        <w:rPr>
          <w:sz w:val="20"/>
          <w:szCs w:val="20"/>
          <w:color w:val="auto"/>
        </w:rPr>
      </w:pPr>
      <w:r>
        <w:rPr>
          <w:rFonts w:ascii="Times New Roman" w:cs="Times New Roman" w:eastAsia="Times New Roman" w:hAnsi="Times New Roman"/>
          <w:sz w:val="14"/>
          <w:szCs w:val="14"/>
          <w:color w:val="auto"/>
        </w:rPr>
        <w:t>CUSIP NO.</w:t>
      </w:r>
    </w:p>
    <w:p>
      <w:pPr>
        <w:spacing w:after="0" w:line="182" w:lineRule="exact"/>
        <w:rPr>
          <w:sz w:val="20"/>
          <w:szCs w:val="20"/>
          <w:color w:val="auto"/>
        </w:rPr>
      </w:pPr>
    </w:p>
    <w:p>
      <w:pPr>
        <w:jc w:val="right"/>
        <w:ind w:right="139"/>
        <w:spacing w:after="0"/>
        <w:rPr>
          <w:sz w:val="20"/>
          <w:szCs w:val="20"/>
          <w:color w:val="auto"/>
        </w:rPr>
      </w:pPr>
      <w:r>
        <w:rPr>
          <w:rFonts w:ascii="Times New Roman" w:cs="Times New Roman" w:eastAsia="Times New Roman" w:hAnsi="Times New Roman"/>
          <w:sz w:val="14"/>
          <w:szCs w:val="14"/>
          <w:color w:val="auto"/>
        </w:rPr>
        <w:t>$</w:t>
      </w:r>
    </w:p>
    <w:p>
      <w:pPr>
        <w:spacing w:after="0" w:line="1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No.:</w:t>
      </w:r>
    </w:p>
    <w:p>
      <w:pPr>
        <w:spacing w:after="0" w:line="97" w:lineRule="exact"/>
        <w:rPr>
          <w:sz w:val="20"/>
          <w:szCs w:val="20"/>
          <w:color w:val="auto"/>
        </w:rPr>
      </w:pPr>
    </w:p>
    <w:p>
      <w:pPr>
        <w:ind w:left="120" w:right="179" w:firstLine="350"/>
        <w:spacing w:after="0" w:line="265" w:lineRule="auto"/>
        <w:rPr>
          <w:sz w:val="20"/>
          <w:szCs w:val="20"/>
          <w:color w:val="auto"/>
        </w:rPr>
      </w:pPr>
      <w:r>
        <w:rPr>
          <w:rFonts w:ascii="Times New Roman" w:cs="Times New Roman" w:eastAsia="Times New Roman" w:hAnsi="Times New Roman"/>
          <w:sz w:val="14"/>
          <w:szCs w:val="14"/>
          <w:color w:val="auto"/>
        </w:rPr>
        <w:t>The GEO Group, Inc., a Florida corporation (herein called the “Company,” which term includes any successor Person under the Indenture hereinafter referred to), for value received, hereby promises to pay to CEDE &amp; CO., or registered assigns, the principal sum of ($ ) United States dollars on, at the office or agency of the Company referred to below, and to pay interest thereon from, or from the most recent Interest Payment Date to which interest has been paid or duly provided for, semiannually on and in each year, commencing at the rate of (%) per annum, in United States dollars, until the principal hereof is paid or duly provided for. Interest shall be computed on the basis of a 360-day year comprised of twelve 30-day months.</w:t>
      </w:r>
    </w:p>
    <w:p>
      <w:pPr>
        <w:spacing w:after="0" w:line="141" w:lineRule="exact"/>
        <w:rPr>
          <w:sz w:val="20"/>
          <w:szCs w:val="20"/>
          <w:color w:val="auto"/>
        </w:rPr>
      </w:pPr>
    </w:p>
    <w:p>
      <w:pPr>
        <w:ind w:left="120" w:right="159" w:firstLine="350"/>
        <w:spacing w:after="0" w:line="259" w:lineRule="auto"/>
        <w:rPr>
          <w:sz w:val="20"/>
          <w:szCs w:val="20"/>
          <w:color w:val="auto"/>
        </w:rPr>
      </w:pPr>
      <w:r>
        <w:rPr>
          <w:rFonts w:ascii="Times New Roman" w:cs="Times New Roman" w:eastAsia="Times New Roman" w:hAnsi="Times New Roman"/>
          <w:sz w:val="14"/>
          <w:szCs w:val="14"/>
          <w:color w:val="auto"/>
        </w:rPr>
        <w:t>The Company shall pay interest semi-annually in arrears on and of each year, or if any such day is not a Business Day, on the next succeeding Business Day (each an “Interest Payment Date”). The interest so payable, and punctually paid or duly provided for, on any Interest Payment Date will, as provided in such Indenture, be paid to the Person in whose name this Security is registered at the close of business on the Regular Record Date for such interest, which shall be the or (whether or not a Business Day), as the case may be, next preceding such Interest Payment Date. Any such interest not so punctually paid, or duly provided for, and interest on such defaulted interest at the interest rate borne by the Securities, to the extent lawful, shall forthwith cease to be payable to the Holder on such Regular Record Date, and may either be paid to the Person in whose name this Security (or any Predecessor Securities) is registered at the close of business on a Special Record Date for the payment of such defaulted interest to be fixed by the Trustee, notice thereof shall be given to Holders of Securities not less than 10 days prior to such Special Record Date, or be paid at any time in any other lawful manner not inconsistent with the requirements of any securities exchange on which the Securities may be listed, and upon such notice as may be required by such exchange, all as more fully provided in this Indenture.</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A-1</w:t>
      </w:r>
    </w:p>
    <w:p>
      <w:pPr>
        <w:sectPr>
          <w:pgSz w:w="11900" w:h="16838" w:orient="portrait"/>
          <w:cols w:equalWidth="0" w:num="1">
            <w:col w:w="9019"/>
          </w:cols>
          <w:pgMar w:left="1440" w:top="243" w:right="1440" w:bottom="1440" w:gutter="0" w:footer="0" w:header="0"/>
        </w:sectPr>
      </w:pPr>
    </w:p>
    <w:bookmarkStart w:id="236" w:name="page237"/>
    <w:bookmarkEnd w:id="236"/>
    <w:p>
      <w:pPr>
        <w:ind w:left="120" w:right="239" w:firstLine="350"/>
        <w:spacing w:after="0" w:line="26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9">
                      <a:extLst>
                        <a:ext uri="{28A0092B-C50C-407E-A947-70E740481C1C}"/>
                      </a:extLst>
                    </a:blip>
                    <a:srcRect/>
                    <a:stretch>
                      <a:fillRect/>
                    </a:stretch>
                  </pic:blipFill>
                  <pic:spPr bwMode="auto">
                    <a:xfrm>
                      <a:off x="0" y="0"/>
                      <a:ext cx="7199630" cy="33020"/>
                    </a:xfrm>
                    <a:prstGeom prst="rect">
                      <a:avLst/>
                    </a:prstGeom>
                    <a:noFill/>
                  </pic:spPr>
                </pic:pic>
              </a:graphicData>
            </a:graphic>
          </wp:anchor>
        </w:drawing>
        <w:t>Payment of the principal of, premium, if any, and interest on, this Security, and exchange or transfer of this Security, will be made at the office or agency of the Company in continental United States maintained for such purpose (which initially will be a Corporate Trust Office of the Paying Agent and Security Registrar), or at such other office or agency as may be maintained for such purpose, in such coin or currency of the United States of America as at the time of payment is legal tender for payment of public and private debts; provided, however, that payment of interest may be made at the option of the Company by check mailed to the address of the Person entitled thereto as such address shall appear on the Security Register.</w:t>
      </w:r>
    </w:p>
    <w:p>
      <w:pPr>
        <w:spacing w:after="0" w:line="141" w:lineRule="exact"/>
        <w:rPr>
          <w:sz w:val="20"/>
          <w:szCs w:val="20"/>
          <w:color w:val="auto"/>
        </w:rPr>
      </w:pPr>
    </w:p>
    <w:p>
      <w:pPr>
        <w:ind w:left="120" w:right="279" w:firstLine="350"/>
        <w:spacing w:after="0" w:line="292" w:lineRule="auto"/>
        <w:rPr>
          <w:sz w:val="20"/>
          <w:szCs w:val="20"/>
          <w:color w:val="auto"/>
        </w:rPr>
      </w:pPr>
      <w:r>
        <w:rPr>
          <w:rFonts w:ascii="Times New Roman" w:cs="Times New Roman" w:eastAsia="Times New Roman" w:hAnsi="Times New Roman"/>
          <w:sz w:val="14"/>
          <w:szCs w:val="14"/>
          <w:color w:val="auto"/>
        </w:rPr>
        <w:t>Reference is hereby made to the further provisions of this Security set forth on the reverse hereof, which further provisions shall for all purposes have the same effect as if set forth at this place.</w:t>
      </w:r>
    </w:p>
    <w:p>
      <w:pPr>
        <w:spacing w:after="0" w:line="123" w:lineRule="exact"/>
        <w:rPr>
          <w:sz w:val="20"/>
          <w:szCs w:val="20"/>
          <w:color w:val="auto"/>
        </w:rPr>
      </w:pPr>
    </w:p>
    <w:p>
      <w:pPr>
        <w:jc w:val="both"/>
        <w:ind w:left="120" w:right="399" w:firstLine="350"/>
        <w:spacing w:after="0" w:line="274" w:lineRule="auto"/>
        <w:rPr>
          <w:sz w:val="20"/>
          <w:szCs w:val="20"/>
          <w:color w:val="auto"/>
        </w:rPr>
      </w:pPr>
      <w:r>
        <w:rPr>
          <w:rFonts w:ascii="Times New Roman" w:cs="Times New Roman" w:eastAsia="Times New Roman" w:hAnsi="Times New Roman"/>
          <w:sz w:val="14"/>
          <w:szCs w:val="14"/>
          <w:color w:val="auto"/>
        </w:rPr>
        <w:t>Unless the certificate of authentication hereon has been duly executed by the Trustee referred to on the reverse hereof or by the Authenticating Agent appointed as provided in the Indenture by manual signature of an authorized signer, this Security shall not be entitled to any benefit under the Indenture, or be valid or obligatory for any purpose.</w:t>
      </w:r>
    </w:p>
    <w:p>
      <w:pPr>
        <w:spacing w:after="0" w:line="135" w:lineRule="exact"/>
        <w:rPr>
          <w:sz w:val="20"/>
          <w:szCs w:val="20"/>
          <w:color w:val="auto"/>
        </w:rPr>
      </w:pPr>
    </w:p>
    <w:p>
      <w:pPr>
        <w:jc w:val="both"/>
        <w:ind w:left="120" w:right="399" w:firstLine="350"/>
        <w:spacing w:after="0" w:line="292" w:lineRule="auto"/>
        <w:rPr>
          <w:sz w:val="20"/>
          <w:szCs w:val="20"/>
          <w:color w:val="auto"/>
        </w:rPr>
      </w:pPr>
      <w:r>
        <w:rPr>
          <w:rFonts w:ascii="Times New Roman" w:cs="Times New Roman" w:eastAsia="Times New Roman" w:hAnsi="Times New Roman"/>
          <w:sz w:val="14"/>
          <w:szCs w:val="14"/>
          <w:color w:val="auto"/>
        </w:rPr>
        <w:t>IN WITNESS WHEREOF, the Company has caused this instrument to be duly executed by the manual or facsimile signature of its authorized officer.</w:t>
      </w:r>
    </w:p>
    <w:p>
      <w:pPr>
        <w:spacing w:after="0" w:line="1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THE GEO GROUP, INC.</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By:</w:t>
      </w:r>
    </w:p>
    <w:p>
      <w:pPr>
        <w:spacing w:after="0" w:line="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wp:posOffset>
            </wp:positionH>
            <wp:positionV relativeFrom="paragraph">
              <wp:posOffset>-100965</wp:posOffset>
            </wp:positionV>
            <wp:extent cx="2064385" cy="698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0">
                      <a:extLst>
                        <a:ext uri="{28A0092B-C50C-407E-A947-70E740481C1C}"/>
                      </a:extLst>
                    </a:blip>
                    <a:srcRect/>
                    <a:stretch>
                      <a:fillRect/>
                    </a:stretch>
                  </pic:blipFill>
                  <pic:spPr bwMode="auto">
                    <a:xfrm>
                      <a:off x="0" y="0"/>
                      <a:ext cx="2064385" cy="6985"/>
                    </a:xfrm>
                    <a:prstGeom prst="rect">
                      <a:avLst/>
                    </a:prstGeom>
                    <a:noFill/>
                  </pic:spPr>
                </pic:pic>
              </a:graphicData>
            </a:graphic>
          </wp:anchor>
        </w:drawing>
      </w:r>
    </w:p>
    <w:p>
      <w:pPr>
        <w:spacing w:after="0" w:line="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Title:</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TRUSTEE’S CERTIFICATE OF AUTHENTICATION</w:t>
      </w:r>
    </w:p>
    <w:p>
      <w:pPr>
        <w:spacing w:after="0" w:line="18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This is one of the (%) Notes due referred to in the within-mentioned Indenture (as such Indenture may be supplemented or amended).</w:t>
      </w:r>
    </w:p>
    <w:p>
      <w:pPr>
        <w:spacing w:after="0" w:line="2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ANKURA TRUST COMPANY, LLC, AS TRUSTEE</w:t>
      </w:r>
    </w:p>
    <w:p>
      <w:pPr>
        <w:spacing w:after="0" w:line="1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By:</w:t>
      </w:r>
    </w:p>
    <w:p>
      <w:pPr>
        <w:spacing w:after="0" w:line="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wp:posOffset>
            </wp:positionH>
            <wp:positionV relativeFrom="paragraph">
              <wp:posOffset>-100965</wp:posOffset>
            </wp:positionV>
            <wp:extent cx="2064385" cy="698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1">
                      <a:extLst>
                        <a:ext uri="{28A0092B-C50C-407E-A947-70E740481C1C}"/>
                      </a:extLst>
                    </a:blip>
                    <a:srcRect/>
                    <a:stretch>
                      <a:fillRect/>
                    </a:stretch>
                  </pic:blipFill>
                  <pic:spPr bwMode="auto">
                    <a:xfrm>
                      <a:off x="0" y="0"/>
                      <a:ext cx="2064385" cy="6985"/>
                    </a:xfrm>
                    <a:prstGeom prst="rect">
                      <a:avLst/>
                    </a:prstGeom>
                    <a:noFill/>
                  </pic:spPr>
                </pic:pic>
              </a:graphicData>
            </a:graphic>
          </wp:anchor>
        </w:drawing>
      </w:r>
    </w:p>
    <w:p>
      <w:pPr>
        <w:spacing w:after="0" w:line="15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Dated:</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A-2</w:t>
      </w:r>
    </w:p>
    <w:p>
      <w:pPr>
        <w:sectPr>
          <w:pgSz w:w="11900" w:h="16838" w:orient="portrait"/>
          <w:cols w:equalWidth="0" w:num="1">
            <w:col w:w="9019"/>
          </w:cols>
          <w:pgMar w:left="1440" w:top="243" w:right="1440" w:bottom="1440" w:gutter="0" w:footer="0" w:header="0"/>
        </w:sectPr>
      </w:pPr>
    </w:p>
    <w:bookmarkStart w:id="237" w:name="page238"/>
    <w:bookmarkEnd w:id="237"/>
    <w:p>
      <w:pPr>
        <w:jc w:val="center"/>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2">
                      <a:extLst>
                        <a:ext uri="{28A0092B-C50C-407E-A947-70E740481C1C}"/>
                      </a:extLst>
                    </a:blip>
                    <a:srcRect/>
                    <a:stretch>
                      <a:fillRect/>
                    </a:stretch>
                  </pic:blipFill>
                  <pic:spPr bwMode="auto">
                    <a:xfrm>
                      <a:off x="0" y="0"/>
                      <a:ext cx="7199630" cy="33020"/>
                    </a:xfrm>
                    <a:prstGeom prst="rect">
                      <a:avLst/>
                    </a:prstGeom>
                    <a:noFill/>
                  </pic:spPr>
                </pic:pic>
              </a:graphicData>
            </a:graphic>
          </wp:anchor>
        </w:drawing>
        <w:t>[FORM OF REVERSE SIDE OF SECURITY]*</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GEO GROUP, INC.</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Note due</w:t>
      </w:r>
    </w:p>
    <w:p>
      <w:pPr>
        <w:spacing w:after="0" w:line="1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This Security is one of a duly authorized issue of Securities of the Company designated as its (%) Notes due (herein called the “</w:t>
      </w:r>
      <w:r>
        <w:rPr>
          <w:rFonts w:ascii="Times New Roman" w:cs="Times New Roman" w:eastAsia="Times New Roman" w:hAnsi="Times New Roman"/>
          <w:sz w:val="14"/>
          <w:szCs w:val="14"/>
          <w:u w:val="single" w:color="auto"/>
          <w:color w:val="auto"/>
        </w:rPr>
        <w:t>Securities</w:t>
      </w:r>
      <w:r>
        <w:rPr>
          <w:rFonts w:ascii="Times New Roman" w:cs="Times New Roman" w:eastAsia="Times New Roman" w:hAnsi="Times New Roman"/>
          <w:sz w:val="14"/>
          <w:szCs w:val="14"/>
          <w:color w:val="auto"/>
        </w:rPr>
        <w:t>”),</w:t>
      </w:r>
    </w:p>
    <w:p>
      <w:pPr>
        <w:spacing w:after="0" w:line="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limited (except as otherwise provided in the Indenture referred to below) in aggregate principal amount to ($ ), issued under and subject to the terms of</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an indenture (herein called the “</w:t>
      </w:r>
      <w:r>
        <w:rPr>
          <w:rFonts w:ascii="Times New Roman" w:cs="Times New Roman" w:eastAsia="Times New Roman" w:hAnsi="Times New Roman"/>
          <w:sz w:val="14"/>
          <w:szCs w:val="14"/>
          <w:u w:val="single" w:color="auto"/>
          <w:color w:val="auto"/>
        </w:rPr>
        <w:t>Indenture</w:t>
      </w:r>
      <w:r>
        <w:rPr>
          <w:rFonts w:ascii="Times New Roman" w:cs="Times New Roman" w:eastAsia="Times New Roman" w:hAnsi="Times New Roman"/>
          <w:sz w:val="14"/>
          <w:szCs w:val="14"/>
          <w:color w:val="auto"/>
        </w:rPr>
        <w:t>”) dated as of , , between the Company and Ankura Trust Company, LLC, as trustee (herein called the</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Trustee</w:t>
      </w:r>
      <w:r>
        <w:rPr>
          <w:rFonts w:ascii="Times New Roman" w:cs="Times New Roman" w:eastAsia="Times New Roman" w:hAnsi="Times New Roman"/>
          <w:sz w:val="14"/>
          <w:szCs w:val="14"/>
          <w:color w:val="auto"/>
        </w:rPr>
        <w:t>,” which term includes any successor trustee under the Indenture), to which Indenture and all indentures supplemental thereto reference is</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hereby made for a statement of the respective rights, limitations of rights, duties, obligations and immunities thereunder of the Company, the Trustee and</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the Holders of the Securities, and of the terms upon which the Securities are, and are to be, authenticated and delivered.</w:t>
      </w:r>
    </w:p>
    <w:p>
      <w:pPr>
        <w:spacing w:after="0" w:line="169" w:lineRule="exact"/>
        <w:rPr>
          <w:sz w:val="20"/>
          <w:szCs w:val="20"/>
          <w:color w:val="auto"/>
        </w:rPr>
      </w:pPr>
    </w:p>
    <w:p>
      <w:pPr>
        <w:ind w:left="120" w:right="379" w:firstLine="350"/>
        <w:spacing w:after="0" w:line="274" w:lineRule="auto"/>
        <w:rPr>
          <w:sz w:val="20"/>
          <w:szCs w:val="20"/>
          <w:color w:val="auto"/>
        </w:rPr>
      </w:pPr>
      <w:r>
        <w:rPr>
          <w:rFonts w:ascii="Times New Roman" w:cs="Times New Roman" w:eastAsia="Times New Roman" w:hAnsi="Times New Roman"/>
          <w:sz w:val="14"/>
          <w:szCs w:val="14"/>
          <w:color w:val="auto"/>
        </w:rPr>
        <w:t>If less than all of the applicable series of Securities are to be redeemed, the particular Securities or portions thereof to be redeemed shall be selected not more than 60 nor less than 30 days prior to the Redemption Date. If less than all of the Securities of any series are to be redeemed at any time, the Trustee shall select Securities of such series for redemption as follows:</w:t>
      </w:r>
    </w:p>
    <w:p>
      <w:pPr>
        <w:spacing w:after="0" w:line="49" w:lineRule="exact"/>
        <w:rPr>
          <w:sz w:val="20"/>
          <w:szCs w:val="20"/>
          <w:color w:val="auto"/>
        </w:rPr>
      </w:pPr>
    </w:p>
    <w:p>
      <w:pPr>
        <w:ind w:left="120" w:right="679" w:firstLine="357"/>
        <w:spacing w:after="0" w:line="292" w:lineRule="auto"/>
        <w:tabs>
          <w:tab w:leader="none" w:pos="672" w:val="left"/>
        </w:tabs>
        <w:numPr>
          <w:ilvl w:val="0"/>
          <w:numId w:val="1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Securities are listed on any national securities exchange, in compliance with the requirements of the principal national securities exchange on which the Securities are listed; or</w:t>
      </w:r>
    </w:p>
    <w:p>
      <w:pPr>
        <w:spacing w:after="0" w:line="123" w:lineRule="exact"/>
        <w:rPr>
          <w:rFonts w:ascii="Times New Roman" w:cs="Times New Roman" w:eastAsia="Times New Roman" w:hAnsi="Times New Roman"/>
          <w:sz w:val="14"/>
          <w:szCs w:val="14"/>
          <w:color w:val="auto"/>
        </w:rPr>
      </w:pPr>
    </w:p>
    <w:p>
      <w:pPr>
        <w:ind w:left="120" w:right="159" w:firstLine="357"/>
        <w:spacing w:after="0" w:line="268" w:lineRule="auto"/>
        <w:tabs>
          <w:tab w:leader="none" w:pos="672" w:val="left"/>
        </w:tabs>
        <w:numPr>
          <w:ilvl w:val="0"/>
          <w:numId w:val="1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Securities are not listed on any national securities exchange, on a pro rata basis (based on amounts tendered), by lot or by such method as the Trustee deems fair and appropriate in accordance with DTC procedures. No Securities of $2,000 or less can be redeemed in part. The amounts to be redeemed shall be equal to $2,000 or any integral multiples of $1,000 in excess thereof, unless provided otherwise in any supplemental indenture with respect to any particular series of Securities.</w:t>
      </w:r>
    </w:p>
    <w:p>
      <w:pPr>
        <w:spacing w:after="0" w:line="139" w:lineRule="exact"/>
        <w:rPr>
          <w:sz w:val="20"/>
          <w:szCs w:val="20"/>
          <w:color w:val="auto"/>
        </w:rPr>
      </w:pPr>
    </w:p>
    <w:p>
      <w:pPr>
        <w:ind w:left="120" w:right="179" w:firstLine="350"/>
        <w:spacing w:after="0" w:line="268" w:lineRule="auto"/>
        <w:rPr>
          <w:sz w:val="20"/>
          <w:szCs w:val="20"/>
          <w:color w:val="auto"/>
        </w:rPr>
      </w:pPr>
      <w:r>
        <w:rPr>
          <w:rFonts w:ascii="Times New Roman" w:cs="Times New Roman" w:eastAsia="Times New Roman" w:hAnsi="Times New Roman"/>
          <w:sz w:val="14"/>
          <w:szCs w:val="14"/>
          <w:color w:val="auto"/>
        </w:rPr>
        <w:t>In the case of any redemption of Securities in accordance with the Indenture, interest installments whose Stated Maturity is on or prior to the Redemption Date will be payable to the Holders of Record of such Securities as of the close of business on the relevant Regular Record Date referred to on the face hereof or Special Record Date, as applicable. Securities (or portions thereof) for whose redemption and payment provision is made in accordance with the Indenture shall cease to bear interest from and after the Redemption Date.</w:t>
      </w:r>
    </w:p>
    <w:p>
      <w:pPr>
        <w:spacing w:after="0" w:line="139" w:lineRule="exact"/>
        <w:rPr>
          <w:sz w:val="20"/>
          <w:szCs w:val="20"/>
          <w:color w:val="auto"/>
        </w:rPr>
      </w:pPr>
    </w:p>
    <w:p>
      <w:pPr>
        <w:ind w:left="120" w:right="619" w:firstLine="350"/>
        <w:spacing w:after="0" w:line="292" w:lineRule="auto"/>
        <w:rPr>
          <w:sz w:val="20"/>
          <w:szCs w:val="20"/>
          <w:color w:val="auto"/>
        </w:rPr>
      </w:pPr>
      <w:r>
        <w:rPr>
          <w:rFonts w:ascii="Times New Roman" w:cs="Times New Roman" w:eastAsia="Times New Roman" w:hAnsi="Times New Roman"/>
          <w:sz w:val="14"/>
          <w:szCs w:val="14"/>
          <w:color w:val="auto"/>
        </w:rPr>
        <w:t>In the event of redemption or repurchase of this Security in accordance with the Indenture in part only, a new Security or Securities for the unredeemed portion hereof shall be issued in the name of the Holder hereof upon the cancellation hereof.</w:t>
      </w:r>
    </w:p>
    <w:p>
      <w:pPr>
        <w:spacing w:after="0" w:line="123" w:lineRule="exact"/>
        <w:rPr>
          <w:sz w:val="20"/>
          <w:szCs w:val="20"/>
          <w:color w:val="auto"/>
        </w:rPr>
      </w:pPr>
    </w:p>
    <w:p>
      <w:pPr>
        <w:ind w:left="120" w:right="159" w:firstLine="350"/>
        <w:spacing w:after="0" w:line="292" w:lineRule="auto"/>
        <w:rPr>
          <w:sz w:val="20"/>
          <w:szCs w:val="20"/>
          <w:color w:val="auto"/>
        </w:rPr>
      </w:pPr>
      <w:r>
        <w:rPr>
          <w:rFonts w:ascii="Times New Roman" w:cs="Times New Roman" w:eastAsia="Times New Roman" w:hAnsi="Times New Roman"/>
          <w:sz w:val="14"/>
          <w:szCs w:val="14"/>
          <w:color w:val="auto"/>
        </w:rPr>
        <w:t>If an Event of Default shall occur and be continuing, the principal amount of all the Securities may be declared due and payable in the manner and with the effect provided in the Indenture.</w:t>
      </w:r>
    </w:p>
    <w:p>
      <w:pPr>
        <w:spacing w:after="0" w:line="123" w:lineRule="exact"/>
        <w:rPr>
          <w:sz w:val="20"/>
          <w:szCs w:val="20"/>
          <w:color w:val="auto"/>
        </w:rPr>
      </w:pPr>
    </w:p>
    <w:p>
      <w:pPr>
        <w:ind w:left="120" w:right="639" w:firstLine="350"/>
        <w:spacing w:after="0" w:line="292" w:lineRule="auto"/>
        <w:rPr>
          <w:sz w:val="20"/>
          <w:szCs w:val="20"/>
          <w:color w:val="auto"/>
        </w:rPr>
      </w:pPr>
      <w:r>
        <w:rPr>
          <w:rFonts w:ascii="Times New Roman" w:cs="Times New Roman" w:eastAsia="Times New Roman" w:hAnsi="Times New Roman"/>
          <w:sz w:val="14"/>
          <w:szCs w:val="14"/>
          <w:color w:val="auto"/>
        </w:rPr>
        <w:t>The Indenture contains provisions for defeasance at any time of (a) the entire Indebtedness on the Securities and (b) certain covenants and Defaults and Events of Default, in each case upon compliance with certain conditions set forth therein.</w:t>
      </w:r>
    </w:p>
    <w:p>
      <w:pPr>
        <w:spacing w:after="0" w:line="123" w:lineRule="exact"/>
        <w:rPr>
          <w:sz w:val="20"/>
          <w:szCs w:val="20"/>
          <w:color w:val="auto"/>
        </w:rPr>
      </w:pPr>
    </w:p>
    <w:p>
      <w:pPr>
        <w:ind w:left="120" w:right="159" w:firstLine="350"/>
        <w:spacing w:after="0" w:line="265" w:lineRule="auto"/>
        <w:rPr>
          <w:sz w:val="20"/>
          <w:szCs w:val="20"/>
          <w:color w:val="auto"/>
        </w:rPr>
      </w:pPr>
      <w:r>
        <w:rPr>
          <w:rFonts w:ascii="Times New Roman" w:cs="Times New Roman" w:eastAsia="Times New Roman" w:hAnsi="Times New Roman"/>
          <w:sz w:val="14"/>
          <w:szCs w:val="14"/>
          <w:color w:val="auto"/>
        </w:rPr>
        <w:t>The indebtedness evidenced by this Security is, to the extent set forth in the Indenture, subordinate and subject in right of payment to the prior payment in full in cash or Cash Equivalents of all Senior Debt, and this Security is issued subject to the provisions of the Indenture with respect thereto. Each Holder of this Security, by accepting the same, (a) agrees to and shall be bound by such provisions, (b) authorizes and directs the Trustee on his behalf to take such action as may be necessary or appropriate to effectuate the subordination so provided and (c) appoints the Trustee his attorney-in-fact for any and all such purposes.</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A-3</w:t>
      </w:r>
    </w:p>
    <w:p>
      <w:pPr>
        <w:sectPr>
          <w:pgSz w:w="11900" w:h="16838" w:orient="portrait"/>
          <w:cols w:equalWidth="0" w:num="1">
            <w:col w:w="9019"/>
          </w:cols>
          <w:pgMar w:left="1440" w:top="243" w:right="1440" w:bottom="1440" w:gutter="0" w:footer="0" w:header="0"/>
        </w:sectPr>
      </w:pPr>
    </w:p>
    <w:bookmarkStart w:id="238" w:name="page239"/>
    <w:bookmarkEnd w:id="238"/>
    <w:p>
      <w:pPr>
        <w:ind w:left="120" w:right="199" w:firstLine="350"/>
        <w:spacing w:after="0" w:line="25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3">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The Indenture permits, with certain exceptions (including certain amendments permitted without the consent of any Holders and certain amendments which require the consent of all of the Holders) as therein provided, the amendment thereof and the modification of the rights and obligations of the Company and the rights of the Holders under the Indenture and the Securities at any time by the Company and the Trustee with the consent of the Holders of at least a majority in aggregate principal amount of the Securities of any series at the time Outstanding. The Indenture also contains provisions permitting the Holders of at least a majority in aggregate principal amount of the Securities of any series (100% of the Holders of such series in certain circumstances) at the time Outstanding, on behalf of the Holders of all the Securities of such affected series, to waive compliance by the Company with certain provisions of the Indenture and the Securities of such series and certain past Defaults and Events of Default under the Indenture and the Securities of such series and their consequences. Any such consent or waiver by or on behalf of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spacing w:after="0" w:line="151" w:lineRule="exact"/>
        <w:rPr>
          <w:sz w:val="20"/>
          <w:szCs w:val="20"/>
          <w:color w:val="auto"/>
        </w:rPr>
      </w:pPr>
    </w:p>
    <w:p>
      <w:pPr>
        <w:ind w:left="120" w:right="219" w:firstLine="350"/>
        <w:spacing w:after="0" w:line="268" w:lineRule="auto"/>
        <w:rPr>
          <w:sz w:val="20"/>
          <w:szCs w:val="20"/>
          <w:color w:val="auto"/>
        </w:rPr>
      </w:pPr>
      <w:r>
        <w:rPr>
          <w:rFonts w:ascii="Times New Roman" w:cs="Times New Roman" w:eastAsia="Times New Roman" w:hAnsi="Times New Roman"/>
          <w:sz w:val="14"/>
          <w:szCs w:val="14"/>
          <w:color w:val="auto"/>
        </w:rPr>
        <w:t>No reference herein to the Indenture and no provision of this Security or of the Indenture shall alter or impair the obligation of the Company or any other obligor on the Securities (in the event such other obligor is obligated to make payments in respect of the Securities), which is absolute and unconditional, to pay the principal of, and premium, if any, and interest on, this Security at the times, place, and rate, and in the coin or currency, herein prescribed.</w:t>
      </w:r>
    </w:p>
    <w:p>
      <w:pPr>
        <w:spacing w:after="0" w:line="139" w:lineRule="exact"/>
        <w:rPr>
          <w:sz w:val="20"/>
          <w:szCs w:val="20"/>
          <w:color w:val="auto"/>
        </w:rPr>
      </w:pPr>
    </w:p>
    <w:p>
      <w:pPr>
        <w:ind w:left="120" w:right="239" w:firstLine="350"/>
        <w:spacing w:after="0" w:line="265" w:lineRule="auto"/>
        <w:rPr>
          <w:sz w:val="20"/>
          <w:szCs w:val="20"/>
          <w:color w:val="auto"/>
        </w:rPr>
      </w:pPr>
      <w:r>
        <w:rPr>
          <w:rFonts w:ascii="Times New Roman" w:cs="Times New Roman" w:eastAsia="Times New Roman" w:hAnsi="Times New Roman"/>
          <w:sz w:val="14"/>
          <w:szCs w:val="14"/>
          <w:color w:val="auto"/>
        </w:rPr>
        <w:t>As provided in the Indenture and subject to certain limitations therein set forth, the transfer of this Security is registrable in the Security Register, upon surrender of this Security for registration of transfer at the office or agency of the Company in the Borough of Manhattan, The City of New York, duly endorsed by, or accompanied by a written instrument of transfer in form satisfactory to the Company and the Security Registrar duly executed by, the Holder hereof or its attorney duly authorized in writing, and thereupon one or more new Securities, of authorized denominations and for the same aggregate principal amount, will be issued to the designated transferee or transferees.</w:t>
      </w:r>
    </w:p>
    <w:p>
      <w:pPr>
        <w:spacing w:after="0" w:line="141" w:lineRule="exact"/>
        <w:rPr>
          <w:sz w:val="20"/>
          <w:szCs w:val="20"/>
          <w:color w:val="auto"/>
        </w:rPr>
      </w:pPr>
    </w:p>
    <w:p>
      <w:pPr>
        <w:ind w:left="120" w:right="139" w:firstLine="350"/>
        <w:spacing w:after="0" w:line="274" w:lineRule="auto"/>
        <w:rPr>
          <w:sz w:val="20"/>
          <w:szCs w:val="20"/>
          <w:color w:val="auto"/>
        </w:rPr>
      </w:pPr>
      <w:r>
        <w:rPr>
          <w:rFonts w:ascii="Times New Roman" w:cs="Times New Roman" w:eastAsia="Times New Roman" w:hAnsi="Times New Roman"/>
          <w:sz w:val="14"/>
          <w:szCs w:val="14"/>
          <w:color w:val="auto"/>
        </w:rPr>
        <w:t>The Securities in certificated form are issuable only in registered form without coupons in minimum denominations of $2,000 and integral multiples of $1,000 in excess thereof. As provided in the Indenture and subject to certain limitations therein set forth, the Securities are exchangeable for a like aggregate principal amount of Securities of a differing authorized denomination, as requested by the Holder surrendering the same.</w:t>
      </w:r>
    </w:p>
    <w:p>
      <w:pPr>
        <w:spacing w:after="0" w:line="135" w:lineRule="exact"/>
        <w:rPr>
          <w:sz w:val="20"/>
          <w:szCs w:val="20"/>
          <w:color w:val="auto"/>
        </w:rPr>
      </w:pPr>
    </w:p>
    <w:p>
      <w:pPr>
        <w:ind w:left="120" w:right="299" w:firstLine="350"/>
        <w:spacing w:after="0" w:line="292" w:lineRule="auto"/>
        <w:rPr>
          <w:sz w:val="20"/>
          <w:szCs w:val="20"/>
          <w:color w:val="auto"/>
        </w:rPr>
      </w:pPr>
      <w:r>
        <w:rPr>
          <w:rFonts w:ascii="Times New Roman" w:cs="Times New Roman" w:eastAsia="Times New Roman" w:hAnsi="Times New Roman"/>
          <w:sz w:val="14"/>
          <w:szCs w:val="14"/>
          <w:color w:val="auto"/>
        </w:rPr>
        <w:t>Except as indicated in the Indenture, no service charge shall be made for any registration of transfer or exchange of Securities, but the Company may require payment of a sum sufficient to cover any tax or other governmental charge payable in connection therewith.</w:t>
      </w:r>
    </w:p>
    <w:p>
      <w:pPr>
        <w:spacing w:after="0" w:line="123" w:lineRule="exact"/>
        <w:rPr>
          <w:sz w:val="20"/>
          <w:szCs w:val="20"/>
          <w:color w:val="auto"/>
        </w:rPr>
      </w:pPr>
    </w:p>
    <w:p>
      <w:pPr>
        <w:ind w:left="120" w:right="279" w:firstLine="350"/>
        <w:spacing w:after="0" w:line="265" w:lineRule="auto"/>
        <w:rPr>
          <w:sz w:val="20"/>
          <w:szCs w:val="20"/>
          <w:color w:val="auto"/>
        </w:rPr>
      </w:pPr>
      <w:r>
        <w:rPr>
          <w:rFonts w:ascii="Times New Roman" w:cs="Times New Roman" w:eastAsia="Times New Roman" w:hAnsi="Times New Roman"/>
          <w:sz w:val="14"/>
          <w:szCs w:val="14"/>
          <w:color w:val="auto"/>
        </w:rPr>
        <w:t>No director, officer, manager, employee, incorporator, stockholder, member or partner of the Company or any Guarantor, as such, shall have any liability for any obligations of the Company or of the Guarantors under the Securities, the Indenture or the Guarantees, if any, of the Securities, or for any claim based on, in respect of, or by reason of, such obligations or their creation. Each Holder of Securities by accepting a Security waives and releases all such liability. The waiver and release are part of the consideration for issuance of the Securities. The waiver may not be effective to waive liabilities under the federal securities laws.</w:t>
      </w:r>
    </w:p>
    <w:p>
      <w:pPr>
        <w:spacing w:after="0" w:line="141" w:lineRule="exact"/>
        <w:rPr>
          <w:sz w:val="20"/>
          <w:szCs w:val="20"/>
          <w:color w:val="auto"/>
        </w:rPr>
      </w:pPr>
    </w:p>
    <w:p>
      <w:pPr>
        <w:jc w:val="both"/>
        <w:ind w:left="120" w:right="279" w:firstLine="350"/>
        <w:spacing w:after="0" w:line="274" w:lineRule="auto"/>
        <w:rPr>
          <w:sz w:val="20"/>
          <w:szCs w:val="20"/>
          <w:color w:val="auto"/>
        </w:rPr>
      </w:pPr>
      <w:r>
        <w:rPr>
          <w:rFonts w:ascii="Times New Roman" w:cs="Times New Roman" w:eastAsia="Times New Roman" w:hAnsi="Times New Roman"/>
          <w:sz w:val="14"/>
          <w:szCs w:val="14"/>
          <w:color w:val="auto"/>
        </w:rPr>
        <w:t>Prior to due presentment of this Security for registration of transfer, the Company, the Trustee and any agent of the Company or the Trustee may treat the Person in whose name this Security is registered as the owner hereof for all purposes, whether or not this Security is overdue, and neither the Company, the Trustee nor any such agent shall be affected by notice to the contrary.</w:t>
      </w:r>
    </w:p>
    <w:p>
      <w:pPr>
        <w:spacing w:after="0" w:line="135" w:lineRule="exact"/>
        <w:rPr>
          <w:sz w:val="20"/>
          <w:szCs w:val="20"/>
          <w:color w:val="auto"/>
        </w:rPr>
      </w:pPr>
    </w:p>
    <w:p>
      <w:pPr>
        <w:ind w:left="120" w:right="559" w:firstLine="350"/>
        <w:spacing w:after="0" w:line="292" w:lineRule="auto"/>
        <w:rPr>
          <w:sz w:val="20"/>
          <w:szCs w:val="20"/>
          <w:color w:val="auto"/>
        </w:rPr>
      </w:pPr>
      <w:r>
        <w:rPr>
          <w:rFonts w:ascii="Times New Roman" w:cs="Times New Roman" w:eastAsia="Times New Roman" w:hAnsi="Times New Roman"/>
          <w:sz w:val="14"/>
          <w:szCs w:val="14"/>
          <w:color w:val="auto"/>
        </w:rPr>
        <w:t>THIS SECURITY SHALL BE GOVERNED BY AND CONSTRUED IN ACCORDANCE WITH THE LAWS OF THE STATE OF NEW YORK.</w:t>
      </w:r>
    </w:p>
    <w:p>
      <w:pPr>
        <w:spacing w:after="0" w:line="123" w:lineRule="exact"/>
        <w:rPr>
          <w:sz w:val="20"/>
          <w:szCs w:val="20"/>
          <w:color w:val="auto"/>
        </w:rPr>
      </w:pPr>
    </w:p>
    <w:p>
      <w:pPr>
        <w:jc w:val="both"/>
        <w:ind w:left="120" w:right="339" w:firstLine="350"/>
        <w:spacing w:after="0" w:line="274" w:lineRule="auto"/>
        <w:rPr>
          <w:sz w:val="20"/>
          <w:szCs w:val="20"/>
          <w:color w:val="auto"/>
        </w:rPr>
      </w:pPr>
      <w:r>
        <w:rPr>
          <w:rFonts w:ascii="Times New Roman" w:cs="Times New Roman" w:eastAsia="Times New Roman" w:hAnsi="Times New Roman"/>
          <w:sz w:val="14"/>
          <w:szCs w:val="14"/>
          <w:color w:val="auto"/>
        </w:rPr>
        <w:t>All terms used in this Security which are defined in the Indenture and not otherwise defined herein shall have the meanings assigned to them in the Indenture. To the extent any provision of this Security conflicts with the express provisions of the Indenture, the provisions of the Indenture shall govern and be controlling.</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A-4</w:t>
      </w:r>
    </w:p>
    <w:p>
      <w:pPr>
        <w:sectPr>
          <w:pgSz w:w="11900" w:h="16838" w:orient="portrait"/>
          <w:cols w:equalWidth="0" w:num="1">
            <w:col w:w="9019"/>
          </w:cols>
          <w:pgMar w:left="1440" w:top="243" w:right="1440" w:bottom="1440" w:gutter="0" w:footer="0" w:header="0"/>
        </w:sectPr>
      </w:pPr>
    </w:p>
    <w:bookmarkStart w:id="239" w:name="page240"/>
    <w:bookmarkEnd w:id="239"/>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Exhibit 5.1</w:t>
      </w:r>
    </w:p>
    <w:p>
      <w:pPr>
        <w:spacing w:after="0" w:line="206" w:lineRule="exact"/>
        <w:rPr>
          <w:sz w:val="20"/>
          <w:szCs w:val="20"/>
          <w:color w:val="auto"/>
        </w:rPr>
      </w:pPr>
    </w:p>
    <w:p>
      <w:pPr>
        <w:jc w:val="right"/>
        <w:ind w:right="139"/>
        <w:spacing w:after="0"/>
        <w:rPr>
          <w:sz w:val="20"/>
          <w:szCs w:val="20"/>
          <w:color w:val="auto"/>
        </w:rPr>
      </w:pPr>
      <w:r>
        <w:rPr>
          <w:rFonts w:ascii="Times New Roman" w:cs="Times New Roman" w:eastAsia="Times New Roman" w:hAnsi="Times New Roman"/>
          <w:sz w:val="14"/>
          <w:szCs w:val="14"/>
          <w:color w:val="auto"/>
        </w:rPr>
        <w:t>Akerman LLP</w:t>
      </w:r>
    </w:p>
    <w:p>
      <w:pPr>
        <w:spacing w:after="0" w:line="24" w:lineRule="exact"/>
        <w:rPr>
          <w:sz w:val="20"/>
          <w:szCs w:val="20"/>
          <w:color w:val="auto"/>
        </w:rPr>
      </w:pPr>
    </w:p>
    <w:p>
      <w:pPr>
        <w:jc w:val="right"/>
        <w:ind w:right="139"/>
        <w:spacing w:after="0"/>
        <w:rPr>
          <w:sz w:val="20"/>
          <w:szCs w:val="20"/>
          <w:color w:val="auto"/>
        </w:rPr>
      </w:pPr>
      <w:r>
        <w:rPr>
          <w:rFonts w:ascii="Times New Roman" w:cs="Times New Roman" w:eastAsia="Times New Roman" w:hAnsi="Times New Roman"/>
          <w:sz w:val="14"/>
          <w:szCs w:val="14"/>
          <w:color w:val="auto"/>
        </w:rPr>
        <w:t>Three Brickell City Centre</w:t>
      </w:r>
    </w:p>
    <w:p>
      <w:pPr>
        <w:spacing w:after="0" w:line="11" w:lineRule="exact"/>
        <w:rPr>
          <w:sz w:val="20"/>
          <w:szCs w:val="20"/>
          <w:color w:val="auto"/>
        </w:rPr>
      </w:pPr>
    </w:p>
    <w:p>
      <w:pPr>
        <w:jc w:val="right"/>
        <w:ind w:right="139"/>
        <w:spacing w:after="0"/>
        <w:rPr>
          <w:sz w:val="20"/>
          <w:szCs w:val="20"/>
          <w:color w:val="auto"/>
        </w:rPr>
      </w:pPr>
      <w:r>
        <w:rPr>
          <w:rFonts w:ascii="Times New Roman" w:cs="Times New Roman" w:eastAsia="Times New Roman" w:hAnsi="Times New Roman"/>
          <w:sz w:val="14"/>
          <w:szCs w:val="14"/>
          <w:color w:val="auto"/>
        </w:rPr>
        <w:t>98 Southeast Seventh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-33020</wp:posOffset>
            </wp:positionV>
            <wp:extent cx="974090" cy="25209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4">
                      <a:extLst>
                        <a:ext uri="{28A0092B-C50C-407E-A947-70E740481C1C}"/>
                      </a:extLst>
                    </a:blip>
                    <a:srcRect/>
                    <a:stretch>
                      <a:fillRect/>
                    </a:stretch>
                  </pic:blipFill>
                  <pic:spPr bwMode="auto">
                    <a:xfrm>
                      <a:off x="0" y="0"/>
                      <a:ext cx="974090" cy="252095"/>
                    </a:xfrm>
                    <a:prstGeom prst="rect">
                      <a:avLst/>
                    </a:prstGeom>
                    <a:noFill/>
                  </pic:spPr>
                </pic:pic>
              </a:graphicData>
            </a:graphic>
          </wp:anchor>
        </w:drawing>
      </w:r>
    </w:p>
    <w:p>
      <w:pPr>
        <w:jc w:val="right"/>
        <w:ind w:right="139"/>
        <w:spacing w:after="0"/>
        <w:rPr>
          <w:sz w:val="20"/>
          <w:szCs w:val="20"/>
          <w:color w:val="auto"/>
        </w:rPr>
      </w:pPr>
      <w:r>
        <w:rPr>
          <w:rFonts w:ascii="Times New Roman" w:cs="Times New Roman" w:eastAsia="Times New Roman" w:hAnsi="Times New Roman"/>
          <w:sz w:val="14"/>
          <w:szCs w:val="14"/>
          <w:color w:val="auto"/>
        </w:rPr>
        <w:t>Suite 1100</w:t>
      </w:r>
    </w:p>
    <w:p>
      <w:pPr>
        <w:spacing w:after="0" w:line="11" w:lineRule="exact"/>
        <w:rPr>
          <w:sz w:val="20"/>
          <w:szCs w:val="20"/>
          <w:color w:val="auto"/>
        </w:rPr>
      </w:pPr>
    </w:p>
    <w:p>
      <w:pPr>
        <w:jc w:val="right"/>
        <w:ind w:right="139"/>
        <w:spacing w:after="0"/>
        <w:rPr>
          <w:sz w:val="20"/>
          <w:szCs w:val="20"/>
          <w:color w:val="auto"/>
        </w:rPr>
      </w:pPr>
      <w:r>
        <w:rPr>
          <w:rFonts w:ascii="Times New Roman" w:cs="Times New Roman" w:eastAsia="Times New Roman" w:hAnsi="Times New Roman"/>
          <w:sz w:val="14"/>
          <w:szCs w:val="14"/>
          <w:color w:val="auto"/>
        </w:rPr>
        <w:t>Miami, FL 33131</w:t>
      </w:r>
    </w:p>
    <w:p>
      <w:pPr>
        <w:spacing w:after="0" w:line="93" w:lineRule="exact"/>
        <w:rPr>
          <w:sz w:val="20"/>
          <w:szCs w:val="20"/>
          <w:color w:val="auto"/>
        </w:rPr>
      </w:pPr>
    </w:p>
    <w:p>
      <w:pPr>
        <w:jc w:val="right"/>
        <w:ind w:right="139"/>
        <w:spacing w:after="0"/>
        <w:rPr>
          <w:sz w:val="20"/>
          <w:szCs w:val="20"/>
          <w:color w:val="auto"/>
        </w:rPr>
      </w:pPr>
      <w:r>
        <w:rPr>
          <w:rFonts w:ascii="Times New Roman" w:cs="Times New Roman" w:eastAsia="Times New Roman" w:hAnsi="Times New Roman"/>
          <w:sz w:val="14"/>
          <w:szCs w:val="14"/>
          <w:color w:val="auto"/>
        </w:rPr>
        <w:t>T: 305 374 5600</w:t>
      </w:r>
    </w:p>
    <w:p>
      <w:pPr>
        <w:spacing w:after="0" w:line="24" w:lineRule="exact"/>
        <w:rPr>
          <w:sz w:val="20"/>
          <w:szCs w:val="20"/>
          <w:color w:val="auto"/>
        </w:rPr>
      </w:pPr>
    </w:p>
    <w:p>
      <w:pPr>
        <w:jc w:val="right"/>
        <w:ind w:right="139"/>
        <w:spacing w:after="0"/>
        <w:rPr>
          <w:sz w:val="20"/>
          <w:szCs w:val="20"/>
          <w:color w:val="auto"/>
        </w:rPr>
      </w:pPr>
      <w:r>
        <w:rPr>
          <w:rFonts w:ascii="Times New Roman" w:cs="Times New Roman" w:eastAsia="Times New Roman" w:hAnsi="Times New Roman"/>
          <w:sz w:val="14"/>
          <w:szCs w:val="14"/>
          <w:color w:val="auto"/>
        </w:rPr>
        <w:t>F: 305 374 5095</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October 30, 2026</w:t>
      </w:r>
    </w:p>
    <w:p>
      <w:pPr>
        <w:spacing w:after="0" w:line="1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The GEO Group, Inc.</w:t>
      </w:r>
    </w:p>
    <w:p>
      <w:pPr>
        <w:spacing w:after="0" w:line="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4955 Technology Way</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Boca Raton, FL 33431</w:t>
      </w:r>
    </w:p>
    <w:p>
      <w:pPr>
        <w:spacing w:after="0" w:line="188" w:lineRule="exact"/>
        <w:rPr>
          <w:sz w:val="20"/>
          <w:szCs w:val="20"/>
          <w:color w:val="auto"/>
        </w:rPr>
      </w:pPr>
    </w:p>
    <w:p>
      <w:pPr>
        <w:ind w:left="120"/>
        <w:spacing w:after="0"/>
        <w:tabs>
          <w:tab w:leader="none" w:pos="440" w:val="left"/>
        </w:tabs>
        <w:rPr>
          <w:sz w:val="20"/>
          <w:szCs w:val="20"/>
          <w:color w:val="auto"/>
        </w:rPr>
      </w:pPr>
      <w:r>
        <w:rPr>
          <w:rFonts w:ascii="Times New Roman" w:cs="Times New Roman" w:eastAsia="Times New Roman" w:hAnsi="Times New Roman"/>
          <w:sz w:val="14"/>
          <w:szCs w:val="14"/>
          <w:b w:val="1"/>
          <w:bCs w:val="1"/>
          <w:color w:val="auto"/>
        </w:rPr>
        <w:t>Re:</w:t>
        <w:tab/>
        <w:t>The GEO Group, Inc. – Registration Statement on Form S-3</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97" w:lineRule="exact"/>
        <w:rPr>
          <w:sz w:val="20"/>
          <w:szCs w:val="20"/>
          <w:color w:val="auto"/>
        </w:rPr>
      </w:pPr>
    </w:p>
    <w:p>
      <w:pPr>
        <w:ind w:left="120" w:right="159" w:firstLine="350"/>
        <w:spacing w:after="0" w:line="258" w:lineRule="auto"/>
        <w:rPr>
          <w:sz w:val="20"/>
          <w:szCs w:val="20"/>
          <w:color w:val="auto"/>
        </w:rPr>
      </w:pPr>
      <w:r>
        <w:rPr>
          <w:rFonts w:ascii="Times New Roman" w:cs="Times New Roman" w:eastAsia="Times New Roman" w:hAnsi="Times New Roman"/>
          <w:sz w:val="14"/>
          <w:szCs w:val="14"/>
          <w:color w:val="auto"/>
        </w:rPr>
        <w:t>We have acted as counsel to The GEO Group, Inc., a Florida corporation (the “Company”) and the subsidiary guarantors of the Company set forth in the Registration Statement (as defined below) (the “Subsidiary Guarantors” and, together with the Company, the “Registrants”), in connection with the preparation and filing by the Registrants of an automatic shelf registration statement on Form S-3 (the “Registration Statement”) with the Securities and Exchange Commission (the “Commission”) under the Securities Act of 1933, as amended (the “Securities Act”) relating to the offering from time to time, pursuant to Rule 415 under the Securities Act, of (i) shares of the Company’s common stock, par value $0.01 per share (the “Common Stock”), (ii) shares of the Company’s preferred stock, par value $0.01 per share (the “Preferred Stock”), (iii) debt securities of the Company (the “Debt Securities”), which may be senior or subordinated, (iv) guarantees of the Debt Securities (the “Guarantees”) by one or more of the Subsidiary Guarantors,</w:t>
      </w:r>
    </w:p>
    <w:p>
      <w:pPr>
        <w:spacing w:after="0" w:line="4" w:lineRule="exact"/>
        <w:rPr>
          <w:sz w:val="20"/>
          <w:szCs w:val="20"/>
          <w:color w:val="auto"/>
        </w:rPr>
      </w:pPr>
    </w:p>
    <w:p>
      <w:pPr>
        <w:ind w:left="320" w:hanging="193"/>
        <w:spacing w:after="0"/>
        <w:tabs>
          <w:tab w:leader="none" w:pos="320" w:val="left"/>
        </w:tabs>
        <w:numPr>
          <w:ilvl w:val="0"/>
          <w:numId w:val="1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warrants to purchase Common Stock, Preferred Stock, Debt Securities or Units (as defined below) or any combination thereof (the “Warrants”), and</w:t>
      </w:r>
    </w:p>
    <w:p>
      <w:pPr>
        <w:spacing w:after="0" w:line="10" w:lineRule="exact"/>
        <w:rPr>
          <w:rFonts w:ascii="Times New Roman" w:cs="Times New Roman" w:eastAsia="Times New Roman" w:hAnsi="Times New Roman"/>
          <w:sz w:val="14"/>
          <w:szCs w:val="14"/>
          <w:color w:val="auto"/>
        </w:rPr>
      </w:pPr>
    </w:p>
    <w:p>
      <w:pPr>
        <w:ind w:left="120" w:right="219" w:firstLine="7"/>
        <w:spacing w:after="0" w:line="259" w:lineRule="auto"/>
        <w:tabs>
          <w:tab w:leader="none" w:pos="362" w:val="left"/>
        </w:tabs>
        <w:numPr>
          <w:ilvl w:val="0"/>
          <w:numId w:val="1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units consisting of one or more of the Company’s Common Stock, Preferred Stock, Debt Securities, Guarantees or Warrants or any combination of those securities (the “Units” and, together with the Common Stock, the Preferred Stock, the Debt Securities, the Guarantees and the Warrants, the “Securities”). The offering of the Securities will be as set forth in the prospectus forming a part of the Registration Statement (the “Prospectus”), as supplemented by one or more supplements to the Prospectus (each supplement, a “Prospectus Supplement”). We refer herein to the Subsidiary Guarantors listed on Annex I hereto, each of which is formed or organized under the laws of the States of Florida, Delaware, Colorado, New Jersey and Texas as the “Specified Subsidiary Guarantors.”</w:t>
      </w:r>
    </w:p>
    <w:p>
      <w:pPr>
        <w:spacing w:after="0" w:line="146" w:lineRule="exact"/>
        <w:rPr>
          <w:sz w:val="20"/>
          <w:szCs w:val="20"/>
          <w:color w:val="auto"/>
        </w:rPr>
      </w:pPr>
    </w:p>
    <w:p>
      <w:pPr>
        <w:jc w:val="both"/>
        <w:ind w:left="120" w:right="419" w:firstLine="350"/>
        <w:spacing w:after="0" w:line="274" w:lineRule="auto"/>
        <w:rPr>
          <w:sz w:val="20"/>
          <w:szCs w:val="20"/>
          <w:color w:val="auto"/>
        </w:rPr>
      </w:pPr>
      <w:r>
        <w:rPr>
          <w:rFonts w:ascii="Times New Roman" w:cs="Times New Roman" w:eastAsia="Times New Roman" w:hAnsi="Times New Roman"/>
          <w:sz w:val="14"/>
          <w:szCs w:val="14"/>
          <w:color w:val="auto"/>
        </w:rPr>
        <w:t>This opinion letter is being furnished in accordance with the requirements of Item 601(b)(5) of Regulation S-K under the Securities Act. This opinion letter is limited to the matters expressly stated herein and no opinions are to be inferred or may be implied beyond the opinions expressly so stated.</w:t>
      </w:r>
    </w:p>
    <w:p>
      <w:pPr>
        <w:spacing w:after="0" w:line="135" w:lineRule="exact"/>
        <w:rPr>
          <w:sz w:val="20"/>
          <w:szCs w:val="20"/>
          <w:color w:val="auto"/>
        </w:rPr>
      </w:pPr>
    </w:p>
    <w:p>
      <w:pPr>
        <w:ind w:left="120" w:right="159" w:firstLine="350"/>
        <w:spacing w:after="0" w:line="259" w:lineRule="auto"/>
        <w:rPr>
          <w:sz w:val="20"/>
          <w:szCs w:val="20"/>
          <w:color w:val="auto"/>
        </w:rPr>
      </w:pPr>
      <w:r>
        <w:rPr>
          <w:rFonts w:ascii="Times New Roman" w:cs="Times New Roman" w:eastAsia="Times New Roman" w:hAnsi="Times New Roman"/>
          <w:sz w:val="14"/>
          <w:szCs w:val="14"/>
          <w:color w:val="auto"/>
        </w:rPr>
        <w:t>In connection with this opinion letter, we have examined the organizational documents of the Company and of the Subsidiary Guarantors, and such corporate records, documents, instruments, certificates of public officials as to the Company and the Subsidiary Guarantors, and such questions of law as we have deemed necessary for the purpose of rendering the opinions set forth herein. We have also examined the Registration Statement, the Prospectus, the form of indenture filed as Exhibit 4.1 to the Registration Statement for senior debt securities and the form of indenture filed as Exhibit 4.2 to the Registration Statement for subordinated debt securities. With your permission, we have made and relied upon the following assumptions, without any investigation or inquiry by us, and our opinions expressed below are subject to, and limited and qualified by the effect of, such assumptions:</w:t>
      </w:r>
    </w:p>
    <w:p>
      <w:pPr>
        <w:spacing w:after="0" w:line="1" w:lineRule="exact"/>
        <w:rPr>
          <w:sz w:val="20"/>
          <w:szCs w:val="20"/>
          <w:color w:val="auto"/>
        </w:rPr>
      </w:pPr>
    </w:p>
    <w:p>
      <w:pPr>
        <w:ind w:left="120" w:right="139" w:firstLine="7"/>
        <w:spacing w:after="0" w:line="263" w:lineRule="auto"/>
        <w:tabs>
          <w:tab w:leader="none" w:pos="314" w:val="left"/>
        </w:tabs>
        <w:numPr>
          <w:ilvl w:val="0"/>
          <w:numId w:val="1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authenticity of original documents and the genuineness of all signatures; (b) the conformity to the originals of all documents submitted to us as copies; (c) the legal capacity of all natural persons to take all actions required of such person in connection with the Registration Statement; (d) the truth, accuracy, authenticity and completeness of the information, representations and warranties contained in the records, documents, instruments and certificates</w:t>
      </w:r>
    </w:p>
    <w:p>
      <w:pPr>
        <w:sectPr>
          <w:pgSz w:w="11900" w:h="16838" w:orient="portrait"/>
          <w:cols w:equalWidth="0" w:num="1">
            <w:col w:w="9019"/>
          </w:cols>
          <w:pgMar w:left="1440" w:top="123" w:right="1440" w:bottom="1440" w:gutter="0" w:footer="0" w:header="0"/>
        </w:sectPr>
      </w:pPr>
    </w:p>
    <w:bookmarkStart w:id="240" w:name="page241"/>
    <w:bookmarkEnd w:id="240"/>
    <w:p>
      <w:pPr>
        <w:ind w:left="1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5">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The GEO Group, Inc.</w:t>
      </w:r>
    </w:p>
    <w:p>
      <w:pPr>
        <w:spacing w:after="0" w:line="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October 30, 2026</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Page 2</w:t>
      </w:r>
    </w:p>
    <w:p>
      <w:pPr>
        <w:spacing w:after="0" w:line="190" w:lineRule="exact"/>
        <w:rPr>
          <w:sz w:val="20"/>
          <w:szCs w:val="20"/>
          <w:color w:val="auto"/>
        </w:rPr>
      </w:pPr>
    </w:p>
    <w:p>
      <w:pPr>
        <w:ind w:left="120" w:right="199"/>
        <w:spacing w:after="0" w:line="258" w:lineRule="auto"/>
        <w:rPr>
          <w:sz w:val="20"/>
          <w:szCs w:val="20"/>
          <w:color w:val="auto"/>
        </w:rPr>
      </w:pPr>
      <w:r>
        <w:rPr>
          <w:rFonts w:ascii="Times New Roman" w:cs="Times New Roman" w:eastAsia="Times New Roman" w:hAnsi="Times New Roman"/>
          <w:sz w:val="14"/>
          <w:szCs w:val="14"/>
          <w:color w:val="auto"/>
        </w:rPr>
        <w:t>(including without limitation any certificate or other document issued by a public authority and all official public records) we have reviewed; (e) all Securities will be issued and sold in compliance with applicable federal and state securities laws and in the manner stated in the Registration Statement and the applicable Prospectus Supplement; (f) a definitive purchase, underwriting or similar agreement with respect to any Securities offered will have been duly authorized and validly executed and delivered by the Company and the other parties thereto; (g) a sufficient number of shares of Common Stock and Preferred Stock will be authorized and available for issuance and the consideration therefor will not be less than the par value of the shares of the Common Stock and Preferred Stock; (h) any Debt Securities and Guarantees that may be issued will be issued in a form that complies with the applicable indenture and any supplemental indenture to be entered into in connection with the issuance of such Debt Securities and will be manually signed or countersigned, as the case may be, by duly authorized officers of the trustee named therein; (i) any Securities issuable upon conversion, exchange, redemption or exercise of any Securities being offered will be duly authorized, created and, if appropriate, reserved for issuance upon such conversion, exchange, redemption or exercise; and (j) there shall not have occurred any change in law affecting the validity or enforceability of such Securities. We have further assumed that the terms of the Securities will have been established so as not to, and that the execution and delivery by the parties thereto and the performance of such parties’ obligations under, the Securities will not, violate, conflict with or constitute a default under (i) any agreement or instrument to which the parties thereto are subject, (ii) any law, rule or regulation to which the parties thereto are subject, (iii) any judicial or regulatory order or decree of any governmental authority or (iv) any consent, approval, license, authorization or validation of, or filing, recording or registration with any governmental authority. As to any facts material to the opinions expressed herein that we did not independently establish or verify, we have relied upon statements and representations of officers and other representatives of the Company, the Subsidiary Guarantors and others.</w:t>
      </w:r>
    </w:p>
    <w:p>
      <w:pPr>
        <w:spacing w:after="0" w:line="149" w:lineRule="exact"/>
        <w:rPr>
          <w:sz w:val="20"/>
          <w:szCs w:val="20"/>
          <w:color w:val="auto"/>
        </w:rPr>
      </w:pPr>
    </w:p>
    <w:p>
      <w:pPr>
        <w:ind w:left="120" w:right="179" w:firstLine="350"/>
        <w:spacing w:after="0" w:line="259" w:lineRule="auto"/>
        <w:rPr>
          <w:sz w:val="20"/>
          <w:szCs w:val="20"/>
          <w:color w:val="auto"/>
        </w:rPr>
      </w:pPr>
      <w:r>
        <w:rPr>
          <w:rFonts w:ascii="Times New Roman" w:cs="Times New Roman" w:eastAsia="Times New Roman" w:hAnsi="Times New Roman"/>
          <w:sz w:val="14"/>
          <w:szCs w:val="14"/>
          <w:color w:val="auto"/>
        </w:rPr>
        <w:t>When used in this opinion letter, the term “applicable laws” means Florida laws, rules and regulations that a Florida counsel exercising customary professional diligence would reasonably be expected to recognize as being applicable to the Company, and the Subsidiary Guarantors, as well as the internal laws of the State of New York and the state statutes referenced below; provided, however, that applicable laws does not include any law, rule or regulation that is applicable to the Company or the Subsidiary Guarantors solely because such law, rules or regulation is part of a regulatory regime applicable to such Registrant or any of its affiliates due to the specific assets or business of such party or affiliate. With respect to the opinions set forth in paragraphs 5 through 8 below, we are opining as to the internal laws of the State of New York. Further, with respect to the Specified Subsidiary Guarantors we are opining with respect to the Colorado Corporations and Associations Act, the Colorado Business Corporation Act, the Colorado Limited Liability Company Act, the General Corporation Law of the State of Delaware, the Delaware Limited Liability Company Act, the Delaware Revised Uniform Limited Partnership Act, the New Jersey Revised Uniform Limited Liability Company Act and the Texas Business Organizations Code. We neither express nor imply any opinions with respect to any other laws or the laws of any other jurisdiction or the United States of America. For purposes of this opinion letter, we assume that the Securities will be issued in accordance with all applicable state securities or blue sky laws.</w:t>
      </w:r>
    </w:p>
    <w:p>
      <w:pPr>
        <w:spacing w:after="0" w:line="14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Based upon and subject to the foregoing, and subject to the further assumptions and qualifications set forth below, it is our opinion that:</w:t>
      </w:r>
    </w:p>
    <w:p>
      <w:pPr>
        <w:spacing w:after="0" w:line="97" w:lineRule="exact"/>
        <w:rPr>
          <w:sz w:val="20"/>
          <w:szCs w:val="20"/>
          <w:color w:val="auto"/>
        </w:rPr>
      </w:pPr>
    </w:p>
    <w:p>
      <w:pPr>
        <w:ind w:left="620" w:hanging="143"/>
        <w:spacing w:after="0"/>
        <w:tabs>
          <w:tab w:leader="none" w:pos="620" w:val="left"/>
        </w:tabs>
        <w:numPr>
          <w:ilvl w:val="0"/>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is a Florida corporation that is validly existing and in good standing under Florida law.</w:t>
      </w:r>
    </w:p>
    <w:p>
      <w:pPr>
        <w:spacing w:after="0" w:line="182" w:lineRule="exact"/>
        <w:rPr>
          <w:rFonts w:ascii="Times New Roman" w:cs="Times New Roman" w:eastAsia="Times New Roman" w:hAnsi="Times New Roman"/>
          <w:sz w:val="14"/>
          <w:szCs w:val="14"/>
          <w:color w:val="auto"/>
        </w:rPr>
      </w:pPr>
    </w:p>
    <w:p>
      <w:pPr>
        <w:ind w:left="120" w:right="159" w:firstLine="357"/>
        <w:spacing w:after="0" w:line="265" w:lineRule="auto"/>
        <w:tabs>
          <w:tab w:leader="none" w:pos="613" w:val="left"/>
        </w:tabs>
        <w:numPr>
          <w:ilvl w:val="0"/>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(i) certificates of good standing, and (ii) with respect to the Texas Subsidiary. a Statement of Franchise Tax Account Status obtained through the website of the Office of the Comptroller of Public Accounts of Texas; each of the Specified Subsidiary Guarantors is a corporation, limited partnership or limited liability company, as applicable, validly existing and in good standing under the laws of their respective jurisdiction of organization with respect to the Florida, Colorado, Delaware and New Jersey Subsidiaries, and validly existing and its right to transact business in Texas is intact with respect to the Texas Subsidiary.</w:t>
      </w:r>
    </w:p>
    <w:p>
      <w:pPr>
        <w:spacing w:after="0" w:line="141" w:lineRule="exact"/>
        <w:rPr>
          <w:rFonts w:ascii="Times New Roman" w:cs="Times New Roman" w:eastAsia="Times New Roman" w:hAnsi="Times New Roman"/>
          <w:sz w:val="14"/>
          <w:szCs w:val="14"/>
          <w:color w:val="auto"/>
        </w:rPr>
      </w:pPr>
    </w:p>
    <w:p>
      <w:pPr>
        <w:ind w:left="620" w:hanging="143"/>
        <w:spacing w:after="0"/>
        <w:tabs>
          <w:tab w:leader="none" w:pos="620" w:val="left"/>
        </w:tabs>
        <w:numPr>
          <w:ilvl w:val="0"/>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any shares of Common Stock to be offered by the Company pursuant to the Registration Statement, including shares of</w:t>
      </w:r>
    </w:p>
    <w:p>
      <w:pPr>
        <w:spacing w:after="0" w:line="24" w:lineRule="exact"/>
        <w:rPr>
          <w:rFonts w:ascii="Times New Roman" w:cs="Times New Roman" w:eastAsia="Times New Roman" w:hAnsi="Times New Roman"/>
          <w:sz w:val="14"/>
          <w:szCs w:val="14"/>
          <w:color w:val="auto"/>
        </w:rPr>
      </w:pPr>
    </w:p>
    <w:p>
      <w:pPr>
        <w:ind w:left="120" w:right="139"/>
        <w:spacing w:after="0" w:line="25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Common Stock issuable upon conversion of, exchange of or exercise of any Preferred Stock, Debt Securities, Warrants or Units (the “Offered Common Stock”), (i) when the Registration Statement, as finally amended (including all necessary post-effective amendments), has become effective under the Securities Act, (ii) when an appropriate Prospectus Supplement with respect to the Offered Common Stock has been prepared, delivered and filed in compliance with the Securities Act and the applicable rules and regulations thereunder, (iii) if the Offered Common Stock is to be sold pursuant to a firm commitment underwritten offering, when the</w:t>
      </w:r>
    </w:p>
    <w:p>
      <w:pPr>
        <w:sectPr>
          <w:pgSz w:w="11900" w:h="16838" w:orient="portrait"/>
          <w:cols w:equalWidth="0" w:num="1">
            <w:col w:w="9019"/>
          </w:cols>
          <w:pgMar w:left="1440" w:top="243" w:right="1440" w:bottom="1440" w:gutter="0" w:footer="0" w:header="0"/>
        </w:sectPr>
      </w:pPr>
    </w:p>
    <w:bookmarkStart w:id="241" w:name="page242"/>
    <w:bookmarkEnd w:id="241"/>
    <w:p>
      <w:pPr>
        <w:ind w:left="1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6">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The GEO Group, Inc.</w:t>
      </w:r>
    </w:p>
    <w:p>
      <w:pPr>
        <w:spacing w:after="0" w:line="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October 30, 2026</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Page 3</w:t>
      </w:r>
    </w:p>
    <w:p>
      <w:pPr>
        <w:spacing w:after="0" w:line="190" w:lineRule="exact"/>
        <w:rPr>
          <w:sz w:val="20"/>
          <w:szCs w:val="20"/>
          <w:color w:val="auto"/>
        </w:rPr>
      </w:pPr>
    </w:p>
    <w:p>
      <w:pPr>
        <w:ind w:left="120" w:right="159"/>
        <w:spacing w:after="0" w:line="261" w:lineRule="auto"/>
        <w:rPr>
          <w:sz w:val="20"/>
          <w:szCs w:val="20"/>
          <w:color w:val="auto"/>
        </w:rPr>
      </w:pPr>
      <w:r>
        <w:rPr>
          <w:rFonts w:ascii="Times New Roman" w:cs="Times New Roman" w:eastAsia="Times New Roman" w:hAnsi="Times New Roman"/>
          <w:sz w:val="14"/>
          <w:szCs w:val="14"/>
          <w:color w:val="auto"/>
        </w:rPr>
        <w:t>underwriting agreement with respect to the Offered Common Stock has been duly authorized, executed and delivered by the Company and the other parties thereto, (iv) when the Board of Directors, including any appropriate committee appointed thereby, and appropriate officers of the Company, have taken all necessary corporate action to approve the issuance of the Offered Common Stock, the consideration to be received therefor and related matters, and (v) when the Offered Common Stock has been duly delivered to the purchasers thereof against payment of the agreed upon consideration therefor, provided that the consideration therefor is not less than $0.01 per share of Common Stock, the Offered Common Stock, when issued and sold in accordance with the applicable underwriting agreement, or any other duly authorized, executed and delivered valid and binding agreement, will be validly issued, fully paid and nonassessable.</w:t>
      </w:r>
    </w:p>
    <w:p>
      <w:pPr>
        <w:spacing w:after="0" w:line="148" w:lineRule="exact"/>
        <w:rPr>
          <w:sz w:val="20"/>
          <w:szCs w:val="20"/>
          <w:color w:val="auto"/>
        </w:rPr>
      </w:pPr>
    </w:p>
    <w:p>
      <w:pPr>
        <w:ind w:left="120" w:right="219" w:firstLine="357"/>
        <w:spacing w:after="0" w:line="258" w:lineRule="auto"/>
        <w:tabs>
          <w:tab w:leader="none" w:pos="613" w:val="left"/>
        </w:tabs>
        <w:numPr>
          <w:ilvl w:val="0"/>
          <w:numId w:val="1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the shares of any series of Preferred Stock to be offered by the Company pursuant to the Registration Statement, including shares of Preferred Stock issuable upon conversion of, exchange of or exercise of any Common Stock, Debt Securities, Warrants or Units (the “Offered Preferred Stock”), (i) when the Registration Statement, as finally amended (including all necessary post-effective amendments), has become effective under the Securities Act, (ii) when an appropriate Prospectus Supplement with respect to the Offered Preferred Stock has been prepared, delivered and filed in compliance with the Securities Act and the applicable rules and regulations thereunder, (iii) if the Offered Preferred Stock is to be sold pursuant to a firm commitment underwritten offering, when the underwriting agreement with respect to the Offered Preferred Stock has been duly authorized, executed and delivered by the Company and the other parties thereto, (iv) when the Board of Directors, including any appropriate committee appointed thereby, and appropriate officers of the Company, have taken all necessary corporate action to approve the issuance, sale and terms of the Offered Preferred Stock, the consideration to be received therefor and related matters, including the adoption of any required certificate of designation for the Offered Preferred Stock in accordance with the applicable provisions of the Florida Business Corporation Act (the “Certificate of Designation”), (v) when the filing of the Certificate of Designation with the Florida Department of State has duly occurred, and (vi) when the Offered Preferred Stock has been duly delivered to the purchasers thereof against payment of the agreed upon consideration therefor, provided that the consideration therefor is not less than $0.01 per share of Preferred Stock, the Offered Preferred Stock, when issued and sold in accordance with the applicable underwriting agreement, or any other duly authorized, executed and delivered valid and binding agreement, will be validly issued, fully paid and nonassessable.</w:t>
      </w:r>
    </w:p>
    <w:p>
      <w:pPr>
        <w:spacing w:after="0" w:line="152" w:lineRule="exact"/>
        <w:rPr>
          <w:rFonts w:ascii="Times New Roman" w:cs="Times New Roman" w:eastAsia="Times New Roman" w:hAnsi="Times New Roman"/>
          <w:sz w:val="14"/>
          <w:szCs w:val="14"/>
          <w:color w:val="auto"/>
        </w:rPr>
      </w:pPr>
    </w:p>
    <w:p>
      <w:pPr>
        <w:ind w:left="120" w:right="139" w:firstLine="357"/>
        <w:spacing w:after="0" w:line="258" w:lineRule="auto"/>
        <w:tabs>
          <w:tab w:leader="none" w:pos="613" w:val="left"/>
        </w:tabs>
        <w:numPr>
          <w:ilvl w:val="0"/>
          <w:numId w:val="1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any series of Debt Securities offered by the Company pursuant to the Registration Statement, including Debt Securities issuable upon conversion of, exchange of or exercise of any Warrants or Units (the “Offered Debt Securities”), (i) when the Registration Statement, as finally amended (including all necessary post-effective amendments), has become effective under the Securities Act and the applicable indenture has been qualified under the Trust Indenture Act of 1939, as amended (the “Trust Indenture Act”), (ii) when an appropriate Prospectus Supplement with respect to the Offered Debt Securities has been prepared, delivered and filed in compliance with the Securities Act and the applicable rules and regulations thereunder, (iii) if the Offered Debt Securities are to be sold pursuant to a firm commitment underwritten offering, when an underwriting agreement or purchase agreement with respect to the Offered Debt Securities has been duly authorized, executed and delivered by the Company and the other parties thereto, (iv) when the Board of Directors, including any appropriate committee appointed thereby, and appropriate officers of the Company, have taken all necessary corporate action to approve the issuance, sale and terms of the Offered Debt Securities, the consideration to be received therefor and related matters, and (v) when the Offered Debt Securities have been duly executed and authenticated in accordance with the provisions of the applicable indenture and any supplemental indenture relating to such Offered Debt Securities and duly delivered to the purchasers thereof against payment of the agreed upon consideration therefor, the Offered Debt Securities, when issued and sold or otherwise distributed in accordance with the applicable indenture and any supplemental indenture relating to such Offered Debt Securities and the applicable underwriting agreement or purchase agreement, if any, or any other duly authorized, executed and delivered valid and binding agreement, will constitute valid and binding obligations of the Company, enforceable against the Company in accordance with their respective terms.</w:t>
      </w:r>
    </w:p>
    <w:p>
      <w:pPr>
        <w:spacing w:after="0" w:line="150" w:lineRule="exact"/>
        <w:rPr>
          <w:rFonts w:ascii="Times New Roman" w:cs="Times New Roman" w:eastAsia="Times New Roman" w:hAnsi="Times New Roman"/>
          <w:sz w:val="14"/>
          <w:szCs w:val="14"/>
          <w:color w:val="auto"/>
        </w:rPr>
      </w:pPr>
    </w:p>
    <w:p>
      <w:pPr>
        <w:ind w:left="120" w:right="199" w:firstLine="357"/>
        <w:spacing w:after="0" w:line="274" w:lineRule="auto"/>
        <w:tabs>
          <w:tab w:leader="none" w:pos="613" w:val="left"/>
        </w:tabs>
        <w:numPr>
          <w:ilvl w:val="0"/>
          <w:numId w:val="1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any Guarantee by any of the Subsidiary Guarantors with respect to a series of Offered Debt Securities issued pursuant to the Registration Statement (collectively, the “Offered Guarantees”), (i) when the Registration Statement, as finally amended (including all necessary post-effective amendments), has become effective under the Securities Act and the applicable indenture has been qualified under the Trust Indenture Act, (ii)</w:t>
      </w:r>
    </w:p>
    <w:p>
      <w:pPr>
        <w:sectPr>
          <w:pgSz w:w="11900" w:h="16838" w:orient="portrait"/>
          <w:cols w:equalWidth="0" w:num="1">
            <w:col w:w="9019"/>
          </w:cols>
          <w:pgMar w:left="1440" w:top="243" w:right="1440" w:bottom="1440" w:gutter="0" w:footer="0" w:header="0"/>
        </w:sectPr>
      </w:pPr>
    </w:p>
    <w:bookmarkStart w:id="242" w:name="page243"/>
    <w:bookmarkEnd w:id="242"/>
    <w:p>
      <w:pPr>
        <w:ind w:left="1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7">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The GEO Group, Inc.</w:t>
      </w:r>
    </w:p>
    <w:p>
      <w:pPr>
        <w:spacing w:after="0" w:line="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October 30, 2026</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Page 4</w:t>
      </w:r>
    </w:p>
    <w:p>
      <w:pPr>
        <w:spacing w:after="0" w:line="190" w:lineRule="exact"/>
        <w:rPr>
          <w:sz w:val="20"/>
          <w:szCs w:val="20"/>
          <w:color w:val="auto"/>
        </w:rPr>
      </w:pPr>
    </w:p>
    <w:p>
      <w:pPr>
        <w:ind w:left="120" w:right="159"/>
        <w:spacing w:after="0" w:line="258" w:lineRule="auto"/>
        <w:rPr>
          <w:sz w:val="20"/>
          <w:szCs w:val="20"/>
          <w:color w:val="auto"/>
        </w:rPr>
      </w:pPr>
      <w:r>
        <w:rPr>
          <w:rFonts w:ascii="Times New Roman" w:cs="Times New Roman" w:eastAsia="Times New Roman" w:hAnsi="Times New Roman"/>
          <w:sz w:val="14"/>
          <w:szCs w:val="14"/>
          <w:color w:val="auto"/>
        </w:rPr>
        <w:t>when an appropriate Prospectus Supplement with respect to the Offered Debt Securities and related Offered Guarantees has been prepared, delivered and filed in compliance with the Securities Act and the applicable rules and regulations thereunder, (iii) if the Offered Debt Securities and related Offered Guarantees are to be sold pursuant to a firm commitment underwritten offering, when an underwriting agreement or purchase agreement with respect to the Offered Debt Securities and related Offered Guarantees has been duly authorized, executed and delivered by the Company and the other parties thereto, (iv) when the Board of Directors of the Company and the board, other applicable body or members of each applicable Subsidiary Guarantor of the Company, including any appropriate committee appointed thereby, and appropriate officers, members or managers of the Company and each Subsidiary Guarantor, as applicable, have taken all necessary action to approve the issuance, sale and terms of the Offered Debt Securities and the Offered Guarantees, the consideration to be received therefor and related matters, and (v) when the Offered Debt Securities and related Offered Guarantees have been duly executed and authenticated in accordance with the provisions of the applicable indenture and any supplemental indenture relating to such Offered Debt Securities and the related Offered Guarantees, and duly delivered to the purchasers thereof against payment of the agreed upon consideration therefor, each Offered Guarantee, when issued and sold in accordance with the applicable indenture, any supplemental indenture relating to such Offered Debt Securities to be entered into in connection with the issuance of such Offered Debt Securities and the related Offered Guarantees, and the applicable underwriting agreement or purchase agreement, if any, or any other duly authorized, executed and delivered valid and binding agreement, will be a valid and binding obligation of the applicable Subsidiary Guarantor, enforceable against the applicable Subsidiary Guarantor in accordance with their respective terms.</w:t>
      </w:r>
    </w:p>
    <w:p>
      <w:pPr>
        <w:spacing w:after="0" w:line="324" w:lineRule="exact"/>
        <w:rPr>
          <w:sz w:val="20"/>
          <w:szCs w:val="20"/>
          <w:color w:val="auto"/>
        </w:rPr>
      </w:pPr>
    </w:p>
    <w:p>
      <w:pPr>
        <w:ind w:left="120" w:right="539" w:firstLine="357"/>
        <w:spacing w:after="0" w:line="266" w:lineRule="auto"/>
        <w:tabs>
          <w:tab w:leader="none" w:pos="613" w:val="left"/>
        </w:tabs>
        <w:numPr>
          <w:ilvl w:val="1"/>
          <w:numId w:val="1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any Warrants to be offered by the Company pursuant to the Registration Statement (the “Offered Warrants”), (i) when the Registration Statement, as finally amended (including all necessary post-effective amendments), has become effective under the Securities Act,</w:t>
      </w:r>
    </w:p>
    <w:p>
      <w:pPr>
        <w:ind w:left="120" w:right="139" w:firstLine="7"/>
        <w:spacing w:after="0" w:line="257" w:lineRule="auto"/>
        <w:tabs>
          <w:tab w:leader="none" w:pos="330" w:val="left"/>
        </w:tabs>
        <w:numPr>
          <w:ilvl w:val="0"/>
          <w:numId w:val="1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 an appropriate Prospectus Supplement with respect to the Offered Warrants has been prepared, delivered and filed in compliance with the Securities Act and the applicable rules and regulations thereunder, (iii) if the Offered Warrants are to be sold pursuant to a firm commitment underwritten offering, when the underwriting agreement with respect to the Offered Warrants has been duly authorized, executed and delivered by the Company and the other parties thereto, (iv) any applicable warrant agreement has been duly authorized, executed and delivered by the Company and any warrant agent named therein has been duly named by all necessary corporate action, (v) when the Board of Directors, including any appropriate committee appointed thereby, and appropriate officers of the Company, have taken all necessary corporate action to approve the issuance, sale and terms of the Offered Warrants, the consideration to be received therefor and related matters, and (vi) when the Offered Warrants have been duly executed, issued and delivered to the purchasers thereof against payment of the agreed upon consideration therefor and authenticated by any warrant agent, the Offered Warrants, when issued and sold in accordance with the applicable underwriting agreement, warrant agreement, or any other duly authorized, executed and delivered valid and binding agreement, will constitute valid and binding obligations of the Company, enforceable against the Company in accordance with their respective terms.</w:t>
      </w:r>
    </w:p>
    <w:p>
      <w:pPr>
        <w:spacing w:after="0" w:line="149" w:lineRule="exact"/>
        <w:rPr>
          <w:rFonts w:ascii="Times New Roman" w:cs="Times New Roman" w:eastAsia="Times New Roman" w:hAnsi="Times New Roman"/>
          <w:sz w:val="14"/>
          <w:szCs w:val="14"/>
          <w:color w:val="auto"/>
        </w:rPr>
      </w:pPr>
    </w:p>
    <w:p>
      <w:pPr>
        <w:ind w:left="120" w:right="199" w:firstLine="357"/>
        <w:spacing w:after="0" w:line="259" w:lineRule="auto"/>
        <w:tabs>
          <w:tab w:leader="none" w:pos="613" w:val="left"/>
        </w:tabs>
        <w:numPr>
          <w:ilvl w:val="1"/>
          <w:numId w:val="1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any Units to be offered by the Company pursuant to the Registration Statement (the “Offered Units”), (i) when the Registration Statement, as finally amended (including all necessary post-effective amendments), has become effective under the Securities Act, (ii) when an appropriate Prospectus Supplement with respect to the Offered Units has been prepared, delivered and filed in compliance with the Securities Act and the applicable rules and regulations thereunder, (iii) if the Offered Units are to be sold pursuant to a firm commitment underwritten offering, when the underwriting agreement with respect to the Offered Units has been duly authorized, executed and delivered by the Company and the other parties thereto, (iv) when the Board of Directors, including any appropriate committee appointed thereby, and appropriate officers of the Company, have taken all necessary corporate action to approve the issuance, sale and terms of the Offered Units, the consideration to be received therefor and related matters, and (v) when the Offered Units have been duly executed, issued and delivered to the purchasers thereof against payment of the agreed upon consideration therefor and authenticated by all other parties thereto, the Offered Units, when issued and sold in accordance with the applicable underwriting agreement, unit agreement, or any other duly authorized, executed and delivered valid and binding agreement, will constitute valid and binding obligations of the Company, enforceable against the Company in accordance with their respective terms.</w:t>
      </w:r>
    </w:p>
    <w:p>
      <w:pPr>
        <w:sectPr>
          <w:pgSz w:w="11900" w:h="16838" w:orient="portrait"/>
          <w:cols w:equalWidth="0" w:num="1">
            <w:col w:w="9019"/>
          </w:cols>
          <w:pgMar w:left="1440" w:top="243" w:right="1440" w:bottom="1440" w:gutter="0" w:footer="0" w:header="0"/>
        </w:sectPr>
      </w:pPr>
    </w:p>
    <w:bookmarkStart w:id="243" w:name="page244"/>
    <w:bookmarkEnd w:id="243"/>
    <w:p>
      <w:pPr>
        <w:ind w:left="1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8">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The GEO Group, Inc.</w:t>
      </w:r>
    </w:p>
    <w:p>
      <w:pPr>
        <w:spacing w:after="0" w:line="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October 30, 2026</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Page 5</w:t>
      </w:r>
    </w:p>
    <w:p>
      <w:pPr>
        <w:spacing w:after="0" w:line="190" w:lineRule="exact"/>
        <w:rPr>
          <w:sz w:val="20"/>
          <w:szCs w:val="20"/>
          <w:color w:val="auto"/>
        </w:rPr>
      </w:pPr>
    </w:p>
    <w:p>
      <w:pPr>
        <w:ind w:left="120" w:right="139" w:firstLine="350"/>
        <w:spacing w:after="0" w:line="258" w:lineRule="auto"/>
        <w:rPr>
          <w:sz w:val="20"/>
          <w:szCs w:val="20"/>
          <w:color w:val="auto"/>
        </w:rPr>
      </w:pPr>
      <w:r>
        <w:rPr>
          <w:rFonts w:ascii="Times New Roman" w:cs="Times New Roman" w:eastAsia="Times New Roman" w:hAnsi="Times New Roman"/>
          <w:sz w:val="14"/>
          <w:szCs w:val="14"/>
          <w:color w:val="auto"/>
        </w:rPr>
        <w:t>The opinions set forth above are subject to (a) the effects of bankruptcy, insolvency, fraudulent conveyance, reorganization, moratorium and other similar laws relating to or affecting the enforcement of creditors’ rights generally, (b) general equitable principles (whether considered in a proceeding in equity or at law), (c) an implied covenant of good faith and fair dealing, (d) provisions of law that require that a judgment for money damages rendered by a court in the United States be expressed only in United States dollars, (e) limitations by any governmental authority that limit, delay or prohibit the making of payments outside the United States, and (f) generally applicable laws that (i) provide for the enforcement of oral waivers or modifications where a material change of position in reliance thereon has occurred or provide that a course of performance may operate as a waiver, (ii) limit the availability of a remedy under certain circumstances where another remedy has been elected, (iii) limit the enforceability of provisions releasing, exculpating or exempting a party from, or requiring indemnification of a party for, liability for its own action or inaction, to the extent the action or inaction involves gross negligence, recklessness, willful misconduct or unlawful conduct, (iv) may, where less than all of a contract may be unenforceable, limit the enforceability of the balance of the contract to circumstances in which the unenforceable portion is not an essential part of the agreed exchange, (v) may limit the enforceability of provisions providing for compounded interest, imposing increased interest rates or late payment charges upon delinquency in payment or default or providing for liquidated damages or for premiums upon acceleration or (vi) limit the waiver of rights under usury laws. With respect to opinion 6, we also note that in the absence of an enforceable waiver or consent, a Subsidiary Guarantor may be discharged if: (i) action by the holder of the debt securities impairs the value of any collateral securing guaranteed debt to the detriment of the Subsidiary Guarantor, (ii) the holder of the debt securities elects remedies for default that impair the subrogation rights of the Subsidiary Guarantor against the Company, (iii) the guaranteed debt or debt securities are materially modified, or (iv) the holder of the debt securities otherwise takes action under the debt documents that materially prejudices the Subsidiary Guarantor.</w:t>
      </w:r>
    </w:p>
    <w:p>
      <w:pPr>
        <w:spacing w:after="0" w:line="148" w:lineRule="exact"/>
        <w:rPr>
          <w:sz w:val="20"/>
          <w:szCs w:val="20"/>
          <w:color w:val="auto"/>
        </w:rPr>
      </w:pPr>
    </w:p>
    <w:p>
      <w:pPr>
        <w:ind w:left="120" w:right="199" w:firstLine="350"/>
        <w:spacing w:after="0" w:line="263" w:lineRule="auto"/>
        <w:rPr>
          <w:sz w:val="20"/>
          <w:szCs w:val="20"/>
          <w:color w:val="auto"/>
        </w:rPr>
      </w:pPr>
      <w:r>
        <w:rPr>
          <w:rFonts w:ascii="Times New Roman" w:cs="Times New Roman" w:eastAsia="Times New Roman" w:hAnsi="Times New Roman"/>
          <w:sz w:val="14"/>
          <w:szCs w:val="14"/>
          <w:color w:val="auto"/>
        </w:rPr>
        <w:t>With respect to opinion 6, we have, without any investigation on our part, assumed the accuracy, and to the extent necessary in connection with the opinions contained herein, relied upon the opinions dated as of the date hereof furnished to you by: (i) Dorsey &amp; Whitney LLP, as to matters of Alaska law; (ii) Hinckley, Allen &amp; Snyder LLP, as to matters of Massachusetts law; (iii) Latsha Davis &amp; Marshall, P.C., as to matters of Pennsylvania law; and (iv) Holland &amp; Hart LLP, as to matters of Wyoming law (collectively, the “Local Counsel Opinions”), and our opinions regarding the Subsidiary Guarantors which are the subject of the Local Counsel Opinions are subject to the same qualifications and limitations with respect to matters of Alaska, Massachusetts, Pennsylvania and Wyoming law as are expressed in each such Local Counsel Opinion.</w:t>
      </w:r>
    </w:p>
    <w:p>
      <w:pPr>
        <w:spacing w:after="0" w:line="143" w:lineRule="exact"/>
        <w:rPr>
          <w:sz w:val="20"/>
          <w:szCs w:val="20"/>
          <w:color w:val="auto"/>
        </w:rPr>
      </w:pPr>
    </w:p>
    <w:p>
      <w:pPr>
        <w:ind w:left="120" w:right="299" w:firstLine="350"/>
        <w:spacing w:after="0" w:line="268" w:lineRule="auto"/>
        <w:rPr>
          <w:sz w:val="20"/>
          <w:szCs w:val="20"/>
          <w:color w:val="auto"/>
        </w:rPr>
      </w:pPr>
      <w:r>
        <w:rPr>
          <w:rFonts w:ascii="Times New Roman" w:cs="Times New Roman" w:eastAsia="Times New Roman" w:hAnsi="Times New Roman"/>
          <w:sz w:val="14"/>
          <w:szCs w:val="14"/>
          <w:color w:val="auto"/>
        </w:rPr>
        <w:t>We assume no obligation to update or supplement this opinion letter if any applicable laws change after the date of this opinion letter or if we become aware after the date of this opinion letter of any facts, whether existing before or arising after the date hereof, that might change the opinions expressed above. Without limiting the generality of the foregoing, we neither express nor imply any opinion regarding the contents of the Registration Statement or the Prospectus, other than as expressly stated herein with respect to the Securities to be issued pursuant to the Registration Statement.</w:t>
      </w:r>
    </w:p>
    <w:p>
      <w:pPr>
        <w:spacing w:after="0" w:line="139" w:lineRule="exact"/>
        <w:rPr>
          <w:sz w:val="20"/>
          <w:szCs w:val="20"/>
          <w:color w:val="auto"/>
        </w:rPr>
      </w:pPr>
    </w:p>
    <w:p>
      <w:pPr>
        <w:ind w:left="120" w:right="239" w:firstLine="350"/>
        <w:spacing w:after="0" w:line="274" w:lineRule="auto"/>
        <w:rPr>
          <w:sz w:val="20"/>
          <w:szCs w:val="20"/>
          <w:color w:val="auto"/>
        </w:rPr>
      </w:pPr>
      <w:r>
        <w:rPr>
          <w:rFonts w:ascii="Times New Roman" w:cs="Times New Roman" w:eastAsia="Times New Roman" w:hAnsi="Times New Roman"/>
          <w:sz w:val="14"/>
          <w:szCs w:val="14"/>
          <w:color w:val="auto"/>
        </w:rPr>
        <w:t>This opinion letter is furnished in connection with the filing of the Registration Statement and may not be relied upon for any other purpose without our prior written consent in each instance. No portion of this letter may be quoted, circulated or referred to in any other document for any other purpose without our prior written consent.</w:t>
      </w:r>
    </w:p>
    <w:p>
      <w:pPr>
        <w:spacing w:after="0" w:line="135" w:lineRule="exact"/>
        <w:rPr>
          <w:sz w:val="20"/>
          <w:szCs w:val="20"/>
          <w:color w:val="auto"/>
        </w:rPr>
      </w:pPr>
    </w:p>
    <w:p>
      <w:pPr>
        <w:jc w:val="both"/>
        <w:ind w:left="120" w:right="199" w:firstLine="350"/>
        <w:spacing w:after="0" w:line="274" w:lineRule="auto"/>
        <w:rPr>
          <w:sz w:val="20"/>
          <w:szCs w:val="20"/>
          <w:color w:val="auto"/>
        </w:rPr>
      </w:pPr>
      <w:r>
        <w:rPr>
          <w:rFonts w:ascii="Times New Roman" w:cs="Times New Roman" w:eastAsia="Times New Roman" w:hAnsi="Times New Roman"/>
          <w:sz w:val="14"/>
          <w:szCs w:val="14"/>
          <w:color w:val="auto"/>
        </w:rPr>
        <w:t>We hereby consent to the filing of this opinion letter with the Commission as Exhibit 5.1 to the Registration Statement. We also hereby consent to the reference to our firm under the heading “Legal Matters” in the Prospectus. In giving this consent, we do not admit that we are within the category of persons whose consent is required under Section 7 of the Securities Act or the rules and regulations of the Commission issued thereunder.</w:t>
      </w:r>
    </w:p>
    <w:p>
      <w:pPr>
        <w:spacing w:after="0" w:line="15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/s/ Akerman LLP</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AKERMAN LLP</w:t>
      </w:r>
    </w:p>
    <w:p>
      <w:pPr>
        <w:sectPr>
          <w:pgSz w:w="11900" w:h="16838" w:orient="portrait"/>
          <w:cols w:equalWidth="0" w:num="1">
            <w:col w:w="9019"/>
          </w:cols>
          <w:pgMar w:left="1440" w:top="243" w:right="1440" w:bottom="1440" w:gutter="0" w:footer="0" w:header="0"/>
        </w:sectPr>
      </w:pPr>
    </w:p>
    <w:bookmarkStart w:id="244" w:name="page245"/>
    <w:bookmarkEnd w:id="244"/>
    <w:p>
      <w:pPr>
        <w:ind w:left="1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9">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The GEO Group, Inc.</w:t>
      </w:r>
    </w:p>
    <w:p>
      <w:pPr>
        <w:spacing w:after="0" w:line="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October 30, 2026</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Page 6</w:t>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2800" w:type="dxa"/>
            <w:vAlign w:val="bottom"/>
          </w:tcPr>
          <w:p>
            <w:pPr>
              <w:spacing w:after="0"/>
              <w:rPr>
                <w:sz w:val="16"/>
                <w:szCs w:val="16"/>
                <w:color w:val="auto"/>
              </w:rPr>
            </w:pPr>
          </w:p>
        </w:tc>
        <w:tc>
          <w:tcPr>
            <w:tcW w:w="5960" w:type="dxa"/>
            <w:vAlign w:val="bottom"/>
            <w:gridSpan w:val="2"/>
          </w:tcPr>
          <w:p>
            <w:pPr>
              <w:jc w:val="center"/>
              <w:ind w:right="2730"/>
              <w:spacing w:after="0"/>
              <w:rPr>
                <w:sz w:val="20"/>
                <w:szCs w:val="20"/>
                <w:color w:val="auto"/>
              </w:rPr>
            </w:pPr>
            <w:r>
              <w:rPr>
                <w:rFonts w:ascii="Times New Roman" w:cs="Times New Roman" w:eastAsia="Times New Roman" w:hAnsi="Times New Roman"/>
                <w:sz w:val="14"/>
                <w:szCs w:val="14"/>
                <w:b w:val="1"/>
                <w:bCs w:val="1"/>
                <w:color w:val="auto"/>
              </w:rPr>
              <w:t>ANNEX I</w:t>
            </w:r>
          </w:p>
        </w:tc>
      </w:tr>
      <w:tr>
        <w:trPr>
          <w:trHeight w:val="258"/>
        </w:trPr>
        <w:tc>
          <w:tcPr>
            <w:tcW w:w="2800" w:type="dxa"/>
            <w:vAlign w:val="bottom"/>
          </w:tcPr>
          <w:p>
            <w:pPr>
              <w:spacing w:after="0"/>
              <w:rPr>
                <w:sz w:val="22"/>
                <w:szCs w:val="22"/>
                <w:color w:val="auto"/>
              </w:rPr>
            </w:pPr>
          </w:p>
        </w:tc>
        <w:tc>
          <w:tcPr>
            <w:tcW w:w="5960" w:type="dxa"/>
            <w:vAlign w:val="bottom"/>
            <w:gridSpan w:val="2"/>
          </w:tcPr>
          <w:p>
            <w:pPr>
              <w:jc w:val="center"/>
              <w:ind w:right="2730"/>
              <w:spacing w:after="0"/>
              <w:rPr>
                <w:sz w:val="20"/>
                <w:szCs w:val="20"/>
                <w:color w:val="auto"/>
              </w:rPr>
            </w:pPr>
            <w:r>
              <w:rPr>
                <w:rFonts w:ascii="Times New Roman" w:cs="Times New Roman" w:eastAsia="Times New Roman" w:hAnsi="Times New Roman"/>
                <w:sz w:val="14"/>
                <w:szCs w:val="14"/>
                <w:b w:val="1"/>
                <w:bCs w:val="1"/>
                <w:color w:val="auto"/>
              </w:rPr>
              <w:t>SPECIFIED SUBSIDIARY GUARANTORS</w:t>
            </w:r>
          </w:p>
        </w:tc>
      </w:tr>
      <w:tr>
        <w:trPr>
          <w:trHeight w:val="293"/>
        </w:trPr>
        <w:tc>
          <w:tcPr>
            <w:tcW w:w="280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State or Other</w:t>
            </w:r>
          </w:p>
        </w:tc>
      </w:tr>
      <w:tr>
        <w:trPr>
          <w:trHeight w:val="118"/>
        </w:trPr>
        <w:tc>
          <w:tcPr>
            <w:tcW w:w="280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940" w:type="dxa"/>
            <w:vAlign w:val="bottom"/>
          </w:tcPr>
          <w:p>
            <w:pPr>
              <w:jc w:val="center"/>
              <w:spacing w:after="0" w:line="118" w:lineRule="exact"/>
              <w:rPr>
                <w:sz w:val="20"/>
                <w:szCs w:val="20"/>
                <w:color w:val="auto"/>
              </w:rPr>
            </w:pPr>
            <w:r>
              <w:rPr>
                <w:rFonts w:ascii="Times New Roman" w:cs="Times New Roman" w:eastAsia="Times New Roman" w:hAnsi="Times New Roman"/>
                <w:sz w:val="11"/>
                <w:szCs w:val="11"/>
                <w:b w:val="1"/>
                <w:bCs w:val="1"/>
                <w:color w:val="auto"/>
              </w:rPr>
              <w:t>Jurisdiction of</w:t>
            </w:r>
          </w:p>
        </w:tc>
      </w:tr>
      <w:tr>
        <w:trPr>
          <w:trHeight w:val="118"/>
        </w:trPr>
        <w:tc>
          <w:tcPr>
            <w:tcW w:w="280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940" w:type="dxa"/>
            <w:vAlign w:val="bottom"/>
          </w:tcPr>
          <w:p>
            <w:pPr>
              <w:jc w:val="center"/>
              <w:spacing w:after="0" w:line="118" w:lineRule="exact"/>
              <w:rPr>
                <w:sz w:val="20"/>
                <w:szCs w:val="20"/>
                <w:color w:val="auto"/>
              </w:rPr>
            </w:pPr>
            <w:r>
              <w:rPr>
                <w:rFonts w:ascii="Times New Roman" w:cs="Times New Roman" w:eastAsia="Times New Roman" w:hAnsi="Times New Roman"/>
                <w:sz w:val="11"/>
                <w:szCs w:val="11"/>
                <w:b w:val="1"/>
                <w:bCs w:val="1"/>
                <w:color w:val="auto"/>
              </w:rPr>
              <w:t>Incorporation or</w:t>
            </w:r>
          </w:p>
        </w:tc>
      </w:tr>
      <w:tr>
        <w:trPr>
          <w:trHeight w:val="148"/>
        </w:trPr>
        <w:tc>
          <w:tcPr>
            <w:tcW w:w="28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Exact Name of Subsidiary</w:t>
            </w:r>
          </w:p>
        </w:tc>
        <w:tc>
          <w:tcPr>
            <w:tcW w:w="5020" w:type="dxa"/>
            <w:vAlign w:val="bottom"/>
          </w:tcPr>
          <w:p>
            <w:pPr>
              <w:spacing w:after="0"/>
              <w:rPr>
                <w:sz w:val="12"/>
                <w:szCs w:val="12"/>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Formation</w:t>
            </w:r>
          </w:p>
        </w:tc>
      </w:tr>
      <w:tr>
        <w:trPr>
          <w:trHeight w:val="148"/>
        </w:trPr>
        <w:tc>
          <w:tcPr>
            <w:tcW w:w="280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Arapahoe County Residential Center, LLC</w:t>
            </w:r>
          </w:p>
        </w:tc>
        <w:tc>
          <w:tcPr>
            <w:tcW w:w="5020" w:type="dxa"/>
            <w:vAlign w:val="bottom"/>
          </w:tcPr>
          <w:p>
            <w:pPr>
              <w:spacing w:after="0"/>
              <w:rPr>
                <w:sz w:val="12"/>
                <w:szCs w:val="12"/>
                <w:color w:val="auto"/>
              </w:rPr>
            </w:pPr>
          </w:p>
        </w:tc>
        <w:tc>
          <w:tcPr>
            <w:tcW w:w="94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color w:val="auto"/>
              </w:rPr>
              <w:t>Colorado</w:t>
            </w:r>
          </w:p>
        </w:tc>
      </w:tr>
      <w:tr>
        <w:trPr>
          <w:trHeight w:val="172"/>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B.I. Incorporated</w:t>
            </w:r>
          </w:p>
        </w:tc>
        <w:tc>
          <w:tcPr>
            <w:tcW w:w="50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Colorado</w:t>
            </w:r>
          </w:p>
        </w:tc>
      </w:tr>
      <w:tr>
        <w:trPr>
          <w:trHeight w:val="172"/>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Behavioral Acquisition Corp.</w:t>
            </w:r>
          </w:p>
        </w:tc>
        <w:tc>
          <w:tcPr>
            <w:tcW w:w="50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Delaware</w:t>
            </w:r>
          </w:p>
        </w:tc>
      </w:tr>
      <w:tr>
        <w:trPr>
          <w:trHeight w:val="172"/>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Behavioral Holding Corp.</w:t>
            </w:r>
          </w:p>
        </w:tc>
        <w:tc>
          <w:tcPr>
            <w:tcW w:w="50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Delaware</w:t>
            </w:r>
          </w:p>
        </w:tc>
      </w:tr>
      <w:tr>
        <w:trPr>
          <w:trHeight w:val="172"/>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BI Mobile Breath, LLC</w:t>
            </w:r>
          </w:p>
        </w:tc>
        <w:tc>
          <w:tcPr>
            <w:tcW w:w="50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Delaware</w:t>
            </w:r>
          </w:p>
        </w:tc>
      </w:tr>
      <w:tr>
        <w:trPr>
          <w:trHeight w:val="172"/>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BII Holding Corporation</w:t>
            </w:r>
          </w:p>
        </w:tc>
        <w:tc>
          <w:tcPr>
            <w:tcW w:w="50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Delaware</w:t>
            </w:r>
          </w:p>
        </w:tc>
      </w:tr>
      <w:tr>
        <w:trPr>
          <w:trHeight w:val="172"/>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BII Holding I Corporation</w:t>
            </w:r>
          </w:p>
        </w:tc>
        <w:tc>
          <w:tcPr>
            <w:tcW w:w="50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Delaware</w:t>
            </w:r>
          </w:p>
        </w:tc>
      </w:tr>
      <w:tr>
        <w:trPr>
          <w:trHeight w:val="172"/>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Broad Real Estate Holdings LLC</w:t>
            </w:r>
          </w:p>
        </w:tc>
        <w:tc>
          <w:tcPr>
            <w:tcW w:w="50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Delaware</w:t>
            </w:r>
          </w:p>
        </w:tc>
      </w:tr>
      <w:tr>
        <w:trPr>
          <w:trHeight w:val="172"/>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CCMAS LLC</w:t>
            </w:r>
          </w:p>
        </w:tc>
        <w:tc>
          <w:tcPr>
            <w:tcW w:w="50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Delaware</w:t>
            </w:r>
          </w:p>
        </w:tc>
      </w:tr>
      <w:tr>
        <w:trPr>
          <w:trHeight w:val="172"/>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CEC Intermediate Holdings LLC</w:t>
            </w:r>
          </w:p>
        </w:tc>
        <w:tc>
          <w:tcPr>
            <w:tcW w:w="50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Delaware</w:t>
            </w:r>
          </w:p>
        </w:tc>
      </w:tr>
      <w:tr>
        <w:trPr>
          <w:trHeight w:val="172"/>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CEC Parent Holdings LLC</w:t>
            </w:r>
          </w:p>
        </w:tc>
        <w:tc>
          <w:tcPr>
            <w:tcW w:w="50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Delaware</w:t>
            </w:r>
          </w:p>
        </w:tc>
      </w:tr>
      <w:tr>
        <w:trPr>
          <w:trHeight w:val="172"/>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CEC Staffing Solutions LLC</w:t>
            </w:r>
          </w:p>
        </w:tc>
        <w:tc>
          <w:tcPr>
            <w:tcW w:w="50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Jersey</w:t>
            </w:r>
          </w:p>
        </w:tc>
      </w:tr>
      <w:tr>
        <w:trPr>
          <w:trHeight w:val="172"/>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CiviGenics-Texas, Inc.</w:t>
            </w:r>
          </w:p>
        </w:tc>
        <w:tc>
          <w:tcPr>
            <w:tcW w:w="50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Texas</w:t>
            </w:r>
          </w:p>
        </w:tc>
      </w:tr>
      <w:tr>
        <w:trPr>
          <w:trHeight w:val="172"/>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Clearstream Development LLC</w:t>
            </w:r>
          </w:p>
        </w:tc>
        <w:tc>
          <w:tcPr>
            <w:tcW w:w="50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Delaware</w:t>
            </w:r>
          </w:p>
        </w:tc>
      </w:tr>
      <w:tr>
        <w:trPr>
          <w:trHeight w:val="172"/>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Community Corrections, LLC</w:t>
            </w:r>
          </w:p>
        </w:tc>
        <w:tc>
          <w:tcPr>
            <w:tcW w:w="50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Colorado</w:t>
            </w:r>
          </w:p>
        </w:tc>
      </w:tr>
      <w:tr>
        <w:trPr>
          <w:trHeight w:val="172"/>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Community Education Centers, Inc.</w:t>
            </w:r>
          </w:p>
        </w:tc>
        <w:tc>
          <w:tcPr>
            <w:tcW w:w="50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Delaware</w:t>
            </w:r>
          </w:p>
        </w:tc>
      </w:tr>
      <w:tr>
        <w:trPr>
          <w:trHeight w:val="172"/>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Cornell Companies, Inc.</w:t>
            </w:r>
          </w:p>
        </w:tc>
        <w:tc>
          <w:tcPr>
            <w:tcW w:w="50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Delaware</w:t>
            </w:r>
          </w:p>
        </w:tc>
      </w:tr>
      <w:tr>
        <w:trPr>
          <w:trHeight w:val="172"/>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Cornell Corrections Management, LLC</w:t>
            </w:r>
          </w:p>
        </w:tc>
        <w:tc>
          <w:tcPr>
            <w:tcW w:w="50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Delaware</w:t>
            </w:r>
          </w:p>
        </w:tc>
      </w:tr>
      <w:tr>
        <w:trPr>
          <w:trHeight w:val="172"/>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Cornell Corrections of Rhode Island, Inc.</w:t>
            </w:r>
          </w:p>
        </w:tc>
        <w:tc>
          <w:tcPr>
            <w:tcW w:w="50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Delaware</w:t>
            </w:r>
          </w:p>
        </w:tc>
      </w:tr>
      <w:tr>
        <w:trPr>
          <w:trHeight w:val="172"/>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Cornell Corrections of Texas, Inc.</w:t>
            </w:r>
          </w:p>
        </w:tc>
        <w:tc>
          <w:tcPr>
            <w:tcW w:w="50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Delaware</w:t>
            </w:r>
          </w:p>
        </w:tc>
      </w:tr>
      <w:tr>
        <w:trPr>
          <w:trHeight w:val="172"/>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Correctional Properties Prison Finance, LLC</w:t>
            </w:r>
          </w:p>
        </w:tc>
        <w:tc>
          <w:tcPr>
            <w:tcW w:w="50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Delaware</w:t>
            </w:r>
          </w:p>
        </w:tc>
      </w:tr>
      <w:tr>
        <w:trPr>
          <w:trHeight w:val="172"/>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Correctional Properties, LLC</w:t>
            </w:r>
          </w:p>
        </w:tc>
        <w:tc>
          <w:tcPr>
            <w:tcW w:w="50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Delaware</w:t>
            </w:r>
          </w:p>
        </w:tc>
      </w:tr>
      <w:tr>
        <w:trPr>
          <w:trHeight w:val="172"/>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Correctional Services Corporation, LLC</w:t>
            </w:r>
          </w:p>
        </w:tc>
        <w:tc>
          <w:tcPr>
            <w:tcW w:w="50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Delaware</w:t>
            </w:r>
          </w:p>
        </w:tc>
      </w:tr>
      <w:tr>
        <w:trPr>
          <w:trHeight w:val="172"/>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Correctional Systems, LLC</w:t>
            </w:r>
          </w:p>
        </w:tc>
        <w:tc>
          <w:tcPr>
            <w:tcW w:w="50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Delaware</w:t>
            </w:r>
          </w:p>
        </w:tc>
      </w:tr>
      <w:tr>
        <w:trPr>
          <w:trHeight w:val="172"/>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CPT Limited Partner, LLC</w:t>
            </w:r>
          </w:p>
        </w:tc>
        <w:tc>
          <w:tcPr>
            <w:tcW w:w="50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Delaware</w:t>
            </w:r>
          </w:p>
        </w:tc>
      </w:tr>
      <w:tr>
        <w:trPr>
          <w:trHeight w:val="172"/>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CPT Operating Partnership L.P.</w:t>
            </w:r>
          </w:p>
        </w:tc>
        <w:tc>
          <w:tcPr>
            <w:tcW w:w="50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Delaware</w:t>
            </w:r>
          </w:p>
        </w:tc>
      </w:tr>
      <w:tr>
        <w:trPr>
          <w:trHeight w:val="172"/>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GEO Acquisition II, Inc.</w:t>
            </w:r>
          </w:p>
        </w:tc>
        <w:tc>
          <w:tcPr>
            <w:tcW w:w="50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Delaware</w:t>
            </w:r>
          </w:p>
        </w:tc>
      </w:tr>
      <w:tr>
        <w:trPr>
          <w:trHeight w:val="172"/>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GEO Care, Inc.</w:t>
            </w:r>
          </w:p>
        </w:tc>
        <w:tc>
          <w:tcPr>
            <w:tcW w:w="50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Florida</w:t>
            </w:r>
          </w:p>
        </w:tc>
      </w:tr>
      <w:tr>
        <w:trPr>
          <w:trHeight w:val="172"/>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GEO Care Services, LLC</w:t>
            </w:r>
          </w:p>
        </w:tc>
        <w:tc>
          <w:tcPr>
            <w:tcW w:w="50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Delaware</w:t>
            </w:r>
          </w:p>
        </w:tc>
      </w:tr>
      <w:tr>
        <w:trPr>
          <w:trHeight w:val="172"/>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GEO CC3 Inc.</w:t>
            </w:r>
          </w:p>
        </w:tc>
        <w:tc>
          <w:tcPr>
            <w:tcW w:w="50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Delaware</w:t>
            </w:r>
          </w:p>
        </w:tc>
      </w:tr>
      <w:tr>
        <w:trPr>
          <w:trHeight w:val="172"/>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GEO Corrections Holdings, Inc.</w:t>
            </w:r>
          </w:p>
        </w:tc>
        <w:tc>
          <w:tcPr>
            <w:tcW w:w="50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Florida</w:t>
            </w:r>
          </w:p>
        </w:tc>
      </w:tr>
      <w:tr>
        <w:trPr>
          <w:trHeight w:val="172"/>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GEO CPM, Inc.</w:t>
            </w:r>
          </w:p>
        </w:tc>
        <w:tc>
          <w:tcPr>
            <w:tcW w:w="50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Delaware</w:t>
            </w:r>
          </w:p>
        </w:tc>
      </w:tr>
      <w:tr>
        <w:trPr>
          <w:trHeight w:val="172"/>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GEO Holdings I, Inc.</w:t>
            </w:r>
          </w:p>
        </w:tc>
        <w:tc>
          <w:tcPr>
            <w:tcW w:w="50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Delaware</w:t>
            </w:r>
          </w:p>
        </w:tc>
      </w:tr>
      <w:tr>
        <w:trPr>
          <w:trHeight w:val="172"/>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GEO International Services, Inc.</w:t>
            </w:r>
          </w:p>
        </w:tc>
        <w:tc>
          <w:tcPr>
            <w:tcW w:w="50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Delaware</w:t>
            </w:r>
          </w:p>
        </w:tc>
      </w:tr>
      <w:tr>
        <w:trPr>
          <w:trHeight w:val="172"/>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GEO Leasing, LLC</w:t>
            </w:r>
          </w:p>
        </w:tc>
        <w:tc>
          <w:tcPr>
            <w:tcW w:w="50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Florida</w:t>
            </w:r>
          </w:p>
        </w:tc>
      </w:tr>
      <w:tr>
        <w:trPr>
          <w:trHeight w:val="172"/>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GEO Management Services, Inc.</w:t>
            </w:r>
          </w:p>
        </w:tc>
        <w:tc>
          <w:tcPr>
            <w:tcW w:w="50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Delaware</w:t>
            </w:r>
          </w:p>
        </w:tc>
      </w:tr>
      <w:tr>
        <w:trPr>
          <w:trHeight w:val="172"/>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GEO MCF LP, LLC</w:t>
            </w:r>
          </w:p>
        </w:tc>
        <w:tc>
          <w:tcPr>
            <w:tcW w:w="50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Delaware</w:t>
            </w:r>
          </w:p>
        </w:tc>
      </w:tr>
      <w:tr>
        <w:trPr>
          <w:trHeight w:val="172"/>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GEO RE Holdings LLC</w:t>
            </w:r>
          </w:p>
        </w:tc>
        <w:tc>
          <w:tcPr>
            <w:tcW w:w="50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Delaware</w:t>
            </w:r>
          </w:p>
        </w:tc>
      </w:tr>
      <w:tr>
        <w:trPr>
          <w:trHeight w:val="172"/>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GEO Reentry Services, LLC</w:t>
            </w:r>
          </w:p>
        </w:tc>
        <w:tc>
          <w:tcPr>
            <w:tcW w:w="50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Florida</w:t>
            </w:r>
          </w:p>
        </w:tc>
      </w:tr>
      <w:tr>
        <w:trPr>
          <w:trHeight w:val="172"/>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GEO Reentry, Inc.</w:t>
            </w:r>
          </w:p>
        </w:tc>
        <w:tc>
          <w:tcPr>
            <w:tcW w:w="50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Delaware</w:t>
            </w:r>
          </w:p>
        </w:tc>
      </w:tr>
      <w:tr>
        <w:trPr>
          <w:trHeight w:val="172"/>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GEO Secure Services, LLC</w:t>
            </w:r>
          </w:p>
        </w:tc>
        <w:tc>
          <w:tcPr>
            <w:tcW w:w="50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Florida</w:t>
            </w:r>
          </w:p>
        </w:tc>
      </w:tr>
      <w:tr>
        <w:trPr>
          <w:trHeight w:val="172"/>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GEO Transport, Inc.</w:t>
            </w:r>
          </w:p>
        </w:tc>
        <w:tc>
          <w:tcPr>
            <w:tcW w:w="50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Florida</w:t>
            </w:r>
          </w:p>
        </w:tc>
      </w:tr>
      <w:tr>
        <w:trPr>
          <w:trHeight w:val="172"/>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GEO/DEL/R/02, Inc.</w:t>
            </w:r>
          </w:p>
        </w:tc>
        <w:tc>
          <w:tcPr>
            <w:tcW w:w="50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Delaware</w:t>
            </w:r>
          </w:p>
        </w:tc>
      </w:tr>
      <w:tr>
        <w:trPr>
          <w:trHeight w:val="172"/>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GEO/DEL/T/02, Inc.</w:t>
            </w:r>
          </w:p>
        </w:tc>
        <w:tc>
          <w:tcPr>
            <w:tcW w:w="50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Delaware</w:t>
            </w:r>
          </w:p>
        </w:tc>
      </w:tr>
      <w:tr>
        <w:trPr>
          <w:trHeight w:val="172"/>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Highpoint Investments LLC</w:t>
            </w:r>
          </w:p>
        </w:tc>
        <w:tc>
          <w:tcPr>
            <w:tcW w:w="50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Delaware</w:t>
            </w:r>
          </w:p>
        </w:tc>
      </w:tr>
      <w:tr>
        <w:trPr>
          <w:trHeight w:val="185"/>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MCF GP, LLC</w:t>
            </w:r>
          </w:p>
        </w:tc>
        <w:tc>
          <w:tcPr>
            <w:tcW w:w="502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Delaware</w:t>
            </w:r>
          </w:p>
        </w:tc>
      </w:tr>
    </w:tbl>
    <w:p>
      <w:pPr>
        <w:sectPr>
          <w:pgSz w:w="11900" w:h="16838" w:orient="portrait"/>
          <w:cols w:equalWidth="0" w:num="1">
            <w:col w:w="9019"/>
          </w:cols>
          <w:pgMar w:left="1440" w:top="243" w:right="1440" w:bottom="1440" w:gutter="0" w:footer="0" w:header="0"/>
        </w:sectPr>
      </w:pPr>
    </w:p>
    <w:bookmarkStart w:id="245" w:name="page246"/>
    <w:bookmarkEnd w:id="245"/>
    <w:p>
      <w:pPr>
        <w:ind w:left="1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0">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The GEO Group, Inc.</w:t>
      </w:r>
    </w:p>
    <w:p>
      <w:pPr>
        <w:spacing w:after="0" w:line="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October 30, 2026</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Page 7</w:t>
      </w:r>
    </w:p>
    <w:p>
      <w:pPr>
        <w:spacing w:after="0" w:line="177" w:lineRule="exact"/>
        <w:rPr>
          <w:sz w:val="20"/>
          <w:szCs w:val="20"/>
          <w:color w:val="auto"/>
        </w:rPr>
      </w:pPr>
    </w:p>
    <w:tbl>
      <w:tblPr>
        <w:tblLayout w:type="fixed"/>
        <w:tblInd w:w="120" w:type="dxa"/>
        <w:tblCellMar>
          <w:top w:w="0" w:type="dxa"/>
          <w:left w:w="0" w:type="dxa"/>
          <w:bottom w:w="0" w:type="dxa"/>
          <w:right w:w="0" w:type="dxa"/>
        </w:tblCellMar>
      </w:tblPr>
      <w:tr>
        <w:trPr>
          <w:trHeight w:val="126"/>
        </w:trPr>
        <w:tc>
          <w:tcPr>
            <w:tcW w:w="7820" w:type="dxa"/>
            <w:vAlign w:val="bottom"/>
          </w:tcPr>
          <w:p>
            <w:pPr>
              <w:spacing w:after="0"/>
              <w:rPr>
                <w:sz w:val="11"/>
                <w:szCs w:val="1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State or Other</w:t>
            </w:r>
          </w:p>
        </w:tc>
      </w:tr>
      <w:tr>
        <w:trPr>
          <w:trHeight w:val="118"/>
        </w:trPr>
        <w:tc>
          <w:tcPr>
            <w:tcW w:w="7820" w:type="dxa"/>
            <w:vAlign w:val="bottom"/>
          </w:tcPr>
          <w:p>
            <w:pPr>
              <w:spacing w:after="0"/>
              <w:rPr>
                <w:sz w:val="10"/>
                <w:szCs w:val="10"/>
                <w:color w:val="auto"/>
              </w:rPr>
            </w:pPr>
          </w:p>
        </w:tc>
        <w:tc>
          <w:tcPr>
            <w:tcW w:w="940" w:type="dxa"/>
            <w:vAlign w:val="bottom"/>
          </w:tcPr>
          <w:p>
            <w:pPr>
              <w:jc w:val="center"/>
              <w:spacing w:after="0" w:line="118" w:lineRule="exact"/>
              <w:rPr>
                <w:sz w:val="20"/>
                <w:szCs w:val="20"/>
                <w:color w:val="auto"/>
              </w:rPr>
            </w:pPr>
            <w:r>
              <w:rPr>
                <w:rFonts w:ascii="Times New Roman" w:cs="Times New Roman" w:eastAsia="Times New Roman" w:hAnsi="Times New Roman"/>
                <w:sz w:val="11"/>
                <w:szCs w:val="11"/>
                <w:b w:val="1"/>
                <w:bCs w:val="1"/>
                <w:color w:val="auto"/>
              </w:rPr>
              <w:t>Jurisdiction of</w:t>
            </w:r>
          </w:p>
        </w:tc>
      </w:tr>
      <w:tr>
        <w:trPr>
          <w:trHeight w:val="118"/>
        </w:trPr>
        <w:tc>
          <w:tcPr>
            <w:tcW w:w="7820" w:type="dxa"/>
            <w:vAlign w:val="bottom"/>
          </w:tcPr>
          <w:p>
            <w:pPr>
              <w:spacing w:after="0"/>
              <w:rPr>
                <w:sz w:val="10"/>
                <w:szCs w:val="10"/>
                <w:color w:val="auto"/>
              </w:rPr>
            </w:pPr>
          </w:p>
        </w:tc>
        <w:tc>
          <w:tcPr>
            <w:tcW w:w="940" w:type="dxa"/>
            <w:vAlign w:val="bottom"/>
          </w:tcPr>
          <w:p>
            <w:pPr>
              <w:jc w:val="center"/>
              <w:spacing w:after="0" w:line="118" w:lineRule="exact"/>
              <w:rPr>
                <w:sz w:val="20"/>
                <w:szCs w:val="20"/>
                <w:color w:val="auto"/>
              </w:rPr>
            </w:pPr>
            <w:r>
              <w:rPr>
                <w:rFonts w:ascii="Times New Roman" w:cs="Times New Roman" w:eastAsia="Times New Roman" w:hAnsi="Times New Roman"/>
                <w:sz w:val="11"/>
                <w:szCs w:val="11"/>
                <w:b w:val="1"/>
                <w:bCs w:val="1"/>
                <w:color w:val="auto"/>
              </w:rPr>
              <w:t>Incorporation or</w:t>
            </w:r>
          </w:p>
        </w:tc>
      </w:tr>
      <w:tr>
        <w:trPr>
          <w:trHeight w:val="148"/>
        </w:trPr>
        <w:tc>
          <w:tcPr>
            <w:tcW w:w="78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Exact Name of Subsidiary</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Formation</w:t>
            </w:r>
          </w:p>
        </w:tc>
      </w:tr>
      <w:tr>
        <w:trPr>
          <w:trHeight w:val="148"/>
        </w:trPr>
        <w:tc>
          <w:tcPr>
            <w:tcW w:w="782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Municipal Corrections Finance, L.P.</w:t>
            </w:r>
          </w:p>
        </w:tc>
        <w:tc>
          <w:tcPr>
            <w:tcW w:w="94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color w:val="auto"/>
              </w:rPr>
              <w:t>Delaware</w:t>
            </w:r>
          </w:p>
        </w:tc>
      </w:tr>
      <w:tr>
        <w:trPr>
          <w:trHeight w:val="172"/>
        </w:trPr>
        <w:tc>
          <w:tcPr>
            <w:tcW w:w="7820" w:type="dxa"/>
            <w:vAlign w:val="bottom"/>
          </w:tcPr>
          <w:p>
            <w:pPr>
              <w:spacing w:after="0"/>
              <w:rPr>
                <w:sz w:val="20"/>
                <w:szCs w:val="20"/>
                <w:color w:val="auto"/>
              </w:rPr>
            </w:pPr>
            <w:r>
              <w:rPr>
                <w:rFonts w:ascii="Times New Roman" w:cs="Times New Roman" w:eastAsia="Times New Roman" w:hAnsi="Times New Roman"/>
                <w:sz w:val="14"/>
                <w:szCs w:val="14"/>
                <w:color w:val="auto"/>
              </w:rPr>
              <w:t>Protocol Criminal Justice, Inc.</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Florida</w:t>
            </w:r>
          </w:p>
        </w:tc>
      </w:tr>
      <w:tr>
        <w:trPr>
          <w:trHeight w:val="172"/>
        </w:trPr>
        <w:tc>
          <w:tcPr>
            <w:tcW w:w="7820" w:type="dxa"/>
            <w:vAlign w:val="bottom"/>
          </w:tcPr>
          <w:p>
            <w:pPr>
              <w:spacing w:after="0"/>
              <w:rPr>
                <w:sz w:val="20"/>
                <w:szCs w:val="20"/>
                <w:color w:val="auto"/>
              </w:rPr>
            </w:pPr>
            <w:r>
              <w:rPr>
                <w:rFonts w:ascii="Times New Roman" w:cs="Times New Roman" w:eastAsia="Times New Roman" w:hAnsi="Times New Roman"/>
                <w:sz w:val="14"/>
                <w:szCs w:val="14"/>
                <w:color w:val="auto"/>
              </w:rPr>
              <w:t>Public Properties Development and Leasing LLC</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Delaware</w:t>
            </w:r>
          </w:p>
        </w:tc>
      </w:tr>
      <w:tr>
        <w:trPr>
          <w:trHeight w:val="185"/>
        </w:trPr>
        <w:tc>
          <w:tcPr>
            <w:tcW w:w="7820" w:type="dxa"/>
            <w:vAlign w:val="bottom"/>
          </w:tcPr>
          <w:p>
            <w:pPr>
              <w:spacing w:after="0"/>
              <w:rPr>
                <w:sz w:val="20"/>
                <w:szCs w:val="20"/>
                <w:color w:val="auto"/>
              </w:rPr>
            </w:pPr>
            <w:r>
              <w:rPr>
                <w:rFonts w:ascii="Times New Roman" w:cs="Times New Roman" w:eastAsia="Times New Roman" w:hAnsi="Times New Roman"/>
                <w:sz w:val="14"/>
                <w:szCs w:val="14"/>
                <w:color w:val="auto"/>
              </w:rPr>
              <w:t>WBP Leasing, LLC</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Delaware</w:t>
            </w:r>
          </w:p>
        </w:tc>
      </w:tr>
    </w:tbl>
    <w:p>
      <w:pPr>
        <w:sectPr>
          <w:pgSz w:w="11900" w:h="16838" w:orient="portrait"/>
          <w:cols w:equalWidth="0" w:num="1">
            <w:col w:w="9019"/>
          </w:cols>
          <w:pgMar w:left="1440" w:top="243" w:right="1440" w:bottom="1440" w:gutter="0" w:footer="0" w:header="0"/>
        </w:sectPr>
      </w:pPr>
    </w:p>
    <w:bookmarkStart w:id="246" w:name="page247"/>
    <w:bookmarkEnd w:id="246"/>
    <w:p>
      <w:pPr>
        <w:jc w:val="right"/>
        <w:ind w:right="139"/>
        <w:spacing w:after="0"/>
        <w:rPr>
          <w:sz w:val="20"/>
          <w:szCs w:val="20"/>
          <w:color w:val="auto"/>
        </w:rPr>
      </w:pPr>
      <w:r>
        <w:rPr>
          <w:rFonts w:ascii="Times New Roman" w:cs="Times New Roman" w:eastAsia="Times New Roman" w:hAnsi="Times New Roman"/>
          <w:sz w:val="11"/>
          <w:szCs w:val="11"/>
          <w:b w:val="1"/>
          <w:bCs w:val="1"/>
          <w:color w:val="auto"/>
        </w:rPr>
        <w:drawing>
          <wp:anchor simplePos="0" relativeHeight="251657728" behindDoc="1" locked="0" layoutInCell="0" allowOverlap="1">
            <wp:simplePos x="0" y="0"/>
            <wp:positionH relativeFrom="page">
              <wp:posOffset>998220</wp:posOffset>
            </wp:positionH>
            <wp:positionV relativeFrom="page">
              <wp:posOffset>88900</wp:posOffset>
            </wp:positionV>
            <wp:extent cx="1321435" cy="23876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1">
                      <a:clrChange>
                        <a:clrFrom>
                          <a:srgbClr val="FFFFFF"/>
                        </a:clrFrom>
                        <a:clrTo>
                          <a:srgbClr val="FFFFFF">
                            <a:alpha val="0"/>
                          </a:srgbClr>
                        </a:clrTo>
                      </a:clrChange>
                      <a:extLst>
                        <a:ext uri="{28A0092B-C50C-407E-A947-70E740481C1C}"/>
                      </a:extLst>
                    </a:blip>
                    <a:srcRect/>
                    <a:stretch>
                      <a:fillRect/>
                    </a:stretch>
                  </pic:blipFill>
                  <pic:spPr bwMode="auto">
                    <a:xfrm>
                      <a:off x="0" y="0"/>
                      <a:ext cx="1321435" cy="238760"/>
                    </a:xfrm>
                    <a:prstGeom prst="rect">
                      <a:avLst/>
                    </a:prstGeom>
                    <a:noFill/>
                  </pic:spPr>
                </pic:pic>
              </a:graphicData>
            </a:graphic>
          </wp:anchor>
        </w:drawing>
        <w:t>EXHIBIT 5.2</w:t>
      </w:r>
    </w:p>
    <w:p>
      <w:pPr>
        <w:spacing w:after="0" w:line="1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October 30, 2026</w:t>
      </w:r>
    </w:p>
    <w:p>
      <w:pPr>
        <w:spacing w:after="0" w:line="1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The GEO Group, Inc.</w:t>
      </w:r>
    </w:p>
    <w:p>
      <w:pPr>
        <w:spacing w:after="0" w:line="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4955 Technology Way</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Boca Raton, Florida 33431</w:t>
      </w:r>
    </w:p>
    <w:p>
      <w:pPr>
        <w:spacing w:after="0" w:line="190" w:lineRule="exact"/>
        <w:rPr>
          <w:sz w:val="20"/>
          <w:szCs w:val="20"/>
          <w:color w:val="auto"/>
        </w:rPr>
      </w:pPr>
    </w:p>
    <w:p>
      <w:pPr>
        <w:ind w:left="120"/>
        <w:spacing w:after="0"/>
        <w:tabs>
          <w:tab w:leader="none" w:pos="440" w:val="left"/>
        </w:tabs>
        <w:rPr>
          <w:sz w:val="20"/>
          <w:szCs w:val="20"/>
          <w:color w:val="auto"/>
        </w:rPr>
      </w:pPr>
      <w:r>
        <w:rPr>
          <w:rFonts w:ascii="Times New Roman" w:cs="Times New Roman" w:eastAsia="Times New Roman" w:hAnsi="Times New Roman"/>
          <w:sz w:val="14"/>
          <w:szCs w:val="14"/>
          <w:color w:val="auto"/>
        </w:rPr>
        <w:t>Re:</w:t>
        <w:tab/>
        <w:t>Form S-3 Shelf Registration Statement of The GEO Group, Inc.</w:t>
      </w:r>
    </w:p>
    <w:p>
      <w:pPr>
        <w:spacing w:after="0" w:line="1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182" w:lineRule="exact"/>
        <w:rPr>
          <w:sz w:val="20"/>
          <w:szCs w:val="20"/>
          <w:color w:val="auto"/>
        </w:rPr>
      </w:pPr>
    </w:p>
    <w:p>
      <w:pPr>
        <w:ind w:left="120" w:right="279" w:firstLine="350"/>
        <w:spacing w:after="0" w:line="260" w:lineRule="auto"/>
        <w:rPr>
          <w:sz w:val="20"/>
          <w:szCs w:val="20"/>
          <w:color w:val="auto"/>
        </w:rPr>
      </w:pPr>
      <w:r>
        <w:rPr>
          <w:rFonts w:ascii="Times New Roman" w:cs="Times New Roman" w:eastAsia="Times New Roman" w:hAnsi="Times New Roman"/>
          <w:sz w:val="14"/>
          <w:szCs w:val="14"/>
          <w:color w:val="auto"/>
        </w:rPr>
        <w:t>We have acted as special Alaska counsel to GEO Reentry of Alaska, Inc. (formerly Cornell Corrections of Alaska, Inc.), an Alaska corporation (“GEO Reentry Alaska”) in connection with a Registration Statement on Form S-3 (the “Registration Statement”) filed by The GEO Group, Inc., a Florida corporation (the “Company”) and certain subsidiaries of the Company including GEO Reentry Alaska (collectively the “Subsidiaries” and together with the Company the “Registrants”) with the Securities and Exchange Commission (the “Commission”) under the Securities Act of 1933, as amended (the “Securities Act”), relating to the offer and sale from time to time of an indeterminate number or amount of securities, including (a) the debt securities of the Company that may be offered and sold pursuant to the Registration Statement (the “Debt Securities”), and (b) guarantees of Debt Securities that may be issued by the Subsidiaries (the “Guarantees”), (collectively, the Debt Securities and Guarantees are referred to as the “Securities”). The Securities will be issued pursuant to the form of Indenture for senior Debt Securities or the form of Indenture for subordinated Debt Securities and any applicable supplemental indenture (each an “Indenture” and collectively, the “Indentures”).</w:t>
      </w:r>
    </w:p>
    <w:p>
      <w:pPr>
        <w:spacing w:after="0" w:line="147" w:lineRule="exact"/>
        <w:rPr>
          <w:sz w:val="20"/>
          <w:szCs w:val="20"/>
          <w:color w:val="auto"/>
        </w:rPr>
      </w:pPr>
    </w:p>
    <w:p>
      <w:pPr>
        <w:ind w:left="120" w:right="139" w:firstLine="350"/>
        <w:spacing w:after="0" w:line="260" w:lineRule="auto"/>
        <w:rPr>
          <w:sz w:val="20"/>
          <w:szCs w:val="20"/>
          <w:color w:val="auto"/>
        </w:rPr>
      </w:pPr>
      <w:r>
        <w:rPr>
          <w:rFonts w:ascii="Times New Roman" w:cs="Times New Roman" w:eastAsia="Times New Roman" w:hAnsi="Times New Roman"/>
          <w:sz w:val="14"/>
          <w:szCs w:val="14"/>
          <w:color w:val="auto"/>
        </w:rPr>
        <w:t>We have examined such documents and have reviewed such questions of law as we have considered necessary or appropriate for the purposes of our opinions set forth below. In rendering our opinions set forth below, we have assumed the authenticity of all documents submitted to us as originals, the genuineness of all signatures and the conformity to authentic originals of all documents submitted to us as copies. We have also assumed the legal capacity for all purposes relevant hereto of all natural persons and, with respect to all parties to agreements or instruments relevant hereto other than GEO Reentry Alaska that such parties had the requisite power and authority (corporate or otherwise) to execute, deliver and perform such agreements and instruments, that such agreements and instruments have been duly authorized by all requisite action (corporate or otherwise), executed and delivered by such parties and that such agreements and instruments are the valid, binding and enforceable obligations of such parties. As to questions of fact material to our opinions, we have relied upon certificates or comparable documents of officers and other representatives of the Company, GEO Reentry Alaska, and of public officials.</w:t>
      </w:r>
    </w:p>
    <w:p>
      <w:pPr>
        <w:spacing w:after="0" w:line="321" w:lineRule="exact"/>
        <w:rPr>
          <w:sz w:val="20"/>
          <w:szCs w:val="20"/>
          <w:color w:val="auto"/>
        </w:rPr>
      </w:pPr>
    </w:p>
    <w:p>
      <w:pPr>
        <w:ind w:left="120" w:right="259" w:firstLine="350"/>
        <w:spacing w:after="0" w:line="268" w:lineRule="auto"/>
        <w:rPr>
          <w:sz w:val="20"/>
          <w:szCs w:val="20"/>
          <w:color w:val="auto"/>
        </w:rPr>
      </w:pPr>
      <w:r>
        <w:rPr>
          <w:rFonts w:ascii="Times New Roman" w:cs="Times New Roman" w:eastAsia="Times New Roman" w:hAnsi="Times New Roman"/>
          <w:sz w:val="14"/>
          <w:szCs w:val="14"/>
          <w:color w:val="auto"/>
        </w:rPr>
        <w:t>Based on the foregoing, and assuming that (i) the Registration Statement and all amendments thereto (including post-effective amendments) will have become effective under the Securities Act and will continue to be so effective, (ii) a prospectus supplement to the prospectus contained in the Registration Statement, describing the Securities offered thereby, will have been prepared and filed with the Commission under the Securities Act (the “Prospectus Supplement”), (iii) all Securities will be issued and sold in compliance with applicable federal and state securities</w:t>
      </w:r>
    </w:p>
    <w:p>
      <w:pPr>
        <w:spacing w:after="0" w:line="86" w:lineRule="exact"/>
        <w:rPr>
          <w:sz w:val="20"/>
          <w:szCs w:val="20"/>
          <w:color w:val="auto"/>
        </w:rPr>
      </w:pPr>
    </w:p>
    <w:p>
      <w:pPr>
        <w:jc w:val="right"/>
        <w:ind w:right="139"/>
        <w:spacing w:after="0"/>
        <w:rPr>
          <w:sz w:val="20"/>
          <w:szCs w:val="20"/>
          <w:color w:val="auto"/>
        </w:rPr>
      </w:pPr>
      <w:r>
        <w:rPr>
          <w:rFonts w:ascii="Times New Roman" w:cs="Times New Roman" w:eastAsia="Times New Roman" w:hAnsi="Times New Roman"/>
          <w:sz w:val="14"/>
          <w:szCs w:val="14"/>
          <w:color w:val="auto"/>
        </w:rPr>
        <w:t>1031 West Fourth Avenue | Suite 600 | Anchorage, AK | 99501-5907 | T 907.276.4557 | F 907.276.4152 | dorsey.com</w:t>
      </w:r>
    </w:p>
    <w:p>
      <w:pPr>
        <w:sectPr>
          <w:pgSz w:w="11900" w:h="16838" w:orient="portrait"/>
          <w:cols w:equalWidth="0" w:num="1">
            <w:col w:w="9019"/>
          </w:cols>
          <w:pgMar w:left="1440" w:top="668" w:right="1440" w:bottom="1440" w:gutter="0" w:footer="0" w:header="0"/>
        </w:sectPr>
      </w:pPr>
    </w:p>
    <w:bookmarkStart w:id="247" w:name="page248"/>
    <w:bookmarkEnd w:id="247"/>
    <w:p>
      <w:pPr>
        <w:ind w:left="1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2">
                      <a:extLst>
                        <a:ext uri="{28A0092B-C50C-407E-A947-70E740481C1C}"/>
                      </a:extLst>
                    </a:blip>
                    <a:srcRect/>
                    <a:stretch>
                      <a:fillRect/>
                    </a:stretch>
                  </pic:blipFill>
                  <pic:spPr bwMode="auto">
                    <a:xfrm>
                      <a:off x="0" y="0"/>
                      <a:ext cx="7199630" cy="33020"/>
                    </a:xfrm>
                    <a:prstGeom prst="rect">
                      <a:avLst/>
                    </a:prstGeom>
                    <a:noFill/>
                  </pic:spPr>
                </pic:pic>
              </a:graphicData>
            </a:graphic>
          </wp:anchor>
        </w:drawing>
        <w:drawing>
          <wp:anchor simplePos="0" relativeHeight="251657728" behindDoc="1" locked="0" layoutInCell="0" allowOverlap="1">
            <wp:simplePos x="0" y="0"/>
            <wp:positionH relativeFrom="page">
              <wp:posOffset>998220</wp:posOffset>
            </wp:positionH>
            <wp:positionV relativeFrom="page">
              <wp:posOffset>163830</wp:posOffset>
            </wp:positionV>
            <wp:extent cx="1321435" cy="23876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3">
                      <a:clrChange>
                        <a:clrFrom>
                          <a:srgbClr val="FFFFFF"/>
                        </a:clrFrom>
                        <a:clrTo>
                          <a:srgbClr val="FFFFFF">
                            <a:alpha val="0"/>
                          </a:srgbClr>
                        </a:clrTo>
                      </a:clrChange>
                      <a:extLst>
                        <a:ext uri="{28A0092B-C50C-407E-A947-70E740481C1C}"/>
                      </a:extLst>
                    </a:blip>
                    <a:srcRect/>
                    <a:stretch>
                      <a:fillRect/>
                    </a:stretch>
                  </pic:blipFill>
                  <pic:spPr bwMode="auto">
                    <a:xfrm>
                      <a:off x="0" y="0"/>
                      <a:ext cx="1321435" cy="238760"/>
                    </a:xfrm>
                    <a:prstGeom prst="rect">
                      <a:avLst/>
                    </a:prstGeom>
                    <a:noFill/>
                  </pic:spPr>
                </pic:pic>
              </a:graphicData>
            </a:graphic>
          </wp:anchor>
        </w:drawing>
        <w:t>October 30, 2026</w:t>
      </w:r>
    </w:p>
    <w:p>
      <w:pPr>
        <w:spacing w:after="0" w:line="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Page 2</w:t>
      </w:r>
    </w:p>
    <w:p>
      <w:pPr>
        <w:spacing w:after="0" w:line="115" w:lineRule="exact"/>
        <w:rPr>
          <w:sz w:val="20"/>
          <w:szCs w:val="20"/>
          <w:color w:val="auto"/>
        </w:rPr>
      </w:pPr>
    </w:p>
    <w:p>
      <w:pPr>
        <w:ind w:left="120" w:right="199"/>
        <w:spacing w:after="0" w:line="258" w:lineRule="auto"/>
        <w:rPr>
          <w:sz w:val="20"/>
          <w:szCs w:val="20"/>
          <w:color w:val="auto"/>
        </w:rPr>
      </w:pPr>
      <w:r>
        <w:rPr>
          <w:rFonts w:ascii="Times New Roman" w:cs="Times New Roman" w:eastAsia="Times New Roman" w:hAnsi="Times New Roman"/>
          <w:sz w:val="14"/>
          <w:szCs w:val="14"/>
          <w:color w:val="auto"/>
        </w:rPr>
        <w:t>laws and in the manner stated in the Registration Statement and the applicable prospectus supplement, (iv) the organizational documents of GEO Reentry Alaska, as amended as of the date hereof, will not have been amended from the date hereof in a manner that would affect the validity of our opinions set forth below, (v) all actions (“GEO Reentry Alaska Actions”) with respect to Offered Guarantees (as defined below) and their issuance and sale in conformity with the applicable Indenture by the board of directors of GEO Reentry Alaska, a duly constituted and acting committee thereof or any officers of GEO Reentry Alaska delegated such authority (such board of directors, committee or officers being referred to herein as the “GEO Reentry Alaska Board”) will remain in effect and will not have been amended in a manner that would affect the validity of our opinions set forth below, and any Offered Guarantees will have been executed and delivered in accordance with the terms of such GEO Reentry Alaska Actions, (vi) none of the terms of any Security to be established subsequent to the date hereof, nor the issuance, sale or delivery of such Security, nor the compliance by GEO Reentry Alaska with the terms of such Security, (a) will violate (1) any applicable law or (2) the organizational documents of GEO Reentry Alaska or</w:t>
      </w:r>
    </w:p>
    <w:p>
      <w:pPr>
        <w:spacing w:after="0" w:line="1" w:lineRule="exact"/>
        <w:rPr>
          <w:sz w:val="20"/>
          <w:szCs w:val="20"/>
          <w:color w:val="auto"/>
        </w:rPr>
      </w:pPr>
    </w:p>
    <w:p>
      <w:pPr>
        <w:ind w:left="320" w:hanging="193"/>
        <w:spacing w:after="0"/>
        <w:tabs>
          <w:tab w:leader="none" w:pos="320" w:val="left"/>
        </w:tabs>
        <w:numPr>
          <w:ilvl w:val="0"/>
          <w:numId w:val="1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will result in a violation or breach of (1) any provision of any instrument or agreement then binding upon GEO Reentry Alaska or any of its assets or</w:t>
      </w:r>
    </w:p>
    <w:p>
      <w:pPr>
        <w:spacing w:after="0" w:line="10" w:lineRule="exact"/>
        <w:rPr>
          <w:rFonts w:ascii="Times New Roman" w:cs="Times New Roman" w:eastAsia="Times New Roman" w:hAnsi="Times New Roman"/>
          <w:sz w:val="14"/>
          <w:szCs w:val="14"/>
          <w:color w:val="auto"/>
        </w:rPr>
      </w:pPr>
    </w:p>
    <w:p>
      <w:pPr>
        <w:ind w:left="120" w:right="159"/>
        <w:spacing w:after="0" w:line="26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 any restriction imposed by any court or governmental body having jurisdiction over GEO Reentry Alaska or any of its assets and (vii) any applicable purchase, underwriting or similar agreement, and any other applicable agreement with respect to any Securities offered or sold, will have been duly authorized and validly executed and delivered by GEO Reentry Alaska, we are of the opinion that:</w:t>
      </w:r>
    </w:p>
    <w:p>
      <w:pPr>
        <w:spacing w:after="0" w:line="144" w:lineRule="exact"/>
        <w:rPr>
          <w:sz w:val="20"/>
          <w:szCs w:val="20"/>
          <w:color w:val="auto"/>
        </w:rPr>
      </w:pPr>
    </w:p>
    <w:p>
      <w:pPr>
        <w:ind w:left="120" w:right="419" w:firstLine="350"/>
        <w:spacing w:after="0" w:line="292" w:lineRule="auto"/>
        <w:rPr>
          <w:sz w:val="20"/>
          <w:szCs w:val="20"/>
          <w:color w:val="auto"/>
        </w:rPr>
      </w:pPr>
      <w:r>
        <w:rPr>
          <w:rFonts w:ascii="Times New Roman" w:cs="Times New Roman" w:eastAsia="Times New Roman" w:hAnsi="Times New Roman"/>
          <w:sz w:val="14"/>
          <w:szCs w:val="14"/>
          <w:color w:val="auto"/>
        </w:rPr>
        <w:t>1.  GEO Reentry Alaska is a corporation validly existing and in good standing under the laws of the State of Alaska, with corporate power to execute and deliver a Guarantee under the Indentures, and to perform its obligations under such Guarantee.</w:t>
      </w:r>
    </w:p>
    <w:p>
      <w:pPr>
        <w:spacing w:after="0" w:line="123" w:lineRule="exact"/>
        <w:rPr>
          <w:sz w:val="20"/>
          <w:szCs w:val="20"/>
          <w:color w:val="auto"/>
        </w:rPr>
      </w:pPr>
    </w:p>
    <w:p>
      <w:pPr>
        <w:ind w:left="120" w:right="199" w:firstLine="350"/>
        <w:spacing w:after="0" w:line="261" w:lineRule="auto"/>
        <w:rPr>
          <w:sz w:val="20"/>
          <w:szCs w:val="20"/>
          <w:color w:val="auto"/>
        </w:rPr>
      </w:pPr>
      <w:r>
        <w:rPr>
          <w:rFonts w:ascii="Times New Roman" w:cs="Times New Roman" w:eastAsia="Times New Roman" w:hAnsi="Times New Roman"/>
          <w:sz w:val="14"/>
          <w:szCs w:val="14"/>
          <w:color w:val="auto"/>
        </w:rPr>
        <w:t>2.  With respect to any Guarantees to be offered by GEO Reentry Alaska pursuant to the Registration Statement (the “Offered Guarantees”), when (a) the Debt Securities have been duly authorized, issued, executed and delivered by the Company and authenticated by the trustee in accordance with the terms of the applicable Indenture and delivered against payment therefor in the manner described in the Registration Statement and the Prospectus Supplement, (b) the Offered Guarantees have been executed and delivered by a representative of GEO Reentry Alaska as authorized in a GEO Reentry Alaska Action, and (c) the Offered Guarantees have been issued in accordance with the terms of the applicable Indenture and delivered in accordance with the applicable purchase, underwriting or similar agreement approved by the GEO Reentry Alaska Board, then the Offered Guarantees will have been duly authorized, executed and delivered by all necessary actions on the part of GEO Reentry Alaska.</w:t>
      </w:r>
    </w:p>
    <w:p>
      <w:pPr>
        <w:spacing w:after="0" w:line="14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Our opinions set forth in paragraph 2 above are subject to the defenses available to a guarantor under applicable law.</w:t>
      </w:r>
    </w:p>
    <w:p>
      <w:pPr>
        <w:spacing w:after="0" w:line="1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Our opinions expressed above are limited to the laws of the State of Alaska.</w:t>
      </w:r>
    </w:p>
    <w:p>
      <w:pPr>
        <w:spacing w:after="0" w:line="182" w:lineRule="exact"/>
        <w:rPr>
          <w:sz w:val="20"/>
          <w:szCs w:val="20"/>
          <w:color w:val="auto"/>
        </w:rPr>
      </w:pPr>
    </w:p>
    <w:p>
      <w:pPr>
        <w:ind w:left="120" w:right="199" w:firstLine="350"/>
        <w:spacing w:after="0" w:line="274" w:lineRule="auto"/>
        <w:rPr>
          <w:sz w:val="20"/>
          <w:szCs w:val="20"/>
          <w:color w:val="auto"/>
        </w:rPr>
      </w:pPr>
      <w:r>
        <w:rPr>
          <w:rFonts w:ascii="Times New Roman" w:cs="Times New Roman" w:eastAsia="Times New Roman" w:hAnsi="Times New Roman"/>
          <w:sz w:val="14"/>
          <w:szCs w:val="14"/>
          <w:color w:val="auto"/>
        </w:rPr>
        <w:t>We hereby consent to the reference to our firm under the caption “Legal Matters” in the prospectus constituting part of the Registration Statement and to the filing of this opinion as an exhibit to the Registration Statement. In giving this consent, we do not admit that we are within the category of persons whose consent is required under Section 7 of the Securities Act or the</w:t>
      </w:r>
    </w:p>
    <w:p>
      <w:pPr>
        <w:sectPr>
          <w:pgSz w:w="11900" w:h="16838" w:orient="portrait"/>
          <w:cols w:equalWidth="0" w:num="1">
            <w:col w:w="9019"/>
          </w:cols>
          <w:pgMar w:left="1440" w:top="790" w:right="1440" w:bottom="1440" w:gutter="0" w:footer="0" w:header="0"/>
        </w:sectPr>
      </w:pPr>
    </w:p>
    <w:bookmarkStart w:id="248" w:name="page249"/>
    <w:bookmarkEnd w:id="248"/>
    <w:p>
      <w:pPr>
        <w:ind w:left="1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4">
                      <a:extLst>
                        <a:ext uri="{28A0092B-C50C-407E-A947-70E740481C1C}"/>
                      </a:extLst>
                    </a:blip>
                    <a:srcRect/>
                    <a:stretch>
                      <a:fillRect/>
                    </a:stretch>
                  </pic:blipFill>
                  <pic:spPr bwMode="auto">
                    <a:xfrm>
                      <a:off x="0" y="0"/>
                      <a:ext cx="7199630" cy="33020"/>
                    </a:xfrm>
                    <a:prstGeom prst="rect">
                      <a:avLst/>
                    </a:prstGeom>
                    <a:noFill/>
                  </pic:spPr>
                </pic:pic>
              </a:graphicData>
            </a:graphic>
          </wp:anchor>
        </w:drawing>
        <w:drawing>
          <wp:anchor simplePos="0" relativeHeight="251657728" behindDoc="1" locked="0" layoutInCell="0" allowOverlap="1">
            <wp:simplePos x="0" y="0"/>
            <wp:positionH relativeFrom="page">
              <wp:posOffset>998220</wp:posOffset>
            </wp:positionH>
            <wp:positionV relativeFrom="page">
              <wp:posOffset>163830</wp:posOffset>
            </wp:positionV>
            <wp:extent cx="1321435" cy="23876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5">
                      <a:clrChange>
                        <a:clrFrom>
                          <a:srgbClr val="FFFFFF"/>
                        </a:clrFrom>
                        <a:clrTo>
                          <a:srgbClr val="FFFFFF">
                            <a:alpha val="0"/>
                          </a:srgbClr>
                        </a:clrTo>
                      </a:clrChange>
                      <a:extLst>
                        <a:ext uri="{28A0092B-C50C-407E-A947-70E740481C1C}"/>
                      </a:extLst>
                    </a:blip>
                    <a:srcRect/>
                    <a:stretch>
                      <a:fillRect/>
                    </a:stretch>
                  </pic:blipFill>
                  <pic:spPr bwMode="auto">
                    <a:xfrm>
                      <a:off x="0" y="0"/>
                      <a:ext cx="1321435" cy="238760"/>
                    </a:xfrm>
                    <a:prstGeom prst="rect">
                      <a:avLst/>
                    </a:prstGeom>
                    <a:noFill/>
                  </pic:spPr>
                </pic:pic>
              </a:graphicData>
            </a:graphic>
          </wp:anchor>
        </w:drawing>
        <w:t>October 30, 2026</w:t>
      </w:r>
    </w:p>
    <w:p>
      <w:pPr>
        <w:spacing w:after="0" w:line="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Page 3</w:t>
      </w:r>
    </w:p>
    <w:p>
      <w:pPr>
        <w:spacing w:after="0" w:line="115" w:lineRule="exact"/>
        <w:rPr>
          <w:sz w:val="20"/>
          <w:szCs w:val="20"/>
          <w:color w:val="auto"/>
        </w:rPr>
      </w:pPr>
    </w:p>
    <w:p>
      <w:pPr>
        <w:ind w:left="120" w:right="359"/>
        <w:spacing w:after="0" w:line="292" w:lineRule="auto"/>
        <w:rPr>
          <w:sz w:val="20"/>
          <w:szCs w:val="20"/>
          <w:color w:val="auto"/>
        </w:rPr>
      </w:pPr>
      <w:r>
        <w:rPr>
          <w:rFonts w:ascii="Times New Roman" w:cs="Times New Roman" w:eastAsia="Times New Roman" w:hAnsi="Times New Roman"/>
          <w:sz w:val="14"/>
          <w:szCs w:val="14"/>
          <w:color w:val="auto"/>
        </w:rPr>
        <w:t>rules and regulations of the Commission thereunder. Akerman LLP may rely on this opinion as to matters of Alaska law in connection with any legal opinion by the same being rendered to the Commission as an exhibit to the Registration Statement on the date hereof.</w:t>
      </w:r>
    </w:p>
    <w:p>
      <w:pPr>
        <w:spacing w:after="0" w:line="145"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82"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/s/ Dorsey &amp; Whitney LLP</w:t>
      </w:r>
    </w:p>
    <w:p>
      <w:pPr>
        <w:spacing w:after="0" w:line="1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MRM/SMR</w:t>
      </w:r>
    </w:p>
    <w:p>
      <w:pPr>
        <w:sectPr>
          <w:pgSz w:w="11900" w:h="16838" w:orient="portrait"/>
          <w:cols w:equalWidth="0" w:num="1">
            <w:col w:w="9019"/>
          </w:cols>
          <w:pgMar w:left="1440" w:top="790" w:right="1440" w:bottom="1440" w:gutter="0" w:footer="0" w:header="0"/>
        </w:sectPr>
      </w:pPr>
    </w:p>
    <w:bookmarkStart w:id="249" w:name="page250"/>
    <w:bookmarkEnd w:id="249"/>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Exhibit 5.3</w:t>
      </w:r>
    </w:p>
    <w:p>
      <w:pPr>
        <w:spacing w:after="0" w:line="20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4"/>
          <w:szCs w:val="14"/>
          <w:color w:val="auto"/>
        </w:rPr>
        <w:t>28 State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-92075</wp:posOffset>
            </wp:positionV>
            <wp:extent cx="1171575" cy="40894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6">
                      <a:extLst>
                        <a:ext uri="{28A0092B-C50C-407E-A947-70E740481C1C}"/>
                      </a:extLst>
                    </a:blip>
                    <a:srcRect/>
                    <a:stretch>
                      <a:fillRect/>
                    </a:stretch>
                  </pic:blipFill>
                  <pic:spPr bwMode="auto">
                    <a:xfrm>
                      <a:off x="0" y="0"/>
                      <a:ext cx="1171575" cy="408940"/>
                    </a:xfrm>
                    <a:prstGeom prst="rect">
                      <a:avLst/>
                    </a:prstGeom>
                    <a:noFill/>
                  </pic:spPr>
                </pic:pic>
              </a:graphicData>
            </a:graphic>
          </wp:anchor>
        </w:drawing>
      </w:r>
    </w:p>
    <w:p>
      <w:pPr>
        <w:spacing w:after="0" w:line="4"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4"/>
          <w:szCs w:val="14"/>
          <w:color w:val="auto"/>
        </w:rPr>
        <w:t>Boston, MA 02109</w:t>
      </w:r>
    </w:p>
    <w:p>
      <w:pPr>
        <w:spacing w:after="0" w:line="11"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4"/>
          <w:szCs w:val="14"/>
          <w:color w:val="auto"/>
        </w:rPr>
        <w:t>p: 617-345-9000 f: 617-345-9020</w:t>
      </w:r>
    </w:p>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October 30, 2026</w:t>
      </w:r>
    </w:p>
    <w:p>
      <w:pPr>
        <w:spacing w:after="0" w:line="1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The GEO Group, Inc.</w:t>
      </w:r>
    </w:p>
    <w:p>
      <w:pPr>
        <w:spacing w:after="0" w:line="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4955 Technology Way</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Boca Raton, Florida 33431</w:t>
      </w:r>
    </w:p>
    <w:p>
      <w:pPr>
        <w:spacing w:after="0" w:line="188" w:lineRule="exact"/>
        <w:rPr>
          <w:sz w:val="20"/>
          <w:szCs w:val="20"/>
          <w:color w:val="auto"/>
        </w:rPr>
      </w:pPr>
    </w:p>
    <w:p>
      <w:pPr>
        <w:ind w:left="460"/>
        <w:spacing w:after="0"/>
        <w:tabs>
          <w:tab w:leader="none" w:pos="880" w:val="left"/>
        </w:tabs>
        <w:rPr>
          <w:sz w:val="20"/>
          <w:szCs w:val="20"/>
          <w:color w:val="auto"/>
        </w:rPr>
      </w:pPr>
      <w:r>
        <w:rPr>
          <w:rFonts w:ascii="Times New Roman" w:cs="Times New Roman" w:eastAsia="Times New Roman" w:hAnsi="Times New Roman"/>
          <w:sz w:val="14"/>
          <w:szCs w:val="14"/>
          <w:i w:val="1"/>
          <w:iCs w:val="1"/>
          <w:color w:val="auto"/>
        </w:rPr>
        <w:t>Re:</w:t>
      </w:r>
      <w:r>
        <w:rPr>
          <w:sz w:val="20"/>
          <w:szCs w:val="20"/>
          <w:color w:val="auto"/>
        </w:rPr>
        <w:tab/>
      </w:r>
      <w:r>
        <w:rPr>
          <w:rFonts w:ascii="Times New Roman" w:cs="Times New Roman" w:eastAsia="Times New Roman" w:hAnsi="Times New Roman"/>
          <w:sz w:val="14"/>
          <w:szCs w:val="14"/>
          <w:i w:val="1"/>
          <w:iCs w:val="1"/>
          <w:color w:val="auto"/>
        </w:rPr>
        <w:t>Form S-3 Registration Statement of The GEO Group, Inc.</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182" w:lineRule="exact"/>
        <w:rPr>
          <w:sz w:val="20"/>
          <w:szCs w:val="20"/>
          <w:color w:val="auto"/>
        </w:rPr>
      </w:pPr>
    </w:p>
    <w:p>
      <w:pPr>
        <w:ind w:left="120" w:right="199" w:firstLine="350"/>
        <w:spacing w:after="0" w:line="262" w:lineRule="auto"/>
        <w:rPr>
          <w:sz w:val="20"/>
          <w:szCs w:val="20"/>
          <w:color w:val="auto"/>
        </w:rPr>
      </w:pPr>
      <w:r>
        <w:rPr>
          <w:rFonts w:ascii="Times New Roman" w:cs="Times New Roman" w:eastAsia="Times New Roman" w:hAnsi="Times New Roman"/>
          <w:sz w:val="14"/>
          <w:szCs w:val="14"/>
          <w:color w:val="auto"/>
        </w:rPr>
        <w:t>We have acted as special counsel to (i) CiviGenics Management Services, LLC, a Massachusetts limited liability company (“</w:t>
      </w:r>
      <w:r>
        <w:rPr>
          <w:rFonts w:ascii="Times New Roman" w:cs="Times New Roman" w:eastAsia="Times New Roman" w:hAnsi="Times New Roman"/>
          <w:sz w:val="14"/>
          <w:szCs w:val="14"/>
          <w:u w:val="single" w:color="auto"/>
          <w:color w:val="auto"/>
        </w:rPr>
        <w:t>CMS</w:t>
      </w:r>
      <w:r>
        <w:rPr>
          <w:rFonts w:ascii="Times New Roman" w:cs="Times New Roman" w:eastAsia="Times New Roman" w:hAnsi="Times New Roman"/>
          <w:sz w:val="14"/>
          <w:szCs w:val="14"/>
          <w:color w:val="auto"/>
        </w:rPr>
        <w:t>”), (ii) CiviGenics, Inc., a Massachusetts corporation (“</w:t>
      </w:r>
      <w:r>
        <w:rPr>
          <w:rFonts w:ascii="Times New Roman" w:cs="Times New Roman" w:eastAsia="Times New Roman" w:hAnsi="Times New Roman"/>
          <w:sz w:val="14"/>
          <w:szCs w:val="14"/>
          <w:u w:val="single" w:color="auto"/>
          <w:color w:val="auto"/>
        </w:rPr>
        <w:t>Civigenics</w:t>
      </w:r>
      <w:r>
        <w:rPr>
          <w:rFonts w:ascii="Times New Roman" w:cs="Times New Roman" w:eastAsia="Times New Roman" w:hAnsi="Times New Roman"/>
          <w:sz w:val="14"/>
          <w:szCs w:val="14"/>
          <w:color w:val="auto"/>
        </w:rPr>
        <w:t>”), and (iii) SECON, Inc., a Massachusetts corporation (“</w:t>
      </w:r>
      <w:r>
        <w:rPr>
          <w:rFonts w:ascii="Times New Roman" w:cs="Times New Roman" w:eastAsia="Times New Roman" w:hAnsi="Times New Roman"/>
          <w:sz w:val="14"/>
          <w:szCs w:val="14"/>
          <w:u w:val="single" w:color="auto"/>
          <w:color w:val="auto"/>
        </w:rPr>
        <w:t>Secon</w:t>
      </w:r>
      <w:r>
        <w:rPr>
          <w:rFonts w:ascii="Times New Roman" w:cs="Times New Roman" w:eastAsia="Times New Roman" w:hAnsi="Times New Roman"/>
          <w:sz w:val="14"/>
          <w:szCs w:val="14"/>
          <w:color w:val="auto"/>
        </w:rPr>
        <w:t>”, and collectively with CMS and Civigenics, the “</w:t>
      </w:r>
      <w:r>
        <w:rPr>
          <w:rFonts w:ascii="Times New Roman" w:cs="Times New Roman" w:eastAsia="Times New Roman" w:hAnsi="Times New Roman"/>
          <w:sz w:val="14"/>
          <w:szCs w:val="14"/>
          <w:u w:val="single" w:color="auto"/>
          <w:color w:val="auto"/>
        </w:rPr>
        <w:t>MA Guarantors</w:t>
      </w:r>
      <w:r>
        <w:rPr>
          <w:rFonts w:ascii="Times New Roman" w:cs="Times New Roman" w:eastAsia="Times New Roman" w:hAnsi="Times New Roman"/>
          <w:sz w:val="14"/>
          <w:szCs w:val="14"/>
          <w:color w:val="auto"/>
        </w:rPr>
        <w:t>” and each an “</w:t>
      </w:r>
      <w:r>
        <w:rPr>
          <w:rFonts w:ascii="Times New Roman" w:cs="Times New Roman" w:eastAsia="Times New Roman" w:hAnsi="Times New Roman"/>
          <w:sz w:val="14"/>
          <w:szCs w:val="14"/>
          <w:u w:val="single" w:color="auto"/>
          <w:color w:val="auto"/>
        </w:rPr>
        <w:t>MA Guarantor</w:t>
      </w:r>
      <w:r>
        <w:rPr>
          <w:rFonts w:ascii="Times New Roman" w:cs="Times New Roman" w:eastAsia="Times New Roman" w:hAnsi="Times New Roman"/>
          <w:sz w:val="14"/>
          <w:szCs w:val="14"/>
          <w:color w:val="auto"/>
        </w:rPr>
        <w:t>”), in connection with the filing of the automatic shelf registration statement on Form S-3 with the Securities and Exchange Commission (the “</w:t>
      </w:r>
      <w:r>
        <w:rPr>
          <w:rFonts w:ascii="Times New Roman" w:cs="Times New Roman" w:eastAsia="Times New Roman" w:hAnsi="Times New Roman"/>
          <w:sz w:val="14"/>
          <w:szCs w:val="14"/>
          <w:u w:val="single" w:color="auto"/>
          <w:color w:val="auto"/>
        </w:rPr>
        <w:t>Commission</w:t>
      </w:r>
      <w:r>
        <w:rPr>
          <w:rFonts w:ascii="Times New Roman" w:cs="Times New Roman" w:eastAsia="Times New Roman" w:hAnsi="Times New Roman"/>
          <w:sz w:val="14"/>
          <w:szCs w:val="14"/>
          <w:color w:val="auto"/>
        </w:rPr>
        <w:t>”) on the date hereof (the “</w:t>
      </w:r>
      <w:r>
        <w:rPr>
          <w:rFonts w:ascii="Times New Roman" w:cs="Times New Roman" w:eastAsia="Times New Roman" w:hAnsi="Times New Roman"/>
          <w:sz w:val="14"/>
          <w:szCs w:val="14"/>
          <w:u w:val="single" w:color="auto"/>
          <w:color w:val="auto"/>
        </w:rPr>
        <w:t>Registration Statement</w:t>
      </w:r>
      <w:r>
        <w:rPr>
          <w:rFonts w:ascii="Times New Roman" w:cs="Times New Roman" w:eastAsia="Times New Roman" w:hAnsi="Times New Roman"/>
          <w:sz w:val="14"/>
          <w:szCs w:val="14"/>
          <w:color w:val="auto"/>
        </w:rPr>
        <w:t>”) by The GEO Group, Inc., a Florida corporation (“</w:t>
      </w:r>
      <w:r>
        <w:rPr>
          <w:rFonts w:ascii="Times New Roman" w:cs="Times New Roman" w:eastAsia="Times New Roman" w:hAnsi="Times New Roman"/>
          <w:sz w:val="14"/>
          <w:szCs w:val="14"/>
          <w:u w:val="single" w:color="auto"/>
          <w:color w:val="auto"/>
        </w:rPr>
        <w:t>GEO</w:t>
      </w:r>
      <w:r>
        <w:rPr>
          <w:rFonts w:ascii="Times New Roman" w:cs="Times New Roman" w:eastAsia="Times New Roman" w:hAnsi="Times New Roman"/>
          <w:sz w:val="14"/>
          <w:szCs w:val="14"/>
          <w:color w:val="auto"/>
        </w:rPr>
        <w:t>”), the MA Guarantors and each of the other entities listed in the Table of Additional Registrants to the Registration Statement (such entities, collectively with the MA Guarantors, the “</w:t>
      </w:r>
      <w:r>
        <w:rPr>
          <w:rFonts w:ascii="Times New Roman" w:cs="Times New Roman" w:eastAsia="Times New Roman" w:hAnsi="Times New Roman"/>
          <w:sz w:val="14"/>
          <w:szCs w:val="14"/>
          <w:u w:val="single" w:color="auto"/>
          <w:color w:val="auto"/>
        </w:rPr>
        <w:t>Subsidiary Guarantors</w:t>
      </w:r>
      <w:r>
        <w:rPr>
          <w:rFonts w:ascii="Times New Roman" w:cs="Times New Roman" w:eastAsia="Times New Roman" w:hAnsi="Times New Roman"/>
          <w:sz w:val="14"/>
          <w:szCs w:val="14"/>
          <w:color w:val="auto"/>
        </w:rPr>
        <w:t>”) under the Securities Act of 1933, as amended (the “</w:t>
      </w:r>
      <w:r>
        <w:rPr>
          <w:rFonts w:ascii="Times New Roman" w:cs="Times New Roman" w:eastAsia="Times New Roman" w:hAnsi="Times New Roman"/>
          <w:sz w:val="14"/>
          <w:szCs w:val="14"/>
          <w:u w:val="single" w:color="auto"/>
          <w:color w:val="auto"/>
        </w:rPr>
        <w:t>Securities Act</w:t>
      </w:r>
      <w:r>
        <w:rPr>
          <w:rFonts w:ascii="Times New Roman" w:cs="Times New Roman" w:eastAsia="Times New Roman" w:hAnsi="Times New Roman"/>
          <w:sz w:val="14"/>
          <w:szCs w:val="14"/>
          <w:color w:val="auto"/>
        </w:rPr>
        <w:t>”).</w:t>
      </w:r>
    </w:p>
    <w:p>
      <w:pPr>
        <w:spacing w:after="0" w:line="3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The Registration Statement relates to the registration under the Securities Act of the proposed offer and sale by GEO from time to time, on a</w:t>
      </w:r>
    </w:p>
    <w:p>
      <w:pPr>
        <w:spacing w:after="0" w:line="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delayed or continuous basis pursuant to Rule 415 under the Securities Act, in amounts, at prices and on terms to be determined at the time of offering, of</w:t>
      </w:r>
    </w:p>
    <w:p>
      <w:pPr>
        <w:spacing w:after="0" w:line="11" w:lineRule="exact"/>
        <w:rPr>
          <w:sz w:val="20"/>
          <w:szCs w:val="20"/>
          <w:color w:val="auto"/>
        </w:rPr>
      </w:pPr>
    </w:p>
    <w:p>
      <w:pPr>
        <w:ind w:left="120" w:right="239" w:firstLine="7"/>
        <w:spacing w:after="0" w:line="259" w:lineRule="auto"/>
        <w:tabs>
          <w:tab w:leader="none" w:pos="291" w:val="left"/>
        </w:tabs>
        <w:numPr>
          <w:ilvl w:val="0"/>
          <w:numId w:val="1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of GEO’s common stock, par value $0.01 per share, (ii) shares of GEO’s preferred stock, par value $0.01 per share, (iii) debt securities of GEO, which may be senior debt securities or subordinated debt securities (the “</w:t>
      </w:r>
      <w:r>
        <w:rPr>
          <w:rFonts w:ascii="Times New Roman" w:cs="Times New Roman" w:eastAsia="Times New Roman" w:hAnsi="Times New Roman"/>
          <w:sz w:val="14"/>
          <w:szCs w:val="14"/>
          <w:u w:val="single" w:color="auto"/>
          <w:color w:val="auto"/>
        </w:rPr>
        <w:t>Debt Securities</w:t>
      </w:r>
      <w:r>
        <w:rPr>
          <w:rFonts w:ascii="Times New Roman" w:cs="Times New Roman" w:eastAsia="Times New Roman" w:hAnsi="Times New Roman"/>
          <w:sz w:val="14"/>
          <w:szCs w:val="14"/>
          <w:color w:val="auto"/>
        </w:rPr>
        <w:t>”), (iv) guarantees of the Debt Securities by one or more of the Subsidiary Guarantors (the “</w:t>
      </w:r>
      <w:r>
        <w:rPr>
          <w:rFonts w:ascii="Times New Roman" w:cs="Times New Roman" w:eastAsia="Times New Roman" w:hAnsi="Times New Roman"/>
          <w:sz w:val="14"/>
          <w:szCs w:val="14"/>
          <w:u w:val="single" w:color="auto"/>
          <w:color w:val="auto"/>
        </w:rPr>
        <w:t>Guarantees</w:t>
      </w:r>
      <w:r>
        <w:rPr>
          <w:rFonts w:ascii="Times New Roman" w:cs="Times New Roman" w:eastAsia="Times New Roman" w:hAnsi="Times New Roman"/>
          <w:sz w:val="14"/>
          <w:szCs w:val="14"/>
          <w:color w:val="auto"/>
        </w:rPr>
        <w:t>”), (v) warrants, and (vi) units consisting of one or more of the foregoing securities. The prospectus forming a part of the Registration Statement (the “</w:t>
      </w:r>
      <w:r>
        <w:rPr>
          <w:rFonts w:ascii="Times New Roman" w:cs="Times New Roman" w:eastAsia="Times New Roman" w:hAnsi="Times New Roman"/>
          <w:sz w:val="14"/>
          <w:szCs w:val="14"/>
          <w:u w:val="single" w:color="auto"/>
          <w:color w:val="auto"/>
        </w:rPr>
        <w:t>Prospectus</w:t>
      </w:r>
      <w:r>
        <w:rPr>
          <w:rFonts w:ascii="Times New Roman" w:cs="Times New Roman" w:eastAsia="Times New Roman" w:hAnsi="Times New Roman"/>
          <w:sz w:val="14"/>
          <w:szCs w:val="14"/>
          <w:color w:val="auto"/>
        </w:rPr>
        <w:t>”) provides that the specific terms of each offering of securities will be set forth in one or more supplements to the Prospectus.</w:t>
      </w:r>
    </w:p>
    <w:p>
      <w:pPr>
        <w:spacing w:after="0" w:line="148" w:lineRule="exact"/>
        <w:rPr>
          <w:sz w:val="20"/>
          <w:szCs w:val="20"/>
          <w:color w:val="auto"/>
        </w:rPr>
      </w:pPr>
    </w:p>
    <w:p>
      <w:pPr>
        <w:ind w:left="120" w:right="259" w:firstLine="350"/>
        <w:spacing w:after="0" w:line="261" w:lineRule="auto"/>
        <w:rPr>
          <w:sz w:val="20"/>
          <w:szCs w:val="20"/>
          <w:color w:val="auto"/>
        </w:rPr>
      </w:pPr>
      <w:r>
        <w:rPr>
          <w:rFonts w:ascii="Times New Roman" w:cs="Times New Roman" w:eastAsia="Times New Roman" w:hAnsi="Times New Roman"/>
          <w:sz w:val="14"/>
          <w:szCs w:val="14"/>
          <w:color w:val="auto"/>
        </w:rPr>
        <w:t>The Debt Securities will be issued under one or more indentures or supplemental indentures between GEO and the trustee identified in the applicable prospectus supplement, the forms of which are the form of Indenture for Senior Debt Securities filed as Exhibit 4.1 to the Registration Statement (the “</w:t>
      </w:r>
      <w:r>
        <w:rPr>
          <w:rFonts w:ascii="Times New Roman" w:cs="Times New Roman" w:eastAsia="Times New Roman" w:hAnsi="Times New Roman"/>
          <w:sz w:val="14"/>
          <w:szCs w:val="14"/>
          <w:u w:val="single" w:color="auto"/>
          <w:color w:val="auto"/>
        </w:rPr>
        <w:t>Senior Indenture</w:t>
      </w:r>
      <w:r>
        <w:rPr>
          <w:rFonts w:ascii="Times New Roman" w:cs="Times New Roman" w:eastAsia="Times New Roman" w:hAnsi="Times New Roman"/>
          <w:sz w:val="14"/>
          <w:szCs w:val="14"/>
          <w:color w:val="auto"/>
        </w:rPr>
        <w:t>”) and the form of Indenture for Subordinated Debt Securities filed as Exhibit 4.2 to the Registration Statement (the “</w:t>
      </w:r>
      <w:r>
        <w:rPr>
          <w:rFonts w:ascii="Times New Roman" w:cs="Times New Roman" w:eastAsia="Times New Roman" w:hAnsi="Times New Roman"/>
          <w:sz w:val="14"/>
          <w:szCs w:val="14"/>
          <w:u w:val="single" w:color="auto"/>
          <w:color w:val="auto"/>
        </w:rPr>
        <w:t>Subordinated Indenture</w:t>
      </w:r>
      <w:r>
        <w:rPr>
          <w:rFonts w:ascii="Times New Roman" w:cs="Times New Roman" w:eastAsia="Times New Roman" w:hAnsi="Times New Roman"/>
          <w:sz w:val="14"/>
          <w:szCs w:val="14"/>
          <w:color w:val="auto"/>
        </w:rPr>
        <w:t>” and, together with the Senior Indenture, the “</w:t>
      </w:r>
      <w:r>
        <w:rPr>
          <w:rFonts w:ascii="Times New Roman" w:cs="Times New Roman" w:eastAsia="Times New Roman" w:hAnsi="Times New Roman"/>
          <w:sz w:val="14"/>
          <w:szCs w:val="14"/>
          <w:u w:val="single" w:color="auto"/>
          <w:color w:val="auto"/>
        </w:rPr>
        <w:t>Indentures</w:t>
      </w:r>
      <w:r>
        <w:rPr>
          <w:rFonts w:ascii="Times New Roman" w:cs="Times New Roman" w:eastAsia="Times New Roman" w:hAnsi="Times New Roman"/>
          <w:sz w:val="14"/>
          <w:szCs w:val="14"/>
          <w:color w:val="auto"/>
        </w:rPr>
        <w:t>”), each in the form of an indenture to be entered into between GEO and Ankura Trust Company, LLC, as trustee, and any Guarantees will be issued under a supplement to the applicable Indenture (each, a “</w:t>
      </w:r>
      <w:r>
        <w:rPr>
          <w:rFonts w:ascii="Times New Roman" w:cs="Times New Roman" w:eastAsia="Times New Roman" w:hAnsi="Times New Roman"/>
          <w:sz w:val="14"/>
          <w:szCs w:val="14"/>
          <w:u w:val="single" w:color="auto"/>
          <w:color w:val="auto"/>
        </w:rPr>
        <w:t>Supplemental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Indenture</w:t>
      </w:r>
      <w:r>
        <w:rPr>
          <w:rFonts w:ascii="Times New Roman" w:cs="Times New Roman" w:eastAsia="Times New Roman" w:hAnsi="Times New Roman"/>
          <w:sz w:val="14"/>
          <w:szCs w:val="14"/>
          <w:color w:val="auto"/>
        </w:rPr>
        <w:t>”). The Subsidiary Guarantors are not parties to the Indentures in the forms filed as exhibits to the Registration Statement, and as of the date hereof none of the Indentures, any Supplemental Indenture or any Guarantee has been executed or delivered. This opinion letter is being furnished in accordance with the requirements of Item 601(b)(5) of Regulation S-K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114300</wp:posOffset>
            </wp:positionV>
            <wp:extent cx="3917315" cy="17018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7">
                      <a:extLst>
                        <a:ext uri="{28A0092B-C50C-407E-A947-70E740481C1C}"/>
                      </a:extLst>
                    </a:blip>
                    <a:srcRect/>
                    <a:stretch>
                      <a:fillRect/>
                    </a:stretch>
                  </pic:blipFill>
                  <pic:spPr bwMode="auto">
                    <a:xfrm>
                      <a:off x="0" y="0"/>
                      <a:ext cx="3917315" cy="17018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50" w:name="page251"/>
    <w:bookmarkEnd w:id="250"/>
    <w:p>
      <w:pPr>
        <w:ind w:left="1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8">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The GEO Group, Inc.</w:t>
      </w:r>
    </w:p>
    <w:p>
      <w:pPr>
        <w:spacing w:after="0" w:line="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October 30, 2026</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Page 2 of 4</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In connection with this opinion, we have examined and relied on copies of the following documents:</w:t>
      </w:r>
    </w:p>
    <w:p>
      <w:pPr>
        <w:spacing w:after="0" w:line="107" w:lineRule="exact"/>
        <w:rPr>
          <w:sz w:val="20"/>
          <w:szCs w:val="20"/>
          <w:color w:val="auto"/>
        </w:rPr>
      </w:pPr>
    </w:p>
    <w:p>
      <w:pPr>
        <w:ind w:left="900" w:hanging="430"/>
        <w:spacing w:after="0"/>
        <w:tabs>
          <w:tab w:leader="none" w:pos="900" w:val="left"/>
        </w:tabs>
        <w:numPr>
          <w:ilvl w:val="0"/>
          <w:numId w:val="1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Registration Statement and the Prospectus, each in the form provided to us by GEO;</w:t>
      </w:r>
    </w:p>
    <w:p>
      <w:pPr>
        <w:spacing w:after="0" w:line="107" w:lineRule="exact"/>
        <w:rPr>
          <w:rFonts w:ascii="Times New Roman" w:cs="Times New Roman" w:eastAsia="Times New Roman" w:hAnsi="Times New Roman"/>
          <w:sz w:val="14"/>
          <w:szCs w:val="14"/>
          <w:color w:val="auto"/>
        </w:rPr>
      </w:pPr>
    </w:p>
    <w:p>
      <w:pPr>
        <w:ind w:left="900" w:hanging="430"/>
        <w:spacing w:after="0"/>
        <w:tabs>
          <w:tab w:leader="none" w:pos="900" w:val="left"/>
        </w:tabs>
        <w:numPr>
          <w:ilvl w:val="0"/>
          <w:numId w:val="1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form of the Senior Indenture filed as Exhibit 4.1 to the Registration Statement;</w:t>
      </w:r>
    </w:p>
    <w:p>
      <w:pPr>
        <w:spacing w:after="0" w:line="107" w:lineRule="exact"/>
        <w:rPr>
          <w:rFonts w:ascii="Times New Roman" w:cs="Times New Roman" w:eastAsia="Times New Roman" w:hAnsi="Times New Roman"/>
          <w:sz w:val="14"/>
          <w:szCs w:val="14"/>
          <w:color w:val="auto"/>
        </w:rPr>
      </w:pPr>
    </w:p>
    <w:p>
      <w:pPr>
        <w:ind w:left="900" w:hanging="430"/>
        <w:spacing w:after="0"/>
        <w:tabs>
          <w:tab w:leader="none" w:pos="900" w:val="left"/>
        </w:tabs>
        <w:numPr>
          <w:ilvl w:val="0"/>
          <w:numId w:val="1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form of the Subordinated Indenture filed as Exhibit 4.2 to the Registration Statement;</w:t>
      </w:r>
    </w:p>
    <w:p>
      <w:pPr>
        <w:spacing w:after="0" w:line="107" w:lineRule="exact"/>
        <w:rPr>
          <w:rFonts w:ascii="Times New Roman" w:cs="Times New Roman" w:eastAsia="Times New Roman" w:hAnsi="Times New Roman"/>
          <w:sz w:val="14"/>
          <w:szCs w:val="14"/>
          <w:color w:val="auto"/>
        </w:rPr>
      </w:pPr>
    </w:p>
    <w:p>
      <w:pPr>
        <w:ind w:left="900" w:right="359" w:hanging="430"/>
        <w:spacing w:after="0" w:line="292" w:lineRule="auto"/>
        <w:tabs>
          <w:tab w:leader="none" w:pos="900" w:val="left"/>
        </w:tabs>
        <w:numPr>
          <w:ilvl w:val="0"/>
          <w:numId w:val="1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Certificate of Good Standing for CMS issued by the Secretary of the Commonwealth of Massachusetts on October 22, 2026 (the “</w:t>
      </w:r>
      <w:r>
        <w:rPr>
          <w:rFonts w:ascii="Times New Roman" w:cs="Times New Roman" w:eastAsia="Times New Roman" w:hAnsi="Times New Roman"/>
          <w:sz w:val="14"/>
          <w:szCs w:val="14"/>
          <w:u w:val="single" w:color="auto"/>
          <w:color w:val="auto"/>
        </w:rPr>
        <w:t>CMS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Good Standing Certificate</w:t>
      </w:r>
      <w:r>
        <w:rPr>
          <w:rFonts w:ascii="Times New Roman" w:cs="Times New Roman" w:eastAsia="Times New Roman" w:hAnsi="Times New Roman"/>
          <w:sz w:val="14"/>
          <w:szCs w:val="14"/>
          <w:color w:val="auto"/>
        </w:rPr>
        <w:t>”);</w:t>
      </w:r>
    </w:p>
    <w:p>
      <w:pPr>
        <w:spacing w:after="0" w:line="48" w:lineRule="exact"/>
        <w:rPr>
          <w:rFonts w:ascii="Times New Roman" w:cs="Times New Roman" w:eastAsia="Times New Roman" w:hAnsi="Times New Roman"/>
          <w:sz w:val="14"/>
          <w:szCs w:val="14"/>
          <w:color w:val="auto"/>
        </w:rPr>
      </w:pPr>
    </w:p>
    <w:p>
      <w:pPr>
        <w:ind w:left="900" w:right="459" w:hanging="430"/>
        <w:spacing w:after="0" w:line="292" w:lineRule="auto"/>
        <w:tabs>
          <w:tab w:leader="none" w:pos="900" w:val="left"/>
        </w:tabs>
        <w:numPr>
          <w:ilvl w:val="0"/>
          <w:numId w:val="1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Certificate of Good Standing for Civigenics issued by the Secretary of the Commonwealth of Massachusetts on October 22, 2026 (the “</w:t>
      </w:r>
      <w:r>
        <w:rPr>
          <w:rFonts w:ascii="Times New Roman" w:cs="Times New Roman" w:eastAsia="Times New Roman" w:hAnsi="Times New Roman"/>
          <w:sz w:val="14"/>
          <w:szCs w:val="14"/>
          <w:u w:val="single" w:color="auto"/>
          <w:color w:val="auto"/>
        </w:rPr>
        <w:t>Civigenics Good Standing Certificate</w:t>
      </w:r>
      <w:r>
        <w:rPr>
          <w:rFonts w:ascii="Times New Roman" w:cs="Times New Roman" w:eastAsia="Times New Roman" w:hAnsi="Times New Roman"/>
          <w:sz w:val="14"/>
          <w:szCs w:val="14"/>
          <w:color w:val="auto"/>
        </w:rPr>
        <w:t>”);</w:t>
      </w:r>
    </w:p>
    <w:p>
      <w:pPr>
        <w:spacing w:after="0" w:line="48" w:lineRule="exact"/>
        <w:rPr>
          <w:rFonts w:ascii="Times New Roman" w:cs="Times New Roman" w:eastAsia="Times New Roman" w:hAnsi="Times New Roman"/>
          <w:sz w:val="14"/>
          <w:szCs w:val="14"/>
          <w:color w:val="auto"/>
        </w:rPr>
      </w:pPr>
    </w:p>
    <w:p>
      <w:pPr>
        <w:jc w:val="both"/>
        <w:ind w:left="900" w:right="259" w:hanging="430"/>
        <w:spacing w:after="0" w:line="274" w:lineRule="auto"/>
        <w:tabs>
          <w:tab w:leader="none" w:pos="900" w:val="left"/>
        </w:tabs>
        <w:numPr>
          <w:ilvl w:val="0"/>
          <w:numId w:val="1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Certificate of Good Standing for Secon issued by the Secretary of the Commonwealth of Massachusetts on October 22, 2026 (the “</w:t>
      </w:r>
      <w:r>
        <w:rPr>
          <w:rFonts w:ascii="Times New Roman" w:cs="Times New Roman" w:eastAsia="Times New Roman" w:hAnsi="Times New Roman"/>
          <w:sz w:val="14"/>
          <w:szCs w:val="14"/>
          <w:u w:val="single" w:color="auto"/>
          <w:color w:val="auto"/>
        </w:rPr>
        <w:t>Secon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Good Standing Certificate</w:t>
      </w:r>
      <w:r>
        <w:rPr>
          <w:rFonts w:ascii="Times New Roman" w:cs="Times New Roman" w:eastAsia="Times New Roman" w:hAnsi="Times New Roman"/>
          <w:sz w:val="14"/>
          <w:szCs w:val="14"/>
          <w:color w:val="auto"/>
        </w:rPr>
        <w:t>”, and collectively with the CMS Good Standing Certificate and the Civigenics Good Standing Certificate, the “</w:t>
      </w:r>
      <w:r>
        <w:rPr>
          <w:rFonts w:ascii="Times New Roman" w:cs="Times New Roman" w:eastAsia="Times New Roman" w:hAnsi="Times New Roman"/>
          <w:sz w:val="14"/>
          <w:szCs w:val="14"/>
          <w:u w:val="single" w:color="auto"/>
          <w:color w:val="auto"/>
        </w:rPr>
        <w:t>Good Standing Certificates</w:t>
      </w:r>
      <w:r>
        <w:rPr>
          <w:rFonts w:ascii="Times New Roman" w:cs="Times New Roman" w:eastAsia="Times New Roman" w:hAnsi="Times New Roman"/>
          <w:sz w:val="14"/>
          <w:szCs w:val="14"/>
          <w:color w:val="auto"/>
        </w:rPr>
        <w:t>”);</w:t>
      </w:r>
    </w:p>
    <w:p>
      <w:pPr>
        <w:spacing w:after="0" w:line="60" w:lineRule="exact"/>
        <w:rPr>
          <w:rFonts w:ascii="Times New Roman" w:cs="Times New Roman" w:eastAsia="Times New Roman" w:hAnsi="Times New Roman"/>
          <w:sz w:val="14"/>
          <w:szCs w:val="14"/>
          <w:color w:val="auto"/>
        </w:rPr>
      </w:pPr>
    </w:p>
    <w:p>
      <w:pPr>
        <w:ind w:left="900" w:right="399" w:hanging="430"/>
        <w:spacing w:after="0" w:line="268" w:lineRule="auto"/>
        <w:tabs>
          <w:tab w:leader="none" w:pos="900" w:val="left"/>
        </w:tabs>
        <w:numPr>
          <w:ilvl w:val="0"/>
          <w:numId w:val="1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Action by Unanimous Written Consent of the Directors, Managers, Managing Members and General Partners of those entities listed on Annex I thereto, including each of the MA Guarantors, dated October 30, 2026, authorizing, among other things, the filing of the Registration Statement and the negotiation, execution, delivery and performance by each MA Guarantor of one or more Guarantees, Indentures or Supplemental Indentures relating thereto (the “</w:t>
      </w:r>
      <w:r>
        <w:rPr>
          <w:rFonts w:ascii="Times New Roman" w:cs="Times New Roman" w:eastAsia="Times New Roman" w:hAnsi="Times New Roman"/>
          <w:sz w:val="14"/>
          <w:szCs w:val="14"/>
          <w:u w:val="single" w:color="auto"/>
          <w:color w:val="auto"/>
        </w:rPr>
        <w:t>Resolutions</w:t>
      </w:r>
      <w:r>
        <w:rPr>
          <w:rFonts w:ascii="Times New Roman" w:cs="Times New Roman" w:eastAsia="Times New Roman" w:hAnsi="Times New Roman"/>
          <w:sz w:val="14"/>
          <w:szCs w:val="14"/>
          <w:color w:val="auto"/>
        </w:rPr>
        <w:t>”); and</w:t>
      </w:r>
    </w:p>
    <w:p>
      <w:pPr>
        <w:spacing w:after="0" w:line="64" w:lineRule="exact"/>
        <w:rPr>
          <w:rFonts w:ascii="Times New Roman" w:cs="Times New Roman" w:eastAsia="Times New Roman" w:hAnsi="Times New Roman"/>
          <w:sz w:val="14"/>
          <w:szCs w:val="14"/>
          <w:color w:val="auto"/>
        </w:rPr>
      </w:pPr>
    </w:p>
    <w:p>
      <w:pPr>
        <w:ind w:left="900" w:right="179" w:hanging="430"/>
        <w:spacing w:after="0" w:line="263" w:lineRule="auto"/>
        <w:tabs>
          <w:tab w:leader="none" w:pos="900" w:val="left"/>
        </w:tabs>
        <w:numPr>
          <w:ilvl w:val="0"/>
          <w:numId w:val="1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Certificate to Counsel dated October 30, 2026, executed by Scott A. Schipma, as Senior Vice President, General Counsel and Corporate Secretary of GEO and as Vice President and Secretary of each of the MA Guarantors, certifying as to certain matters for each of the MA Guarantors, including without limitation, the following: (a) true, correct and complete copies of the certificate of organization or articles of organization, as applicable, and the operating agreement or bylaws, as applicable, of each MA Guarantor (the “</w:t>
      </w:r>
      <w:r>
        <w:rPr>
          <w:rFonts w:ascii="Times New Roman" w:cs="Times New Roman" w:eastAsia="Times New Roman" w:hAnsi="Times New Roman"/>
          <w:sz w:val="14"/>
          <w:szCs w:val="14"/>
          <w:u w:val="single" w:color="auto"/>
          <w:color w:val="auto"/>
        </w:rPr>
        <w:t>Organizational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Documents</w:t>
      </w:r>
      <w:r>
        <w:rPr>
          <w:rFonts w:ascii="Times New Roman" w:cs="Times New Roman" w:eastAsia="Times New Roman" w:hAnsi="Times New Roman"/>
          <w:sz w:val="14"/>
          <w:szCs w:val="14"/>
          <w:color w:val="auto"/>
        </w:rPr>
        <w:t>”); (b) true, correct and complete copies of the Resolutions; (c) the continued effectiveness of the Organizational Documents and the Resolutions; and (d) the genuineness of the signatures of certain officers and directors of the MA Guarantors.</w:t>
      </w:r>
    </w:p>
    <w:p>
      <w:pPr>
        <w:spacing w:after="0" w:line="143" w:lineRule="exact"/>
        <w:rPr>
          <w:sz w:val="20"/>
          <w:szCs w:val="20"/>
          <w:color w:val="auto"/>
        </w:rPr>
      </w:pPr>
    </w:p>
    <w:p>
      <w:pPr>
        <w:ind w:left="120" w:right="219" w:firstLine="350"/>
        <w:spacing w:after="0" w:line="274" w:lineRule="auto"/>
        <w:rPr>
          <w:sz w:val="20"/>
          <w:szCs w:val="20"/>
          <w:color w:val="auto"/>
        </w:rPr>
      </w:pPr>
      <w:r>
        <w:rPr>
          <w:rFonts w:ascii="Times New Roman" w:cs="Times New Roman" w:eastAsia="Times New Roman" w:hAnsi="Times New Roman"/>
          <w:sz w:val="14"/>
          <w:szCs w:val="14"/>
          <w:color w:val="auto"/>
        </w:rPr>
        <w:t>The opinions set forth below are limited to Massachusetts law (the “</w:t>
      </w:r>
      <w:r>
        <w:rPr>
          <w:rFonts w:ascii="Times New Roman" w:cs="Times New Roman" w:eastAsia="Times New Roman" w:hAnsi="Times New Roman"/>
          <w:sz w:val="14"/>
          <w:szCs w:val="14"/>
          <w:u w:val="single" w:color="auto"/>
          <w:color w:val="auto"/>
        </w:rPr>
        <w:t>Applicable Law</w:t>
      </w:r>
      <w:r>
        <w:rPr>
          <w:rFonts w:ascii="Times New Roman" w:cs="Times New Roman" w:eastAsia="Times New Roman" w:hAnsi="Times New Roman"/>
          <w:sz w:val="14"/>
          <w:szCs w:val="14"/>
          <w:color w:val="auto"/>
        </w:rPr>
        <w:t>”). No opinion is expressed herein with respect to the enforceability of any Indenture, any Supplemental Indenture, the Debt Securities or any Guarantee, choice of law, criminal laws or laws, regulations, or rules relating to zoning, land use, environmental, energy, copyrights, tax, securities, safety,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60960</wp:posOffset>
            </wp:positionV>
            <wp:extent cx="3917315" cy="17018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9">
                      <a:extLst>
                        <a:ext uri="{28A0092B-C50C-407E-A947-70E740481C1C}"/>
                      </a:extLst>
                    </a:blip>
                    <a:srcRect/>
                    <a:stretch>
                      <a:fillRect/>
                    </a:stretch>
                  </pic:blipFill>
                  <pic:spPr bwMode="auto">
                    <a:xfrm>
                      <a:off x="0" y="0"/>
                      <a:ext cx="3917315" cy="170180"/>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251" w:name="page252"/>
    <w:bookmarkEnd w:id="251"/>
    <w:p>
      <w:pPr>
        <w:ind w:left="1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0">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The GEO Group, Inc.</w:t>
      </w:r>
    </w:p>
    <w:p>
      <w:pPr>
        <w:spacing w:after="0" w:line="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October 30, 2026</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Page 3 of 4</w:t>
      </w:r>
    </w:p>
    <w:p>
      <w:pPr>
        <w:spacing w:after="0" w:line="115" w:lineRule="exact"/>
        <w:rPr>
          <w:sz w:val="20"/>
          <w:szCs w:val="20"/>
          <w:color w:val="auto"/>
        </w:rPr>
      </w:pPr>
    </w:p>
    <w:p>
      <w:pPr>
        <w:ind w:left="120" w:right="279"/>
        <w:spacing w:after="0" w:line="268" w:lineRule="auto"/>
        <w:rPr>
          <w:sz w:val="20"/>
          <w:szCs w:val="20"/>
          <w:color w:val="auto"/>
        </w:rPr>
      </w:pPr>
      <w:r>
        <w:rPr>
          <w:rFonts w:ascii="Times New Roman" w:cs="Times New Roman" w:eastAsia="Times New Roman" w:hAnsi="Times New Roman"/>
          <w:sz w:val="14"/>
          <w:szCs w:val="14"/>
          <w:color w:val="auto"/>
        </w:rPr>
        <w:t>labor, workers’ compensation, health, hazardous waste, permitting, licensing, franchising, and fiduciary duties of shareholders, members, directors, managers, officers, or other equivalent persons. We express no opinion as to the tax good standing of any MA Guarantor in any jurisdiction. We call your attention to the fact that our opinion relating to the good standing of the MA Guarantors is based solely and exclusively upon the respective Good Standing Certificates and is given as of the date the Good Standing Certificates were respectively issued.</w:t>
      </w:r>
    </w:p>
    <w:p>
      <w:pPr>
        <w:spacing w:after="0" w:line="139" w:lineRule="exact"/>
        <w:rPr>
          <w:sz w:val="20"/>
          <w:szCs w:val="20"/>
          <w:color w:val="auto"/>
        </w:rPr>
      </w:pPr>
    </w:p>
    <w:p>
      <w:pPr>
        <w:ind w:left="120" w:right="199" w:firstLine="350"/>
        <w:spacing w:after="0" w:line="266" w:lineRule="auto"/>
        <w:rPr>
          <w:sz w:val="20"/>
          <w:szCs w:val="20"/>
          <w:color w:val="auto"/>
        </w:rPr>
      </w:pPr>
      <w:r>
        <w:rPr>
          <w:rFonts w:ascii="Times New Roman" w:cs="Times New Roman" w:eastAsia="Times New Roman" w:hAnsi="Times New Roman"/>
          <w:sz w:val="14"/>
          <w:szCs w:val="14"/>
          <w:color w:val="auto"/>
        </w:rPr>
        <w:t>In rendering the opinions expressed below, we have assumed, without independent investigation or inquiry, (a) the authenticity of all documents submitted to us as originals, (b) the genuineness of all signatures on all documents that we examined (other than the signatures of authorized signatories of the MA Guarantors), and (c) the conformity to authentic originals of documents submitted to us as certified, conformed, facsimile or photostatic copies. We have also assumed the legal capacity (as distinct from authority) and competency of any individual who has signed any instrument referred to herein.</w:t>
      </w:r>
    </w:p>
    <w:p>
      <w:pPr>
        <w:spacing w:after="0" w:line="316" w:lineRule="exact"/>
        <w:rPr>
          <w:sz w:val="20"/>
          <w:szCs w:val="20"/>
          <w:color w:val="auto"/>
        </w:rPr>
      </w:pPr>
    </w:p>
    <w:p>
      <w:pPr>
        <w:ind w:left="120" w:right="279" w:firstLine="350"/>
        <w:spacing w:after="0" w:line="260" w:lineRule="auto"/>
        <w:rPr>
          <w:sz w:val="20"/>
          <w:szCs w:val="20"/>
          <w:color w:val="auto"/>
        </w:rPr>
      </w:pPr>
      <w:r>
        <w:rPr>
          <w:rFonts w:ascii="Times New Roman" w:cs="Times New Roman" w:eastAsia="Times New Roman" w:hAnsi="Times New Roman"/>
          <w:sz w:val="14"/>
          <w:szCs w:val="14"/>
          <w:color w:val="auto"/>
        </w:rPr>
        <w:t>For purposes of this opinion, we have assumed that all parties (other than the MA Guarantors) to the Indentures and any Supplemental Indenture are, and at the time of execution and delivery thereof will be, duly organized and validly existing and have, or will have, all requisite power and authority and have taken, or will have taken, all necessary action to execute and deliver the Indentures and any Supplemental Indenture to which they are a party and to effect the transactions contemplated thereby. We have further assumed that (a) each Indenture will be duly authorized, executed and delivered by each of the parties thereto in substantially the form filed as an exhibit to the Registration Statement; (b) each Supplemental Indenture and each Guarantee will be duly authorized by all parties thereto (other than the MA Guarantors) and will be executed and delivered by each of the parties thereto, including by an Authorized Signatory (as defined in the Resolutions) on behalf of each MA Guarantor, with terms consistent with the Resolutions, the Indentures and the Registration Statement; and (c) at the time of such execution and delivery, the Resolutions will not have been modified or rescinded and will remain in full force and effect.</w:t>
      </w:r>
    </w:p>
    <w:p>
      <w:pPr>
        <w:spacing w:after="0" w:line="147" w:lineRule="exact"/>
        <w:rPr>
          <w:sz w:val="20"/>
          <w:szCs w:val="20"/>
          <w:color w:val="auto"/>
        </w:rPr>
      </w:pPr>
    </w:p>
    <w:p>
      <w:pPr>
        <w:ind w:left="120" w:right="179" w:firstLine="350"/>
        <w:spacing w:after="0" w:line="268" w:lineRule="auto"/>
        <w:rPr>
          <w:sz w:val="20"/>
          <w:szCs w:val="20"/>
          <w:color w:val="auto"/>
        </w:rPr>
      </w:pPr>
      <w:r>
        <w:rPr>
          <w:rFonts w:ascii="Times New Roman" w:cs="Times New Roman" w:eastAsia="Times New Roman" w:hAnsi="Times New Roman"/>
          <w:sz w:val="14"/>
          <w:szCs w:val="14"/>
          <w:color w:val="auto"/>
        </w:rPr>
        <w:t>Except as otherwise stated in this opinion, we have undertaken no investigation of the records of the MA Guarantors or any court or other body or verification of the accuracy of any representations of the MA Guarantors, including, without limitation, those contained in the Indentures, any Supplemental Indenture or any Guarantee, nor have we reviewed any agreements or other documents other than those specifically identified herein as having been examined in connection with rendering this opinion.</w:t>
      </w:r>
    </w:p>
    <w:p>
      <w:pPr>
        <w:spacing w:after="0" w:line="13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Based upon the foregoing, it is our opinion that, as of the date hereof:</w:t>
      </w:r>
    </w:p>
    <w:p>
      <w:pPr>
        <w:spacing w:after="0" w:line="107" w:lineRule="exact"/>
        <w:rPr>
          <w:sz w:val="20"/>
          <w:szCs w:val="20"/>
          <w:color w:val="auto"/>
        </w:rPr>
      </w:pPr>
    </w:p>
    <w:p>
      <w:pPr>
        <w:ind w:left="900" w:right="479" w:hanging="430"/>
        <w:spacing w:after="0" w:line="274" w:lineRule="auto"/>
        <w:tabs>
          <w:tab w:leader="none" w:pos="900" w:val="left"/>
        </w:tabs>
        <w:numPr>
          <w:ilvl w:val="0"/>
          <w:numId w:val="1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CMS (i) is a limited liability company duly organized, validly existing and in good standing under the laws of the Commonwealth of Massachusetts and (ii) has full limited liability company power and authority to execute, deliver and perform its obligations under the Supplemental Indentures and the Guarantees.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60960</wp:posOffset>
            </wp:positionV>
            <wp:extent cx="3917315" cy="17018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1">
                      <a:extLst>
                        <a:ext uri="{28A0092B-C50C-407E-A947-70E740481C1C}"/>
                      </a:extLst>
                    </a:blip>
                    <a:srcRect/>
                    <a:stretch>
                      <a:fillRect/>
                    </a:stretch>
                  </pic:blipFill>
                  <pic:spPr bwMode="auto">
                    <a:xfrm>
                      <a:off x="0" y="0"/>
                      <a:ext cx="3917315" cy="170180"/>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252" w:name="page253"/>
    <w:bookmarkEnd w:id="252"/>
    <w:p>
      <w:pPr>
        <w:ind w:left="1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2">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The GEO Group, Inc.</w:t>
      </w:r>
    </w:p>
    <w:p>
      <w:pPr>
        <w:spacing w:after="0" w:line="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October 30, 2026</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Page 4 of 4</w:t>
      </w:r>
    </w:p>
    <w:p>
      <w:pPr>
        <w:spacing w:after="0" w:line="115" w:lineRule="exact"/>
        <w:rPr>
          <w:sz w:val="20"/>
          <w:szCs w:val="20"/>
          <w:color w:val="auto"/>
        </w:rPr>
      </w:pPr>
    </w:p>
    <w:p>
      <w:pPr>
        <w:ind w:left="900" w:right="279" w:hanging="430"/>
        <w:spacing w:after="0" w:line="274" w:lineRule="auto"/>
        <w:tabs>
          <w:tab w:leader="none" w:pos="900" w:val="left"/>
        </w:tabs>
        <w:numPr>
          <w:ilvl w:val="0"/>
          <w:numId w:val="1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Civigenics and Secon (i) is a corporation duly incorporated, validly existing and in good standing under the laws of the Commonwealth of Massachusetts and (ii) has full corporate power and authority to execute, deliver and perform its obligations under the Supplemental Indentures and the Guarantees.</w:t>
      </w:r>
    </w:p>
    <w:p>
      <w:pPr>
        <w:spacing w:after="0" w:line="60" w:lineRule="exact"/>
        <w:rPr>
          <w:rFonts w:ascii="Times New Roman" w:cs="Times New Roman" w:eastAsia="Times New Roman" w:hAnsi="Times New Roman"/>
          <w:sz w:val="14"/>
          <w:szCs w:val="14"/>
          <w:color w:val="auto"/>
        </w:rPr>
      </w:pPr>
    </w:p>
    <w:p>
      <w:pPr>
        <w:ind w:left="900" w:right="199" w:hanging="430"/>
        <w:spacing w:after="0" w:line="268" w:lineRule="auto"/>
        <w:tabs>
          <w:tab w:leader="none" w:pos="900" w:val="left"/>
        </w:tabs>
        <w:numPr>
          <w:ilvl w:val="0"/>
          <w:numId w:val="1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execution and delivery by each of the MA Guarantors of the Supplemental Indentures and the Guarantees, and the performance by each of the MA Guarantors of their respective obligations thereunder, have been duly authorized by all necessary action by or on behalf of each such MA Guarantor, subject to the approval of the final terms thereof by the person or persons authorized to do so pursuant to the Resolutions.</w:t>
      </w:r>
    </w:p>
    <w:p>
      <w:pPr>
        <w:spacing w:after="0" w:line="139" w:lineRule="exact"/>
        <w:rPr>
          <w:sz w:val="20"/>
          <w:szCs w:val="20"/>
          <w:color w:val="auto"/>
        </w:rPr>
      </w:pPr>
    </w:p>
    <w:p>
      <w:pPr>
        <w:ind w:left="120" w:right="159" w:firstLine="350"/>
        <w:spacing w:after="0" w:line="292" w:lineRule="auto"/>
        <w:rPr>
          <w:sz w:val="20"/>
          <w:szCs w:val="20"/>
          <w:color w:val="auto"/>
        </w:rPr>
      </w:pPr>
      <w:r>
        <w:rPr>
          <w:rFonts w:ascii="Times New Roman" w:cs="Times New Roman" w:eastAsia="Times New Roman" w:hAnsi="Times New Roman"/>
          <w:sz w:val="14"/>
          <w:szCs w:val="14"/>
          <w:color w:val="auto"/>
        </w:rPr>
        <w:t>We assume no obligation to update or supplement this opinion to reflect any facts or circumstances that may hereafter come to our attention or any change in laws that may hereafter occur.</w:t>
      </w:r>
    </w:p>
    <w:p>
      <w:pPr>
        <w:spacing w:after="0" w:line="123" w:lineRule="exact"/>
        <w:rPr>
          <w:sz w:val="20"/>
          <w:szCs w:val="20"/>
          <w:color w:val="auto"/>
        </w:rPr>
      </w:pPr>
    </w:p>
    <w:p>
      <w:pPr>
        <w:ind w:left="120" w:right="179" w:firstLine="350"/>
        <w:spacing w:after="0" w:line="268" w:lineRule="auto"/>
        <w:rPr>
          <w:sz w:val="20"/>
          <w:szCs w:val="20"/>
          <w:color w:val="auto"/>
        </w:rPr>
      </w:pPr>
      <w:r>
        <w:rPr>
          <w:rFonts w:ascii="Times New Roman" w:cs="Times New Roman" w:eastAsia="Times New Roman" w:hAnsi="Times New Roman"/>
          <w:sz w:val="14"/>
          <w:szCs w:val="14"/>
          <w:color w:val="auto"/>
        </w:rPr>
        <w:t>This opinion letter is furnished to you in connection with the filing of the Registration Statement and, except as set forth below, may not be relied upon for any other purpose without our prior written consent in each instance. Further, no portion of this opinion letter may be quoted, circulated or referred to in any other document for any other purpose without our prior written consent. Notwithstanding the foregoing, the law firm of Akerman LLP may rely upon this opinion letter in connection with the opinion letter to be submitted by such firm with respect to the Registration Statement.</w:t>
      </w:r>
    </w:p>
    <w:p>
      <w:pPr>
        <w:spacing w:after="0" w:line="139" w:lineRule="exact"/>
        <w:rPr>
          <w:sz w:val="20"/>
          <w:szCs w:val="20"/>
          <w:color w:val="auto"/>
        </w:rPr>
      </w:pPr>
    </w:p>
    <w:p>
      <w:pPr>
        <w:ind w:left="120" w:right="219" w:firstLine="350"/>
        <w:spacing w:after="0" w:line="274" w:lineRule="auto"/>
        <w:rPr>
          <w:sz w:val="20"/>
          <w:szCs w:val="20"/>
          <w:color w:val="auto"/>
        </w:rPr>
      </w:pPr>
      <w:r>
        <w:rPr>
          <w:rFonts w:ascii="Times New Roman" w:cs="Times New Roman" w:eastAsia="Times New Roman" w:hAnsi="Times New Roman"/>
          <w:sz w:val="14"/>
          <w:szCs w:val="14"/>
          <w:color w:val="auto"/>
        </w:rPr>
        <w:t>We hereby consent to the reference to this firm under the caption “Legal Matters” in the Prospectus and to the filing of this opinion letter with the Commission in connection with the filing of the Registration Statement. In giving this consent, we do not admit that we are within the category of persons whose consent is required under Section 7 of the Securities Act or the rules and regulations of the Commission issued thereunder.</w:t>
      </w:r>
    </w:p>
    <w:p>
      <w:pPr>
        <w:spacing w:after="0" w:line="32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Sincerely,</w:t>
      </w:r>
    </w:p>
    <w:p>
      <w:pPr>
        <w:spacing w:after="0" w:line="182"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/s/ Hinckley, Allen &amp; Snyder LLP</w:t>
      </w:r>
    </w:p>
    <w:p>
      <w:pPr>
        <w:spacing w:after="0" w:line="182"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Hinckley, Allen &amp; Snyder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90805</wp:posOffset>
            </wp:positionV>
            <wp:extent cx="3917315" cy="17018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3">
                      <a:extLst>
                        <a:ext uri="{28A0092B-C50C-407E-A947-70E740481C1C}"/>
                      </a:extLst>
                    </a:blip>
                    <a:srcRect/>
                    <a:stretch>
                      <a:fillRect/>
                    </a:stretch>
                  </pic:blipFill>
                  <pic:spPr bwMode="auto">
                    <a:xfrm>
                      <a:off x="0" y="0"/>
                      <a:ext cx="3917315" cy="170180"/>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253" w:name="page254"/>
    <w:bookmarkEnd w:id="253"/>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Exhibit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1971040</wp:posOffset>
            </wp:positionH>
            <wp:positionV relativeFrom="paragraph">
              <wp:posOffset>139700</wp:posOffset>
            </wp:positionV>
            <wp:extent cx="1784985" cy="59944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4">
                      <a:extLst>
                        <a:ext uri="{28A0092B-C50C-407E-A947-70E740481C1C}"/>
                      </a:extLst>
                    </a:blip>
                    <a:srcRect/>
                    <a:stretch>
                      <a:fillRect/>
                    </a:stretch>
                  </pic:blipFill>
                  <pic:spPr bwMode="auto">
                    <a:xfrm>
                      <a:off x="0" y="0"/>
                      <a:ext cx="1784985" cy="599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October 30, 2026</w:t>
      </w:r>
    </w:p>
    <w:p>
      <w:pPr>
        <w:spacing w:after="0" w:line="1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Akerman LLP</w:t>
      </w:r>
    </w:p>
    <w:p>
      <w:pPr>
        <w:spacing w:after="0" w:line="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98 Southeast Seventh Street, Suite 1100</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Miami, FL 33131</w:t>
      </w:r>
    </w:p>
    <w:p>
      <w:pPr>
        <w:spacing w:after="0" w:line="188" w:lineRule="exact"/>
        <w:rPr>
          <w:sz w:val="20"/>
          <w:szCs w:val="20"/>
          <w:color w:val="auto"/>
        </w:rPr>
      </w:pPr>
    </w:p>
    <w:p>
      <w:pPr>
        <w:ind w:left="900"/>
        <w:spacing w:after="0"/>
        <w:tabs>
          <w:tab w:leader="none" w:pos="1240" w:val="left"/>
        </w:tabs>
        <w:rPr>
          <w:sz w:val="20"/>
          <w:szCs w:val="20"/>
          <w:color w:val="auto"/>
        </w:rPr>
      </w:pPr>
      <w:r>
        <w:rPr>
          <w:rFonts w:ascii="Times New Roman" w:cs="Times New Roman" w:eastAsia="Times New Roman" w:hAnsi="Times New Roman"/>
          <w:sz w:val="14"/>
          <w:szCs w:val="14"/>
          <w:b w:val="1"/>
          <w:bCs w:val="1"/>
          <w:color w:val="auto"/>
        </w:rPr>
        <w:t>Re:</w:t>
        <w:tab/>
        <w:t>Registration Statement on Form S-3 of The GEO Group, Inc. and Certain Subsidiary Guarantors</w:t>
      </w:r>
    </w:p>
    <w:p>
      <w:pPr>
        <w:spacing w:after="0" w:line="206" w:lineRule="exact"/>
        <w:rPr>
          <w:sz w:val="20"/>
          <w:szCs w:val="20"/>
          <w:color w:val="auto"/>
        </w:rPr>
      </w:pPr>
    </w:p>
    <w:p>
      <w:pPr>
        <w:ind w:left="120" w:right="6319" w:firstLine="790"/>
        <w:spacing w:after="0" w:line="510" w:lineRule="auto"/>
        <w:tabs>
          <w:tab w:leader="none" w:pos="1246" w:val="left"/>
        </w:tabs>
        <w:numPr>
          <w:ilvl w:val="0"/>
          <w:numId w:val="1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File No. 3005-27626 Ladies and Gentlemen:</w:t>
      </w:r>
    </w:p>
    <w:p>
      <w:pPr>
        <w:ind w:left="480"/>
        <w:spacing w:after="0"/>
        <w:rPr>
          <w:sz w:val="20"/>
          <w:szCs w:val="20"/>
          <w:color w:val="auto"/>
        </w:rPr>
      </w:pPr>
      <w:r>
        <w:rPr>
          <w:rFonts w:ascii="Times New Roman" w:cs="Times New Roman" w:eastAsia="Times New Roman" w:hAnsi="Times New Roman"/>
          <w:sz w:val="14"/>
          <w:szCs w:val="14"/>
          <w:color w:val="auto"/>
        </w:rPr>
        <w:t>We have acted as Pennsylvania counsel to ADAPPT, LLC, a Pennsylvania limited liability company (“</w:t>
      </w:r>
      <w:r>
        <w:rPr>
          <w:rFonts w:ascii="Times New Roman" w:cs="Times New Roman" w:eastAsia="Times New Roman" w:hAnsi="Times New Roman"/>
          <w:sz w:val="14"/>
          <w:szCs w:val="14"/>
          <w:b w:val="1"/>
          <w:bCs w:val="1"/>
          <w:color w:val="auto"/>
        </w:rPr>
        <w:t>ADAPPT Guarantor</w:t>
      </w:r>
      <w:r>
        <w:rPr>
          <w:rFonts w:ascii="Times New Roman" w:cs="Times New Roman" w:eastAsia="Times New Roman" w:hAnsi="Times New Roman"/>
          <w:sz w:val="14"/>
          <w:szCs w:val="14"/>
          <w:color w:val="auto"/>
        </w:rPr>
        <w:t>”), Fenton Security,</w:t>
      </w:r>
    </w:p>
    <w:p>
      <w:pPr>
        <w:spacing w:after="0" w:line="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LLC, a Pennsylvania limited liability company (“</w:t>
      </w:r>
      <w:r>
        <w:rPr>
          <w:rFonts w:ascii="Times New Roman" w:cs="Times New Roman" w:eastAsia="Times New Roman" w:hAnsi="Times New Roman"/>
          <w:sz w:val="14"/>
          <w:szCs w:val="14"/>
          <w:b w:val="1"/>
          <w:bCs w:val="1"/>
          <w:color w:val="auto"/>
        </w:rPr>
        <w:t>Fenton Guarantor</w:t>
      </w:r>
      <w:r>
        <w:rPr>
          <w:rFonts w:ascii="Times New Roman" w:cs="Times New Roman" w:eastAsia="Times New Roman" w:hAnsi="Times New Roman"/>
          <w:sz w:val="14"/>
          <w:szCs w:val="14"/>
          <w:color w:val="auto"/>
        </w:rPr>
        <w:t>”), Minsec Companies, LLC, a Pennsylvania limited liability company</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Companies Guarantor</w:t>
      </w:r>
      <w:r>
        <w:rPr>
          <w:rFonts w:ascii="Times New Roman" w:cs="Times New Roman" w:eastAsia="Times New Roman" w:hAnsi="Times New Roman"/>
          <w:sz w:val="14"/>
          <w:szCs w:val="14"/>
          <w:color w:val="auto"/>
        </w:rPr>
        <w:t>”), and Minsec Treatment, LLC, a Pennsylvania limited liability company (“</w:t>
      </w:r>
      <w:r>
        <w:rPr>
          <w:rFonts w:ascii="Times New Roman" w:cs="Times New Roman" w:eastAsia="Times New Roman" w:hAnsi="Times New Roman"/>
          <w:sz w:val="14"/>
          <w:szCs w:val="14"/>
          <w:b w:val="1"/>
          <w:bCs w:val="1"/>
          <w:color w:val="auto"/>
        </w:rPr>
        <w:t>Treatment Guarantor</w:t>
      </w:r>
      <w:r>
        <w:rPr>
          <w:rFonts w:ascii="Times New Roman" w:cs="Times New Roman" w:eastAsia="Times New Roman" w:hAnsi="Times New Roman"/>
          <w:sz w:val="14"/>
          <w:szCs w:val="14"/>
          <w:color w:val="auto"/>
        </w:rPr>
        <w:t>,” and, together with</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ADAPPT Guarantor, Fenton Guarantor, and Companies Guarantor, the “</w:t>
      </w:r>
      <w:r>
        <w:rPr>
          <w:rFonts w:ascii="Times New Roman" w:cs="Times New Roman" w:eastAsia="Times New Roman" w:hAnsi="Times New Roman"/>
          <w:sz w:val="14"/>
          <w:szCs w:val="14"/>
          <w:b w:val="1"/>
          <w:bCs w:val="1"/>
          <w:color w:val="auto"/>
        </w:rPr>
        <w:t>PA Guarantors</w:t>
      </w:r>
      <w:r>
        <w:rPr>
          <w:rFonts w:ascii="Times New Roman" w:cs="Times New Roman" w:eastAsia="Times New Roman" w:hAnsi="Times New Roman"/>
          <w:sz w:val="14"/>
          <w:szCs w:val="14"/>
          <w:color w:val="auto"/>
        </w:rPr>
        <w:t>”), in connection with the preparation and filing by The GEO</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Group, Inc., a Florida corporation (“</w:t>
      </w:r>
      <w:r>
        <w:rPr>
          <w:rFonts w:ascii="Times New Roman" w:cs="Times New Roman" w:eastAsia="Times New Roman" w:hAnsi="Times New Roman"/>
          <w:sz w:val="14"/>
          <w:szCs w:val="14"/>
          <w:b w:val="1"/>
          <w:bCs w:val="1"/>
          <w:color w:val="auto"/>
        </w:rPr>
        <w:t>GEO</w:t>
      </w:r>
      <w:r>
        <w:rPr>
          <w:rFonts w:ascii="Times New Roman" w:cs="Times New Roman" w:eastAsia="Times New Roman" w:hAnsi="Times New Roman"/>
          <w:sz w:val="14"/>
          <w:szCs w:val="14"/>
          <w:color w:val="auto"/>
        </w:rPr>
        <w:t>”), and certain of its subsidiaries, including the PA Guarantors, of an automatic shelf registration statement on</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Form S-3 (the “</w:t>
      </w:r>
      <w:r>
        <w:rPr>
          <w:rFonts w:ascii="Times New Roman" w:cs="Times New Roman" w:eastAsia="Times New Roman" w:hAnsi="Times New Roman"/>
          <w:sz w:val="14"/>
          <w:szCs w:val="14"/>
          <w:b w:val="1"/>
          <w:bCs w:val="1"/>
          <w:color w:val="auto"/>
        </w:rPr>
        <w:t>Registration Statement</w:t>
      </w:r>
      <w:r>
        <w:rPr>
          <w:rFonts w:ascii="Times New Roman" w:cs="Times New Roman" w:eastAsia="Times New Roman" w:hAnsi="Times New Roman"/>
          <w:sz w:val="14"/>
          <w:szCs w:val="14"/>
          <w:color w:val="auto"/>
        </w:rPr>
        <w:t>”) with the Securities and Exchange Commission (the “</w:t>
      </w:r>
      <w:r>
        <w:rPr>
          <w:rFonts w:ascii="Times New Roman" w:cs="Times New Roman" w:eastAsia="Times New Roman" w:hAnsi="Times New Roman"/>
          <w:sz w:val="14"/>
          <w:szCs w:val="14"/>
          <w:b w:val="1"/>
          <w:bCs w:val="1"/>
          <w:color w:val="auto"/>
        </w:rPr>
        <w:t>Commission</w:t>
      </w:r>
      <w:r>
        <w:rPr>
          <w:rFonts w:ascii="Times New Roman" w:cs="Times New Roman" w:eastAsia="Times New Roman" w:hAnsi="Times New Roman"/>
          <w:sz w:val="14"/>
          <w:szCs w:val="14"/>
          <w:color w:val="auto"/>
        </w:rPr>
        <w:t>”) under the Securities Act of 1933, as</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amended (the “</w:t>
      </w:r>
      <w:r>
        <w:rPr>
          <w:rFonts w:ascii="Times New Roman" w:cs="Times New Roman" w:eastAsia="Times New Roman" w:hAnsi="Times New Roman"/>
          <w:sz w:val="14"/>
          <w:szCs w:val="14"/>
          <w:b w:val="1"/>
          <w:bCs w:val="1"/>
          <w:color w:val="auto"/>
        </w:rPr>
        <w:t>Securities Act</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120" w:right="319" w:firstLine="350"/>
        <w:spacing w:after="0" w:line="269" w:lineRule="auto"/>
        <w:rPr>
          <w:sz w:val="20"/>
          <w:szCs w:val="20"/>
          <w:color w:val="auto"/>
        </w:rPr>
      </w:pPr>
      <w:r>
        <w:rPr>
          <w:rFonts w:ascii="Times New Roman" w:cs="Times New Roman" w:eastAsia="Times New Roman" w:hAnsi="Times New Roman"/>
          <w:sz w:val="14"/>
          <w:szCs w:val="14"/>
          <w:color w:val="auto"/>
        </w:rPr>
        <w:t>The Registration Statement relates, among other securities, to debt securities of GEO (the “</w:t>
      </w:r>
      <w:r>
        <w:rPr>
          <w:rFonts w:ascii="Times New Roman" w:cs="Times New Roman" w:eastAsia="Times New Roman" w:hAnsi="Times New Roman"/>
          <w:sz w:val="14"/>
          <w:szCs w:val="14"/>
          <w:b w:val="1"/>
          <w:bCs w:val="1"/>
          <w:color w:val="auto"/>
        </w:rPr>
        <w:t>Debt Securities</w:t>
      </w:r>
      <w:r>
        <w:rPr>
          <w:rFonts w:ascii="Times New Roman" w:cs="Times New Roman" w:eastAsia="Times New Roman" w:hAnsi="Times New Roman"/>
          <w:sz w:val="14"/>
          <w:szCs w:val="14"/>
          <w:color w:val="auto"/>
        </w:rPr>
        <w:t>”) and guarantees of the Debt Securities that may be issued from time to time by certain subsidiaries of GEO, including the PA Guarantors (the “</w:t>
      </w:r>
      <w:r>
        <w:rPr>
          <w:rFonts w:ascii="Times New Roman" w:cs="Times New Roman" w:eastAsia="Times New Roman" w:hAnsi="Times New Roman"/>
          <w:sz w:val="14"/>
          <w:szCs w:val="14"/>
          <w:b w:val="1"/>
          <w:bCs w:val="1"/>
          <w:color w:val="auto"/>
        </w:rPr>
        <w:t>Guarantees</w:t>
      </w:r>
      <w:r>
        <w:rPr>
          <w:rFonts w:ascii="Times New Roman" w:cs="Times New Roman" w:eastAsia="Times New Roman" w:hAnsi="Times New Roman"/>
          <w:sz w:val="14"/>
          <w:szCs w:val="14"/>
          <w:color w:val="auto"/>
        </w:rPr>
        <w:t>”). The Debt Securities may be issued under a senior debt indenture or a subordinated debt indenture, in each case as supplemented or amended from time to time and as applicable to a particular series of Debt Securities (each, an “</w:t>
      </w:r>
      <w:r>
        <w:rPr>
          <w:rFonts w:ascii="Times New Roman" w:cs="Times New Roman" w:eastAsia="Times New Roman" w:hAnsi="Times New Roman"/>
          <w:sz w:val="14"/>
          <w:szCs w:val="14"/>
          <w:b w:val="1"/>
          <w:bCs w:val="1"/>
          <w:color w:val="auto"/>
        </w:rPr>
        <w:t>Indenture</w:t>
      </w:r>
      <w:r>
        <w:rPr>
          <w:rFonts w:ascii="Times New Roman" w:cs="Times New Roman" w:eastAsia="Times New Roman" w:hAnsi="Times New Roman"/>
          <w:sz w:val="14"/>
          <w:szCs w:val="14"/>
          <w:color w:val="auto"/>
        </w:rPr>
        <w:t>” and collectively, the “</w:t>
      </w:r>
      <w:r>
        <w:rPr>
          <w:rFonts w:ascii="Times New Roman" w:cs="Times New Roman" w:eastAsia="Times New Roman" w:hAnsi="Times New Roman"/>
          <w:sz w:val="14"/>
          <w:szCs w:val="14"/>
          <w:b w:val="1"/>
          <w:bCs w:val="1"/>
          <w:color w:val="auto"/>
        </w:rPr>
        <w:t>Indentures</w:t>
      </w:r>
      <w:r>
        <w:rPr>
          <w:rFonts w:ascii="Times New Roman" w:cs="Times New Roman" w:eastAsia="Times New Roman" w:hAnsi="Times New Roman"/>
          <w:sz w:val="14"/>
          <w:szCs w:val="14"/>
          <w:color w:val="auto"/>
        </w:rPr>
        <w:t>”).</w:t>
      </w:r>
    </w:p>
    <w:p>
      <w:pPr>
        <w:spacing w:after="0" w:line="13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For purposes of this opinion, we have examined originals or copies of the following documents (collectively, the “</w:t>
      </w:r>
      <w:r>
        <w:rPr>
          <w:rFonts w:ascii="Times New Roman" w:cs="Times New Roman" w:eastAsia="Times New Roman" w:hAnsi="Times New Roman"/>
          <w:sz w:val="14"/>
          <w:szCs w:val="14"/>
          <w:b w:val="1"/>
          <w:bCs w:val="1"/>
          <w:color w:val="auto"/>
        </w:rPr>
        <w:t>Transaction Documents</w:t>
      </w:r>
      <w:r>
        <w:rPr>
          <w:rFonts w:ascii="Times New Roman" w:cs="Times New Roman" w:eastAsia="Times New Roman" w:hAnsi="Times New Roman"/>
          <w:sz w:val="14"/>
          <w:szCs w:val="14"/>
          <w:color w:val="auto"/>
        </w:rPr>
        <w:t>”):</w:t>
      </w:r>
    </w:p>
    <w:p>
      <w:pPr>
        <w:spacing w:after="0" w:line="109" w:lineRule="exact"/>
        <w:rPr>
          <w:sz w:val="20"/>
          <w:szCs w:val="20"/>
          <w:color w:val="auto"/>
        </w:rPr>
      </w:pPr>
    </w:p>
    <w:p>
      <w:pPr>
        <w:ind w:left="900" w:hanging="430"/>
        <w:spacing w:after="0"/>
        <w:tabs>
          <w:tab w:leader="none" w:pos="900" w:val="left"/>
        </w:tabs>
        <w:numPr>
          <w:ilvl w:val="0"/>
          <w:numId w:val="1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Registration Statement in the form to be filed with the Commission, including the prospectus forming a part thereof;</w:t>
      </w:r>
    </w:p>
    <w:p>
      <w:pPr>
        <w:spacing w:after="0" w:line="107" w:lineRule="exact"/>
        <w:rPr>
          <w:rFonts w:ascii="Times New Roman" w:cs="Times New Roman" w:eastAsia="Times New Roman" w:hAnsi="Times New Roman"/>
          <w:sz w:val="14"/>
          <w:szCs w:val="14"/>
          <w:color w:val="auto"/>
        </w:rPr>
      </w:pPr>
    </w:p>
    <w:p>
      <w:pPr>
        <w:ind w:left="900" w:hanging="430"/>
        <w:spacing w:after="0"/>
        <w:tabs>
          <w:tab w:leader="none" w:pos="900" w:val="left"/>
        </w:tabs>
        <w:numPr>
          <w:ilvl w:val="0"/>
          <w:numId w:val="1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form of senior Indenture to be filed as Exhibit 4.1 to the Registration Statement, including the provisions relating to the Guarantees;</w:t>
      </w:r>
    </w:p>
    <w:p>
      <w:pPr>
        <w:spacing w:after="0" w:line="107" w:lineRule="exact"/>
        <w:rPr>
          <w:rFonts w:ascii="Times New Roman" w:cs="Times New Roman" w:eastAsia="Times New Roman" w:hAnsi="Times New Roman"/>
          <w:sz w:val="14"/>
          <w:szCs w:val="14"/>
          <w:color w:val="auto"/>
        </w:rPr>
      </w:pPr>
    </w:p>
    <w:p>
      <w:pPr>
        <w:ind w:left="900" w:right="639" w:hanging="430"/>
        <w:spacing w:after="0" w:line="292" w:lineRule="auto"/>
        <w:tabs>
          <w:tab w:leader="none" w:pos="900" w:val="left"/>
        </w:tabs>
        <w:numPr>
          <w:ilvl w:val="0"/>
          <w:numId w:val="1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form of subordinated Indenture to be filed as Exhibit 4.2 to the Registration Statement, including the provisions relating to the Guarantees;</w:t>
      </w:r>
    </w:p>
    <w:p>
      <w:pPr>
        <w:sectPr>
          <w:pgSz w:w="11900" w:h="16838" w:orient="portrait"/>
          <w:cols w:equalWidth="0" w:num="1">
            <w:col w:w="9019"/>
          </w:cols>
          <w:pgMar w:left="1440" w:top="123" w:right="1440" w:bottom="1440" w:gutter="0" w:footer="0" w:header="0"/>
        </w:sectPr>
      </w:pPr>
    </w:p>
    <w:bookmarkStart w:id="254" w:name="page255"/>
    <w:bookmarkEnd w:id="254"/>
    <w:p>
      <w:pPr>
        <w:ind w:left="1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5">
                      <a:extLst>
                        <a:ext uri="{28A0092B-C50C-407E-A947-70E740481C1C}"/>
                      </a:extLst>
                    </a:blip>
                    <a:srcRect/>
                    <a:stretch>
                      <a:fillRect/>
                    </a:stretch>
                  </pic:blipFill>
                  <pic:spPr bwMode="auto">
                    <a:xfrm>
                      <a:off x="0" y="0"/>
                      <a:ext cx="7199630" cy="33020"/>
                    </a:xfrm>
                    <a:prstGeom prst="rect">
                      <a:avLst/>
                    </a:prstGeom>
                    <a:noFill/>
                  </pic:spPr>
                </pic:pic>
              </a:graphicData>
            </a:graphic>
          </wp:anchor>
        </w:drawing>
        <w:t>Akerman LLP</w:t>
      </w:r>
    </w:p>
    <w:p>
      <w:pPr>
        <w:spacing w:after="0" w:line="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October 30, 2026</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Page 2</w:t>
      </w:r>
    </w:p>
    <w:p>
      <w:pPr>
        <w:spacing w:after="0" w:line="115" w:lineRule="exact"/>
        <w:rPr>
          <w:sz w:val="20"/>
          <w:szCs w:val="20"/>
          <w:color w:val="auto"/>
        </w:rPr>
      </w:pPr>
    </w:p>
    <w:p>
      <w:pPr>
        <w:ind w:left="900" w:hanging="430"/>
        <w:spacing w:after="0"/>
        <w:tabs>
          <w:tab w:leader="none" w:pos="900" w:val="left"/>
        </w:tabs>
        <w:numPr>
          <w:ilvl w:val="0"/>
          <w:numId w:val="1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Certificate of Organization and Operating Agreement of each PA Guarantor, in each case as currently in effect;</w:t>
      </w:r>
    </w:p>
    <w:p>
      <w:pPr>
        <w:spacing w:after="0" w:line="107" w:lineRule="exact"/>
        <w:rPr>
          <w:rFonts w:ascii="Times New Roman" w:cs="Times New Roman" w:eastAsia="Times New Roman" w:hAnsi="Times New Roman"/>
          <w:sz w:val="14"/>
          <w:szCs w:val="14"/>
          <w:color w:val="auto"/>
        </w:rPr>
      </w:pPr>
    </w:p>
    <w:p>
      <w:pPr>
        <w:ind w:left="900" w:hanging="430"/>
        <w:spacing w:after="0"/>
        <w:tabs>
          <w:tab w:leader="none" w:pos="900" w:val="left"/>
        </w:tabs>
        <w:numPr>
          <w:ilvl w:val="0"/>
          <w:numId w:val="1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Certificate of Subsistence for each PA Guarantor issued by the Pennsylvania Department of State, dated October 23, 2026;</w:t>
      </w:r>
    </w:p>
    <w:p>
      <w:pPr>
        <w:spacing w:after="0" w:line="107" w:lineRule="exact"/>
        <w:rPr>
          <w:rFonts w:ascii="Times New Roman" w:cs="Times New Roman" w:eastAsia="Times New Roman" w:hAnsi="Times New Roman"/>
          <w:sz w:val="14"/>
          <w:szCs w:val="14"/>
          <w:color w:val="auto"/>
        </w:rPr>
      </w:pPr>
    </w:p>
    <w:p>
      <w:pPr>
        <w:ind w:left="900" w:right="319" w:hanging="430"/>
        <w:spacing w:after="0" w:line="292" w:lineRule="auto"/>
        <w:tabs>
          <w:tab w:leader="none" w:pos="900" w:val="left"/>
        </w:tabs>
        <w:numPr>
          <w:ilvl w:val="0"/>
          <w:numId w:val="1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Action by Unanimous Written Consent of the Directors, Managers, Managing Members and General Partners of those entities listed on Annex I (including the PA Guarantors) of even date herewith (the “</w:t>
      </w:r>
      <w:r>
        <w:rPr>
          <w:rFonts w:ascii="Times New Roman" w:cs="Times New Roman" w:eastAsia="Times New Roman" w:hAnsi="Times New Roman"/>
          <w:sz w:val="14"/>
          <w:szCs w:val="14"/>
          <w:b w:val="1"/>
          <w:bCs w:val="1"/>
          <w:color w:val="auto"/>
        </w:rPr>
        <w:t>Consent</w:t>
      </w:r>
      <w:r>
        <w:rPr>
          <w:rFonts w:ascii="Times New Roman" w:cs="Times New Roman" w:eastAsia="Times New Roman" w:hAnsi="Times New Roman"/>
          <w:sz w:val="14"/>
          <w:szCs w:val="14"/>
          <w:color w:val="auto"/>
        </w:rPr>
        <w:t>”);</w:t>
      </w:r>
    </w:p>
    <w:p>
      <w:pPr>
        <w:spacing w:after="0" w:line="48" w:lineRule="exact"/>
        <w:rPr>
          <w:rFonts w:ascii="Times New Roman" w:cs="Times New Roman" w:eastAsia="Times New Roman" w:hAnsi="Times New Roman"/>
          <w:sz w:val="14"/>
          <w:szCs w:val="14"/>
          <w:color w:val="auto"/>
        </w:rPr>
      </w:pPr>
    </w:p>
    <w:p>
      <w:pPr>
        <w:ind w:left="900" w:right="379" w:hanging="430"/>
        <w:spacing w:after="0" w:line="274" w:lineRule="auto"/>
        <w:tabs>
          <w:tab w:leader="none" w:pos="900" w:val="left"/>
        </w:tabs>
        <w:numPr>
          <w:ilvl w:val="0"/>
          <w:numId w:val="1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Certificate to Counsel of Scott A. Schipma, GEO’s Senior Vice President, General Counsel, and Corporate Secretary, and in his capacity as Vice President and Secretary of each of the PA Guarantors, of even date herewith, furnished on behalf of the PA Guarantors (the “</w:t>
      </w:r>
      <w:r>
        <w:rPr>
          <w:rFonts w:ascii="Times New Roman" w:cs="Times New Roman" w:eastAsia="Times New Roman" w:hAnsi="Times New Roman"/>
          <w:sz w:val="14"/>
          <w:szCs w:val="14"/>
          <w:b w:val="1"/>
          <w:bCs w:val="1"/>
          <w:color w:val="auto"/>
        </w:rPr>
        <w:t>Certificate</w:t>
      </w:r>
      <w:r>
        <w:rPr>
          <w:rFonts w:ascii="Times New Roman" w:cs="Times New Roman" w:eastAsia="Times New Roman" w:hAnsi="Times New Roman"/>
          <w:sz w:val="14"/>
          <w:szCs w:val="14"/>
          <w:color w:val="auto"/>
        </w:rPr>
        <w:t>”); and</w:t>
      </w:r>
    </w:p>
    <w:p>
      <w:pPr>
        <w:spacing w:after="0" w:line="60" w:lineRule="exact"/>
        <w:rPr>
          <w:rFonts w:ascii="Times New Roman" w:cs="Times New Roman" w:eastAsia="Times New Roman" w:hAnsi="Times New Roman"/>
          <w:sz w:val="14"/>
          <w:szCs w:val="14"/>
          <w:color w:val="auto"/>
        </w:rPr>
      </w:pPr>
    </w:p>
    <w:p>
      <w:pPr>
        <w:ind w:left="900" w:right="259" w:hanging="430"/>
        <w:spacing w:after="0" w:line="292" w:lineRule="auto"/>
        <w:tabs>
          <w:tab w:leader="none" w:pos="900" w:val="left"/>
        </w:tabs>
        <w:numPr>
          <w:ilvl w:val="0"/>
          <w:numId w:val="1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other documents, records and instruments, and such matters of law, as we have deemed necessary or appropriate for purposes of the opinions expressed below.</w:t>
      </w:r>
    </w:p>
    <w:p>
      <w:pPr>
        <w:spacing w:after="0" w:line="123" w:lineRule="exact"/>
        <w:rPr>
          <w:sz w:val="20"/>
          <w:szCs w:val="20"/>
          <w:color w:val="auto"/>
        </w:rPr>
      </w:pPr>
    </w:p>
    <w:p>
      <w:pPr>
        <w:ind w:left="120" w:right="299" w:firstLine="350"/>
        <w:spacing w:after="0" w:line="268" w:lineRule="auto"/>
        <w:rPr>
          <w:sz w:val="20"/>
          <w:szCs w:val="20"/>
          <w:color w:val="auto"/>
        </w:rPr>
      </w:pPr>
      <w:r>
        <w:rPr>
          <w:rFonts w:ascii="Times New Roman" w:cs="Times New Roman" w:eastAsia="Times New Roman" w:hAnsi="Times New Roman"/>
          <w:sz w:val="14"/>
          <w:szCs w:val="14"/>
          <w:color w:val="auto"/>
        </w:rPr>
        <w:t>As to matters of fact material to the opinions expressed herein, we have relied, without independent investigation, upon the Certificate and upon certificates of public officials and other certificates and representations of officers or other representatives of the PA Guarantors. Our opinions concerning the limited liability company power and authority of the PA Guarantors are based upon our review of the applicable organizational documents, the Consent and Pennsylvania law.</w:t>
      </w:r>
    </w:p>
    <w:p>
      <w:pPr>
        <w:spacing w:after="0" w:line="13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Based upon and subject to the foregoing, and subject to the qualifications set forth below, we are of the opinion that:</w:t>
      </w:r>
    </w:p>
    <w:p>
      <w:pPr>
        <w:spacing w:after="0" w:line="97" w:lineRule="exact"/>
        <w:rPr>
          <w:sz w:val="20"/>
          <w:szCs w:val="20"/>
          <w:color w:val="auto"/>
        </w:rPr>
      </w:pPr>
    </w:p>
    <w:p>
      <w:pPr>
        <w:ind w:left="480" w:right="399" w:firstLine="336"/>
        <w:spacing w:after="0" w:line="274" w:lineRule="auto"/>
        <w:rPr>
          <w:sz w:val="20"/>
          <w:szCs w:val="20"/>
          <w:color w:val="auto"/>
        </w:rPr>
      </w:pPr>
      <w:r>
        <w:rPr>
          <w:rFonts w:ascii="Times New Roman" w:cs="Times New Roman" w:eastAsia="Times New Roman" w:hAnsi="Times New Roman"/>
          <w:sz w:val="14"/>
          <w:szCs w:val="14"/>
          <w:color w:val="auto"/>
        </w:rPr>
        <w:t>1.  Each PA Guarantor is a limited liability company validly existing under the laws of the Commonwealth of Pennsylvania and has the limited liability company power to execute, deliver and perform its obligations under the Indenture or Indentures to which it will be a party, including its obligations in respect of the Guarantees contemplated thereby.</w:t>
      </w:r>
    </w:p>
    <w:p>
      <w:pPr>
        <w:spacing w:after="0" w:line="49" w:lineRule="exact"/>
        <w:rPr>
          <w:sz w:val="20"/>
          <w:szCs w:val="20"/>
          <w:color w:val="auto"/>
        </w:rPr>
      </w:pPr>
    </w:p>
    <w:p>
      <w:pPr>
        <w:ind w:left="480" w:right="579" w:firstLine="336"/>
        <w:spacing w:after="0" w:line="292" w:lineRule="auto"/>
        <w:rPr>
          <w:sz w:val="20"/>
          <w:szCs w:val="20"/>
          <w:color w:val="auto"/>
        </w:rPr>
      </w:pPr>
      <w:r>
        <w:rPr>
          <w:rFonts w:ascii="Times New Roman" w:cs="Times New Roman" w:eastAsia="Times New Roman" w:hAnsi="Times New Roman"/>
          <w:sz w:val="14"/>
          <w:szCs w:val="14"/>
          <w:color w:val="auto"/>
        </w:rPr>
        <w:t>2.  The Registration Statement has been duly authorized, executed and delivered by each PA Guarantor, as far as such authorization, execution and delivery are governed by Pennsylvania limited liability company law.</w:t>
      </w:r>
    </w:p>
    <w:p>
      <w:pPr>
        <w:spacing w:after="0" w:line="37" w:lineRule="exact"/>
        <w:rPr>
          <w:sz w:val="20"/>
          <w:szCs w:val="20"/>
          <w:color w:val="auto"/>
        </w:rPr>
      </w:pPr>
    </w:p>
    <w:p>
      <w:pPr>
        <w:ind w:left="480" w:right="179" w:firstLine="336"/>
        <w:spacing w:after="0" w:line="268" w:lineRule="auto"/>
        <w:rPr>
          <w:sz w:val="20"/>
          <w:szCs w:val="20"/>
          <w:color w:val="auto"/>
        </w:rPr>
      </w:pPr>
      <w:r>
        <w:rPr>
          <w:rFonts w:ascii="Times New Roman" w:cs="Times New Roman" w:eastAsia="Times New Roman" w:hAnsi="Times New Roman"/>
          <w:sz w:val="14"/>
          <w:szCs w:val="14"/>
          <w:color w:val="auto"/>
        </w:rPr>
        <w:t>3.  The execution and delivery by each PA Guarantor of the Indenture or Indentures to which it will be a party and the issuance and performance by each PA Guarantor of its Guarantees, in each case as contemplated by the Registration Statement and the Consent, have been duly authorized by all necessary limited liability company action on the part of such PA Guarantor, subject to the approval of the final terms thereof by the person or persons authorized to do so pursuant to the Consent.</w:t>
      </w:r>
    </w:p>
    <w:p>
      <w:pPr>
        <w:spacing w:after="0" w:line="139" w:lineRule="exact"/>
        <w:rPr>
          <w:sz w:val="20"/>
          <w:szCs w:val="20"/>
          <w:color w:val="auto"/>
        </w:rPr>
      </w:pPr>
    </w:p>
    <w:p>
      <w:pPr>
        <w:ind w:left="120" w:right="139" w:firstLine="350"/>
        <w:spacing w:after="0" w:line="292" w:lineRule="auto"/>
        <w:rPr>
          <w:sz w:val="20"/>
          <w:szCs w:val="20"/>
          <w:color w:val="auto"/>
        </w:rPr>
      </w:pPr>
      <w:r>
        <w:rPr>
          <w:rFonts w:ascii="Times New Roman" w:cs="Times New Roman" w:eastAsia="Times New Roman" w:hAnsi="Times New Roman"/>
          <w:sz w:val="14"/>
          <w:szCs w:val="14"/>
          <w:color w:val="auto"/>
        </w:rPr>
        <w:t>The opinions expressed above are limited to the laws of the Commonwealth of Pennsylvania in effect on the date hereof. We express no opinion as to the laws of any other jurisdiction or as to federal securities laws, including the Securities Act or the Trust Indenture Act of 1939, as amended.</w:t>
      </w:r>
    </w:p>
    <w:p>
      <w:pPr>
        <w:sectPr>
          <w:pgSz w:w="11900" w:h="16838" w:orient="portrait"/>
          <w:cols w:equalWidth="0" w:num="1">
            <w:col w:w="9019"/>
          </w:cols>
          <w:pgMar w:left="1440" w:top="243" w:right="1440" w:bottom="1440" w:gutter="0" w:footer="0" w:header="0"/>
        </w:sectPr>
      </w:pPr>
    </w:p>
    <w:bookmarkStart w:id="255" w:name="page256"/>
    <w:bookmarkEnd w:id="255"/>
    <w:p>
      <w:pPr>
        <w:ind w:left="1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6">
                      <a:extLst>
                        <a:ext uri="{28A0092B-C50C-407E-A947-70E740481C1C}"/>
                      </a:extLst>
                    </a:blip>
                    <a:srcRect/>
                    <a:stretch>
                      <a:fillRect/>
                    </a:stretch>
                  </pic:blipFill>
                  <pic:spPr bwMode="auto">
                    <a:xfrm>
                      <a:off x="0" y="0"/>
                      <a:ext cx="7199630" cy="33020"/>
                    </a:xfrm>
                    <a:prstGeom prst="rect">
                      <a:avLst/>
                    </a:prstGeom>
                    <a:noFill/>
                  </pic:spPr>
                </pic:pic>
              </a:graphicData>
            </a:graphic>
          </wp:anchor>
        </w:drawing>
        <w:t>Akerman LLP</w:t>
      </w:r>
    </w:p>
    <w:p>
      <w:pPr>
        <w:spacing w:after="0" w:line="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October 30, 2026</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Page 3</w:t>
      </w:r>
    </w:p>
    <w:p>
      <w:pPr>
        <w:spacing w:after="0" w:line="115" w:lineRule="exact"/>
        <w:rPr>
          <w:sz w:val="20"/>
          <w:szCs w:val="20"/>
          <w:color w:val="auto"/>
        </w:rPr>
      </w:pPr>
    </w:p>
    <w:p>
      <w:pPr>
        <w:ind w:left="120" w:right="379" w:firstLine="350"/>
        <w:spacing w:after="0" w:line="274" w:lineRule="auto"/>
        <w:rPr>
          <w:sz w:val="20"/>
          <w:szCs w:val="20"/>
          <w:color w:val="auto"/>
        </w:rPr>
      </w:pPr>
      <w:r>
        <w:rPr>
          <w:rFonts w:ascii="Times New Roman" w:cs="Times New Roman" w:eastAsia="Times New Roman" w:hAnsi="Times New Roman"/>
          <w:sz w:val="14"/>
          <w:szCs w:val="14"/>
          <w:color w:val="auto"/>
        </w:rPr>
        <w:t>We express no opinion as to whether any Indenture, supplemental indenture or Guarantee constitutes a valid, binding or enforceable obligation under the law governing that instrument. We also express no opinion regarding the eligibility of GEO or any PA Guarantor to use Form S-3 or the accuracy or completeness of the Registration Statement or any prospectus or prospectus supplement.</w:t>
      </w:r>
    </w:p>
    <w:p>
      <w:pPr>
        <w:spacing w:after="0" w:line="135" w:lineRule="exact"/>
        <w:rPr>
          <w:sz w:val="20"/>
          <w:szCs w:val="20"/>
          <w:color w:val="auto"/>
        </w:rPr>
      </w:pPr>
    </w:p>
    <w:p>
      <w:pPr>
        <w:ind w:left="120" w:right="319" w:firstLine="350"/>
        <w:spacing w:after="0" w:line="292" w:lineRule="auto"/>
        <w:rPr>
          <w:sz w:val="20"/>
          <w:szCs w:val="20"/>
          <w:color w:val="auto"/>
        </w:rPr>
      </w:pPr>
      <w:r>
        <w:rPr>
          <w:rFonts w:ascii="Times New Roman" w:cs="Times New Roman" w:eastAsia="Times New Roman" w:hAnsi="Times New Roman"/>
          <w:sz w:val="14"/>
          <w:szCs w:val="14"/>
          <w:color w:val="auto"/>
        </w:rPr>
        <w:t>This opinion is rendered as of the date hereof, and we undertake no obligation to update or supplement it for events occurring or changes in law after that date.</w:t>
      </w:r>
    </w:p>
    <w:p>
      <w:pPr>
        <w:spacing w:after="0" w:line="123" w:lineRule="exact"/>
        <w:rPr>
          <w:sz w:val="20"/>
          <w:szCs w:val="20"/>
          <w:color w:val="auto"/>
        </w:rPr>
      </w:pPr>
    </w:p>
    <w:p>
      <w:pPr>
        <w:ind w:left="120" w:right="419" w:firstLine="350"/>
        <w:spacing w:after="0" w:line="274" w:lineRule="auto"/>
        <w:rPr>
          <w:sz w:val="20"/>
          <w:szCs w:val="20"/>
          <w:color w:val="auto"/>
        </w:rPr>
      </w:pPr>
      <w:r>
        <w:rPr>
          <w:rFonts w:ascii="Times New Roman" w:cs="Times New Roman" w:eastAsia="Times New Roman" w:hAnsi="Times New Roman"/>
          <w:sz w:val="14"/>
          <w:szCs w:val="14"/>
          <w:color w:val="auto"/>
        </w:rPr>
        <w:t>This opinion is furnished to you in connection with the filing of the Registration Statement. You may rely upon the opinions expressed herein, subject to the assumptions and qualifications set forth herein, in rendering your opinion concerning the Guarantees to be filed as Exhibit 5.1 to the Registration Statement. This opinion may not be used for any other purpose without our prior written consent.</w:t>
      </w:r>
    </w:p>
    <w:p>
      <w:pPr>
        <w:spacing w:after="0" w:line="135" w:lineRule="exact"/>
        <w:rPr>
          <w:sz w:val="20"/>
          <w:szCs w:val="20"/>
          <w:color w:val="auto"/>
        </w:rPr>
      </w:pPr>
    </w:p>
    <w:p>
      <w:pPr>
        <w:ind w:left="120" w:right="299" w:firstLine="350"/>
        <w:spacing w:after="0" w:line="274" w:lineRule="auto"/>
        <w:rPr>
          <w:sz w:val="20"/>
          <w:szCs w:val="20"/>
          <w:color w:val="auto"/>
        </w:rPr>
      </w:pPr>
      <w:r>
        <w:rPr>
          <w:rFonts w:ascii="Times New Roman" w:cs="Times New Roman" w:eastAsia="Times New Roman" w:hAnsi="Times New Roman"/>
          <w:sz w:val="14"/>
          <w:szCs w:val="14"/>
          <w:color w:val="auto"/>
        </w:rPr>
        <w:t>We hereby consent to the filing of this opinion as Exhibit 5.4 to the Registration Statement and to the reference to our firm under the caption “Legal Matters” in the prospectus forming a part of the Registration Statement. In giving such consent, we do not thereby admit that we are within the category of persons whose consent is required under Section 7 of the Securities Act or the rules and regulations of the Commission thereunder.</w:t>
      </w:r>
    </w:p>
    <w:p>
      <w:pPr>
        <w:spacing w:after="0" w:line="15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82"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/s/ LATSHA DAVIS &amp; MARSHALL, P.C.</w:t>
      </w:r>
    </w:p>
    <w:p>
      <w:pPr>
        <w:spacing w:after="0" w:line="182"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LATSHA DAVIS &amp; MARSHALL, P.C.</w:t>
      </w:r>
    </w:p>
    <w:p>
      <w:pPr>
        <w:sectPr>
          <w:pgSz w:w="11900" w:h="16838" w:orient="portrait"/>
          <w:cols w:equalWidth="0" w:num="1">
            <w:col w:w="9019"/>
          </w:cols>
          <w:pgMar w:left="1440" w:top="243" w:right="1440" w:bottom="1440" w:gutter="0" w:footer="0" w:header="0"/>
        </w:sectPr>
      </w:pPr>
    </w:p>
    <w:bookmarkStart w:id="256" w:name="page257"/>
    <w:bookmarkEnd w:id="256"/>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Exhibit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139700</wp:posOffset>
            </wp:positionV>
            <wp:extent cx="2371090" cy="30670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7">
                      <a:extLst>
                        <a:ext uri="{28A0092B-C50C-407E-A947-70E740481C1C}"/>
                      </a:extLst>
                    </a:blip>
                    <a:srcRect/>
                    <a:stretch>
                      <a:fillRect/>
                    </a:stretch>
                  </pic:blipFill>
                  <pic:spPr bwMode="auto">
                    <a:xfrm>
                      <a:off x="0" y="0"/>
                      <a:ext cx="2371090" cy="30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October 30, 2026</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u w:val="single" w:color="auto"/>
          <w:color w:val="auto"/>
        </w:rPr>
        <w:t>Via Electronic Mail &amp; U.S. Mail</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The GEO Group, Inc.</w:t>
      </w:r>
    </w:p>
    <w:p>
      <w:pPr>
        <w:spacing w:after="0" w:line="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4955 Technology Way</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Boca Raton, FL 33431</w:t>
      </w:r>
    </w:p>
    <w:p>
      <w:pPr>
        <w:spacing w:after="0" w:line="16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Re: Opinion and Consent - Form S-3ASR Registration Statement of The GEO Group, Inc.</w:t>
      </w:r>
    </w:p>
    <w:p>
      <w:pPr>
        <w:spacing w:after="0" w:line="1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180" w:lineRule="exact"/>
        <w:rPr>
          <w:sz w:val="20"/>
          <w:szCs w:val="20"/>
          <w:color w:val="auto"/>
        </w:rPr>
      </w:pPr>
    </w:p>
    <w:p>
      <w:pPr>
        <w:ind w:left="120" w:right="159" w:firstLine="350"/>
        <w:spacing w:after="0" w:line="258" w:lineRule="auto"/>
        <w:rPr>
          <w:sz w:val="20"/>
          <w:szCs w:val="20"/>
          <w:color w:val="auto"/>
        </w:rPr>
      </w:pPr>
      <w:r>
        <w:rPr>
          <w:rFonts w:ascii="Times New Roman" w:cs="Times New Roman" w:eastAsia="Times New Roman" w:hAnsi="Times New Roman"/>
          <w:sz w:val="14"/>
          <w:szCs w:val="14"/>
          <w:color w:val="auto"/>
        </w:rPr>
        <w:t>We have acted as special counsel in the State of Wyoming (the “</w:t>
      </w:r>
      <w:r>
        <w:rPr>
          <w:rFonts w:ascii="Times New Roman" w:cs="Times New Roman" w:eastAsia="Times New Roman" w:hAnsi="Times New Roman"/>
          <w:sz w:val="14"/>
          <w:szCs w:val="14"/>
          <w:b w:val="1"/>
          <w:bCs w:val="1"/>
          <w:color w:val="auto"/>
        </w:rPr>
        <w:t>State</w:t>
      </w:r>
      <w:r>
        <w:rPr>
          <w:rFonts w:ascii="Times New Roman" w:cs="Times New Roman" w:eastAsia="Times New Roman" w:hAnsi="Times New Roman"/>
          <w:sz w:val="14"/>
          <w:szCs w:val="14"/>
          <w:color w:val="auto"/>
        </w:rPr>
        <w:t>”) for CCC Wyoming Properties, LLC, a Wyoming limited liability company, and Community Alternatives, an unregistered Wyoming general partnership (collectively, the “</w:t>
      </w:r>
      <w:r>
        <w:rPr>
          <w:rFonts w:ascii="Times New Roman" w:cs="Times New Roman" w:eastAsia="Times New Roman" w:hAnsi="Times New Roman"/>
          <w:sz w:val="14"/>
          <w:szCs w:val="14"/>
          <w:b w:val="1"/>
          <w:bCs w:val="1"/>
          <w:color w:val="auto"/>
        </w:rPr>
        <w:t>Wyoming Entities”</w:t>
      </w:r>
      <w:r>
        <w:rPr>
          <w:rFonts w:ascii="Times New Roman" w:cs="Times New Roman" w:eastAsia="Times New Roman" w:hAnsi="Times New Roman"/>
          <w:sz w:val="14"/>
          <w:szCs w:val="14"/>
          <w:color w:val="auto"/>
        </w:rPr>
        <w:t>) in connection with that certain registration statement on Form S-3ASR filed with the Securities and Exchange Commission on or about October 30, 2026 (the “</w:t>
      </w:r>
      <w:r>
        <w:rPr>
          <w:rFonts w:ascii="Times New Roman" w:cs="Times New Roman" w:eastAsia="Times New Roman" w:hAnsi="Times New Roman"/>
          <w:sz w:val="14"/>
          <w:szCs w:val="14"/>
          <w:b w:val="1"/>
          <w:bCs w:val="1"/>
          <w:color w:val="auto"/>
        </w:rPr>
        <w:t>Registration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Statement</w:t>
      </w:r>
      <w:r>
        <w:rPr>
          <w:rFonts w:ascii="Times New Roman" w:cs="Times New Roman" w:eastAsia="Times New Roman" w:hAnsi="Times New Roman"/>
          <w:sz w:val="14"/>
          <w:szCs w:val="14"/>
          <w:color w:val="auto"/>
        </w:rPr>
        <w:t>”), by The GEO Group, Inc., a Florida corporation (“</w:t>
      </w:r>
      <w:r>
        <w:rPr>
          <w:rFonts w:ascii="Times New Roman" w:cs="Times New Roman" w:eastAsia="Times New Roman" w:hAnsi="Times New Roman"/>
          <w:sz w:val="14"/>
          <w:szCs w:val="14"/>
          <w:b w:val="1"/>
          <w:bCs w:val="1"/>
          <w:color w:val="auto"/>
        </w:rPr>
        <w:t>Parent</w:t>
      </w:r>
      <w:r>
        <w:rPr>
          <w:rFonts w:ascii="Times New Roman" w:cs="Times New Roman" w:eastAsia="Times New Roman" w:hAnsi="Times New Roman"/>
          <w:sz w:val="14"/>
          <w:szCs w:val="14"/>
          <w:color w:val="auto"/>
        </w:rPr>
        <w:t>”), the Wyoming Entities and certain other subsidiaries of the Parent (collectively,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w:t>
      </w:r>
      <w:r>
        <w:rPr>
          <w:rFonts w:ascii="Times New Roman" w:cs="Times New Roman" w:eastAsia="Times New Roman" w:hAnsi="Times New Roman"/>
          <w:sz w:val="14"/>
          <w:szCs w:val="14"/>
          <w:b w:val="1"/>
          <w:bCs w:val="1"/>
          <w:color w:val="auto"/>
        </w:rPr>
        <w:t>Subsidiary Guarantors</w:t>
      </w:r>
      <w:r>
        <w:rPr>
          <w:rFonts w:ascii="Times New Roman" w:cs="Times New Roman" w:eastAsia="Times New Roman" w:hAnsi="Times New Roman"/>
          <w:sz w:val="14"/>
          <w:szCs w:val="14"/>
          <w:color w:val="auto"/>
        </w:rPr>
        <w:t>”) under the Securities Act of 1933 (as amended, the “</w:t>
      </w:r>
      <w:r>
        <w:rPr>
          <w:rFonts w:ascii="Times New Roman" w:cs="Times New Roman" w:eastAsia="Times New Roman" w:hAnsi="Times New Roman"/>
          <w:sz w:val="14"/>
          <w:szCs w:val="14"/>
          <w:b w:val="1"/>
          <w:bCs w:val="1"/>
          <w:color w:val="auto"/>
        </w:rPr>
        <w:t>Act</w:t>
      </w:r>
      <w:r>
        <w:rPr>
          <w:rFonts w:ascii="Times New Roman" w:cs="Times New Roman" w:eastAsia="Times New Roman" w:hAnsi="Times New Roman"/>
          <w:sz w:val="14"/>
          <w:szCs w:val="14"/>
          <w:color w:val="auto"/>
        </w:rPr>
        <w:t>”). The Registration Statement registers the offering from time to time, pursuant to Rule 415 under the Act, of (i) shares of common stock of the Parent, par value $0.01 per share (the “</w:t>
      </w:r>
      <w:r>
        <w:rPr>
          <w:rFonts w:ascii="Times New Roman" w:cs="Times New Roman" w:eastAsia="Times New Roman" w:hAnsi="Times New Roman"/>
          <w:sz w:val="14"/>
          <w:szCs w:val="14"/>
          <w:b w:val="1"/>
          <w:bCs w:val="1"/>
          <w:color w:val="auto"/>
        </w:rPr>
        <w:t>Common Stock</w:t>
      </w:r>
      <w:r>
        <w:rPr>
          <w:rFonts w:ascii="Times New Roman" w:cs="Times New Roman" w:eastAsia="Times New Roman" w:hAnsi="Times New Roman"/>
          <w:sz w:val="14"/>
          <w:szCs w:val="14"/>
          <w:color w:val="auto"/>
        </w:rPr>
        <w:t>”); (ii) shares of preferred stock of the Parent, par value $0.01 per share (the “</w:t>
      </w:r>
      <w:r>
        <w:rPr>
          <w:rFonts w:ascii="Times New Roman" w:cs="Times New Roman" w:eastAsia="Times New Roman" w:hAnsi="Times New Roman"/>
          <w:sz w:val="14"/>
          <w:szCs w:val="14"/>
          <w:b w:val="1"/>
          <w:bCs w:val="1"/>
          <w:color w:val="auto"/>
        </w:rPr>
        <w:t>Preferred Stock</w:t>
      </w:r>
      <w:r>
        <w:rPr>
          <w:rFonts w:ascii="Times New Roman" w:cs="Times New Roman" w:eastAsia="Times New Roman" w:hAnsi="Times New Roman"/>
          <w:sz w:val="14"/>
          <w:szCs w:val="14"/>
          <w:color w:val="auto"/>
        </w:rPr>
        <w:t>”); (iii) the debt securities of the Parent, which may be senior or subordinated (the “</w:t>
      </w:r>
      <w:r>
        <w:rPr>
          <w:rFonts w:ascii="Times New Roman" w:cs="Times New Roman" w:eastAsia="Times New Roman" w:hAnsi="Times New Roman"/>
          <w:sz w:val="14"/>
          <w:szCs w:val="14"/>
          <w:b w:val="1"/>
          <w:bCs w:val="1"/>
          <w:color w:val="auto"/>
        </w:rPr>
        <w:t>Debt Securities</w:t>
      </w:r>
      <w:r>
        <w:rPr>
          <w:rFonts w:ascii="Times New Roman" w:cs="Times New Roman" w:eastAsia="Times New Roman" w:hAnsi="Times New Roman"/>
          <w:sz w:val="14"/>
          <w:szCs w:val="14"/>
          <w:color w:val="auto"/>
        </w:rPr>
        <w:t>”); (iv) guarantees of the Debt Securities by the Subsidiary Guarantors, including the Wyoming Entities, listed in the “Table of Additional Registrants” included as part of the Registration Statement (the “</w:t>
      </w:r>
      <w:r>
        <w:rPr>
          <w:rFonts w:ascii="Times New Roman" w:cs="Times New Roman" w:eastAsia="Times New Roman" w:hAnsi="Times New Roman"/>
          <w:sz w:val="14"/>
          <w:szCs w:val="14"/>
          <w:b w:val="1"/>
          <w:bCs w:val="1"/>
          <w:color w:val="auto"/>
        </w:rPr>
        <w:t>Guarantees of Debt Securities</w:t>
      </w:r>
      <w:r>
        <w:rPr>
          <w:rFonts w:ascii="Times New Roman" w:cs="Times New Roman" w:eastAsia="Times New Roman" w:hAnsi="Times New Roman"/>
          <w:sz w:val="14"/>
          <w:szCs w:val="14"/>
          <w:color w:val="auto"/>
        </w:rPr>
        <w:t>”); (v) warrants to purchase Common Stock, Preferred Stock, Debt Securities, Units or any combination thereof (the “</w:t>
      </w:r>
      <w:r>
        <w:rPr>
          <w:rFonts w:ascii="Times New Roman" w:cs="Times New Roman" w:eastAsia="Times New Roman" w:hAnsi="Times New Roman"/>
          <w:sz w:val="14"/>
          <w:szCs w:val="14"/>
          <w:b w:val="1"/>
          <w:bCs w:val="1"/>
          <w:color w:val="auto"/>
        </w:rPr>
        <w:t>Warrants</w:t>
      </w:r>
      <w:r>
        <w:rPr>
          <w:rFonts w:ascii="Times New Roman" w:cs="Times New Roman" w:eastAsia="Times New Roman" w:hAnsi="Times New Roman"/>
          <w:sz w:val="14"/>
          <w:szCs w:val="14"/>
          <w:color w:val="auto"/>
        </w:rPr>
        <w:t>”); and (vi) units consisting of one or more shares of Common Stock, Preferred Stock, Debt Securities, or Warrants, or any combination thereof that may be offered and sold pursuant to the Registration Statement (the “</w:t>
      </w:r>
      <w:r>
        <w:rPr>
          <w:rFonts w:ascii="Times New Roman" w:cs="Times New Roman" w:eastAsia="Times New Roman" w:hAnsi="Times New Roman"/>
          <w:sz w:val="14"/>
          <w:szCs w:val="14"/>
          <w:b w:val="1"/>
          <w:bCs w:val="1"/>
          <w:color w:val="auto"/>
        </w:rPr>
        <w:t>Units</w:t>
      </w:r>
      <w:r>
        <w:rPr>
          <w:rFonts w:ascii="Times New Roman" w:cs="Times New Roman" w:eastAsia="Times New Roman" w:hAnsi="Times New Roman"/>
          <w:sz w:val="14"/>
          <w:szCs w:val="14"/>
          <w:color w:val="auto"/>
        </w:rPr>
        <w:t>”). Collectively, the Common Stock, the Preferred Stock, the Debt Securities, the Guarantees of Debt Securities, the Warrants and the Units are referred to as the “Securities.” The offering of the Securities will be as set forth in the prospectus forming a part of the Registration Statement (the “</w:t>
      </w:r>
      <w:r>
        <w:rPr>
          <w:rFonts w:ascii="Times New Roman" w:cs="Times New Roman" w:eastAsia="Times New Roman" w:hAnsi="Times New Roman"/>
          <w:sz w:val="14"/>
          <w:szCs w:val="14"/>
          <w:b w:val="1"/>
          <w:bCs w:val="1"/>
          <w:color w:val="auto"/>
        </w:rPr>
        <w:t>Prospectus</w:t>
      </w:r>
      <w:r>
        <w:rPr>
          <w:rFonts w:ascii="Times New Roman" w:cs="Times New Roman" w:eastAsia="Times New Roman" w:hAnsi="Times New Roman"/>
          <w:sz w:val="14"/>
          <w:szCs w:val="14"/>
          <w:color w:val="auto"/>
        </w:rPr>
        <w:t>”) as supplemented by one or more supplements to the Prospectus (each supplement, a “</w:t>
      </w:r>
      <w:r>
        <w:rPr>
          <w:rFonts w:ascii="Times New Roman" w:cs="Times New Roman" w:eastAsia="Times New Roman" w:hAnsi="Times New Roman"/>
          <w:sz w:val="14"/>
          <w:szCs w:val="14"/>
          <w:b w:val="1"/>
          <w:bCs w:val="1"/>
          <w:color w:val="auto"/>
        </w:rPr>
        <w:t>Prospectus Supplement</w:t>
      </w:r>
      <w:r>
        <w:rPr>
          <w:rFonts w:ascii="Times New Roman" w:cs="Times New Roman" w:eastAsia="Times New Roman" w:hAnsi="Times New Roman"/>
          <w:sz w:val="14"/>
          <w:szCs w:val="14"/>
          <w:color w:val="auto"/>
        </w:rPr>
        <w:t>”).</w:t>
      </w:r>
    </w:p>
    <w:p>
      <w:pPr>
        <w:spacing w:after="0" w:line="154" w:lineRule="exact"/>
        <w:rPr>
          <w:sz w:val="20"/>
          <w:szCs w:val="20"/>
          <w:color w:val="auto"/>
        </w:rPr>
      </w:pPr>
    </w:p>
    <w:p>
      <w:pPr>
        <w:jc w:val="both"/>
        <w:ind w:left="120" w:right="219" w:firstLine="350"/>
        <w:spacing w:after="0" w:line="274" w:lineRule="auto"/>
        <w:rPr>
          <w:sz w:val="20"/>
          <w:szCs w:val="20"/>
          <w:color w:val="auto"/>
        </w:rPr>
      </w:pPr>
      <w:r>
        <w:rPr>
          <w:rFonts w:ascii="Times New Roman" w:cs="Times New Roman" w:eastAsia="Times New Roman" w:hAnsi="Times New Roman"/>
          <w:sz w:val="14"/>
          <w:szCs w:val="14"/>
          <w:color w:val="auto"/>
        </w:rPr>
        <w:t>This opinion is being furnished in accordance with the requirements of Item 16 of Form S-3 and Item 601(b)(5) of Regulation S-K under the Act. This opinion letter is limited to the matters expressly stated herein and no opinions are to be inferred or may be implied beyond the opinions expressly so stated.</w:t>
      </w:r>
    </w:p>
    <w:p>
      <w:pPr>
        <w:spacing w:after="0" w:line="80" w:lineRule="exact"/>
        <w:rPr>
          <w:sz w:val="20"/>
          <w:szCs w:val="20"/>
          <w:color w:val="auto"/>
        </w:rPr>
      </w:pPr>
    </w:p>
    <w:tbl>
      <w:tblPr>
        <w:tblLayout w:type="fixed"/>
        <w:tblInd w:w="120" w:type="dxa"/>
        <w:tblCellMar>
          <w:top w:w="0" w:type="dxa"/>
          <w:left w:w="0" w:type="dxa"/>
          <w:bottom w:w="0" w:type="dxa"/>
          <w:right w:w="0" w:type="dxa"/>
        </w:tblCellMar>
      </w:tblPr>
      <w:tr>
        <w:trPr>
          <w:trHeight w:val="174"/>
        </w:trPr>
        <w:tc>
          <w:tcPr>
            <w:tcW w:w="1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222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Mailing Address</w:t>
            </w:r>
          </w:p>
        </w:tc>
        <w:tc>
          <w:tcPr>
            <w:tcW w:w="236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Contact</w:t>
            </w:r>
          </w:p>
        </w:tc>
      </w:tr>
      <w:tr>
        <w:trPr>
          <w:trHeight w:val="172"/>
        </w:trPr>
        <w:tc>
          <w:tcPr>
            <w:tcW w:w="1920" w:type="dxa"/>
            <w:vAlign w:val="bottom"/>
          </w:tcPr>
          <w:p>
            <w:pPr>
              <w:spacing w:after="0"/>
              <w:rPr>
                <w:sz w:val="20"/>
                <w:szCs w:val="20"/>
                <w:color w:val="auto"/>
              </w:rPr>
            </w:pPr>
            <w:r>
              <w:rPr>
                <w:rFonts w:ascii="Times New Roman" w:cs="Times New Roman" w:eastAsia="Times New Roman" w:hAnsi="Times New Roman"/>
                <w:sz w:val="14"/>
                <w:szCs w:val="14"/>
                <w:color w:val="auto"/>
              </w:rPr>
              <w:t>555 17th Street, Suite 3200</w:t>
            </w:r>
          </w:p>
        </w:tc>
        <w:tc>
          <w:tcPr>
            <w:tcW w:w="22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P.O. Box 8749</w:t>
            </w:r>
          </w:p>
        </w:tc>
        <w:tc>
          <w:tcPr>
            <w:tcW w:w="23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p: 303.295.8000 | f: 303.295.8261</w:t>
            </w:r>
          </w:p>
        </w:tc>
      </w:tr>
      <w:tr>
        <w:trPr>
          <w:trHeight w:val="185"/>
        </w:trPr>
        <w:tc>
          <w:tcPr>
            <w:tcW w:w="1920" w:type="dxa"/>
            <w:vAlign w:val="bottom"/>
          </w:tcPr>
          <w:p>
            <w:pPr>
              <w:spacing w:after="0"/>
              <w:rPr>
                <w:sz w:val="20"/>
                <w:szCs w:val="20"/>
                <w:color w:val="auto"/>
              </w:rPr>
            </w:pPr>
            <w:r>
              <w:rPr>
                <w:rFonts w:ascii="Times New Roman" w:cs="Times New Roman" w:eastAsia="Times New Roman" w:hAnsi="Times New Roman"/>
                <w:sz w:val="14"/>
                <w:szCs w:val="14"/>
                <w:color w:val="auto"/>
              </w:rPr>
              <w:t>Denver, CO 80202-3921</w:t>
            </w:r>
          </w:p>
        </w:tc>
        <w:tc>
          <w:tcPr>
            <w:tcW w:w="22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Denver, CO 80201-8749</w:t>
            </w:r>
          </w:p>
        </w:tc>
        <w:tc>
          <w:tcPr>
            <w:tcW w:w="23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www.hollandhart.com</w:t>
            </w:r>
          </w:p>
        </w:tc>
      </w:tr>
    </w:tbl>
    <w:p>
      <w:pPr>
        <w:sectPr>
          <w:pgSz w:w="11900" w:h="16838" w:orient="portrait"/>
          <w:cols w:equalWidth="0" w:num="1">
            <w:col w:w="9019"/>
          </w:cols>
          <w:pgMar w:left="1440" w:top="123" w:right="1440" w:bottom="1440" w:gutter="0" w:footer="0" w:header="0"/>
        </w:sectPr>
      </w:pPr>
    </w:p>
    <w:bookmarkStart w:id="257" w:name="page258"/>
    <w:bookmarkEnd w:id="257"/>
    <w:p>
      <w:pPr>
        <w:ind w:left="874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8">
                      <a:extLst>
                        <a:ext uri="{28A0092B-C50C-407E-A947-70E740481C1C}"/>
                      </a:extLst>
                    </a:blip>
                    <a:srcRect/>
                    <a:stretch>
                      <a:fillRect/>
                    </a:stretch>
                  </pic:blipFill>
                  <pic:spPr bwMode="auto">
                    <a:xfrm>
                      <a:off x="0" y="0"/>
                      <a:ext cx="7199630" cy="33020"/>
                    </a:xfrm>
                    <a:prstGeom prst="rect">
                      <a:avLst/>
                    </a:prstGeom>
                    <a:noFill/>
                  </pic:spPr>
                </pic:pic>
              </a:graphicData>
            </a:graphic>
          </wp:anchor>
        </w:drawing>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-92075</wp:posOffset>
            </wp:positionV>
            <wp:extent cx="2371090" cy="30670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9">
                      <a:extLst>
                        <a:ext uri="{28A0092B-C50C-407E-A947-70E740481C1C}"/>
                      </a:extLst>
                    </a:blip>
                    <a:srcRect/>
                    <a:stretch>
                      <a:fillRect/>
                    </a:stretch>
                  </pic:blipFill>
                  <pic:spPr bwMode="auto">
                    <a:xfrm>
                      <a:off x="0" y="0"/>
                      <a:ext cx="2371090" cy="306705"/>
                    </a:xfrm>
                    <a:prstGeom prst="rect">
                      <a:avLst/>
                    </a:prstGeom>
                    <a:noFill/>
                  </pic:spPr>
                </pic:pic>
              </a:graphicData>
            </a:graphic>
          </wp:anchor>
        </w:drawing>
      </w:r>
    </w:p>
    <w:p>
      <w:pPr>
        <w:spacing w:after="0" w:line="4" w:lineRule="exact"/>
        <w:rPr>
          <w:sz w:val="20"/>
          <w:szCs w:val="20"/>
          <w:color w:val="auto"/>
        </w:rPr>
      </w:pPr>
    </w:p>
    <w:p>
      <w:pPr>
        <w:jc w:val="right"/>
        <w:ind w:right="139"/>
        <w:spacing w:after="0"/>
        <w:rPr>
          <w:sz w:val="20"/>
          <w:szCs w:val="20"/>
          <w:color w:val="auto"/>
        </w:rPr>
      </w:pPr>
      <w:r>
        <w:rPr>
          <w:rFonts w:ascii="Times New Roman" w:cs="Times New Roman" w:eastAsia="Times New Roman" w:hAnsi="Times New Roman"/>
          <w:sz w:val="14"/>
          <w:szCs w:val="14"/>
          <w:color w:val="auto"/>
        </w:rPr>
        <w:t>The GEO Group, Inc.</w:t>
      </w:r>
    </w:p>
    <w:p>
      <w:pPr>
        <w:spacing w:after="0" w:line="11" w:lineRule="exact"/>
        <w:rPr>
          <w:sz w:val="20"/>
          <w:szCs w:val="20"/>
          <w:color w:val="auto"/>
        </w:rPr>
      </w:pPr>
    </w:p>
    <w:p>
      <w:pPr>
        <w:jc w:val="right"/>
        <w:ind w:right="139"/>
        <w:spacing w:after="0"/>
        <w:rPr>
          <w:sz w:val="20"/>
          <w:szCs w:val="20"/>
          <w:color w:val="auto"/>
        </w:rPr>
      </w:pPr>
      <w:r>
        <w:rPr>
          <w:rFonts w:ascii="Times New Roman" w:cs="Times New Roman" w:eastAsia="Times New Roman" w:hAnsi="Times New Roman"/>
          <w:sz w:val="14"/>
          <w:szCs w:val="14"/>
          <w:color w:val="auto"/>
        </w:rPr>
        <w:t>October 30, 2026</w:t>
      </w:r>
    </w:p>
    <w:p>
      <w:pPr>
        <w:spacing w:after="0" w:line="11" w:lineRule="exact"/>
        <w:rPr>
          <w:sz w:val="20"/>
          <w:szCs w:val="20"/>
          <w:color w:val="auto"/>
        </w:rPr>
      </w:pPr>
    </w:p>
    <w:p>
      <w:pPr>
        <w:jc w:val="right"/>
        <w:ind w:right="139"/>
        <w:spacing w:after="0"/>
        <w:rPr>
          <w:sz w:val="20"/>
          <w:szCs w:val="20"/>
          <w:color w:val="auto"/>
        </w:rPr>
      </w:pPr>
      <w:r>
        <w:rPr>
          <w:rFonts w:ascii="Times New Roman" w:cs="Times New Roman" w:eastAsia="Times New Roman" w:hAnsi="Times New Roman"/>
          <w:sz w:val="14"/>
          <w:szCs w:val="14"/>
          <w:color w:val="auto"/>
        </w:rPr>
        <w:t>Page 2</w:t>
      </w:r>
    </w:p>
    <w:p>
      <w:pPr>
        <w:spacing w:after="0" w:line="126" w:lineRule="exact"/>
        <w:rPr>
          <w:sz w:val="20"/>
          <w:szCs w:val="20"/>
          <w:color w:val="auto"/>
        </w:rPr>
      </w:pPr>
    </w:p>
    <w:p>
      <w:pPr>
        <w:ind w:left="120" w:right="179" w:firstLine="350"/>
        <w:spacing w:after="0" w:line="292" w:lineRule="auto"/>
        <w:rPr>
          <w:sz w:val="20"/>
          <w:szCs w:val="20"/>
          <w:color w:val="auto"/>
        </w:rPr>
      </w:pPr>
      <w:r>
        <w:rPr>
          <w:rFonts w:ascii="Times New Roman" w:cs="Times New Roman" w:eastAsia="Times New Roman" w:hAnsi="Times New Roman"/>
          <w:sz w:val="14"/>
          <w:szCs w:val="14"/>
          <w:color w:val="auto"/>
        </w:rPr>
        <w:t>In rendering the opinions set forth below, we have reviewed copies or drafts of, and based our opinion solely on, the following documents, each to be dated as of the date of this letter unless otherwise indicated (collectively, items (A) through (I), the “</w:t>
      </w:r>
      <w:r>
        <w:rPr>
          <w:rFonts w:ascii="Times New Roman" w:cs="Times New Roman" w:eastAsia="Times New Roman" w:hAnsi="Times New Roman"/>
          <w:sz w:val="14"/>
          <w:szCs w:val="14"/>
          <w:b w:val="1"/>
          <w:bCs w:val="1"/>
          <w:color w:val="auto"/>
        </w:rPr>
        <w:t>Opinion Documents</w:t>
      </w:r>
      <w:r>
        <w:rPr>
          <w:rFonts w:ascii="Times New Roman" w:cs="Times New Roman" w:eastAsia="Times New Roman" w:hAnsi="Times New Roman"/>
          <w:sz w:val="14"/>
          <w:szCs w:val="14"/>
          <w:color w:val="auto"/>
        </w:rPr>
        <w:t>”):</w:t>
      </w:r>
    </w:p>
    <w:p>
      <w:pPr>
        <w:spacing w:after="0" w:line="48" w:lineRule="exact"/>
        <w:rPr>
          <w:sz w:val="20"/>
          <w:szCs w:val="20"/>
          <w:color w:val="auto"/>
        </w:rPr>
      </w:pPr>
    </w:p>
    <w:p>
      <w:pPr>
        <w:ind w:left="900" w:hanging="430"/>
        <w:spacing w:after="0"/>
        <w:tabs>
          <w:tab w:leader="none" w:pos="900" w:val="left"/>
        </w:tabs>
        <w:numPr>
          <w:ilvl w:val="0"/>
          <w:numId w:val="1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Registration Statement, including the Prospectus;</w:t>
      </w:r>
    </w:p>
    <w:p>
      <w:pPr>
        <w:spacing w:after="0" w:line="105" w:lineRule="exact"/>
        <w:rPr>
          <w:rFonts w:ascii="Times New Roman" w:cs="Times New Roman" w:eastAsia="Times New Roman" w:hAnsi="Times New Roman"/>
          <w:sz w:val="14"/>
          <w:szCs w:val="14"/>
          <w:color w:val="auto"/>
        </w:rPr>
      </w:pPr>
    </w:p>
    <w:p>
      <w:pPr>
        <w:ind w:left="900" w:hanging="430"/>
        <w:spacing w:after="0"/>
        <w:tabs>
          <w:tab w:leader="none" w:pos="900" w:val="left"/>
        </w:tabs>
        <w:numPr>
          <w:ilvl w:val="0"/>
          <w:numId w:val="1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form of indenture providing for the issuance of senior Debt Securities (the “</w:t>
      </w:r>
      <w:r>
        <w:rPr>
          <w:rFonts w:ascii="Times New Roman" w:cs="Times New Roman" w:eastAsia="Times New Roman" w:hAnsi="Times New Roman"/>
          <w:sz w:val="14"/>
          <w:szCs w:val="14"/>
          <w:b w:val="1"/>
          <w:bCs w:val="1"/>
          <w:color w:val="auto"/>
        </w:rPr>
        <w:t>Senior Debt Indenture</w:t>
      </w:r>
      <w:r>
        <w:rPr>
          <w:rFonts w:ascii="Times New Roman" w:cs="Times New Roman" w:eastAsia="Times New Roman" w:hAnsi="Times New Roman"/>
          <w:sz w:val="14"/>
          <w:szCs w:val="14"/>
          <w:color w:val="auto"/>
        </w:rPr>
        <w:t>”);</w:t>
      </w:r>
    </w:p>
    <w:p>
      <w:pPr>
        <w:spacing w:after="0" w:line="107" w:lineRule="exact"/>
        <w:rPr>
          <w:rFonts w:ascii="Times New Roman" w:cs="Times New Roman" w:eastAsia="Times New Roman" w:hAnsi="Times New Roman"/>
          <w:sz w:val="14"/>
          <w:szCs w:val="14"/>
          <w:color w:val="auto"/>
        </w:rPr>
      </w:pPr>
    </w:p>
    <w:p>
      <w:pPr>
        <w:ind w:left="900" w:right="219" w:hanging="430"/>
        <w:spacing w:after="0" w:line="295" w:lineRule="auto"/>
        <w:tabs>
          <w:tab w:leader="none" w:pos="900" w:val="left"/>
        </w:tabs>
        <w:numPr>
          <w:ilvl w:val="0"/>
          <w:numId w:val="1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form of indenture providing for the issuance of subordinated Debt Securities (the </w:t>
      </w:r>
      <w:r>
        <w:rPr>
          <w:rFonts w:ascii="Times New Roman" w:cs="Times New Roman" w:eastAsia="Times New Roman" w:hAnsi="Times New Roman"/>
          <w:sz w:val="14"/>
          <w:szCs w:val="14"/>
          <w:b w:val="1"/>
          <w:bCs w:val="1"/>
          <w:color w:val="auto"/>
        </w:rPr>
        <w:t>“Subordinated Debt Indenture,”</w:t>
      </w:r>
      <w:r>
        <w:rPr>
          <w:rFonts w:ascii="Times New Roman" w:cs="Times New Roman" w:eastAsia="Times New Roman" w:hAnsi="Times New Roman"/>
          <w:sz w:val="14"/>
          <w:szCs w:val="14"/>
          <w:color w:val="auto"/>
        </w:rPr>
        <w:t xml:space="preserve"> and together with the Senior Debt Indenture, the </w:t>
      </w:r>
      <w:r>
        <w:rPr>
          <w:rFonts w:ascii="Times New Roman" w:cs="Times New Roman" w:eastAsia="Times New Roman" w:hAnsi="Times New Roman"/>
          <w:sz w:val="14"/>
          <w:szCs w:val="14"/>
          <w:b w:val="1"/>
          <w:bCs w:val="1"/>
          <w:color w:val="auto"/>
        </w:rPr>
        <w:t>“Indentures”</w:t>
      </w:r>
      <w:r>
        <w:rPr>
          <w:rFonts w:ascii="Times New Roman" w:cs="Times New Roman" w:eastAsia="Times New Roman" w:hAnsi="Times New Roman"/>
          <w:sz w:val="14"/>
          <w:szCs w:val="14"/>
          <w:color w:val="auto"/>
        </w:rPr>
        <w:t>);</w:t>
      </w:r>
    </w:p>
    <w:p>
      <w:pPr>
        <w:spacing w:after="0" w:line="46" w:lineRule="exact"/>
        <w:rPr>
          <w:rFonts w:ascii="Times New Roman" w:cs="Times New Roman" w:eastAsia="Times New Roman" w:hAnsi="Times New Roman"/>
          <w:sz w:val="14"/>
          <w:szCs w:val="14"/>
          <w:color w:val="auto"/>
        </w:rPr>
      </w:pPr>
    </w:p>
    <w:p>
      <w:pPr>
        <w:ind w:left="900" w:right="159" w:hanging="430"/>
        <w:spacing w:after="0" w:line="292" w:lineRule="auto"/>
        <w:tabs>
          <w:tab w:leader="none" w:pos="900" w:val="left"/>
        </w:tabs>
        <w:numPr>
          <w:ilvl w:val="0"/>
          <w:numId w:val="1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Articles of Organization of CCC Wyoming Properties, LLC filed with the Secretary of State of the State of Wyoming on November 17, 1998 (the </w:t>
      </w:r>
      <w:r>
        <w:rPr>
          <w:rFonts w:ascii="Times New Roman" w:cs="Times New Roman" w:eastAsia="Times New Roman" w:hAnsi="Times New Roman"/>
          <w:sz w:val="14"/>
          <w:szCs w:val="14"/>
          <w:b w:val="1"/>
          <w:bCs w:val="1"/>
          <w:color w:val="auto"/>
        </w:rPr>
        <w:t>“CCC Articles of Organization”</w:t>
      </w:r>
      <w:r>
        <w:rPr>
          <w:rFonts w:ascii="Times New Roman" w:cs="Times New Roman" w:eastAsia="Times New Roman" w:hAnsi="Times New Roman"/>
          <w:sz w:val="14"/>
          <w:szCs w:val="14"/>
          <w:color w:val="auto"/>
        </w:rPr>
        <w:t>), and certified by the Secretary of State of the State of Wyoming;</w:t>
      </w:r>
    </w:p>
    <w:p>
      <w:pPr>
        <w:spacing w:after="0" w:line="48" w:lineRule="exact"/>
        <w:rPr>
          <w:rFonts w:ascii="Times New Roman" w:cs="Times New Roman" w:eastAsia="Times New Roman" w:hAnsi="Times New Roman"/>
          <w:sz w:val="14"/>
          <w:szCs w:val="14"/>
          <w:color w:val="auto"/>
        </w:rPr>
      </w:pPr>
    </w:p>
    <w:p>
      <w:pPr>
        <w:ind w:left="900" w:right="319" w:hanging="430"/>
        <w:spacing w:after="0" w:line="292" w:lineRule="auto"/>
        <w:tabs>
          <w:tab w:leader="none" w:pos="900" w:val="left"/>
        </w:tabs>
        <w:numPr>
          <w:ilvl w:val="0"/>
          <w:numId w:val="1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Operating Agreement of CCC Wyoming Properties, LLC, a Wyoming limited liability company, dated as of December 17, 1998 (the </w:t>
      </w:r>
      <w:r>
        <w:rPr>
          <w:rFonts w:ascii="Times New Roman" w:cs="Times New Roman" w:eastAsia="Times New Roman" w:hAnsi="Times New Roman"/>
          <w:sz w:val="14"/>
          <w:szCs w:val="14"/>
          <w:b w:val="1"/>
          <w:bCs w:val="1"/>
          <w:color w:val="auto"/>
        </w:rPr>
        <w:t>“CCC Operating Agreement”</w:t>
      </w:r>
      <w:r>
        <w:rPr>
          <w:rFonts w:ascii="Times New Roman" w:cs="Times New Roman" w:eastAsia="Times New Roman" w:hAnsi="Times New Roman"/>
          <w:sz w:val="14"/>
          <w:szCs w:val="14"/>
          <w:color w:val="auto"/>
        </w:rPr>
        <w:t>);</w:t>
      </w:r>
    </w:p>
    <w:p>
      <w:pPr>
        <w:spacing w:after="0" w:line="48" w:lineRule="exact"/>
        <w:rPr>
          <w:rFonts w:ascii="Times New Roman" w:cs="Times New Roman" w:eastAsia="Times New Roman" w:hAnsi="Times New Roman"/>
          <w:sz w:val="14"/>
          <w:szCs w:val="14"/>
          <w:color w:val="auto"/>
        </w:rPr>
      </w:pPr>
    </w:p>
    <w:p>
      <w:pPr>
        <w:ind w:left="900" w:right="339" w:hanging="430"/>
        <w:spacing w:after="0" w:line="292" w:lineRule="auto"/>
        <w:tabs>
          <w:tab w:leader="none" w:pos="900" w:val="left"/>
        </w:tabs>
        <w:numPr>
          <w:ilvl w:val="0"/>
          <w:numId w:val="1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Amended and Restated Partnership Agreement of Community Alternatives, a Wyoming general partnership, dated as of October 20, 2017 (the </w:t>
      </w:r>
      <w:r>
        <w:rPr>
          <w:rFonts w:ascii="Times New Roman" w:cs="Times New Roman" w:eastAsia="Times New Roman" w:hAnsi="Times New Roman"/>
          <w:sz w:val="14"/>
          <w:szCs w:val="14"/>
          <w:b w:val="1"/>
          <w:bCs w:val="1"/>
          <w:color w:val="auto"/>
        </w:rPr>
        <w:t>“CA A&amp;R Partnership Agreement”</w:t>
      </w:r>
      <w:r>
        <w:rPr>
          <w:rFonts w:ascii="Times New Roman" w:cs="Times New Roman" w:eastAsia="Times New Roman" w:hAnsi="Times New Roman"/>
          <w:sz w:val="14"/>
          <w:szCs w:val="14"/>
          <w:color w:val="auto"/>
        </w:rPr>
        <w:t>);</w:t>
      </w:r>
    </w:p>
    <w:p>
      <w:pPr>
        <w:spacing w:after="0" w:line="48" w:lineRule="exact"/>
        <w:rPr>
          <w:rFonts w:ascii="Times New Roman" w:cs="Times New Roman" w:eastAsia="Times New Roman" w:hAnsi="Times New Roman"/>
          <w:sz w:val="14"/>
          <w:szCs w:val="14"/>
          <w:color w:val="auto"/>
        </w:rPr>
      </w:pPr>
    </w:p>
    <w:p>
      <w:pPr>
        <w:ind w:left="900" w:right="339" w:hanging="430"/>
        <w:spacing w:after="0" w:line="292" w:lineRule="auto"/>
        <w:tabs>
          <w:tab w:leader="none" w:pos="900" w:val="left"/>
        </w:tabs>
        <w:numPr>
          <w:ilvl w:val="0"/>
          <w:numId w:val="1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certificate of existence for CCC Wyoming Properties, LLC, issued by the Secretary of State of the State of Wyoming on October 23, 2026 (the </w:t>
      </w:r>
      <w:r>
        <w:rPr>
          <w:rFonts w:ascii="Times New Roman" w:cs="Times New Roman" w:eastAsia="Times New Roman" w:hAnsi="Times New Roman"/>
          <w:sz w:val="14"/>
          <w:szCs w:val="14"/>
          <w:b w:val="1"/>
          <w:bCs w:val="1"/>
          <w:color w:val="auto"/>
        </w:rPr>
        <w:t>“CCC Good Standing Certificate”</w:t>
      </w:r>
      <w:r>
        <w:rPr>
          <w:rFonts w:ascii="Times New Roman" w:cs="Times New Roman" w:eastAsia="Times New Roman" w:hAnsi="Times New Roman"/>
          <w:sz w:val="14"/>
          <w:szCs w:val="14"/>
          <w:color w:val="auto"/>
        </w:rPr>
        <w:t>);</w:t>
      </w:r>
    </w:p>
    <w:p>
      <w:pPr>
        <w:spacing w:after="0" w:line="48" w:lineRule="exact"/>
        <w:rPr>
          <w:rFonts w:ascii="Times New Roman" w:cs="Times New Roman" w:eastAsia="Times New Roman" w:hAnsi="Times New Roman"/>
          <w:sz w:val="14"/>
          <w:szCs w:val="14"/>
          <w:color w:val="auto"/>
        </w:rPr>
      </w:pPr>
    </w:p>
    <w:p>
      <w:pPr>
        <w:jc w:val="both"/>
        <w:ind w:left="900" w:right="319" w:hanging="430"/>
        <w:spacing w:after="0" w:line="274" w:lineRule="auto"/>
        <w:tabs>
          <w:tab w:leader="none" w:pos="900" w:val="left"/>
        </w:tabs>
        <w:numPr>
          <w:ilvl w:val="0"/>
          <w:numId w:val="1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Unanimous Written Consent dated October 30, 2026 containing certain resolutions adopted by the managing bodies of the Wyoming Entities relating to the Registration Statement and related matters, including the Guarantees of Debt Securities under the Indentures and any supplemental indentures thereto; and</w:t>
      </w:r>
    </w:p>
    <w:p>
      <w:pPr>
        <w:spacing w:after="0" w:line="60" w:lineRule="exact"/>
        <w:rPr>
          <w:rFonts w:ascii="Times New Roman" w:cs="Times New Roman" w:eastAsia="Times New Roman" w:hAnsi="Times New Roman"/>
          <w:sz w:val="14"/>
          <w:szCs w:val="14"/>
          <w:color w:val="auto"/>
        </w:rPr>
      </w:pPr>
    </w:p>
    <w:p>
      <w:pPr>
        <w:ind w:left="900" w:right="599" w:hanging="430"/>
        <w:spacing w:after="0" w:line="274" w:lineRule="auto"/>
        <w:tabs>
          <w:tab w:leader="none" w:pos="900" w:val="left"/>
        </w:tabs>
        <w:numPr>
          <w:ilvl w:val="0"/>
          <w:numId w:val="1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Certificate to Counsel executed by the Senior Vice President, General Counsel and Corporate Secretary of the Parent, and in his capacity as an authorized officer of each Subsidiary Guarantor dated October 30, 2026 in relation to the foregoing (the </w:t>
      </w:r>
      <w:r>
        <w:rPr>
          <w:rFonts w:ascii="Times New Roman" w:cs="Times New Roman" w:eastAsia="Times New Roman" w:hAnsi="Times New Roman"/>
          <w:sz w:val="14"/>
          <w:szCs w:val="14"/>
          <w:b w:val="1"/>
          <w:bCs w:val="1"/>
          <w:color w:val="auto"/>
        </w:rPr>
        <w:t>“Support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Certificate”</w:t>
      </w:r>
      <w:r>
        <w:rPr>
          <w:rFonts w:ascii="Times New Roman" w:cs="Times New Roman" w:eastAsia="Times New Roman" w:hAnsi="Times New Roman"/>
          <w:sz w:val="14"/>
          <w:szCs w:val="14"/>
          <w:color w:val="auto"/>
        </w:rPr>
        <w:t>).</w:t>
      </w:r>
    </w:p>
    <w:p>
      <w:pPr>
        <w:sectPr>
          <w:pgSz w:w="11900" w:h="16838" w:orient="portrait"/>
          <w:cols w:equalWidth="0" w:num="1">
            <w:col w:w="9019"/>
          </w:cols>
          <w:pgMar w:left="1440" w:top="243" w:right="1440" w:bottom="1440" w:gutter="0" w:footer="0" w:header="0"/>
        </w:sectPr>
      </w:pPr>
    </w:p>
    <w:bookmarkStart w:id="258" w:name="page259"/>
    <w:bookmarkEnd w:id="258"/>
    <w:p>
      <w:pPr>
        <w:ind w:left="874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0">
                      <a:extLst>
                        <a:ext uri="{28A0092B-C50C-407E-A947-70E740481C1C}"/>
                      </a:extLst>
                    </a:blip>
                    <a:srcRect/>
                    <a:stretch>
                      <a:fillRect/>
                    </a:stretch>
                  </pic:blipFill>
                  <pic:spPr bwMode="auto">
                    <a:xfrm>
                      <a:off x="0" y="0"/>
                      <a:ext cx="7199630" cy="33020"/>
                    </a:xfrm>
                    <a:prstGeom prst="rect">
                      <a:avLst/>
                    </a:prstGeom>
                    <a:noFill/>
                  </pic:spPr>
                </pic:pic>
              </a:graphicData>
            </a:graphic>
          </wp:anchor>
        </w:drawing>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-92075</wp:posOffset>
            </wp:positionV>
            <wp:extent cx="2371090" cy="30670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1">
                      <a:extLst>
                        <a:ext uri="{28A0092B-C50C-407E-A947-70E740481C1C}"/>
                      </a:extLst>
                    </a:blip>
                    <a:srcRect/>
                    <a:stretch>
                      <a:fillRect/>
                    </a:stretch>
                  </pic:blipFill>
                  <pic:spPr bwMode="auto">
                    <a:xfrm>
                      <a:off x="0" y="0"/>
                      <a:ext cx="2371090" cy="306705"/>
                    </a:xfrm>
                    <a:prstGeom prst="rect">
                      <a:avLst/>
                    </a:prstGeom>
                    <a:noFill/>
                  </pic:spPr>
                </pic:pic>
              </a:graphicData>
            </a:graphic>
          </wp:anchor>
        </w:drawing>
      </w:r>
    </w:p>
    <w:p>
      <w:pPr>
        <w:spacing w:after="0" w:line="4" w:lineRule="exact"/>
        <w:rPr>
          <w:sz w:val="20"/>
          <w:szCs w:val="20"/>
          <w:color w:val="auto"/>
        </w:rPr>
      </w:pPr>
    </w:p>
    <w:p>
      <w:pPr>
        <w:jc w:val="right"/>
        <w:ind w:right="139"/>
        <w:spacing w:after="0"/>
        <w:rPr>
          <w:sz w:val="20"/>
          <w:szCs w:val="20"/>
          <w:color w:val="auto"/>
        </w:rPr>
      </w:pPr>
      <w:r>
        <w:rPr>
          <w:rFonts w:ascii="Times New Roman" w:cs="Times New Roman" w:eastAsia="Times New Roman" w:hAnsi="Times New Roman"/>
          <w:sz w:val="14"/>
          <w:szCs w:val="14"/>
          <w:color w:val="auto"/>
        </w:rPr>
        <w:t>The GEO Group, Inc.</w:t>
      </w:r>
    </w:p>
    <w:p>
      <w:pPr>
        <w:spacing w:after="0" w:line="11" w:lineRule="exact"/>
        <w:rPr>
          <w:sz w:val="20"/>
          <w:szCs w:val="20"/>
          <w:color w:val="auto"/>
        </w:rPr>
      </w:pPr>
    </w:p>
    <w:p>
      <w:pPr>
        <w:jc w:val="right"/>
        <w:ind w:right="139"/>
        <w:spacing w:after="0"/>
        <w:rPr>
          <w:sz w:val="20"/>
          <w:szCs w:val="20"/>
          <w:color w:val="auto"/>
        </w:rPr>
      </w:pPr>
      <w:r>
        <w:rPr>
          <w:rFonts w:ascii="Times New Roman" w:cs="Times New Roman" w:eastAsia="Times New Roman" w:hAnsi="Times New Roman"/>
          <w:sz w:val="14"/>
          <w:szCs w:val="14"/>
          <w:color w:val="auto"/>
        </w:rPr>
        <w:t>October 30, 2026</w:t>
      </w:r>
    </w:p>
    <w:p>
      <w:pPr>
        <w:spacing w:after="0" w:line="11" w:lineRule="exact"/>
        <w:rPr>
          <w:sz w:val="20"/>
          <w:szCs w:val="20"/>
          <w:color w:val="auto"/>
        </w:rPr>
      </w:pPr>
    </w:p>
    <w:p>
      <w:pPr>
        <w:jc w:val="right"/>
        <w:ind w:right="139"/>
        <w:spacing w:after="0"/>
        <w:rPr>
          <w:sz w:val="20"/>
          <w:szCs w:val="20"/>
          <w:color w:val="auto"/>
        </w:rPr>
      </w:pPr>
      <w:r>
        <w:rPr>
          <w:rFonts w:ascii="Times New Roman" w:cs="Times New Roman" w:eastAsia="Times New Roman" w:hAnsi="Times New Roman"/>
          <w:sz w:val="14"/>
          <w:szCs w:val="14"/>
          <w:color w:val="auto"/>
        </w:rPr>
        <w:t>Page 3</w:t>
      </w:r>
    </w:p>
    <w:p>
      <w:pPr>
        <w:spacing w:after="0" w:line="124" w:lineRule="exact"/>
        <w:rPr>
          <w:sz w:val="20"/>
          <w:szCs w:val="20"/>
          <w:color w:val="auto"/>
        </w:rPr>
      </w:pPr>
    </w:p>
    <w:p>
      <w:pPr>
        <w:ind w:left="120" w:right="279" w:firstLine="350"/>
        <w:spacing w:after="0" w:line="263" w:lineRule="auto"/>
        <w:rPr>
          <w:sz w:val="20"/>
          <w:szCs w:val="20"/>
          <w:color w:val="auto"/>
        </w:rPr>
      </w:pPr>
      <w:r>
        <w:rPr>
          <w:rFonts w:ascii="Times New Roman" w:cs="Times New Roman" w:eastAsia="Times New Roman" w:hAnsi="Times New Roman"/>
          <w:sz w:val="14"/>
          <w:szCs w:val="14"/>
          <w:color w:val="auto"/>
        </w:rPr>
        <w:t>Items (D) through (H) are referred to as the “</w:t>
      </w:r>
      <w:r>
        <w:rPr>
          <w:rFonts w:ascii="Times New Roman" w:cs="Times New Roman" w:eastAsia="Times New Roman" w:hAnsi="Times New Roman"/>
          <w:sz w:val="14"/>
          <w:szCs w:val="14"/>
          <w:b w:val="1"/>
          <w:bCs w:val="1"/>
          <w:color w:val="auto"/>
        </w:rPr>
        <w:t>Authority Documents</w:t>
      </w:r>
      <w:r>
        <w:rPr>
          <w:rFonts w:ascii="Times New Roman" w:cs="Times New Roman" w:eastAsia="Times New Roman" w:hAnsi="Times New Roman"/>
          <w:sz w:val="14"/>
          <w:szCs w:val="14"/>
          <w:color w:val="auto"/>
        </w:rPr>
        <w:t>.” We have not represented the Wyoming Entities in matters other than in connection with the preparation of this opinion letter. We have conducted such inquiries and examinations of applicable laws of the State as we have deemed necessary or appropriate for rendering the opinions set forth in this letter. As to factual matters we have relied, without independent investigation, upon the certifications made in the Opinion Documents and certificates delivered to us in relation to the Opinion Documents. There may exist matters of a legal or a factual nature that could have a bearing on our opinions with respect to which we have not been consulted, or of which we are otherwise unaware.</w:t>
      </w:r>
    </w:p>
    <w:p>
      <w:pPr>
        <w:spacing w:after="0" w:line="145" w:lineRule="exact"/>
        <w:rPr>
          <w:sz w:val="20"/>
          <w:szCs w:val="20"/>
          <w:color w:val="auto"/>
        </w:rPr>
      </w:pPr>
    </w:p>
    <w:p>
      <w:pPr>
        <w:ind w:left="120" w:right="359" w:firstLine="350"/>
        <w:spacing w:after="0" w:line="268" w:lineRule="auto"/>
        <w:rPr>
          <w:sz w:val="20"/>
          <w:szCs w:val="20"/>
          <w:color w:val="auto"/>
        </w:rPr>
      </w:pPr>
      <w:r>
        <w:rPr>
          <w:rFonts w:ascii="Times New Roman" w:cs="Times New Roman" w:eastAsia="Times New Roman" w:hAnsi="Times New Roman"/>
          <w:sz w:val="14"/>
          <w:szCs w:val="14"/>
          <w:color w:val="auto"/>
        </w:rPr>
        <w:t>We have not reviewed any documents other than the Opinion Documents and, other than in connection with obtaining the CCC Good Standing Certificate, we have not conducted any examination of any public records, and the opinions rendered herein are limited accordingly. The opinions expressed herein relate solely to the Opinion Documents and not to any other documents, agreements, instruments or exhibits referred to in or incorporated by reference into any of the Opinion Documents.</w:t>
      </w:r>
    </w:p>
    <w:p>
      <w:pPr>
        <w:spacing w:after="0" w:line="139" w:lineRule="exact"/>
        <w:rPr>
          <w:sz w:val="20"/>
          <w:szCs w:val="20"/>
          <w:color w:val="auto"/>
        </w:rPr>
      </w:pPr>
    </w:p>
    <w:p>
      <w:pPr>
        <w:ind w:left="120" w:right="179" w:firstLine="350"/>
        <w:spacing w:after="0" w:line="261" w:lineRule="auto"/>
        <w:rPr>
          <w:sz w:val="20"/>
          <w:szCs w:val="20"/>
          <w:color w:val="auto"/>
        </w:rPr>
      </w:pPr>
      <w:r>
        <w:rPr>
          <w:rFonts w:ascii="Times New Roman" w:cs="Times New Roman" w:eastAsia="Times New Roman" w:hAnsi="Times New Roman"/>
          <w:sz w:val="14"/>
          <w:szCs w:val="14"/>
          <w:color w:val="auto"/>
        </w:rPr>
        <w:t>In rendering the opinions set forth herein, we have assumed: (a) the Registration Statement, and any amendments thereto (including post-effective amendments), will have become effective and the Securities will be issued and sold in compliance with applicable federal and state securities laws and in the manner described in the Registration Statement and any applicable supplement to the Prospectus contained in the Registration Statement; (b) the legal capacity of each natural person to take all actions required of each such person in connection with the Registration Statement and the Indentures;</w:t>
      </w:r>
    </w:p>
    <w:p>
      <w:pPr>
        <w:ind w:left="120" w:right="159" w:firstLine="7"/>
        <w:spacing w:after="0" w:line="257" w:lineRule="auto"/>
        <w:tabs>
          <w:tab w:leader="none" w:pos="314" w:val="left"/>
        </w:tabs>
        <w:numPr>
          <w:ilvl w:val="0"/>
          <w:numId w:val="1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the signatures of each person signing all documents in connection with which this opinion is rendered are genuine; (d) the authenticity of all documents submitted to us as originals and the conformity to original documents of all documents submitted to us as copies; (e) the legal existence of each party to the Registration Statement and the Indentures other than the Wyoming Entities; (f) the entity power of each party to the Registration Statement and the Indentures (other than the Wyoming Entities) to execute, deliver and perform their obligations under the Registration Statement and the Indentures and to do each other act done or to be done by such party; (g) the authorization, execution and delivery by each party (other than the Wyoming Entities) of each document executed and delivered or to be executed and delivered in connection with the Registration Statement and the Indentures by such party; (h) the conditions precedent described in opinion 3, clauses (i) through (iii) have occurred; (i) the Authority Documents remain in full force and effect and there have been no amendments, rescissions, substitutions, replacements, or restatements of, or otherwise relating to, the Authority Documents that would affect the legal existence, powers, authority or authorized rights to transact business as contemplated by the Authority Documents and the Registration Statement; (j) legally valid and sufficient consideration has been given to the Wyoming Entities for the Guarantees of Debt Securities; (k) as to matters of fact, the truthfulness of the representations made in the certificates of public officers, the truthfulness of the representations made by the officers of the Parent and the Wyoming Entities, including those in the Support Certificate, and the truthfulness of the representations contained in the materials examined; (l) that all actions and authorizations with respect to any Guarantees of Debt Securities issued by Community Alternatives will be controlled by the CA A&amp;R Partnership Agreement and therefore governed by Wyoming law; and (m) no fraud, mistake, undue influence, duress or criminal activity exists as to the Registration Statement and the materials examined.</w:t>
      </w:r>
    </w:p>
    <w:p>
      <w:pPr>
        <w:sectPr>
          <w:pgSz w:w="11900" w:h="16838" w:orient="portrait"/>
          <w:cols w:equalWidth="0" w:num="1">
            <w:col w:w="9019"/>
          </w:cols>
          <w:pgMar w:left="1440" w:top="243" w:right="1440" w:bottom="1440" w:gutter="0" w:footer="0" w:header="0"/>
        </w:sectPr>
      </w:pPr>
    </w:p>
    <w:bookmarkStart w:id="259" w:name="page260"/>
    <w:bookmarkEnd w:id="259"/>
    <w:p>
      <w:pPr>
        <w:ind w:left="874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2">
                      <a:extLst>
                        <a:ext uri="{28A0092B-C50C-407E-A947-70E740481C1C}"/>
                      </a:extLst>
                    </a:blip>
                    <a:srcRect/>
                    <a:stretch>
                      <a:fillRect/>
                    </a:stretch>
                  </pic:blipFill>
                  <pic:spPr bwMode="auto">
                    <a:xfrm>
                      <a:off x="0" y="0"/>
                      <a:ext cx="7199630" cy="33020"/>
                    </a:xfrm>
                    <a:prstGeom prst="rect">
                      <a:avLst/>
                    </a:prstGeom>
                    <a:noFill/>
                  </pic:spPr>
                </pic:pic>
              </a:graphicData>
            </a:graphic>
          </wp:anchor>
        </w:drawing>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-92075</wp:posOffset>
            </wp:positionV>
            <wp:extent cx="2371090" cy="30670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3">
                      <a:extLst>
                        <a:ext uri="{28A0092B-C50C-407E-A947-70E740481C1C}"/>
                      </a:extLst>
                    </a:blip>
                    <a:srcRect/>
                    <a:stretch>
                      <a:fillRect/>
                    </a:stretch>
                  </pic:blipFill>
                  <pic:spPr bwMode="auto">
                    <a:xfrm>
                      <a:off x="0" y="0"/>
                      <a:ext cx="2371090" cy="306705"/>
                    </a:xfrm>
                    <a:prstGeom prst="rect">
                      <a:avLst/>
                    </a:prstGeom>
                    <a:noFill/>
                  </pic:spPr>
                </pic:pic>
              </a:graphicData>
            </a:graphic>
          </wp:anchor>
        </w:drawing>
      </w:r>
    </w:p>
    <w:p>
      <w:pPr>
        <w:spacing w:after="0" w:line="4" w:lineRule="exact"/>
        <w:rPr>
          <w:sz w:val="20"/>
          <w:szCs w:val="20"/>
          <w:color w:val="auto"/>
        </w:rPr>
      </w:pPr>
    </w:p>
    <w:p>
      <w:pPr>
        <w:jc w:val="right"/>
        <w:ind w:right="139"/>
        <w:spacing w:after="0"/>
        <w:rPr>
          <w:sz w:val="20"/>
          <w:szCs w:val="20"/>
          <w:color w:val="auto"/>
        </w:rPr>
      </w:pPr>
      <w:r>
        <w:rPr>
          <w:rFonts w:ascii="Times New Roman" w:cs="Times New Roman" w:eastAsia="Times New Roman" w:hAnsi="Times New Roman"/>
          <w:sz w:val="14"/>
          <w:szCs w:val="14"/>
          <w:color w:val="auto"/>
        </w:rPr>
        <w:t>The GEO Group, Inc.</w:t>
      </w:r>
    </w:p>
    <w:p>
      <w:pPr>
        <w:spacing w:after="0" w:line="11" w:lineRule="exact"/>
        <w:rPr>
          <w:sz w:val="20"/>
          <w:szCs w:val="20"/>
          <w:color w:val="auto"/>
        </w:rPr>
      </w:pPr>
    </w:p>
    <w:p>
      <w:pPr>
        <w:jc w:val="right"/>
        <w:ind w:right="139"/>
        <w:spacing w:after="0"/>
        <w:rPr>
          <w:sz w:val="20"/>
          <w:szCs w:val="20"/>
          <w:color w:val="auto"/>
        </w:rPr>
      </w:pPr>
      <w:r>
        <w:rPr>
          <w:rFonts w:ascii="Times New Roman" w:cs="Times New Roman" w:eastAsia="Times New Roman" w:hAnsi="Times New Roman"/>
          <w:sz w:val="14"/>
          <w:szCs w:val="14"/>
          <w:color w:val="auto"/>
        </w:rPr>
        <w:t>October 30, 2026</w:t>
      </w:r>
    </w:p>
    <w:p>
      <w:pPr>
        <w:spacing w:after="0" w:line="11" w:lineRule="exact"/>
        <w:rPr>
          <w:sz w:val="20"/>
          <w:szCs w:val="20"/>
          <w:color w:val="auto"/>
        </w:rPr>
      </w:pPr>
    </w:p>
    <w:p>
      <w:pPr>
        <w:jc w:val="right"/>
        <w:ind w:right="139"/>
        <w:spacing w:after="0"/>
        <w:rPr>
          <w:sz w:val="20"/>
          <w:szCs w:val="20"/>
          <w:color w:val="auto"/>
        </w:rPr>
      </w:pPr>
      <w:r>
        <w:rPr>
          <w:rFonts w:ascii="Times New Roman" w:cs="Times New Roman" w:eastAsia="Times New Roman" w:hAnsi="Times New Roman"/>
          <w:sz w:val="14"/>
          <w:szCs w:val="14"/>
          <w:color w:val="auto"/>
        </w:rPr>
        <w:t>Page 4</w:t>
      </w:r>
    </w:p>
    <w:p>
      <w:pPr>
        <w:spacing w:after="0" w:line="12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Based on the foregoing and subject to the qualifications hereinafter set forth, it is our opinion that:</w:t>
      </w:r>
    </w:p>
    <w:p>
      <w:pPr>
        <w:spacing w:after="0" w:line="182" w:lineRule="exact"/>
        <w:rPr>
          <w:sz w:val="20"/>
          <w:szCs w:val="20"/>
          <w:color w:val="auto"/>
        </w:rPr>
      </w:pPr>
    </w:p>
    <w:p>
      <w:pPr>
        <w:ind w:left="120" w:right="339" w:firstLine="350"/>
        <w:spacing w:after="0" w:line="292" w:lineRule="auto"/>
        <w:rPr>
          <w:sz w:val="20"/>
          <w:szCs w:val="20"/>
          <w:color w:val="auto"/>
        </w:rPr>
      </w:pPr>
      <w:r>
        <w:rPr>
          <w:rFonts w:ascii="Times New Roman" w:cs="Times New Roman" w:eastAsia="Times New Roman" w:hAnsi="Times New Roman"/>
          <w:sz w:val="14"/>
          <w:szCs w:val="14"/>
          <w:color w:val="auto"/>
        </w:rPr>
        <w:t>1.   Based solely on the CCC Good Standing Certificate, CCC Wyoming Properties, LLC is a limited liability company validly existing and in good standing under the laws of the State.</w:t>
      </w:r>
    </w:p>
    <w:p>
      <w:pPr>
        <w:spacing w:after="0" w:line="123" w:lineRule="exact"/>
        <w:rPr>
          <w:sz w:val="20"/>
          <w:szCs w:val="20"/>
          <w:color w:val="auto"/>
        </w:rPr>
      </w:pPr>
    </w:p>
    <w:p>
      <w:pPr>
        <w:ind w:left="480"/>
        <w:spacing w:after="0"/>
        <w:tabs>
          <w:tab w:leader="none" w:pos="740" w:val="left"/>
        </w:tabs>
        <w:rPr>
          <w:sz w:val="20"/>
          <w:szCs w:val="20"/>
          <w:color w:val="auto"/>
        </w:rPr>
      </w:pPr>
      <w:r>
        <w:rPr>
          <w:rFonts w:ascii="Times New Roman" w:cs="Times New Roman" w:eastAsia="Times New Roman" w:hAnsi="Times New Roman"/>
          <w:sz w:val="14"/>
          <w:szCs w:val="14"/>
          <w:color w:val="auto"/>
        </w:rPr>
        <w:t>2. </w:t>
        <w:tab/>
        <w:t>Community Alternatives is an unregistered general partnership validly existing under the laws of the State.</w:t>
      </w:r>
    </w:p>
    <w:p>
      <w:pPr>
        <w:spacing w:after="0" w:line="182" w:lineRule="exact"/>
        <w:rPr>
          <w:sz w:val="20"/>
          <w:szCs w:val="20"/>
          <w:color w:val="auto"/>
        </w:rPr>
      </w:pPr>
    </w:p>
    <w:p>
      <w:pPr>
        <w:ind w:left="120" w:right="219" w:firstLine="350"/>
        <w:spacing w:after="0" w:line="265" w:lineRule="auto"/>
        <w:rPr>
          <w:sz w:val="20"/>
          <w:szCs w:val="20"/>
          <w:color w:val="auto"/>
        </w:rPr>
      </w:pPr>
      <w:r>
        <w:rPr>
          <w:rFonts w:ascii="Times New Roman" w:cs="Times New Roman" w:eastAsia="Times New Roman" w:hAnsi="Times New Roman"/>
          <w:sz w:val="14"/>
          <w:szCs w:val="14"/>
          <w:color w:val="auto"/>
        </w:rPr>
        <w:t>3.  With respect to any of the Guarantees of Debt Securities to be issued by the Wyoming Entities, (a) CCC Wyoming Properties, LLC has the limited liability company power and authority, and (b) Community Alternatives has the general partnership power and authority, to execute, deliver and perform its obligations under the applicable Indenture, as supplemented by any supplemental indenture thereto, and the Guarantees of Debt Securities under the laws of the State; provided, however, that the opinion in this paragraph 3 is expressly subject to the following conditions precedent having occurred (and as to which no opinion is given):</w:t>
      </w:r>
    </w:p>
    <w:p>
      <w:pPr>
        <w:spacing w:after="0" w:line="66" w:lineRule="exact"/>
        <w:rPr>
          <w:sz w:val="20"/>
          <w:szCs w:val="20"/>
          <w:color w:val="auto"/>
        </w:rPr>
      </w:pPr>
    </w:p>
    <w:p>
      <w:pPr>
        <w:ind w:left="900" w:hanging="430"/>
        <w:spacing w:after="0"/>
        <w:tabs>
          <w:tab w:leader="none" w:pos="900" w:val="left"/>
        </w:tabs>
        <w:numPr>
          <w:ilvl w:val="0"/>
          <w:numId w:val="1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issuance and terms of any Guarantees of Debt Securities by the Wyoming Entities and the terms of the offering thereof shall have been</w:t>
      </w:r>
    </w:p>
    <w:p>
      <w:pPr>
        <w:spacing w:after="0" w:line="24" w:lineRule="exact"/>
        <w:rPr>
          <w:rFonts w:ascii="Times New Roman" w:cs="Times New Roman" w:eastAsia="Times New Roman" w:hAnsi="Times New Roman"/>
          <w:sz w:val="14"/>
          <w:szCs w:val="14"/>
          <w:color w:val="auto"/>
        </w:rPr>
      </w:pPr>
    </w:p>
    <w:p>
      <w:pPr>
        <w:ind w:left="900" w:right="179"/>
        <w:spacing w:after="0" w:line="25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duly established in conformity with the applicable Indenture or any supplemental indenture thereto qualified under the Trust Indenture Act of 1939, so as to (I) comply with and not violate any applicable law, or rule or regulation thereunder applicable to the Wyoming Entities, (II) not affect the enforceability of such Guarantees or result in a default under or breach of any agreement or instrument binding on the Wyoming Entities, and (III) comply with any requirement or restriction imposed by any court or governmental body having jurisdiction over the Wyoming Entities and (B) duly authorized by proper action of the members and managing member of CCC Wyoming Properties, LLC in accordance with the CCC Articles of Organization and the CCC Operating Agreement, and duly authorized by proper action of the general partners of Community Alternatives in accordance with the CA A&amp;R Partnership Agreement;</w:t>
      </w:r>
    </w:p>
    <w:p>
      <w:pPr>
        <w:spacing w:after="0" w:line="73" w:lineRule="exact"/>
        <w:rPr>
          <w:rFonts w:ascii="Times New Roman" w:cs="Times New Roman" w:eastAsia="Times New Roman" w:hAnsi="Times New Roman"/>
          <w:sz w:val="14"/>
          <w:szCs w:val="14"/>
          <w:color w:val="auto"/>
        </w:rPr>
      </w:pPr>
    </w:p>
    <w:p>
      <w:pPr>
        <w:ind w:left="900" w:right="759" w:hanging="430"/>
        <w:spacing w:after="0" w:line="292" w:lineRule="auto"/>
        <w:tabs>
          <w:tab w:leader="none" w:pos="900" w:val="left"/>
        </w:tabs>
        <w:numPr>
          <w:ilvl w:val="0"/>
          <w:numId w:val="1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Wyoming Entities shall have taken the required steps to authorize the execution and delivery of the applicable Indenture, any supplemental indenture and the Guarantees of Debt Securities; and</w:t>
      </w:r>
    </w:p>
    <w:p>
      <w:pPr>
        <w:spacing w:after="0" w:line="48" w:lineRule="exact"/>
        <w:rPr>
          <w:rFonts w:ascii="Times New Roman" w:cs="Times New Roman" w:eastAsia="Times New Roman" w:hAnsi="Times New Roman"/>
          <w:sz w:val="14"/>
          <w:szCs w:val="14"/>
          <w:color w:val="auto"/>
        </w:rPr>
      </w:pPr>
    </w:p>
    <w:p>
      <w:pPr>
        <w:ind w:left="900" w:right="399" w:hanging="430"/>
        <w:spacing w:after="0" w:line="274" w:lineRule="auto"/>
        <w:tabs>
          <w:tab w:leader="none" w:pos="900" w:val="left"/>
        </w:tabs>
        <w:numPr>
          <w:ilvl w:val="0"/>
          <w:numId w:val="1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Guarantees of Debt Securities shall have been duly executed, authenticated, issued and delivered in accordance with any applicable underwriting agreement, the applicable Indenture and any supplemental indenture thereto and issued and sold as contemplated in the Registration Statement, the Prospectus and any Prospectus Supplement relating thereto.</w:t>
      </w:r>
    </w:p>
    <w:p>
      <w:pPr>
        <w:sectPr>
          <w:pgSz w:w="11900" w:h="16838" w:orient="portrait"/>
          <w:cols w:equalWidth="0" w:num="1">
            <w:col w:w="9019"/>
          </w:cols>
          <w:pgMar w:left="1440" w:top="243" w:right="1440" w:bottom="1440" w:gutter="0" w:footer="0" w:header="0"/>
        </w:sectPr>
      </w:pPr>
    </w:p>
    <w:bookmarkStart w:id="260" w:name="page261"/>
    <w:bookmarkEnd w:id="260"/>
    <w:p>
      <w:pPr>
        <w:ind w:left="874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4">
                      <a:extLst>
                        <a:ext uri="{28A0092B-C50C-407E-A947-70E740481C1C}"/>
                      </a:extLst>
                    </a:blip>
                    <a:srcRect/>
                    <a:stretch>
                      <a:fillRect/>
                    </a:stretch>
                  </pic:blipFill>
                  <pic:spPr bwMode="auto">
                    <a:xfrm>
                      <a:off x="0" y="0"/>
                      <a:ext cx="7199630" cy="33020"/>
                    </a:xfrm>
                    <a:prstGeom prst="rect">
                      <a:avLst/>
                    </a:prstGeom>
                    <a:noFill/>
                  </pic:spPr>
                </pic:pic>
              </a:graphicData>
            </a:graphic>
          </wp:anchor>
        </w:drawing>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-92075</wp:posOffset>
            </wp:positionV>
            <wp:extent cx="2371090" cy="30670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5">
                      <a:extLst>
                        <a:ext uri="{28A0092B-C50C-407E-A947-70E740481C1C}"/>
                      </a:extLst>
                    </a:blip>
                    <a:srcRect/>
                    <a:stretch>
                      <a:fillRect/>
                    </a:stretch>
                  </pic:blipFill>
                  <pic:spPr bwMode="auto">
                    <a:xfrm>
                      <a:off x="0" y="0"/>
                      <a:ext cx="2371090" cy="306705"/>
                    </a:xfrm>
                    <a:prstGeom prst="rect">
                      <a:avLst/>
                    </a:prstGeom>
                    <a:noFill/>
                  </pic:spPr>
                </pic:pic>
              </a:graphicData>
            </a:graphic>
          </wp:anchor>
        </w:drawing>
      </w:r>
    </w:p>
    <w:p>
      <w:pPr>
        <w:spacing w:after="0" w:line="4"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4"/>
          <w:szCs w:val="14"/>
          <w:color w:val="auto"/>
        </w:rPr>
        <w:t>The GEO Group, Inc.</w:t>
      </w:r>
    </w:p>
    <w:p>
      <w:pPr>
        <w:spacing w:after="0" w:line="11"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4"/>
          <w:szCs w:val="14"/>
          <w:color w:val="auto"/>
        </w:rPr>
        <w:t>October 30, 2026</w:t>
      </w:r>
    </w:p>
    <w:p>
      <w:pPr>
        <w:spacing w:after="0" w:line="11" w:lineRule="exact"/>
        <w:rPr>
          <w:sz w:val="20"/>
          <w:szCs w:val="20"/>
          <w:color w:val="auto"/>
        </w:rPr>
      </w:pPr>
    </w:p>
    <w:p>
      <w:pPr>
        <w:ind w:left="8500"/>
        <w:spacing w:after="0"/>
        <w:rPr>
          <w:sz w:val="20"/>
          <w:szCs w:val="20"/>
          <w:color w:val="auto"/>
        </w:rPr>
      </w:pPr>
      <w:r>
        <w:rPr>
          <w:rFonts w:ascii="Times New Roman" w:cs="Times New Roman" w:eastAsia="Times New Roman" w:hAnsi="Times New Roman"/>
          <w:sz w:val="14"/>
          <w:szCs w:val="14"/>
          <w:color w:val="auto"/>
        </w:rPr>
        <w:t>Page 5</w:t>
      </w:r>
    </w:p>
    <w:p>
      <w:pPr>
        <w:spacing w:after="0" w:line="12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The opinions expressed above are subject to the following qualifications and limitations:</w:t>
      </w:r>
    </w:p>
    <w:p>
      <w:pPr>
        <w:sectPr>
          <w:pgSz w:w="11900" w:h="16838" w:orient="portrait"/>
          <w:cols w:equalWidth="0" w:num="1">
            <w:col w:w="9019"/>
          </w:cols>
          <w:pgMar w:left="1440" w:top="243" w:right="1440" w:bottom="1440" w:gutter="0" w:footer="0" w:header="0"/>
        </w:sectPr>
      </w:pPr>
    </w:p>
    <w:p>
      <w:pPr>
        <w:spacing w:after="0" w:line="9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3"/>
          <w:szCs w:val="13"/>
          <w:color w:val="auto"/>
        </w:rPr>
        <w:t>A. </w:t>
      </w:r>
    </w:p>
    <w:p>
      <w:pPr>
        <w:spacing w:after="0" w:line="3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Securities.</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express no opinion concerning the validity or enforceability of any provisions contained in the Indentures or the Guarantees of Debt</w:t>
      </w:r>
    </w:p>
    <w:p>
      <w:pPr>
        <w:spacing w:after="0" w:line="268" w:lineRule="exact"/>
        <w:rPr>
          <w:sz w:val="20"/>
          <w:szCs w:val="20"/>
          <w:color w:val="auto"/>
        </w:rPr>
      </w:pPr>
    </w:p>
    <w:p>
      <w:pPr>
        <w:sectPr>
          <w:pgSz w:w="11900" w:h="16838" w:orient="portrait"/>
          <w:cols w:equalWidth="0" w:num="2">
            <w:col w:w="1080" w:space="20"/>
            <w:col w:w="7919"/>
          </w:cols>
          <w:pgMar w:left="1440" w:top="243" w:right="1440" w:bottom="1440" w:gutter="0" w:footer="0" w:header="0"/>
          <w:type w:val="continuous"/>
        </w:sectPr>
      </w:pPr>
    </w:p>
    <w:p>
      <w:pPr>
        <w:ind w:left="820"/>
        <w:spacing w:after="0"/>
        <w:rPr>
          <w:sz w:val="20"/>
          <w:szCs w:val="20"/>
          <w:color w:val="auto"/>
        </w:rPr>
      </w:pPr>
      <w:r>
        <w:rPr>
          <w:rFonts w:ascii="Times New Roman" w:cs="Times New Roman" w:eastAsia="Times New Roman" w:hAnsi="Times New Roman"/>
          <w:sz w:val="14"/>
          <w:szCs w:val="14"/>
          <w:color w:val="auto"/>
        </w:rPr>
        <w:t>B.   We express no opinion as to any financial matters relating to the Wyoming Entities or the financial condition of the Wyoming Entities.</w:t>
      </w:r>
    </w:p>
    <w:p>
      <w:pPr>
        <w:sectPr>
          <w:pgSz w:w="11900" w:h="16838" w:orient="portrait"/>
          <w:cols w:equalWidth="0" w:num="1">
            <w:col w:w="9019"/>
          </w:cols>
          <w:pgMar w:left="1440" w:top="243" w:right="1440" w:bottom="1440" w:gutter="0" w:footer="0" w:header="0"/>
          <w:type w:val="continuous"/>
        </w:sectPr>
      </w:pPr>
    </w:p>
    <w:p>
      <w:pPr>
        <w:spacing w:after="0" w:line="24" w:lineRule="exact"/>
        <w:rPr>
          <w:sz w:val="20"/>
          <w:szCs w:val="20"/>
          <w:color w:val="auto"/>
        </w:rPr>
      </w:pPr>
    </w:p>
    <w:p>
      <w:pPr>
        <w:ind w:left="480" w:right="159"/>
        <w:spacing w:after="0" w:line="263" w:lineRule="auto"/>
        <w:rPr>
          <w:sz w:val="20"/>
          <w:szCs w:val="20"/>
          <w:color w:val="auto"/>
        </w:rPr>
      </w:pPr>
      <w:r>
        <w:rPr>
          <w:rFonts w:ascii="Times New Roman" w:cs="Times New Roman" w:eastAsia="Times New Roman" w:hAnsi="Times New Roman"/>
          <w:sz w:val="14"/>
          <w:szCs w:val="14"/>
          <w:color w:val="auto"/>
        </w:rPr>
        <w:t>We express no opinion as to the effect of or compliance with any federal or state securities laws and “Blue Sky” laws. We do not undertake to update or revise the opinions set forth herein should facts or laws which subsequently become known to us cause such opinions to be inaccurate or incomplete.</w:t>
      </w:r>
    </w:p>
    <w:p>
      <w:pPr>
        <w:spacing w:after="0" w:line="58" w:lineRule="exact"/>
        <w:rPr>
          <w:sz w:val="20"/>
          <w:szCs w:val="20"/>
          <w:color w:val="auto"/>
        </w:rPr>
      </w:pPr>
    </w:p>
    <w:p>
      <w:pPr>
        <w:ind w:left="480" w:right="139" w:firstLine="336"/>
        <w:spacing w:after="0" w:line="259" w:lineRule="auto"/>
        <w:rPr>
          <w:sz w:val="20"/>
          <w:szCs w:val="20"/>
          <w:color w:val="auto"/>
        </w:rPr>
      </w:pPr>
      <w:r>
        <w:rPr>
          <w:rFonts w:ascii="Times New Roman" w:cs="Times New Roman" w:eastAsia="Times New Roman" w:hAnsi="Times New Roman"/>
          <w:sz w:val="14"/>
          <w:szCs w:val="14"/>
          <w:color w:val="auto"/>
        </w:rPr>
        <w:t>C.  Our opinions are subject to and qualified and limited by the effect of, and the rights and remedies set forth in the Guarantees of Debt Securities are subject to and limited or qualified by, (i) applicable bankruptcy, insolvency, fraudulent conveyance, reorganization, moratorium or similar state or federal debtor relief laws of general application relating to or affecting the enforcement of the rights of creditors in general, including, without limitation, any executive or similar orders of general application, (ii) general principles of equity by which a court with proper jurisdiction may deny rights of specific performance, injunction and other remedies, regardless of whether such enforceability is considered in a proceeding in equity or at law, (iii) principles of diligence, good faith, fair dealing, reasonableness, conscionability, materiality, and other equitable defenses, (iv) limitations on the waiver of rights under any stay, extension or usury law or other law, whether now or hereafter in force, which would prohibit or forgive the Wyoming Entities or any party to the documents executed and delivered in connection with the Registration Statement from paying all or any portion of the Securities, and (v) securities laws and public policy underlying such laws with respect to rights of indemnification and contribution.</w:t>
      </w:r>
    </w:p>
    <w:p>
      <w:pPr>
        <w:spacing w:after="0" w:line="6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4"/>
          <w:szCs w:val="14"/>
          <w:color w:val="auto"/>
        </w:rPr>
        <w:t>D.   No opinion is expressed regarding the effect of, or compliance with any: (i) United States federal laws; (ii) (a) securities laws;</w:t>
      </w:r>
    </w:p>
    <w:p>
      <w:pPr>
        <w:spacing w:after="0" w:line="24" w:lineRule="exact"/>
        <w:rPr>
          <w:sz w:val="20"/>
          <w:szCs w:val="20"/>
          <w:color w:val="auto"/>
        </w:rPr>
      </w:pPr>
    </w:p>
    <w:p>
      <w:pPr>
        <w:ind w:left="480" w:right="379" w:hanging="3"/>
        <w:spacing w:after="0" w:line="263" w:lineRule="auto"/>
        <w:tabs>
          <w:tab w:leader="none" w:pos="682" w:val="left"/>
        </w:tabs>
        <w:numPr>
          <w:ilvl w:val="0"/>
          <w:numId w:val="1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antitrust laws; (c) tax laws; or (d) environmental laws; (iii) laws of any counties, towns, municipalities, or special political subdivisions (whether created or enabled through legislative action at the state or regional level), land use, environmental, zoning, subdivision, and building laws; or (iv) judicial decisions to the extent that they deal with any of the foregoing.</w:t>
      </w:r>
    </w:p>
    <w:p>
      <w:pPr>
        <w:spacing w:after="0" w:line="58" w:lineRule="exact"/>
        <w:rPr>
          <w:sz w:val="20"/>
          <w:szCs w:val="20"/>
          <w:color w:val="auto"/>
        </w:rPr>
      </w:pPr>
    </w:p>
    <w:p>
      <w:pPr>
        <w:ind w:left="480" w:right="339" w:firstLine="336"/>
        <w:spacing w:after="0" w:line="292" w:lineRule="auto"/>
        <w:rPr>
          <w:sz w:val="20"/>
          <w:szCs w:val="20"/>
          <w:color w:val="auto"/>
        </w:rPr>
      </w:pPr>
      <w:r>
        <w:rPr>
          <w:rFonts w:ascii="Times New Roman" w:cs="Times New Roman" w:eastAsia="Times New Roman" w:hAnsi="Times New Roman"/>
          <w:sz w:val="14"/>
          <w:szCs w:val="14"/>
          <w:color w:val="auto"/>
        </w:rPr>
        <w:t>E.  We did not personally witness the execution and delivery of any instrument on behalf of the Wyoming Entities or any other party but have instead based our opinion solely upon the certificates set forth in the Support Certificate.</w:t>
      </w:r>
    </w:p>
    <w:p>
      <w:pPr>
        <w:spacing w:after="0" w:line="123" w:lineRule="exact"/>
        <w:rPr>
          <w:sz w:val="20"/>
          <w:szCs w:val="20"/>
          <w:color w:val="auto"/>
        </w:rPr>
      </w:pPr>
    </w:p>
    <w:p>
      <w:pPr>
        <w:ind w:left="120" w:right="179" w:firstLine="350"/>
        <w:spacing w:after="0" w:line="268" w:lineRule="auto"/>
        <w:rPr>
          <w:sz w:val="20"/>
          <w:szCs w:val="20"/>
          <w:color w:val="auto"/>
        </w:rPr>
      </w:pPr>
      <w:r>
        <w:rPr>
          <w:rFonts w:ascii="Times New Roman" w:cs="Times New Roman" w:eastAsia="Times New Roman" w:hAnsi="Times New Roman"/>
          <w:sz w:val="14"/>
          <w:szCs w:val="14"/>
          <w:color w:val="auto"/>
        </w:rPr>
        <w:t>Our opinions are based solely upon the laws of the State in effect as of this date, and are limited in all respects to the laws of the State. We express no opinion as to the effect of the laws of any other jurisdiction, domestic or foreign. We expressly disavow any obligation to advise you with respect to future changes in applicable laws of the State or in our knowledge or as to any event or change of condition or facts occurring subsequent to the date of this letter, regardless of whether such event or change might change the opinions expressed above.</w:t>
      </w:r>
    </w:p>
    <w:p>
      <w:pPr>
        <w:sectPr>
          <w:pgSz w:w="11900" w:h="16838" w:orient="portrait"/>
          <w:cols w:equalWidth="0" w:num="1">
            <w:col w:w="9019"/>
          </w:cols>
          <w:pgMar w:left="1440" w:top="243" w:right="1440" w:bottom="1440" w:gutter="0" w:footer="0" w:header="0"/>
          <w:type w:val="continuous"/>
        </w:sectPr>
      </w:pPr>
    </w:p>
    <w:bookmarkStart w:id="261" w:name="page262"/>
    <w:bookmarkEnd w:id="261"/>
    <w:p>
      <w:pPr>
        <w:ind w:left="874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6">
                      <a:extLst>
                        <a:ext uri="{28A0092B-C50C-407E-A947-70E740481C1C}"/>
                      </a:extLst>
                    </a:blip>
                    <a:srcRect/>
                    <a:stretch>
                      <a:fillRect/>
                    </a:stretch>
                  </pic:blipFill>
                  <pic:spPr bwMode="auto">
                    <a:xfrm>
                      <a:off x="0" y="0"/>
                      <a:ext cx="7199630" cy="33020"/>
                    </a:xfrm>
                    <a:prstGeom prst="rect">
                      <a:avLst/>
                    </a:prstGeom>
                    <a:noFill/>
                  </pic:spPr>
                </pic:pic>
              </a:graphicData>
            </a:graphic>
          </wp:anchor>
        </w:drawing>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-92075</wp:posOffset>
            </wp:positionV>
            <wp:extent cx="2371090" cy="30670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7">
                      <a:extLst>
                        <a:ext uri="{28A0092B-C50C-407E-A947-70E740481C1C}"/>
                      </a:extLst>
                    </a:blip>
                    <a:srcRect/>
                    <a:stretch>
                      <a:fillRect/>
                    </a:stretch>
                  </pic:blipFill>
                  <pic:spPr bwMode="auto">
                    <a:xfrm>
                      <a:off x="0" y="0"/>
                      <a:ext cx="2371090" cy="306705"/>
                    </a:xfrm>
                    <a:prstGeom prst="rect">
                      <a:avLst/>
                    </a:prstGeom>
                    <a:noFill/>
                  </pic:spPr>
                </pic:pic>
              </a:graphicData>
            </a:graphic>
          </wp:anchor>
        </w:drawing>
      </w:r>
    </w:p>
    <w:p>
      <w:pPr>
        <w:spacing w:after="0" w:line="4" w:lineRule="exact"/>
        <w:rPr>
          <w:sz w:val="20"/>
          <w:szCs w:val="20"/>
          <w:color w:val="auto"/>
        </w:rPr>
      </w:pPr>
    </w:p>
    <w:p>
      <w:pPr>
        <w:jc w:val="right"/>
        <w:ind w:right="139"/>
        <w:spacing w:after="0"/>
        <w:rPr>
          <w:sz w:val="20"/>
          <w:szCs w:val="20"/>
          <w:color w:val="auto"/>
        </w:rPr>
      </w:pPr>
      <w:r>
        <w:rPr>
          <w:rFonts w:ascii="Times New Roman" w:cs="Times New Roman" w:eastAsia="Times New Roman" w:hAnsi="Times New Roman"/>
          <w:sz w:val="14"/>
          <w:szCs w:val="14"/>
          <w:color w:val="auto"/>
        </w:rPr>
        <w:t>The GEO Group, Inc.</w:t>
      </w:r>
    </w:p>
    <w:p>
      <w:pPr>
        <w:spacing w:after="0" w:line="11" w:lineRule="exact"/>
        <w:rPr>
          <w:sz w:val="20"/>
          <w:szCs w:val="20"/>
          <w:color w:val="auto"/>
        </w:rPr>
      </w:pPr>
    </w:p>
    <w:p>
      <w:pPr>
        <w:jc w:val="right"/>
        <w:ind w:right="139"/>
        <w:spacing w:after="0"/>
        <w:rPr>
          <w:sz w:val="20"/>
          <w:szCs w:val="20"/>
          <w:color w:val="auto"/>
        </w:rPr>
      </w:pPr>
      <w:r>
        <w:rPr>
          <w:rFonts w:ascii="Times New Roman" w:cs="Times New Roman" w:eastAsia="Times New Roman" w:hAnsi="Times New Roman"/>
          <w:sz w:val="14"/>
          <w:szCs w:val="14"/>
          <w:color w:val="auto"/>
        </w:rPr>
        <w:t>October 30, 2026</w:t>
      </w:r>
    </w:p>
    <w:p>
      <w:pPr>
        <w:spacing w:after="0" w:line="11" w:lineRule="exact"/>
        <w:rPr>
          <w:sz w:val="20"/>
          <w:szCs w:val="20"/>
          <w:color w:val="auto"/>
        </w:rPr>
      </w:pPr>
    </w:p>
    <w:p>
      <w:pPr>
        <w:jc w:val="right"/>
        <w:ind w:right="139"/>
        <w:spacing w:after="0"/>
        <w:rPr>
          <w:sz w:val="20"/>
          <w:szCs w:val="20"/>
          <w:color w:val="auto"/>
        </w:rPr>
      </w:pPr>
      <w:r>
        <w:rPr>
          <w:rFonts w:ascii="Times New Roman" w:cs="Times New Roman" w:eastAsia="Times New Roman" w:hAnsi="Times New Roman"/>
          <w:sz w:val="14"/>
          <w:szCs w:val="14"/>
          <w:color w:val="auto"/>
        </w:rPr>
        <w:t>Page 6</w:t>
      </w:r>
    </w:p>
    <w:p>
      <w:pPr>
        <w:spacing w:after="0" w:line="126" w:lineRule="exact"/>
        <w:rPr>
          <w:sz w:val="20"/>
          <w:szCs w:val="20"/>
          <w:color w:val="auto"/>
        </w:rPr>
      </w:pPr>
    </w:p>
    <w:p>
      <w:pPr>
        <w:ind w:left="120" w:right="179" w:firstLine="350"/>
        <w:spacing w:after="0" w:line="265" w:lineRule="auto"/>
        <w:rPr>
          <w:sz w:val="20"/>
          <w:szCs w:val="20"/>
          <w:color w:val="auto"/>
        </w:rPr>
      </w:pPr>
      <w:r>
        <w:rPr>
          <w:rFonts w:ascii="Times New Roman" w:cs="Times New Roman" w:eastAsia="Times New Roman" w:hAnsi="Times New Roman"/>
          <w:sz w:val="14"/>
          <w:szCs w:val="14"/>
          <w:color w:val="auto"/>
        </w:rPr>
        <w:t>The opinions expressed in this letter are strictly limited to the matters stated herein, and no other opinions may be implied. This opinion is given as of the date hereof, and upon facts now known to us, and we undertake no, and hereby disclaim any, obligation to advise you of any change in any matter set forth herein, including, but not limited to, any event or change of condition or facts occurring subsequent to the date of this letter, regardless of whether such event or change might change the opinions expressed above. These opinions are provided as legal opinions only, effective as of the date of this letter, and not as representations of fact.</w:t>
      </w:r>
    </w:p>
    <w:p>
      <w:pPr>
        <w:spacing w:after="0" w:line="141" w:lineRule="exact"/>
        <w:rPr>
          <w:sz w:val="20"/>
          <w:szCs w:val="20"/>
          <w:color w:val="auto"/>
        </w:rPr>
      </w:pPr>
    </w:p>
    <w:p>
      <w:pPr>
        <w:ind w:left="120" w:right="139" w:firstLine="350"/>
        <w:spacing w:after="0" w:line="263" w:lineRule="auto"/>
        <w:rPr>
          <w:sz w:val="20"/>
          <w:szCs w:val="20"/>
          <w:color w:val="auto"/>
        </w:rPr>
      </w:pPr>
      <w:r>
        <w:rPr>
          <w:rFonts w:ascii="Times New Roman" w:cs="Times New Roman" w:eastAsia="Times New Roman" w:hAnsi="Times New Roman"/>
          <w:sz w:val="14"/>
          <w:szCs w:val="14"/>
          <w:color w:val="auto"/>
        </w:rPr>
        <w:t>This opinion letter is furnished to you at the request of the Wyoming Entities in connection with the execution and filing of the Registration Statement. Akerman LLP may rely upon this opinion letter, as to matters of Wyoming law addressed herein, in rendering its opinion filed as Exhibit 5.1 to the Registration Statement. Except as provided in the preceding sentence and the following paragraph, this opinion letter may not be relied upon by any other person or for any other purpose without our prior written consent. This opinion letter speaks only as of the date hereof, and we have no responsibility or obligation to update this opinion letter to consider its applicability or correctness or to take into account changes in any law, facts or any other developments of which we may later become aware.</w:t>
      </w:r>
    </w:p>
    <w:p>
      <w:pPr>
        <w:spacing w:after="0" w:line="143" w:lineRule="exact"/>
        <w:rPr>
          <w:sz w:val="20"/>
          <w:szCs w:val="20"/>
          <w:color w:val="auto"/>
        </w:rPr>
      </w:pPr>
    </w:p>
    <w:p>
      <w:pPr>
        <w:ind w:left="120" w:right="179" w:firstLine="350"/>
        <w:spacing w:after="0" w:line="268" w:lineRule="auto"/>
        <w:rPr>
          <w:sz w:val="20"/>
          <w:szCs w:val="20"/>
          <w:color w:val="auto"/>
        </w:rPr>
      </w:pPr>
      <w:r>
        <w:rPr>
          <w:rFonts w:ascii="Times New Roman" w:cs="Times New Roman" w:eastAsia="Times New Roman" w:hAnsi="Times New Roman"/>
          <w:sz w:val="14"/>
          <w:szCs w:val="14"/>
          <w:color w:val="auto"/>
        </w:rPr>
        <w:t>We hereby consent to the filing of this opinion letter as Exhibit 5.5 to the Registration Statement and to the reference to our firm under the caption “Legal Matters” in the Prospectus forming a part of the Registration Statement. In giving such consent, we do not thereby admit that we are within the category of persons whose consent is required under Section 7 of the Act or the rules and regulations of the Securities and Exchange Commission thereunder.</w:t>
      </w:r>
    </w:p>
    <w:p>
      <w:pPr>
        <w:spacing w:after="0" w:line="161"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82"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/s/ Holland &amp; Hart LLP</w:t>
      </w:r>
    </w:p>
    <w:p>
      <w:pPr>
        <w:spacing w:after="0" w:line="182"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HOLLAND &amp; HART LLP</w:t>
      </w:r>
    </w:p>
    <w:p>
      <w:pPr>
        <w:sectPr>
          <w:pgSz w:w="11900" w:h="16838" w:orient="portrait"/>
          <w:cols w:equalWidth="0" w:num="1">
            <w:col w:w="9019"/>
          </w:cols>
          <w:pgMar w:left="1440" w:top="243" w:right="1440" w:bottom="1440" w:gutter="0" w:footer="0" w:header="0"/>
        </w:sectPr>
      </w:pPr>
    </w:p>
    <w:bookmarkStart w:id="262" w:name="page263"/>
    <w:bookmarkEnd w:id="262"/>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84" w:lineRule="exact"/>
        <w:rPr>
          <w:sz w:val="20"/>
          <w:szCs w:val="20"/>
          <w:color w:val="auto"/>
        </w:rPr>
      </w:pPr>
    </w:p>
    <w:p>
      <w:pPr>
        <w:ind w:left="120" w:right="199"/>
        <w:spacing w:after="0" w:line="268" w:lineRule="auto"/>
        <w:rPr>
          <w:sz w:val="20"/>
          <w:szCs w:val="20"/>
          <w:color w:val="auto"/>
        </w:rPr>
      </w:pPr>
      <w:r>
        <w:rPr>
          <w:rFonts w:ascii="Times New Roman" w:cs="Times New Roman" w:eastAsia="Times New Roman" w:hAnsi="Times New Roman"/>
          <w:sz w:val="14"/>
          <w:szCs w:val="14"/>
          <w:color w:val="auto"/>
        </w:rPr>
        <w:t>We have issued our reports dated February 25, 2026 with respect to the consolidated financial statements and internal control over financial reporting of The GEO Group, Inc. included in the Annual Report on Form 10-K for the year ended December 31, 2025, which are incorporated by reference in this Registration Statement. We consent to the incorporation by reference of the aforementioned reports in the Registration Statement, and to the use of our name as it appears under the caption “Experts.”</w:t>
      </w:r>
    </w:p>
    <w:p>
      <w:pPr>
        <w:spacing w:after="0" w:line="1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/s/ GRANT THORNTON LLP</w:t>
      </w:r>
    </w:p>
    <w:p>
      <w:pPr>
        <w:spacing w:after="0" w:line="1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Fort Lauderdale, Florida</w:t>
      </w:r>
    </w:p>
    <w:p>
      <w:pPr>
        <w:spacing w:after="0" w:line="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October 30, 2026</w:t>
      </w:r>
    </w:p>
    <w:p>
      <w:pPr>
        <w:sectPr>
          <w:pgSz w:w="11900" w:h="16838" w:orient="portrait"/>
          <w:cols w:equalWidth="0" w:num="1">
            <w:col w:w="9019"/>
          </w:cols>
          <w:pgMar w:left="1440" w:top="123" w:right="1440" w:bottom="1440" w:gutter="0" w:footer="0" w:header="0"/>
        </w:sectPr>
      </w:pPr>
    </w:p>
    <w:bookmarkStart w:id="263" w:name="page264"/>
    <w:bookmarkEnd w:id="263"/>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64770</wp:posOffset>
            </wp:positionV>
            <wp:extent cx="5559425" cy="698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8">
                      <a:extLst>
                        <a:ext uri="{28A0092B-C50C-407E-A947-70E740481C1C}"/>
                      </a:extLst>
                    </a:blip>
                    <a:srcRect/>
                    <a:stretch>
                      <a:fillRect/>
                    </a:stretch>
                  </pic:blipFill>
                  <pic:spPr bwMode="auto">
                    <a:xfrm>
                      <a:off x="0" y="0"/>
                      <a:ext cx="5559425" cy="6985"/>
                    </a:xfrm>
                    <a:prstGeom prst="rect">
                      <a:avLst/>
                    </a:prstGeom>
                    <a:noFill/>
                  </pic:spPr>
                </pic:pic>
              </a:graphicData>
            </a:graphic>
          </wp:anchor>
        </w:drawing>
        <w:drawing>
          <wp:anchor simplePos="0" relativeHeight="251657728" behindDoc="1" locked="0" layoutInCell="0" allowOverlap="1">
            <wp:simplePos x="0" y="0"/>
            <wp:positionH relativeFrom="column">
              <wp:posOffset>83820</wp:posOffset>
            </wp:positionH>
            <wp:positionV relativeFrom="paragraph">
              <wp:posOffset>99060</wp:posOffset>
            </wp:positionV>
            <wp:extent cx="5559425" cy="698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9">
                      <a:extLst>
                        <a:ext uri="{28A0092B-C50C-407E-A947-70E740481C1C}"/>
                      </a:extLst>
                    </a:blip>
                    <a:srcRect/>
                    <a:stretch>
                      <a:fillRect/>
                    </a:stretch>
                  </pic:blipFill>
                  <pic:spPr bwMode="auto">
                    <a:xfrm>
                      <a:off x="0" y="0"/>
                      <a:ext cx="5559425" cy="6985"/>
                    </a:xfrm>
                    <a:prstGeom prst="rect">
                      <a:avLst/>
                    </a:prstGeom>
                    <a:noFill/>
                  </pic:spPr>
                </pic:pic>
              </a:graphicData>
            </a:graphic>
          </wp:anchor>
        </w:drawing>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6"/>
          <w:szCs w:val="26"/>
          <w:b w:val="1"/>
          <w:bCs w:val="1"/>
          <w:color w:val="auto"/>
        </w:rPr>
        <w:t>UNITED STATES</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2277745</wp:posOffset>
            </wp:positionH>
            <wp:positionV relativeFrom="paragraph">
              <wp:posOffset>163830</wp:posOffset>
            </wp:positionV>
            <wp:extent cx="1165225" cy="698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0">
                      <a:extLst>
                        <a:ext uri="{28A0092B-C50C-407E-A947-70E740481C1C}"/>
                      </a:extLst>
                    </a:blip>
                    <a:srcRect/>
                    <a:stretch>
                      <a:fillRect/>
                    </a:stretch>
                  </pic:blipFill>
                  <pic:spPr bwMode="auto">
                    <a:xfrm>
                      <a:off x="0" y="0"/>
                      <a:ext cx="1165225" cy="6985"/>
                    </a:xfrm>
                    <a:prstGeom prst="rect">
                      <a:avLst/>
                    </a:prstGeom>
                    <a:noFill/>
                  </pic:spPr>
                </pic:pic>
              </a:graphicData>
            </a:graphic>
          </wp:anchor>
        </w:drawing>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6"/>
          <w:szCs w:val="26"/>
          <w:b w:val="1"/>
          <w:bCs w:val="1"/>
          <w:color w:val="auto"/>
        </w:rPr>
        <w:t>FORM 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2277745</wp:posOffset>
            </wp:positionH>
            <wp:positionV relativeFrom="paragraph">
              <wp:posOffset>188595</wp:posOffset>
            </wp:positionV>
            <wp:extent cx="1165225" cy="698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1">
                      <a:extLst>
                        <a:ext uri="{28A0092B-C50C-407E-A947-70E740481C1C}"/>
                      </a:extLst>
                    </a:blip>
                    <a:srcRect/>
                    <a:stretch>
                      <a:fillRect/>
                    </a:stretch>
                  </pic:blipFill>
                  <pic:spPr bwMode="auto">
                    <a:xfrm>
                      <a:off x="0" y="0"/>
                      <a:ext cx="1165225" cy="698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center"/>
        <w:ind w:left="1580" w:right="2020"/>
        <w:spacing w:after="0" w:line="256" w:lineRule="auto"/>
        <w:rPr>
          <w:sz w:val="20"/>
          <w:szCs w:val="20"/>
          <w:color w:val="auto"/>
        </w:rPr>
      </w:pPr>
      <w:r>
        <w:rPr>
          <w:rFonts w:ascii="Times New Roman" w:cs="Times New Roman" w:eastAsia="Times New Roman" w:hAnsi="Times New Roman"/>
          <w:sz w:val="17"/>
          <w:szCs w:val="17"/>
          <w:b w:val="1"/>
          <w:bCs w:val="1"/>
          <w:color w:val="auto"/>
        </w:rPr>
        <w:t>STATEMENT OF ELIGIBILITY UNDER THE TRUST INDENTURE ACT OF 1939 OF A CORPORATION DESIGNATED TO ACT AS TRUSTEE</w:t>
      </w:r>
    </w:p>
    <w:p>
      <w:pPr>
        <w:spacing w:after="0" w:line="125" w:lineRule="exact"/>
        <w:rPr>
          <w:sz w:val="20"/>
          <w:szCs w:val="20"/>
          <w:color w:val="auto"/>
        </w:rPr>
      </w:pPr>
    </w:p>
    <w:p>
      <w:pPr>
        <w:ind w:left="460" w:right="279" w:hanging="333"/>
        <w:spacing w:after="0" w:line="275" w:lineRule="auto"/>
        <w:tabs>
          <w:tab w:leader="none" w:pos="460" w:val="left"/>
        </w:tabs>
        <w:numPr>
          <w:ilvl w:val="0"/>
          <w:numId w:val="198"/>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CHECK IF AN APPLICATION TO DETERMINE ELIGIBILITY OF 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2277745</wp:posOffset>
            </wp:positionH>
            <wp:positionV relativeFrom="paragraph">
              <wp:posOffset>140335</wp:posOffset>
            </wp:positionV>
            <wp:extent cx="1165225" cy="698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2">
                      <a:extLst>
                        <a:ext uri="{28A0092B-C50C-407E-A947-70E740481C1C}"/>
                      </a:extLst>
                    </a:blip>
                    <a:srcRect/>
                    <a:stretch>
                      <a:fillRect/>
                    </a:stretch>
                  </pic:blipFill>
                  <pic:spPr bwMode="auto">
                    <a:xfrm>
                      <a:off x="0" y="0"/>
                      <a:ext cx="1165225" cy="6985"/>
                    </a:xfrm>
                    <a:prstGeom prst="rect">
                      <a:avLst/>
                    </a:prstGeom>
                    <a:noFill/>
                  </pic:spPr>
                </pic:pic>
              </a:graphicData>
            </a:graphic>
          </wp:anchor>
        </w:drawing>
      </w: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4"/>
          <w:szCs w:val="34"/>
          <w:b w:val="1"/>
          <w:bCs w:val="1"/>
          <w:color w:val="auto"/>
        </w:rPr>
        <w:t>ANKURA TRUST COMPANY, LLC</w:t>
      </w:r>
    </w:p>
    <w:p>
      <w:pPr>
        <w:spacing w:after="0" w:line="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trustee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2277745</wp:posOffset>
            </wp:positionH>
            <wp:positionV relativeFrom="paragraph">
              <wp:posOffset>169545</wp:posOffset>
            </wp:positionV>
            <wp:extent cx="1165225" cy="698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3">
                      <a:extLst>
                        <a:ext uri="{28A0092B-C50C-407E-A947-70E740481C1C}"/>
                      </a:extLst>
                    </a:blip>
                    <a:srcRect/>
                    <a:stretch>
                      <a:fillRect/>
                    </a:stretch>
                  </pic:blipFill>
                  <pic:spPr bwMode="auto">
                    <a:xfrm>
                      <a:off x="0" y="0"/>
                      <a:ext cx="1165225" cy="698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tbl>
      <w:tblPr>
        <w:tblLayout w:type="fixed"/>
        <w:tblInd w:w="1400" w:type="dxa"/>
        <w:tblCellMar>
          <w:top w:w="0" w:type="dxa"/>
          <w:left w:w="0" w:type="dxa"/>
          <w:bottom w:w="0" w:type="dxa"/>
          <w:right w:w="0" w:type="dxa"/>
        </w:tblCellMar>
      </w:tblPr>
      <w:tr>
        <w:trPr>
          <w:trHeight w:val="169"/>
        </w:trPr>
        <w:tc>
          <w:tcPr>
            <w:tcW w:w="4740" w:type="dxa"/>
            <w:vAlign w:val="bottom"/>
            <w:gridSpan w:val="3"/>
          </w:tcPr>
          <w:p>
            <w:pPr>
              <w:jc w:val="center"/>
              <w:ind w:right="2860"/>
              <w:spacing w:after="0"/>
              <w:rPr>
                <w:sz w:val="20"/>
                <w:szCs w:val="20"/>
                <w:color w:val="auto"/>
              </w:rPr>
            </w:pPr>
            <w:r>
              <w:rPr>
                <w:rFonts w:ascii="Times New Roman" w:cs="Times New Roman" w:eastAsia="Times New Roman" w:hAnsi="Times New Roman"/>
                <w:sz w:val="14"/>
                <w:szCs w:val="14"/>
                <w:b w:val="1"/>
                <w:bCs w:val="1"/>
                <w:color w:val="auto"/>
              </w:rPr>
              <w:t>New Hampshire</w:t>
            </w:r>
          </w:p>
        </w:tc>
        <w:tc>
          <w:tcPr>
            <w:tcW w:w="1040" w:type="dxa"/>
            <w:vAlign w:val="bottom"/>
          </w:tcPr>
          <w:p>
            <w:pPr>
              <w:jc w:val="center"/>
              <w:ind w:left="137"/>
              <w:spacing w:after="0"/>
              <w:rPr>
                <w:sz w:val="20"/>
                <w:szCs w:val="20"/>
                <w:color w:val="auto"/>
              </w:rPr>
            </w:pPr>
            <w:r>
              <w:rPr>
                <w:rFonts w:ascii="Times New Roman" w:cs="Times New Roman" w:eastAsia="Times New Roman" w:hAnsi="Times New Roman"/>
                <w:sz w:val="14"/>
                <w:szCs w:val="14"/>
                <w:b w:val="1"/>
                <w:bCs w:val="1"/>
                <w:color w:val="auto"/>
              </w:rPr>
              <w:t>82-3832470</w:t>
            </w:r>
          </w:p>
        </w:tc>
      </w:tr>
      <w:tr>
        <w:trPr>
          <w:trHeight w:val="118"/>
        </w:trPr>
        <w:tc>
          <w:tcPr>
            <w:tcW w:w="4740" w:type="dxa"/>
            <w:vAlign w:val="bottom"/>
            <w:gridSpan w:val="3"/>
          </w:tcPr>
          <w:p>
            <w:pPr>
              <w:jc w:val="center"/>
              <w:ind w:right="2860"/>
              <w:spacing w:after="0" w:line="118" w:lineRule="exact"/>
              <w:rPr>
                <w:sz w:val="20"/>
                <w:szCs w:val="20"/>
                <w:color w:val="auto"/>
              </w:rPr>
            </w:pPr>
            <w:r>
              <w:rPr>
                <w:rFonts w:ascii="Times New Roman" w:cs="Times New Roman" w:eastAsia="Times New Roman" w:hAnsi="Times New Roman"/>
                <w:sz w:val="11"/>
                <w:szCs w:val="11"/>
                <w:b w:val="1"/>
                <w:bCs w:val="1"/>
                <w:color w:val="auto"/>
              </w:rPr>
              <w:t>(Jurisdiction of incorporation</w:t>
            </w:r>
          </w:p>
        </w:tc>
        <w:tc>
          <w:tcPr>
            <w:tcW w:w="1040" w:type="dxa"/>
            <w:vAlign w:val="bottom"/>
          </w:tcPr>
          <w:p>
            <w:pPr>
              <w:jc w:val="center"/>
              <w:ind w:left="137"/>
              <w:spacing w:after="0" w:line="118" w:lineRule="exact"/>
              <w:rPr>
                <w:sz w:val="20"/>
                <w:szCs w:val="20"/>
                <w:color w:val="auto"/>
              </w:rPr>
            </w:pPr>
            <w:r>
              <w:rPr>
                <w:rFonts w:ascii="Times New Roman" w:cs="Times New Roman" w:eastAsia="Times New Roman" w:hAnsi="Times New Roman"/>
                <w:sz w:val="11"/>
                <w:szCs w:val="11"/>
                <w:b w:val="1"/>
                <w:bCs w:val="1"/>
                <w:color w:val="auto"/>
              </w:rPr>
              <w:t>(I.R.S. employer</w:t>
            </w:r>
          </w:p>
        </w:tc>
      </w:tr>
      <w:tr>
        <w:trPr>
          <w:trHeight w:val="150"/>
        </w:trPr>
        <w:tc>
          <w:tcPr>
            <w:tcW w:w="4740" w:type="dxa"/>
            <w:vAlign w:val="bottom"/>
            <w:gridSpan w:val="3"/>
          </w:tcPr>
          <w:p>
            <w:pPr>
              <w:jc w:val="center"/>
              <w:ind w:right="2860"/>
              <w:spacing w:after="0"/>
              <w:rPr>
                <w:sz w:val="20"/>
                <w:szCs w:val="20"/>
                <w:color w:val="auto"/>
              </w:rPr>
            </w:pPr>
            <w:r>
              <w:rPr>
                <w:rFonts w:ascii="Times New Roman" w:cs="Times New Roman" w:eastAsia="Times New Roman" w:hAnsi="Times New Roman"/>
                <w:sz w:val="11"/>
                <w:szCs w:val="11"/>
                <w:b w:val="1"/>
                <w:bCs w:val="1"/>
                <w:color w:val="auto"/>
              </w:rPr>
              <w:t>if not a U.S. national bank)</w:t>
            </w:r>
          </w:p>
        </w:tc>
        <w:tc>
          <w:tcPr>
            <w:tcW w:w="1040" w:type="dxa"/>
            <w:vAlign w:val="bottom"/>
          </w:tcPr>
          <w:p>
            <w:pPr>
              <w:jc w:val="center"/>
              <w:ind w:left="117"/>
              <w:spacing w:after="0"/>
              <w:rPr>
                <w:sz w:val="20"/>
                <w:szCs w:val="20"/>
                <w:color w:val="auto"/>
              </w:rPr>
            </w:pPr>
            <w:r>
              <w:rPr>
                <w:rFonts w:ascii="Times New Roman" w:cs="Times New Roman" w:eastAsia="Times New Roman" w:hAnsi="Times New Roman"/>
                <w:sz w:val="11"/>
                <w:szCs w:val="11"/>
                <w:b w:val="1"/>
                <w:bCs w:val="1"/>
                <w:color w:val="auto"/>
              </w:rPr>
              <w:t>identification no.)</w:t>
            </w:r>
          </w:p>
        </w:tc>
      </w:tr>
      <w:tr>
        <w:trPr>
          <w:trHeight w:val="325"/>
        </w:trPr>
        <w:tc>
          <w:tcPr>
            <w:tcW w:w="4740" w:type="dxa"/>
            <w:vAlign w:val="bottom"/>
            <w:gridSpan w:val="3"/>
          </w:tcPr>
          <w:p>
            <w:pPr>
              <w:jc w:val="center"/>
              <w:ind w:right="2860"/>
              <w:spacing w:after="0"/>
              <w:rPr>
                <w:sz w:val="20"/>
                <w:szCs w:val="20"/>
                <w:color w:val="auto"/>
              </w:rPr>
            </w:pPr>
            <w:r>
              <w:rPr>
                <w:rFonts w:ascii="Times New Roman" w:cs="Times New Roman" w:eastAsia="Times New Roman" w:hAnsi="Times New Roman"/>
                <w:sz w:val="14"/>
                <w:szCs w:val="14"/>
                <w:b w:val="1"/>
                <w:bCs w:val="1"/>
                <w:color w:val="auto"/>
                <w:w w:val="99"/>
              </w:rPr>
              <w:t>140 Sherman Street, 4</w:t>
            </w:r>
            <w:r>
              <w:rPr>
                <w:rFonts w:ascii="Times New Roman" w:cs="Times New Roman" w:eastAsia="Times New Roman" w:hAnsi="Times New Roman"/>
                <w:sz w:val="21"/>
                <w:szCs w:val="21"/>
                <w:b w:val="1"/>
                <w:bCs w:val="1"/>
                <w:color w:val="auto"/>
                <w:w w:val="99"/>
                <w:vertAlign w:val="superscript"/>
              </w:rPr>
              <w:t>th</w:t>
            </w:r>
            <w:r>
              <w:rPr>
                <w:rFonts w:ascii="Times New Roman" w:cs="Times New Roman" w:eastAsia="Times New Roman" w:hAnsi="Times New Roman"/>
                <w:sz w:val="14"/>
                <w:szCs w:val="14"/>
                <w:b w:val="1"/>
                <w:bCs w:val="1"/>
                <w:color w:val="auto"/>
                <w:w w:val="99"/>
              </w:rPr>
              <w:t xml:space="preserve"> Floor</w:t>
            </w:r>
          </w:p>
        </w:tc>
        <w:tc>
          <w:tcPr>
            <w:tcW w:w="1040" w:type="dxa"/>
            <w:vAlign w:val="bottom"/>
          </w:tcPr>
          <w:p>
            <w:pPr>
              <w:spacing w:after="0"/>
              <w:rPr>
                <w:sz w:val="24"/>
                <w:szCs w:val="24"/>
                <w:color w:val="auto"/>
              </w:rPr>
            </w:pPr>
          </w:p>
        </w:tc>
      </w:tr>
      <w:tr>
        <w:trPr>
          <w:trHeight w:val="180"/>
        </w:trPr>
        <w:tc>
          <w:tcPr>
            <w:tcW w:w="4740" w:type="dxa"/>
            <w:vAlign w:val="bottom"/>
            <w:gridSpan w:val="3"/>
          </w:tcPr>
          <w:p>
            <w:pPr>
              <w:jc w:val="center"/>
              <w:ind w:right="2860"/>
              <w:spacing w:after="0"/>
              <w:rPr>
                <w:sz w:val="20"/>
                <w:szCs w:val="20"/>
                <w:color w:val="auto"/>
              </w:rPr>
            </w:pPr>
            <w:r>
              <w:rPr>
                <w:rFonts w:ascii="Times New Roman" w:cs="Times New Roman" w:eastAsia="Times New Roman" w:hAnsi="Times New Roman"/>
                <w:sz w:val="14"/>
                <w:szCs w:val="14"/>
                <w:b w:val="1"/>
                <w:bCs w:val="1"/>
                <w:color w:val="auto"/>
              </w:rPr>
              <w:t>Fairfield, CT</w:t>
            </w:r>
          </w:p>
        </w:tc>
        <w:tc>
          <w:tcPr>
            <w:tcW w:w="1040" w:type="dxa"/>
            <w:vAlign w:val="bottom"/>
          </w:tcPr>
          <w:p>
            <w:pPr>
              <w:jc w:val="center"/>
              <w:ind w:left="137"/>
              <w:spacing w:after="0"/>
              <w:rPr>
                <w:sz w:val="20"/>
                <w:szCs w:val="20"/>
                <w:color w:val="auto"/>
              </w:rPr>
            </w:pPr>
            <w:r>
              <w:rPr>
                <w:rFonts w:ascii="Times New Roman" w:cs="Times New Roman" w:eastAsia="Times New Roman" w:hAnsi="Times New Roman"/>
                <w:sz w:val="14"/>
                <w:szCs w:val="14"/>
                <w:b w:val="1"/>
                <w:bCs w:val="1"/>
                <w:color w:val="auto"/>
              </w:rPr>
              <w:t>06824</w:t>
            </w:r>
          </w:p>
        </w:tc>
      </w:tr>
      <w:tr>
        <w:trPr>
          <w:trHeight w:val="150"/>
        </w:trPr>
        <w:tc>
          <w:tcPr>
            <w:tcW w:w="4740" w:type="dxa"/>
            <w:vAlign w:val="bottom"/>
            <w:gridSpan w:val="3"/>
          </w:tcPr>
          <w:p>
            <w:pPr>
              <w:jc w:val="center"/>
              <w:ind w:right="2860"/>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tc>
        <w:tc>
          <w:tcPr>
            <w:tcW w:w="1040" w:type="dxa"/>
            <w:vAlign w:val="bottom"/>
          </w:tcPr>
          <w:p>
            <w:pPr>
              <w:jc w:val="center"/>
              <w:ind w:left="117"/>
              <w:spacing w:after="0"/>
              <w:rPr>
                <w:sz w:val="20"/>
                <w:szCs w:val="20"/>
                <w:color w:val="auto"/>
              </w:rPr>
            </w:pPr>
            <w:r>
              <w:rPr>
                <w:rFonts w:ascii="Times New Roman" w:cs="Times New Roman" w:eastAsia="Times New Roman" w:hAnsi="Times New Roman"/>
                <w:sz w:val="11"/>
                <w:szCs w:val="11"/>
                <w:b w:val="1"/>
                <w:bCs w:val="1"/>
                <w:color w:val="auto"/>
              </w:rPr>
              <w:t>(Zip code)</w:t>
            </w:r>
          </w:p>
        </w:tc>
      </w:tr>
      <w:tr>
        <w:trPr>
          <w:trHeight w:val="282"/>
        </w:trPr>
        <w:tc>
          <w:tcPr>
            <w:tcW w:w="2180" w:type="dxa"/>
            <w:vAlign w:val="bottom"/>
          </w:tcPr>
          <w:p>
            <w:pPr>
              <w:spacing w:after="0"/>
              <w:rPr>
                <w:sz w:val="24"/>
                <w:szCs w:val="24"/>
                <w:color w:val="auto"/>
              </w:rPr>
            </w:pPr>
          </w:p>
        </w:tc>
        <w:tc>
          <w:tcPr>
            <w:tcW w:w="256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Lynn Poss Veblen</w:t>
            </w:r>
          </w:p>
        </w:tc>
        <w:tc>
          <w:tcPr>
            <w:tcW w:w="1040" w:type="dxa"/>
            <w:vAlign w:val="bottom"/>
          </w:tcPr>
          <w:p>
            <w:pPr>
              <w:spacing w:after="0"/>
              <w:rPr>
                <w:sz w:val="24"/>
                <w:szCs w:val="24"/>
                <w:color w:val="auto"/>
              </w:rPr>
            </w:pPr>
          </w:p>
        </w:tc>
      </w:tr>
      <w:tr>
        <w:trPr>
          <w:trHeight w:val="172"/>
        </w:trPr>
        <w:tc>
          <w:tcPr>
            <w:tcW w:w="4740" w:type="dxa"/>
            <w:vAlign w:val="bottom"/>
            <w:gridSpan w:val="3"/>
          </w:tcPr>
          <w:p>
            <w:pPr>
              <w:jc w:val="center"/>
              <w:ind w:left="1395"/>
              <w:spacing w:after="0"/>
              <w:rPr>
                <w:sz w:val="20"/>
                <w:szCs w:val="20"/>
                <w:color w:val="auto"/>
              </w:rPr>
            </w:pPr>
            <w:r>
              <w:rPr>
                <w:rFonts w:ascii="Times New Roman" w:cs="Times New Roman" w:eastAsia="Times New Roman" w:hAnsi="Times New Roman"/>
                <w:sz w:val="14"/>
                <w:szCs w:val="14"/>
                <w:b w:val="1"/>
                <w:bCs w:val="1"/>
                <w:color w:val="auto"/>
              </w:rPr>
              <w:t>General Counsel and Senior Managing Director</w:t>
            </w:r>
          </w:p>
        </w:tc>
        <w:tc>
          <w:tcPr>
            <w:tcW w:w="1040" w:type="dxa"/>
            <w:vAlign w:val="bottom"/>
          </w:tcPr>
          <w:p>
            <w:pPr>
              <w:spacing w:after="0"/>
              <w:rPr>
                <w:sz w:val="14"/>
                <w:szCs w:val="14"/>
                <w:color w:val="auto"/>
              </w:rPr>
            </w:pPr>
          </w:p>
        </w:tc>
      </w:tr>
      <w:tr>
        <w:trPr>
          <w:trHeight w:val="172"/>
        </w:trPr>
        <w:tc>
          <w:tcPr>
            <w:tcW w:w="2180" w:type="dxa"/>
            <w:vAlign w:val="bottom"/>
          </w:tcPr>
          <w:p>
            <w:pPr>
              <w:spacing w:after="0"/>
              <w:rPr>
                <w:sz w:val="14"/>
                <w:szCs w:val="14"/>
                <w:color w:val="auto"/>
              </w:rPr>
            </w:pPr>
          </w:p>
        </w:tc>
        <w:tc>
          <w:tcPr>
            <w:tcW w:w="256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Ankura Trust Company, LLC</w:t>
            </w:r>
          </w:p>
        </w:tc>
        <w:tc>
          <w:tcPr>
            <w:tcW w:w="1040" w:type="dxa"/>
            <w:vAlign w:val="bottom"/>
          </w:tcPr>
          <w:p>
            <w:pPr>
              <w:spacing w:after="0"/>
              <w:rPr>
                <w:sz w:val="14"/>
                <w:szCs w:val="14"/>
                <w:color w:val="auto"/>
              </w:rPr>
            </w:pPr>
          </w:p>
        </w:tc>
      </w:tr>
      <w:tr>
        <w:trPr>
          <w:trHeight w:val="172"/>
        </w:trPr>
        <w:tc>
          <w:tcPr>
            <w:tcW w:w="4740" w:type="dxa"/>
            <w:vAlign w:val="bottom"/>
            <w:gridSpan w:val="3"/>
          </w:tcPr>
          <w:p>
            <w:pPr>
              <w:jc w:val="center"/>
              <w:ind w:left="1415"/>
              <w:spacing w:after="0"/>
              <w:rPr>
                <w:sz w:val="20"/>
                <w:szCs w:val="20"/>
                <w:color w:val="auto"/>
              </w:rPr>
            </w:pPr>
            <w:r>
              <w:rPr>
                <w:rFonts w:ascii="Times New Roman" w:cs="Times New Roman" w:eastAsia="Times New Roman" w:hAnsi="Times New Roman"/>
                <w:sz w:val="14"/>
                <w:szCs w:val="14"/>
                <w:b w:val="1"/>
                <w:bCs w:val="1"/>
                <w:color w:val="auto"/>
              </w:rPr>
              <w:t>485 Lexington Avenue, 10th Floor</w:t>
            </w:r>
          </w:p>
        </w:tc>
        <w:tc>
          <w:tcPr>
            <w:tcW w:w="1040" w:type="dxa"/>
            <w:vAlign w:val="bottom"/>
          </w:tcPr>
          <w:p>
            <w:pPr>
              <w:spacing w:after="0"/>
              <w:rPr>
                <w:sz w:val="14"/>
                <w:szCs w:val="14"/>
                <w:color w:val="auto"/>
              </w:rPr>
            </w:pPr>
          </w:p>
        </w:tc>
      </w:tr>
      <w:tr>
        <w:trPr>
          <w:trHeight w:val="172"/>
        </w:trPr>
        <w:tc>
          <w:tcPr>
            <w:tcW w:w="2180" w:type="dxa"/>
            <w:vAlign w:val="bottom"/>
          </w:tcPr>
          <w:p>
            <w:pPr>
              <w:spacing w:after="0"/>
              <w:rPr>
                <w:sz w:val="14"/>
                <w:szCs w:val="14"/>
                <w:color w:val="auto"/>
              </w:rPr>
            </w:pPr>
          </w:p>
        </w:tc>
        <w:tc>
          <w:tcPr>
            <w:tcW w:w="256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New York, NY 10017</w:t>
            </w:r>
          </w:p>
        </w:tc>
        <w:tc>
          <w:tcPr>
            <w:tcW w:w="1040" w:type="dxa"/>
            <w:vAlign w:val="bottom"/>
          </w:tcPr>
          <w:p>
            <w:pPr>
              <w:spacing w:after="0"/>
              <w:rPr>
                <w:sz w:val="14"/>
                <w:szCs w:val="14"/>
                <w:color w:val="auto"/>
              </w:rPr>
            </w:pPr>
          </w:p>
        </w:tc>
      </w:tr>
      <w:tr>
        <w:trPr>
          <w:trHeight w:val="169"/>
        </w:trPr>
        <w:tc>
          <w:tcPr>
            <w:tcW w:w="4020" w:type="dxa"/>
            <w:vAlign w:val="bottom"/>
            <w:gridSpan w:val="2"/>
          </w:tcPr>
          <w:p>
            <w:pPr>
              <w:jc w:val="center"/>
              <w:ind w:left="2135"/>
              <w:spacing w:after="0"/>
              <w:rPr>
                <w:sz w:val="20"/>
                <w:szCs w:val="20"/>
                <w:color w:val="auto"/>
              </w:rPr>
            </w:pPr>
            <w:r>
              <w:rPr>
                <w:rFonts w:ascii="Times New Roman" w:cs="Times New Roman" w:eastAsia="Times New Roman" w:hAnsi="Times New Roman"/>
                <w:sz w:val="14"/>
                <w:szCs w:val="14"/>
                <w:b w:val="1"/>
                <w:bCs w:val="1"/>
                <w:color w:val="auto"/>
              </w:rPr>
              <w:t>(646) 291-8512</w:t>
            </w:r>
          </w:p>
        </w:tc>
        <w:tc>
          <w:tcPr>
            <w:tcW w:w="7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50"/>
        </w:trPr>
        <w:tc>
          <w:tcPr>
            <w:tcW w:w="4740" w:type="dxa"/>
            <w:vAlign w:val="bottom"/>
            <w:gridSpan w:val="3"/>
          </w:tcPr>
          <w:p>
            <w:pPr>
              <w:jc w:val="center"/>
              <w:ind w:left="1395"/>
              <w:spacing w:after="0"/>
              <w:rPr>
                <w:sz w:val="20"/>
                <w:szCs w:val="20"/>
                <w:color w:val="auto"/>
              </w:rPr>
            </w:pPr>
            <w:r>
              <w:rPr>
                <w:rFonts w:ascii="Times New Roman" w:cs="Times New Roman" w:eastAsia="Times New Roman" w:hAnsi="Times New Roman"/>
                <w:sz w:val="11"/>
                <w:szCs w:val="11"/>
                <w:b w:val="1"/>
                <w:bCs w:val="1"/>
                <w:color w:val="auto"/>
              </w:rPr>
              <w:t>(Name, address and telephone number of agent for service)</w:t>
            </w:r>
          </w:p>
        </w:tc>
        <w:tc>
          <w:tcPr>
            <w:tcW w:w="1040" w:type="dxa"/>
            <w:vAlign w:val="bottom"/>
          </w:tcPr>
          <w:p>
            <w:pPr>
              <w:spacing w:after="0"/>
              <w:rPr>
                <w:sz w:val="13"/>
                <w:szCs w:val="13"/>
                <w:color w:val="auto"/>
              </w:rPr>
            </w:pPr>
          </w:p>
        </w:tc>
      </w:tr>
      <w:tr>
        <w:trPr>
          <w:trHeight w:val="245"/>
        </w:trPr>
        <w:tc>
          <w:tcPr>
            <w:tcW w:w="2180" w:type="dxa"/>
            <w:vAlign w:val="bottom"/>
          </w:tcPr>
          <w:p>
            <w:pPr>
              <w:spacing w:after="0"/>
              <w:rPr>
                <w:sz w:val="21"/>
                <w:szCs w:val="21"/>
                <w:color w:val="auto"/>
              </w:rPr>
            </w:pPr>
          </w:p>
        </w:tc>
        <w:tc>
          <w:tcPr>
            <w:tcW w:w="1840" w:type="dxa"/>
            <w:vAlign w:val="bottom"/>
            <w:tcBorders>
              <w:bottom w:val="single" w:sz="8" w:color="auto"/>
            </w:tcBorders>
          </w:tcPr>
          <w:p>
            <w:pPr>
              <w:spacing w:after="0"/>
              <w:rPr>
                <w:sz w:val="21"/>
                <w:szCs w:val="21"/>
                <w:color w:val="auto"/>
              </w:rPr>
            </w:pPr>
          </w:p>
        </w:tc>
        <w:tc>
          <w:tcPr>
            <w:tcW w:w="7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93"/>
        </w:trPr>
        <w:tc>
          <w:tcPr>
            <w:tcW w:w="2180" w:type="dxa"/>
            <w:vAlign w:val="bottom"/>
          </w:tcPr>
          <w:p>
            <w:pPr>
              <w:spacing w:after="0"/>
              <w:rPr>
                <w:sz w:val="24"/>
                <w:szCs w:val="24"/>
                <w:color w:val="auto"/>
              </w:rPr>
            </w:pPr>
          </w:p>
        </w:tc>
        <w:tc>
          <w:tcPr>
            <w:tcW w:w="256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THE GEO GROUP, INC.</w:t>
            </w:r>
          </w:p>
        </w:tc>
        <w:tc>
          <w:tcPr>
            <w:tcW w:w="1040" w:type="dxa"/>
            <w:vAlign w:val="bottom"/>
          </w:tcPr>
          <w:p>
            <w:pPr>
              <w:spacing w:after="0"/>
              <w:rPr>
                <w:sz w:val="24"/>
                <w:szCs w:val="24"/>
                <w:color w:val="auto"/>
              </w:rPr>
            </w:pPr>
          </w:p>
        </w:tc>
      </w:tr>
      <w:tr>
        <w:trPr>
          <w:trHeight w:val="150"/>
        </w:trPr>
        <w:tc>
          <w:tcPr>
            <w:tcW w:w="4740" w:type="dxa"/>
            <w:vAlign w:val="bottom"/>
            <w:gridSpan w:val="3"/>
          </w:tcPr>
          <w:p>
            <w:pPr>
              <w:jc w:val="center"/>
              <w:ind w:left="1395"/>
              <w:spacing w:after="0"/>
              <w:rPr>
                <w:sz w:val="20"/>
                <w:szCs w:val="20"/>
                <w:color w:val="auto"/>
              </w:rPr>
            </w:pPr>
            <w:r>
              <w:rPr>
                <w:rFonts w:ascii="Times New Roman" w:cs="Times New Roman" w:eastAsia="Times New Roman" w:hAnsi="Times New Roman"/>
                <w:sz w:val="11"/>
                <w:szCs w:val="11"/>
                <w:b w:val="1"/>
                <w:bCs w:val="1"/>
                <w:color w:val="auto"/>
              </w:rPr>
              <w:t>(Exact name of obligor as specified in its charter)</w:t>
            </w:r>
          </w:p>
        </w:tc>
        <w:tc>
          <w:tcPr>
            <w:tcW w:w="1040" w:type="dxa"/>
            <w:vAlign w:val="bottom"/>
          </w:tcPr>
          <w:p>
            <w:pPr>
              <w:spacing w:after="0"/>
              <w:rPr>
                <w:sz w:val="13"/>
                <w:szCs w:val="13"/>
                <w:color w:val="auto"/>
              </w:rPr>
            </w:pPr>
          </w:p>
        </w:tc>
      </w:tr>
      <w:tr>
        <w:trPr>
          <w:trHeight w:val="245"/>
        </w:trPr>
        <w:tc>
          <w:tcPr>
            <w:tcW w:w="2180" w:type="dxa"/>
            <w:vAlign w:val="bottom"/>
          </w:tcPr>
          <w:p>
            <w:pPr>
              <w:spacing w:after="0"/>
              <w:rPr>
                <w:sz w:val="21"/>
                <w:szCs w:val="21"/>
                <w:color w:val="auto"/>
              </w:rPr>
            </w:pPr>
          </w:p>
        </w:tc>
        <w:tc>
          <w:tcPr>
            <w:tcW w:w="1840" w:type="dxa"/>
            <w:vAlign w:val="bottom"/>
            <w:tcBorders>
              <w:bottom w:val="single" w:sz="8" w:color="auto"/>
            </w:tcBorders>
          </w:tcPr>
          <w:p>
            <w:pPr>
              <w:spacing w:after="0"/>
              <w:rPr>
                <w:sz w:val="21"/>
                <w:szCs w:val="21"/>
                <w:color w:val="auto"/>
              </w:rPr>
            </w:pPr>
          </w:p>
        </w:tc>
        <w:tc>
          <w:tcPr>
            <w:tcW w:w="7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347"/>
        </w:trPr>
        <w:tc>
          <w:tcPr>
            <w:tcW w:w="4740" w:type="dxa"/>
            <w:vAlign w:val="bottom"/>
            <w:gridSpan w:val="3"/>
          </w:tcPr>
          <w:p>
            <w:pPr>
              <w:jc w:val="center"/>
              <w:ind w:right="2860"/>
              <w:spacing w:after="0"/>
              <w:rPr>
                <w:sz w:val="20"/>
                <w:szCs w:val="20"/>
                <w:color w:val="auto"/>
              </w:rPr>
            </w:pPr>
            <w:r>
              <w:rPr>
                <w:rFonts w:ascii="Times New Roman" w:cs="Times New Roman" w:eastAsia="Times New Roman" w:hAnsi="Times New Roman"/>
                <w:sz w:val="14"/>
                <w:szCs w:val="14"/>
                <w:b w:val="1"/>
                <w:bCs w:val="1"/>
                <w:color w:val="auto"/>
                <w:w w:val="99"/>
              </w:rPr>
              <w:t>Florida</w:t>
            </w:r>
          </w:p>
        </w:tc>
        <w:tc>
          <w:tcPr>
            <w:tcW w:w="1040" w:type="dxa"/>
            <w:vAlign w:val="bottom"/>
          </w:tcPr>
          <w:p>
            <w:pPr>
              <w:jc w:val="center"/>
              <w:ind w:left="137"/>
              <w:spacing w:after="0"/>
              <w:rPr>
                <w:sz w:val="20"/>
                <w:szCs w:val="20"/>
                <w:color w:val="auto"/>
              </w:rPr>
            </w:pPr>
            <w:r>
              <w:rPr>
                <w:rFonts w:ascii="Times New Roman" w:cs="Times New Roman" w:eastAsia="Times New Roman" w:hAnsi="Times New Roman"/>
                <w:sz w:val="14"/>
                <w:szCs w:val="14"/>
                <w:b w:val="1"/>
                <w:bCs w:val="1"/>
                <w:color w:val="auto"/>
              </w:rPr>
              <w:t>65-0043078</w:t>
            </w:r>
          </w:p>
        </w:tc>
      </w:tr>
      <w:tr>
        <w:trPr>
          <w:trHeight w:val="118"/>
        </w:trPr>
        <w:tc>
          <w:tcPr>
            <w:tcW w:w="4740" w:type="dxa"/>
            <w:vAlign w:val="bottom"/>
            <w:gridSpan w:val="3"/>
          </w:tcPr>
          <w:p>
            <w:pPr>
              <w:jc w:val="center"/>
              <w:ind w:right="2860"/>
              <w:spacing w:after="0" w:line="118" w:lineRule="exact"/>
              <w:rPr>
                <w:sz w:val="20"/>
                <w:szCs w:val="20"/>
                <w:color w:val="auto"/>
              </w:rPr>
            </w:pPr>
            <w:r>
              <w:rPr>
                <w:rFonts w:ascii="Times New Roman" w:cs="Times New Roman" w:eastAsia="Times New Roman" w:hAnsi="Times New Roman"/>
                <w:sz w:val="11"/>
                <w:szCs w:val="11"/>
                <w:b w:val="1"/>
                <w:bCs w:val="1"/>
                <w:color w:val="auto"/>
              </w:rPr>
              <w:t>(State or other jurisdiction of</w:t>
            </w:r>
          </w:p>
        </w:tc>
        <w:tc>
          <w:tcPr>
            <w:tcW w:w="1040" w:type="dxa"/>
            <w:vAlign w:val="bottom"/>
          </w:tcPr>
          <w:p>
            <w:pPr>
              <w:jc w:val="center"/>
              <w:ind w:left="137"/>
              <w:spacing w:after="0" w:line="118" w:lineRule="exact"/>
              <w:rPr>
                <w:sz w:val="20"/>
                <w:szCs w:val="20"/>
                <w:color w:val="auto"/>
              </w:rPr>
            </w:pPr>
            <w:r>
              <w:rPr>
                <w:rFonts w:ascii="Times New Roman" w:cs="Times New Roman" w:eastAsia="Times New Roman" w:hAnsi="Times New Roman"/>
                <w:sz w:val="11"/>
                <w:szCs w:val="11"/>
                <w:b w:val="1"/>
                <w:bCs w:val="1"/>
                <w:color w:val="auto"/>
              </w:rPr>
              <w:t>(I.R.S. employer</w:t>
            </w:r>
          </w:p>
        </w:tc>
      </w:tr>
      <w:tr>
        <w:trPr>
          <w:trHeight w:val="150"/>
        </w:trPr>
        <w:tc>
          <w:tcPr>
            <w:tcW w:w="4740" w:type="dxa"/>
            <w:vAlign w:val="bottom"/>
            <w:gridSpan w:val="3"/>
          </w:tcPr>
          <w:p>
            <w:pPr>
              <w:jc w:val="center"/>
              <w:ind w:right="2860"/>
              <w:spacing w:after="0"/>
              <w:rPr>
                <w:sz w:val="20"/>
                <w:szCs w:val="20"/>
                <w:color w:val="auto"/>
              </w:rPr>
            </w:pPr>
            <w:r>
              <w:rPr>
                <w:rFonts w:ascii="Times New Roman" w:cs="Times New Roman" w:eastAsia="Times New Roman" w:hAnsi="Times New Roman"/>
                <w:sz w:val="11"/>
                <w:szCs w:val="11"/>
                <w:b w:val="1"/>
                <w:bCs w:val="1"/>
                <w:color w:val="auto"/>
              </w:rPr>
              <w:t>incorporation or organization)</w:t>
            </w:r>
          </w:p>
        </w:tc>
        <w:tc>
          <w:tcPr>
            <w:tcW w:w="1040" w:type="dxa"/>
            <w:vAlign w:val="bottom"/>
          </w:tcPr>
          <w:p>
            <w:pPr>
              <w:jc w:val="center"/>
              <w:ind w:left="117"/>
              <w:spacing w:after="0"/>
              <w:rPr>
                <w:sz w:val="20"/>
                <w:szCs w:val="20"/>
                <w:color w:val="auto"/>
              </w:rPr>
            </w:pPr>
            <w:r>
              <w:rPr>
                <w:rFonts w:ascii="Times New Roman" w:cs="Times New Roman" w:eastAsia="Times New Roman" w:hAnsi="Times New Roman"/>
                <w:sz w:val="11"/>
                <w:szCs w:val="11"/>
                <w:b w:val="1"/>
                <w:bCs w:val="1"/>
                <w:color w:val="auto"/>
              </w:rPr>
              <w:t>identification no.)</w:t>
            </w:r>
          </w:p>
        </w:tc>
      </w:tr>
      <w:tr>
        <w:trPr>
          <w:trHeight w:val="325"/>
        </w:trPr>
        <w:tc>
          <w:tcPr>
            <w:tcW w:w="4740" w:type="dxa"/>
            <w:vAlign w:val="bottom"/>
            <w:gridSpan w:val="3"/>
          </w:tcPr>
          <w:p>
            <w:pPr>
              <w:jc w:val="center"/>
              <w:ind w:right="2860"/>
              <w:spacing w:after="0"/>
              <w:rPr>
                <w:sz w:val="20"/>
                <w:szCs w:val="20"/>
                <w:color w:val="auto"/>
              </w:rPr>
            </w:pPr>
            <w:r>
              <w:rPr>
                <w:rFonts w:ascii="Times New Roman" w:cs="Times New Roman" w:eastAsia="Times New Roman" w:hAnsi="Times New Roman"/>
                <w:sz w:val="14"/>
                <w:szCs w:val="14"/>
                <w:b w:val="1"/>
                <w:bCs w:val="1"/>
                <w:color w:val="auto"/>
                <w:w w:val="99"/>
              </w:rPr>
              <w:t>4955 Technology Way</w:t>
            </w:r>
          </w:p>
        </w:tc>
        <w:tc>
          <w:tcPr>
            <w:tcW w:w="1040" w:type="dxa"/>
            <w:vAlign w:val="bottom"/>
          </w:tcPr>
          <w:p>
            <w:pPr>
              <w:spacing w:after="0"/>
              <w:rPr>
                <w:sz w:val="24"/>
                <w:szCs w:val="24"/>
                <w:color w:val="auto"/>
              </w:rPr>
            </w:pPr>
          </w:p>
        </w:tc>
      </w:tr>
      <w:tr>
        <w:trPr>
          <w:trHeight w:val="180"/>
        </w:trPr>
        <w:tc>
          <w:tcPr>
            <w:tcW w:w="4740" w:type="dxa"/>
            <w:vAlign w:val="bottom"/>
            <w:gridSpan w:val="3"/>
          </w:tcPr>
          <w:p>
            <w:pPr>
              <w:jc w:val="center"/>
              <w:ind w:right="2860"/>
              <w:spacing w:after="0"/>
              <w:rPr>
                <w:sz w:val="20"/>
                <w:szCs w:val="20"/>
                <w:color w:val="auto"/>
              </w:rPr>
            </w:pPr>
            <w:r>
              <w:rPr>
                <w:rFonts w:ascii="Times New Roman" w:cs="Times New Roman" w:eastAsia="Times New Roman" w:hAnsi="Times New Roman"/>
                <w:sz w:val="14"/>
                <w:szCs w:val="14"/>
                <w:b w:val="1"/>
                <w:bCs w:val="1"/>
                <w:color w:val="auto"/>
              </w:rPr>
              <w:t>Boca Raton, Florida</w:t>
            </w:r>
          </w:p>
        </w:tc>
        <w:tc>
          <w:tcPr>
            <w:tcW w:w="1040" w:type="dxa"/>
            <w:vAlign w:val="bottom"/>
          </w:tcPr>
          <w:p>
            <w:pPr>
              <w:jc w:val="center"/>
              <w:ind w:left="137"/>
              <w:spacing w:after="0"/>
              <w:rPr>
                <w:sz w:val="20"/>
                <w:szCs w:val="20"/>
                <w:color w:val="auto"/>
              </w:rPr>
            </w:pPr>
            <w:r>
              <w:rPr>
                <w:rFonts w:ascii="Times New Roman" w:cs="Times New Roman" w:eastAsia="Times New Roman" w:hAnsi="Times New Roman"/>
                <w:sz w:val="14"/>
                <w:szCs w:val="14"/>
                <w:b w:val="1"/>
                <w:bCs w:val="1"/>
                <w:color w:val="auto"/>
              </w:rPr>
              <w:t>33431</w:t>
            </w:r>
          </w:p>
        </w:tc>
      </w:tr>
      <w:tr>
        <w:trPr>
          <w:trHeight w:val="150"/>
        </w:trPr>
        <w:tc>
          <w:tcPr>
            <w:tcW w:w="4740" w:type="dxa"/>
            <w:vAlign w:val="bottom"/>
            <w:gridSpan w:val="3"/>
          </w:tcPr>
          <w:p>
            <w:pPr>
              <w:jc w:val="center"/>
              <w:ind w:right="2860"/>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tc>
        <w:tc>
          <w:tcPr>
            <w:tcW w:w="1040" w:type="dxa"/>
            <w:vAlign w:val="bottom"/>
          </w:tcPr>
          <w:p>
            <w:pPr>
              <w:jc w:val="center"/>
              <w:ind w:left="117"/>
              <w:spacing w:after="0"/>
              <w:rPr>
                <w:sz w:val="20"/>
                <w:szCs w:val="20"/>
                <w:color w:val="auto"/>
              </w:rPr>
            </w:pPr>
            <w:r>
              <w:rPr>
                <w:rFonts w:ascii="Times New Roman" w:cs="Times New Roman" w:eastAsia="Times New Roman" w:hAnsi="Times New Roman"/>
                <w:sz w:val="11"/>
                <w:szCs w:val="11"/>
                <w:b w:val="1"/>
                <w:bCs w:val="1"/>
                <w:color w:val="auto"/>
              </w:rPr>
              <w:t>(Zip code)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2277745</wp:posOffset>
            </wp:positionH>
            <wp:positionV relativeFrom="paragraph">
              <wp:posOffset>155575</wp:posOffset>
            </wp:positionV>
            <wp:extent cx="1165225" cy="698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4">
                      <a:extLst>
                        <a:ext uri="{28A0092B-C50C-407E-A947-70E740481C1C}"/>
                      </a:extLst>
                    </a:blip>
                    <a:srcRect/>
                    <a:stretch>
                      <a:fillRect/>
                    </a:stretch>
                  </pic:blipFill>
                  <pic:spPr bwMode="auto">
                    <a:xfrm>
                      <a:off x="0" y="0"/>
                      <a:ext cx="1165225" cy="6985"/>
                    </a:xfrm>
                    <a:prstGeom prst="rect">
                      <a:avLst/>
                    </a:prstGeom>
                    <a:noFill/>
                  </pic:spPr>
                </pic:pic>
              </a:graphicData>
            </a:graphic>
          </wp:anchor>
        </w:drawing>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Senior Debt Securities and Guarantees of Senior Debt Securities</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Subordinated Debt Securities and Guarantees of Subordinated Debt Securities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(Title of the indenture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120650</wp:posOffset>
            </wp:positionV>
            <wp:extent cx="5559425" cy="698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5">
                      <a:extLst>
                        <a:ext uri="{28A0092B-C50C-407E-A947-70E740481C1C}"/>
                      </a:extLst>
                    </a:blip>
                    <a:srcRect/>
                    <a:stretch>
                      <a:fillRect/>
                    </a:stretch>
                  </pic:blipFill>
                  <pic:spPr bwMode="auto">
                    <a:xfrm>
                      <a:off x="0" y="0"/>
                      <a:ext cx="5559425" cy="6985"/>
                    </a:xfrm>
                    <a:prstGeom prst="rect">
                      <a:avLst/>
                    </a:prstGeom>
                    <a:noFill/>
                  </pic:spPr>
                </pic:pic>
              </a:graphicData>
            </a:graphic>
          </wp:anchor>
        </w:drawing>
        <w:drawing>
          <wp:anchor simplePos="0" relativeHeight="251657728" behindDoc="1" locked="0" layoutInCell="0" allowOverlap="1">
            <wp:simplePos x="0" y="0"/>
            <wp:positionH relativeFrom="column">
              <wp:posOffset>83820</wp:posOffset>
            </wp:positionH>
            <wp:positionV relativeFrom="paragraph">
              <wp:posOffset>154940</wp:posOffset>
            </wp:positionV>
            <wp:extent cx="5559425" cy="698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6">
                      <a:extLst>
                        <a:ext uri="{28A0092B-C50C-407E-A947-70E740481C1C}"/>
                      </a:extLst>
                    </a:blip>
                    <a:srcRect/>
                    <a:stretch>
                      <a:fillRect/>
                    </a:stretch>
                  </pic:blipFill>
                  <pic:spPr bwMode="auto">
                    <a:xfrm>
                      <a:off x="0" y="0"/>
                      <a:ext cx="5559425" cy="698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64" w:name="page265"/>
    <w:bookmarkEnd w:id="264"/>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7">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CO-REGISTRANTS</w:t>
      </w:r>
    </w:p>
    <w:p>
      <w:pPr>
        <w:spacing w:after="0" w:line="182" w:lineRule="exact"/>
        <w:rPr>
          <w:sz w:val="20"/>
          <w:szCs w:val="20"/>
          <w:color w:val="auto"/>
        </w:rPr>
      </w:pPr>
    </w:p>
    <w:p>
      <w:pPr>
        <w:ind w:left="120" w:right="239"/>
        <w:spacing w:after="0" w:line="295" w:lineRule="auto"/>
        <w:rPr>
          <w:sz w:val="20"/>
          <w:szCs w:val="20"/>
          <w:color w:val="auto"/>
        </w:rPr>
      </w:pPr>
      <w:r>
        <w:rPr>
          <w:rFonts w:ascii="Times New Roman" w:cs="Times New Roman" w:eastAsia="Times New Roman" w:hAnsi="Times New Roman"/>
          <w:sz w:val="14"/>
          <w:szCs w:val="14"/>
          <w:b w:val="1"/>
          <w:bCs w:val="1"/>
          <w:color w:val="auto"/>
        </w:rPr>
        <w:t>The following direct and indirect subsidiaries of the registrant may guarantee the debt securities and are co-registrants under this registration statement.</w:t>
      </w:r>
    </w:p>
    <w:p>
      <w:pPr>
        <w:spacing w:after="0" w:line="130" w:lineRule="exact"/>
        <w:rPr>
          <w:sz w:val="20"/>
          <w:szCs w:val="20"/>
          <w:color w:val="auto"/>
        </w:rPr>
      </w:pPr>
    </w:p>
    <w:tbl>
      <w:tblPr>
        <w:tblLayout w:type="fixed"/>
        <w:tblInd w:w="1180" w:type="dxa"/>
        <w:tblCellMar>
          <w:top w:w="0" w:type="dxa"/>
          <w:left w:w="0" w:type="dxa"/>
          <w:bottom w:w="0" w:type="dxa"/>
          <w:right w:w="0" w:type="dxa"/>
        </w:tblCellMar>
      </w:tblPr>
      <w:tr>
        <w:trPr>
          <w:trHeight w:val="126"/>
        </w:trPr>
        <w:tc>
          <w:tcPr>
            <w:tcW w:w="18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State or Other</w:t>
            </w:r>
          </w:p>
        </w:tc>
        <w:tc>
          <w:tcPr>
            <w:tcW w:w="9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I.R.S. Employer</w:t>
            </w:r>
          </w:p>
        </w:tc>
        <w:tc>
          <w:tcPr>
            <w:tcW w:w="0" w:type="dxa"/>
            <w:vAlign w:val="bottom"/>
          </w:tcPr>
          <w:p>
            <w:pPr>
              <w:spacing w:after="0"/>
              <w:rPr>
                <w:sz w:val="1"/>
                <w:szCs w:val="1"/>
                <w:color w:val="auto"/>
              </w:rPr>
            </w:pPr>
          </w:p>
        </w:tc>
      </w:tr>
      <w:tr>
        <w:trPr>
          <w:trHeight w:val="118"/>
        </w:trPr>
        <w:tc>
          <w:tcPr>
            <w:tcW w:w="184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4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1"/>
                <w:szCs w:val="11"/>
                <w:b w:val="1"/>
                <w:bCs w:val="1"/>
                <w:color w:val="auto"/>
              </w:rPr>
              <w:t>Jurisdiction of</w:t>
            </w:r>
          </w:p>
        </w:tc>
        <w:tc>
          <w:tcPr>
            <w:tcW w:w="9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84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Exact Name of Subsidiary Guarantor</w:t>
            </w:r>
          </w:p>
        </w:tc>
        <w:tc>
          <w:tcPr>
            <w:tcW w:w="1800" w:type="dxa"/>
            <w:vAlign w:val="bottom"/>
            <w:vMerge w:val="restart"/>
          </w:tcPr>
          <w:p>
            <w:pPr>
              <w:spacing w:after="0"/>
              <w:rPr>
                <w:sz w:val="10"/>
                <w:szCs w:val="10"/>
                <w:color w:val="auto"/>
              </w:rPr>
            </w:pPr>
          </w:p>
        </w:tc>
        <w:tc>
          <w:tcPr>
            <w:tcW w:w="1080" w:type="dxa"/>
            <w:vAlign w:val="bottom"/>
          </w:tcPr>
          <w:p>
            <w:pPr>
              <w:spacing w:after="0"/>
              <w:rPr>
                <w:sz w:val="10"/>
                <w:szCs w:val="10"/>
                <w:color w:val="auto"/>
              </w:rPr>
            </w:pPr>
          </w:p>
        </w:tc>
        <w:tc>
          <w:tcPr>
            <w:tcW w:w="1040" w:type="dxa"/>
            <w:vAlign w:val="bottom"/>
            <w:gridSpan w:val="2"/>
          </w:tcPr>
          <w:p>
            <w:pPr>
              <w:spacing w:after="0" w:line="118" w:lineRule="exact"/>
              <w:rPr>
                <w:sz w:val="20"/>
                <w:szCs w:val="20"/>
                <w:color w:val="auto"/>
              </w:rPr>
            </w:pPr>
            <w:r>
              <w:rPr>
                <w:rFonts w:ascii="Times New Roman" w:cs="Times New Roman" w:eastAsia="Times New Roman" w:hAnsi="Times New Roman"/>
                <w:sz w:val="11"/>
                <w:szCs w:val="11"/>
                <w:b w:val="1"/>
                <w:bCs w:val="1"/>
                <w:color w:val="auto"/>
              </w:rPr>
              <w:t>Incorporation or</w:t>
            </w:r>
          </w:p>
        </w:tc>
        <w:tc>
          <w:tcPr>
            <w:tcW w:w="900" w:type="dxa"/>
            <w:vAlign w:val="bottom"/>
            <w:gridSpan w:val="2"/>
          </w:tcPr>
          <w:p>
            <w:pPr>
              <w:jc w:val="center"/>
              <w:ind w:right="80"/>
              <w:spacing w:after="0" w:line="118" w:lineRule="exact"/>
              <w:rPr>
                <w:sz w:val="20"/>
                <w:szCs w:val="20"/>
                <w:color w:val="auto"/>
              </w:rPr>
            </w:pPr>
            <w:r>
              <w:rPr>
                <w:rFonts w:ascii="Times New Roman" w:cs="Times New Roman" w:eastAsia="Times New Roman" w:hAnsi="Times New Roman"/>
                <w:sz w:val="11"/>
                <w:szCs w:val="11"/>
                <w:b w:val="1"/>
                <w:bCs w:val="1"/>
                <w:color w:val="auto"/>
              </w:rPr>
              <w:t>Identification</w:t>
            </w:r>
          </w:p>
        </w:tc>
        <w:tc>
          <w:tcPr>
            <w:tcW w:w="0" w:type="dxa"/>
            <w:vAlign w:val="bottom"/>
          </w:tcPr>
          <w:p>
            <w:pPr>
              <w:spacing w:after="0"/>
              <w:rPr>
                <w:sz w:val="1"/>
                <w:szCs w:val="1"/>
                <w:color w:val="auto"/>
              </w:rPr>
            </w:pPr>
          </w:p>
        </w:tc>
      </w:tr>
      <w:tr>
        <w:trPr>
          <w:trHeight w:val="147"/>
        </w:trPr>
        <w:tc>
          <w:tcPr>
            <w:tcW w:w="1840" w:type="dxa"/>
            <w:vAlign w:val="bottom"/>
            <w:tcBorders>
              <w:bottom w:val="single" w:sz="8" w:color="auto"/>
            </w:tcBorders>
            <w:vMerge w:val="continue"/>
          </w:tcPr>
          <w:p>
            <w:pPr>
              <w:spacing w:after="0"/>
              <w:rPr>
                <w:sz w:val="12"/>
                <w:szCs w:val="12"/>
                <w:color w:val="auto"/>
              </w:rPr>
            </w:pPr>
          </w:p>
        </w:tc>
        <w:tc>
          <w:tcPr>
            <w:tcW w:w="180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Formation</w:t>
            </w:r>
          </w:p>
        </w:tc>
        <w:tc>
          <w:tcPr>
            <w:tcW w:w="90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0" w:type="dxa"/>
            <w:vAlign w:val="bottom"/>
          </w:tcPr>
          <w:p>
            <w:pPr>
              <w:spacing w:after="0"/>
              <w:rPr>
                <w:sz w:val="1"/>
                <w:szCs w:val="1"/>
                <w:color w:val="auto"/>
              </w:rPr>
            </w:pPr>
          </w:p>
        </w:tc>
      </w:tr>
      <w:tr>
        <w:trPr>
          <w:trHeight w:val="153"/>
        </w:trPr>
        <w:tc>
          <w:tcPr>
            <w:tcW w:w="3640" w:type="dxa"/>
            <w:vAlign w:val="bottom"/>
            <w:tcBorders>
              <w:top w:val="single" w:sz="8" w:color="CCEEFF"/>
            </w:tcBorders>
            <w:gridSpan w:val="2"/>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ADAPPT, LLC</w:t>
            </w:r>
          </w:p>
        </w:tc>
        <w:tc>
          <w:tcPr>
            <w:tcW w:w="108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Pennsylvania</w:t>
            </w:r>
          </w:p>
        </w:tc>
        <w:tc>
          <w:tcPr>
            <w:tcW w:w="18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jc w:val="right"/>
              <w:spacing w:after="0" w:line="153" w:lineRule="exact"/>
              <w:rPr>
                <w:sz w:val="20"/>
                <w:szCs w:val="20"/>
                <w:color w:val="auto"/>
              </w:rPr>
            </w:pPr>
            <w:r>
              <w:rPr>
                <w:rFonts w:ascii="Times New Roman" w:cs="Times New Roman" w:eastAsia="Times New Roman" w:hAnsi="Times New Roman"/>
                <w:sz w:val="14"/>
                <w:szCs w:val="14"/>
                <w:color w:val="auto"/>
              </w:rPr>
              <w:t>23-2653056</w:t>
            </w: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Arapahoe County Residential Center, LLC</w:t>
            </w:r>
          </w:p>
        </w:tc>
        <w:tc>
          <w:tcPr>
            <w:tcW w:w="2120" w:type="dxa"/>
            <w:vAlign w:val="bottom"/>
            <w:gridSpan w:val="3"/>
          </w:tcPr>
          <w:p>
            <w:pPr>
              <w:ind w:left="1060"/>
              <w:spacing w:after="0"/>
              <w:rPr>
                <w:sz w:val="20"/>
                <w:szCs w:val="20"/>
                <w:color w:val="auto"/>
              </w:rPr>
            </w:pPr>
            <w:r>
              <w:rPr>
                <w:rFonts w:ascii="Times New Roman" w:cs="Times New Roman" w:eastAsia="Times New Roman" w:hAnsi="Times New Roman"/>
                <w:sz w:val="14"/>
                <w:szCs w:val="14"/>
                <w:color w:val="auto"/>
              </w:rPr>
              <w:t>Colorado</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84-1145631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B.I. Incorporated</w:t>
            </w:r>
          </w:p>
        </w:tc>
        <w:tc>
          <w:tcPr>
            <w:tcW w:w="2120" w:type="dxa"/>
            <w:vAlign w:val="bottom"/>
            <w:gridSpan w:val="3"/>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Colorado</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84-0769926</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Behavioral Acquisition Corp.</w:t>
            </w:r>
          </w:p>
        </w:tc>
        <w:tc>
          <w:tcPr>
            <w:tcW w:w="2120" w:type="dxa"/>
            <w:vAlign w:val="bottom"/>
            <w:gridSpan w:val="3"/>
          </w:tcPr>
          <w:p>
            <w:pPr>
              <w:ind w:left="1060"/>
              <w:spacing w:after="0"/>
              <w:rPr>
                <w:sz w:val="20"/>
                <w:szCs w:val="20"/>
                <w:color w:val="auto"/>
              </w:rPr>
            </w:pPr>
            <w:r>
              <w:rPr>
                <w:rFonts w:ascii="Times New Roman" w:cs="Times New Roman" w:eastAsia="Times New Roman" w:hAnsi="Times New Roman"/>
                <w:sz w:val="14"/>
                <w:szCs w:val="14"/>
                <w:color w:val="auto"/>
              </w:rPr>
              <w:t>Delaware</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22-3746193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Behavioral Holding Corp.</w:t>
            </w:r>
          </w:p>
        </w:tc>
        <w:tc>
          <w:tcPr>
            <w:tcW w:w="2120" w:type="dxa"/>
            <w:vAlign w:val="bottom"/>
            <w:gridSpan w:val="3"/>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Delaware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20-4244005</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BI Mobile Breath, LLC</w:t>
            </w:r>
          </w:p>
        </w:tc>
        <w:tc>
          <w:tcPr>
            <w:tcW w:w="2120" w:type="dxa"/>
            <w:vAlign w:val="bottom"/>
            <w:gridSpan w:val="3"/>
          </w:tcPr>
          <w:p>
            <w:pPr>
              <w:ind w:left="1060"/>
              <w:spacing w:after="0"/>
              <w:rPr>
                <w:sz w:val="20"/>
                <w:szCs w:val="20"/>
                <w:color w:val="auto"/>
              </w:rPr>
            </w:pPr>
            <w:r>
              <w:rPr>
                <w:rFonts w:ascii="Times New Roman" w:cs="Times New Roman" w:eastAsia="Times New Roman" w:hAnsi="Times New Roman"/>
                <w:sz w:val="14"/>
                <w:szCs w:val="14"/>
                <w:color w:val="auto"/>
              </w:rPr>
              <w:t>Delaware</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27-1931247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BII Holding Corporation</w:t>
            </w:r>
          </w:p>
        </w:tc>
        <w:tc>
          <w:tcPr>
            <w:tcW w:w="2120" w:type="dxa"/>
            <w:vAlign w:val="bottom"/>
            <w:gridSpan w:val="3"/>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Delaware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26-3064495</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BII Holding I Corporation</w:t>
            </w:r>
          </w:p>
        </w:tc>
        <w:tc>
          <w:tcPr>
            <w:tcW w:w="2120" w:type="dxa"/>
            <w:vAlign w:val="bottom"/>
            <w:gridSpan w:val="3"/>
          </w:tcPr>
          <w:p>
            <w:pPr>
              <w:ind w:left="1060"/>
              <w:spacing w:after="0"/>
              <w:rPr>
                <w:sz w:val="20"/>
                <w:szCs w:val="20"/>
                <w:color w:val="auto"/>
              </w:rPr>
            </w:pPr>
            <w:r>
              <w:rPr>
                <w:rFonts w:ascii="Times New Roman" w:cs="Times New Roman" w:eastAsia="Times New Roman" w:hAnsi="Times New Roman"/>
                <w:sz w:val="14"/>
                <w:szCs w:val="14"/>
                <w:color w:val="auto"/>
              </w:rPr>
              <w:t>Delaware</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26-3334669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Broad Real Estate Holdings LLC</w:t>
            </w:r>
          </w:p>
        </w:tc>
        <w:tc>
          <w:tcPr>
            <w:tcW w:w="2120" w:type="dxa"/>
            <w:vAlign w:val="bottom"/>
            <w:gridSpan w:val="3"/>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Delaware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CCC Wyoming Properties, LLC</w:t>
            </w:r>
          </w:p>
        </w:tc>
        <w:tc>
          <w:tcPr>
            <w:tcW w:w="2120" w:type="dxa"/>
            <w:vAlign w:val="bottom"/>
            <w:gridSpan w:val="3"/>
          </w:tcPr>
          <w:p>
            <w:pPr>
              <w:ind w:left="1060"/>
              <w:spacing w:after="0"/>
              <w:rPr>
                <w:sz w:val="20"/>
                <w:szCs w:val="20"/>
                <w:color w:val="auto"/>
              </w:rPr>
            </w:pPr>
            <w:r>
              <w:rPr>
                <w:rFonts w:ascii="Times New Roman" w:cs="Times New Roman" w:eastAsia="Times New Roman" w:hAnsi="Times New Roman"/>
                <w:sz w:val="14"/>
                <w:szCs w:val="14"/>
                <w:color w:val="auto"/>
              </w:rPr>
              <w:t>Wyoming</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06-1531669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CCMAS LLC</w:t>
            </w:r>
          </w:p>
        </w:tc>
        <w:tc>
          <w:tcPr>
            <w:tcW w:w="2120" w:type="dxa"/>
            <w:vAlign w:val="bottom"/>
            <w:gridSpan w:val="3"/>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Delaware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32-0393183</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CEC Intermediate Holdings LLC</w:t>
            </w:r>
          </w:p>
        </w:tc>
        <w:tc>
          <w:tcPr>
            <w:tcW w:w="2120" w:type="dxa"/>
            <w:vAlign w:val="bottom"/>
            <w:gridSpan w:val="3"/>
          </w:tcPr>
          <w:p>
            <w:pPr>
              <w:ind w:left="1060"/>
              <w:spacing w:after="0"/>
              <w:rPr>
                <w:sz w:val="20"/>
                <w:szCs w:val="20"/>
                <w:color w:val="auto"/>
              </w:rPr>
            </w:pPr>
            <w:r>
              <w:rPr>
                <w:rFonts w:ascii="Times New Roman" w:cs="Times New Roman" w:eastAsia="Times New Roman" w:hAnsi="Times New Roman"/>
                <w:sz w:val="14"/>
                <w:szCs w:val="14"/>
                <w:color w:val="auto"/>
              </w:rPr>
              <w:t>Delaware</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CEC Parent Holdings LLC</w:t>
            </w:r>
          </w:p>
        </w:tc>
        <w:tc>
          <w:tcPr>
            <w:tcW w:w="2120" w:type="dxa"/>
            <w:vAlign w:val="bottom"/>
            <w:gridSpan w:val="3"/>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Delaware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47-3464615</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CEC Staffing Solutions LLC</w:t>
            </w:r>
          </w:p>
        </w:tc>
        <w:tc>
          <w:tcPr>
            <w:tcW w:w="2120" w:type="dxa"/>
            <w:vAlign w:val="bottom"/>
            <w:gridSpan w:val="3"/>
          </w:tcPr>
          <w:p>
            <w:pPr>
              <w:ind w:left="1060"/>
              <w:spacing w:after="0"/>
              <w:rPr>
                <w:sz w:val="20"/>
                <w:szCs w:val="20"/>
                <w:color w:val="auto"/>
              </w:rPr>
            </w:pPr>
            <w:r>
              <w:rPr>
                <w:rFonts w:ascii="Times New Roman" w:cs="Times New Roman" w:eastAsia="Times New Roman" w:hAnsi="Times New Roman"/>
                <w:sz w:val="14"/>
                <w:szCs w:val="14"/>
                <w:color w:val="auto"/>
              </w:rPr>
              <w:t>New Jersey</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47-4539867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CiviGenics Management Services, LLC</w:t>
            </w:r>
          </w:p>
        </w:tc>
        <w:tc>
          <w:tcPr>
            <w:tcW w:w="2120" w:type="dxa"/>
            <w:vAlign w:val="bottom"/>
            <w:gridSpan w:val="3"/>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Massachusetts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04-3353973</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CiviGenics, Inc.</w:t>
            </w:r>
          </w:p>
        </w:tc>
        <w:tc>
          <w:tcPr>
            <w:tcW w:w="2120" w:type="dxa"/>
            <w:vAlign w:val="bottom"/>
            <w:gridSpan w:val="3"/>
          </w:tcPr>
          <w:p>
            <w:pPr>
              <w:ind w:left="1060"/>
              <w:spacing w:after="0"/>
              <w:rPr>
                <w:sz w:val="20"/>
                <w:szCs w:val="20"/>
                <w:color w:val="auto"/>
              </w:rPr>
            </w:pPr>
            <w:r>
              <w:rPr>
                <w:rFonts w:ascii="Times New Roman" w:cs="Times New Roman" w:eastAsia="Times New Roman" w:hAnsi="Times New Roman"/>
                <w:sz w:val="14"/>
                <w:szCs w:val="14"/>
                <w:color w:val="auto"/>
              </w:rPr>
              <w:t>Massachusetts</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04-3266429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CiviGenics-Texas, Inc.</w:t>
            </w:r>
          </w:p>
        </w:tc>
        <w:tc>
          <w:tcPr>
            <w:tcW w:w="2120" w:type="dxa"/>
            <w:vAlign w:val="bottom"/>
            <w:gridSpan w:val="3"/>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Texas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74-2870249</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Clearstream Development LLC</w:t>
            </w:r>
          </w:p>
        </w:tc>
        <w:tc>
          <w:tcPr>
            <w:tcW w:w="2120" w:type="dxa"/>
            <w:vAlign w:val="bottom"/>
            <w:gridSpan w:val="3"/>
          </w:tcPr>
          <w:p>
            <w:pPr>
              <w:ind w:left="1060"/>
              <w:spacing w:after="0"/>
              <w:rPr>
                <w:sz w:val="20"/>
                <w:szCs w:val="20"/>
                <w:color w:val="auto"/>
              </w:rPr>
            </w:pPr>
            <w:r>
              <w:rPr>
                <w:rFonts w:ascii="Times New Roman" w:cs="Times New Roman" w:eastAsia="Times New Roman" w:hAnsi="Times New Roman"/>
                <w:sz w:val="14"/>
                <w:szCs w:val="14"/>
                <w:color w:val="auto"/>
              </w:rPr>
              <w:t>Delaware</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82-1455265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Community Alternatives</w:t>
            </w:r>
          </w:p>
        </w:tc>
        <w:tc>
          <w:tcPr>
            <w:tcW w:w="2120" w:type="dxa"/>
            <w:vAlign w:val="bottom"/>
            <w:gridSpan w:val="3"/>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Wyoming</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06-1536351</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Community Corrections, LLC</w:t>
            </w:r>
          </w:p>
        </w:tc>
        <w:tc>
          <w:tcPr>
            <w:tcW w:w="2120" w:type="dxa"/>
            <w:vAlign w:val="bottom"/>
            <w:gridSpan w:val="3"/>
          </w:tcPr>
          <w:p>
            <w:pPr>
              <w:ind w:left="1060"/>
              <w:spacing w:after="0"/>
              <w:rPr>
                <w:sz w:val="20"/>
                <w:szCs w:val="20"/>
                <w:color w:val="auto"/>
              </w:rPr>
            </w:pPr>
            <w:r>
              <w:rPr>
                <w:rFonts w:ascii="Times New Roman" w:cs="Times New Roman" w:eastAsia="Times New Roman" w:hAnsi="Times New Roman"/>
                <w:sz w:val="14"/>
                <w:szCs w:val="14"/>
                <w:color w:val="auto"/>
              </w:rPr>
              <w:t>Colorado</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84-0984354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Community Education Centers, Inc.</w:t>
            </w:r>
          </w:p>
        </w:tc>
        <w:tc>
          <w:tcPr>
            <w:tcW w:w="2120" w:type="dxa"/>
            <w:vAlign w:val="bottom"/>
            <w:gridSpan w:val="3"/>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Delaware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22-3457238</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Cornell Companies, Inc.</w:t>
            </w:r>
          </w:p>
        </w:tc>
        <w:tc>
          <w:tcPr>
            <w:tcW w:w="2120" w:type="dxa"/>
            <w:vAlign w:val="bottom"/>
            <w:gridSpan w:val="3"/>
          </w:tcPr>
          <w:p>
            <w:pPr>
              <w:ind w:left="1060"/>
              <w:spacing w:after="0"/>
              <w:rPr>
                <w:sz w:val="20"/>
                <w:szCs w:val="20"/>
                <w:color w:val="auto"/>
              </w:rPr>
            </w:pPr>
            <w:r>
              <w:rPr>
                <w:rFonts w:ascii="Times New Roman" w:cs="Times New Roman" w:eastAsia="Times New Roman" w:hAnsi="Times New Roman"/>
                <w:sz w:val="14"/>
                <w:szCs w:val="14"/>
                <w:color w:val="auto"/>
              </w:rPr>
              <w:t>Delaware</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76-0433642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Cornell Corrections Management, LLC</w:t>
            </w:r>
          </w:p>
        </w:tc>
        <w:tc>
          <w:tcPr>
            <w:tcW w:w="2120" w:type="dxa"/>
            <w:vAlign w:val="bottom"/>
            <w:gridSpan w:val="3"/>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Delaware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74-2650655</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Cornell Corrections of Rhode Island, Inc.</w:t>
            </w:r>
          </w:p>
        </w:tc>
        <w:tc>
          <w:tcPr>
            <w:tcW w:w="2120" w:type="dxa"/>
            <w:vAlign w:val="bottom"/>
            <w:gridSpan w:val="3"/>
          </w:tcPr>
          <w:p>
            <w:pPr>
              <w:ind w:left="1060"/>
              <w:spacing w:after="0"/>
              <w:rPr>
                <w:sz w:val="20"/>
                <w:szCs w:val="20"/>
                <w:color w:val="auto"/>
              </w:rPr>
            </w:pPr>
            <w:r>
              <w:rPr>
                <w:rFonts w:ascii="Times New Roman" w:cs="Times New Roman" w:eastAsia="Times New Roman" w:hAnsi="Times New Roman"/>
                <w:sz w:val="14"/>
                <w:szCs w:val="14"/>
                <w:color w:val="auto"/>
              </w:rPr>
              <w:t>Delaware</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74-2650654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Cornell Corrections of Texas, Inc.</w:t>
            </w:r>
          </w:p>
        </w:tc>
        <w:tc>
          <w:tcPr>
            <w:tcW w:w="2120" w:type="dxa"/>
            <w:vAlign w:val="bottom"/>
            <w:gridSpan w:val="3"/>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Delaware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74-2650651</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Correctional Properties Prison Finance, LLC</w:t>
            </w:r>
          </w:p>
        </w:tc>
        <w:tc>
          <w:tcPr>
            <w:tcW w:w="2120" w:type="dxa"/>
            <w:vAlign w:val="bottom"/>
            <w:gridSpan w:val="3"/>
          </w:tcPr>
          <w:p>
            <w:pPr>
              <w:ind w:left="1060"/>
              <w:spacing w:after="0"/>
              <w:rPr>
                <w:sz w:val="20"/>
                <w:szCs w:val="20"/>
                <w:color w:val="auto"/>
              </w:rPr>
            </w:pPr>
            <w:r>
              <w:rPr>
                <w:rFonts w:ascii="Times New Roman" w:cs="Times New Roman" w:eastAsia="Times New Roman" w:hAnsi="Times New Roman"/>
                <w:sz w:val="14"/>
                <w:szCs w:val="14"/>
                <w:color w:val="auto"/>
              </w:rPr>
              <w:t>Delaware</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Correctional Properties, LLC</w:t>
            </w:r>
          </w:p>
        </w:tc>
        <w:tc>
          <w:tcPr>
            <w:tcW w:w="2120" w:type="dxa"/>
            <w:vAlign w:val="bottom"/>
            <w:gridSpan w:val="3"/>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Delaware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47-2920630</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Correctional Services Corporation, LLC</w:t>
            </w:r>
          </w:p>
        </w:tc>
        <w:tc>
          <w:tcPr>
            <w:tcW w:w="2120" w:type="dxa"/>
            <w:vAlign w:val="bottom"/>
            <w:gridSpan w:val="3"/>
          </w:tcPr>
          <w:p>
            <w:pPr>
              <w:ind w:left="1060"/>
              <w:spacing w:after="0"/>
              <w:rPr>
                <w:sz w:val="20"/>
                <w:szCs w:val="20"/>
                <w:color w:val="auto"/>
              </w:rPr>
            </w:pPr>
            <w:r>
              <w:rPr>
                <w:rFonts w:ascii="Times New Roman" w:cs="Times New Roman" w:eastAsia="Times New Roman" w:hAnsi="Times New Roman"/>
                <w:sz w:val="14"/>
                <w:szCs w:val="14"/>
                <w:color w:val="auto"/>
              </w:rPr>
              <w:t>Delaware</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11-3182580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Correctional Systems, LLC</w:t>
            </w:r>
          </w:p>
        </w:tc>
        <w:tc>
          <w:tcPr>
            <w:tcW w:w="2120" w:type="dxa"/>
            <w:vAlign w:val="bottom"/>
            <w:gridSpan w:val="3"/>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Delaware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33-0607766</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CPT Limited Partner, LLC</w:t>
            </w:r>
          </w:p>
        </w:tc>
        <w:tc>
          <w:tcPr>
            <w:tcW w:w="2120" w:type="dxa"/>
            <w:vAlign w:val="bottom"/>
            <w:gridSpan w:val="3"/>
          </w:tcPr>
          <w:p>
            <w:pPr>
              <w:ind w:left="1060"/>
              <w:spacing w:after="0"/>
              <w:rPr>
                <w:sz w:val="20"/>
                <w:szCs w:val="20"/>
                <w:color w:val="auto"/>
              </w:rPr>
            </w:pPr>
            <w:r>
              <w:rPr>
                <w:rFonts w:ascii="Times New Roman" w:cs="Times New Roman" w:eastAsia="Times New Roman" w:hAnsi="Times New Roman"/>
                <w:sz w:val="14"/>
                <w:szCs w:val="14"/>
                <w:color w:val="auto"/>
              </w:rPr>
              <w:t>Delaware</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CPT Operating Partnership L.P.</w:t>
            </w:r>
          </w:p>
        </w:tc>
        <w:tc>
          <w:tcPr>
            <w:tcW w:w="2120" w:type="dxa"/>
            <w:vAlign w:val="bottom"/>
            <w:gridSpan w:val="3"/>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Delaware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Fenton Security, LLC</w:t>
            </w:r>
          </w:p>
        </w:tc>
        <w:tc>
          <w:tcPr>
            <w:tcW w:w="2120" w:type="dxa"/>
            <w:vAlign w:val="bottom"/>
            <w:gridSpan w:val="3"/>
          </w:tcPr>
          <w:p>
            <w:pPr>
              <w:ind w:left="1060"/>
              <w:spacing w:after="0"/>
              <w:rPr>
                <w:sz w:val="20"/>
                <w:szCs w:val="20"/>
                <w:color w:val="auto"/>
              </w:rPr>
            </w:pPr>
            <w:r>
              <w:rPr>
                <w:rFonts w:ascii="Times New Roman" w:cs="Times New Roman" w:eastAsia="Times New Roman" w:hAnsi="Times New Roman"/>
                <w:sz w:val="14"/>
                <w:szCs w:val="14"/>
                <w:color w:val="auto"/>
              </w:rPr>
              <w:t>Pennsylvania</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23-2216896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GEO Acquisition II, Inc.</w:t>
            </w:r>
          </w:p>
        </w:tc>
        <w:tc>
          <w:tcPr>
            <w:tcW w:w="2120" w:type="dxa"/>
            <w:vAlign w:val="bottom"/>
            <w:gridSpan w:val="3"/>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Delaware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01-0882442</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GEO Care, Inc.</w:t>
            </w:r>
          </w:p>
        </w:tc>
        <w:tc>
          <w:tcPr>
            <w:tcW w:w="2120" w:type="dxa"/>
            <w:vAlign w:val="bottom"/>
            <w:gridSpan w:val="3"/>
          </w:tcPr>
          <w:p>
            <w:pPr>
              <w:ind w:left="1060"/>
              <w:spacing w:after="0"/>
              <w:rPr>
                <w:sz w:val="20"/>
                <w:szCs w:val="20"/>
                <w:color w:val="auto"/>
              </w:rPr>
            </w:pPr>
            <w:r>
              <w:rPr>
                <w:rFonts w:ascii="Times New Roman" w:cs="Times New Roman" w:eastAsia="Times New Roman" w:hAnsi="Times New Roman"/>
                <w:sz w:val="14"/>
                <w:szCs w:val="14"/>
                <w:color w:val="auto"/>
              </w:rPr>
              <w:t>Florida</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39-3124378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GEO Care Services, LLC</w:t>
            </w:r>
          </w:p>
        </w:tc>
        <w:tc>
          <w:tcPr>
            <w:tcW w:w="2120" w:type="dxa"/>
            <w:vAlign w:val="bottom"/>
            <w:gridSpan w:val="3"/>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Delaware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47-3529923</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GEO CC3 Inc.</w:t>
            </w:r>
          </w:p>
        </w:tc>
        <w:tc>
          <w:tcPr>
            <w:tcW w:w="2120" w:type="dxa"/>
            <w:vAlign w:val="bottom"/>
            <w:gridSpan w:val="3"/>
          </w:tcPr>
          <w:p>
            <w:pPr>
              <w:ind w:left="1060"/>
              <w:spacing w:after="0"/>
              <w:rPr>
                <w:sz w:val="20"/>
                <w:szCs w:val="20"/>
                <w:color w:val="auto"/>
              </w:rPr>
            </w:pPr>
            <w:r>
              <w:rPr>
                <w:rFonts w:ascii="Times New Roman" w:cs="Times New Roman" w:eastAsia="Times New Roman" w:hAnsi="Times New Roman"/>
                <w:sz w:val="14"/>
                <w:szCs w:val="14"/>
                <w:color w:val="auto"/>
              </w:rPr>
              <w:t>Delaware</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47-3573145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GEO Corrections Holdings, Inc.</w:t>
            </w:r>
          </w:p>
        </w:tc>
        <w:tc>
          <w:tcPr>
            <w:tcW w:w="2120" w:type="dxa"/>
            <w:vAlign w:val="bottom"/>
            <w:gridSpan w:val="3"/>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Florida</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46-1972528</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GEO CPM, Inc.</w:t>
            </w:r>
          </w:p>
        </w:tc>
        <w:tc>
          <w:tcPr>
            <w:tcW w:w="2120" w:type="dxa"/>
            <w:vAlign w:val="bottom"/>
            <w:gridSpan w:val="3"/>
          </w:tcPr>
          <w:p>
            <w:pPr>
              <w:ind w:left="1060"/>
              <w:spacing w:after="0"/>
              <w:rPr>
                <w:sz w:val="20"/>
                <w:szCs w:val="20"/>
                <w:color w:val="auto"/>
              </w:rPr>
            </w:pPr>
            <w:r>
              <w:rPr>
                <w:rFonts w:ascii="Times New Roman" w:cs="Times New Roman" w:eastAsia="Times New Roman" w:hAnsi="Times New Roman"/>
                <w:sz w:val="14"/>
                <w:szCs w:val="14"/>
                <w:color w:val="auto"/>
              </w:rPr>
              <w:t>Delaware</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47-3543394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GEO Holdings I, Inc.</w:t>
            </w:r>
          </w:p>
        </w:tc>
        <w:tc>
          <w:tcPr>
            <w:tcW w:w="2120" w:type="dxa"/>
            <w:vAlign w:val="bottom"/>
            <w:gridSpan w:val="3"/>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Delaware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56-2635779</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GEO International Services, Inc.</w:t>
            </w:r>
          </w:p>
        </w:tc>
        <w:tc>
          <w:tcPr>
            <w:tcW w:w="2120" w:type="dxa"/>
            <w:vAlign w:val="bottom"/>
            <w:gridSpan w:val="3"/>
          </w:tcPr>
          <w:p>
            <w:pPr>
              <w:ind w:left="1060"/>
              <w:spacing w:after="0"/>
              <w:rPr>
                <w:sz w:val="20"/>
                <w:szCs w:val="20"/>
                <w:color w:val="auto"/>
              </w:rPr>
            </w:pPr>
            <w:r>
              <w:rPr>
                <w:rFonts w:ascii="Times New Roman" w:cs="Times New Roman" w:eastAsia="Times New Roman" w:hAnsi="Times New Roman"/>
                <w:sz w:val="14"/>
                <w:szCs w:val="14"/>
                <w:color w:val="auto"/>
              </w:rPr>
              <w:t>Delaware</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47-3510903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GEO Leasing, LLC</w:t>
            </w:r>
          </w:p>
        </w:tc>
        <w:tc>
          <w:tcPr>
            <w:tcW w:w="2120" w:type="dxa"/>
            <w:vAlign w:val="bottom"/>
            <w:gridSpan w:val="3"/>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Florida</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46-1288456</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41" w:right="1440" w:bottom="1440" w:gutter="0" w:footer="0" w:header="0"/>
        </w:sectPr>
      </w:pPr>
    </w:p>
    <w:bookmarkStart w:id="265" w:name="page266"/>
    <w:bookmarkEnd w:id="26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8">
                      <a:extLst>
                        <a:ext uri="{28A0092B-C50C-407E-A947-70E740481C1C}"/>
                      </a:extLst>
                    </a:blip>
                    <a:srcRect/>
                    <a:stretch>
                      <a:fillRect/>
                    </a:stretch>
                  </pic:blipFill>
                  <pic:spPr bwMode="auto">
                    <a:xfrm>
                      <a:off x="0" y="0"/>
                      <a:ext cx="7199630" cy="33020"/>
                    </a:xfrm>
                    <a:prstGeom prst="rect">
                      <a:avLst/>
                    </a:prstGeom>
                    <a:noFill/>
                  </pic:spPr>
                </pic:pic>
              </a:graphicData>
            </a:graphic>
          </wp:anchor>
        </w:drawing>
      </w:r>
    </w:p>
    <w:tbl>
      <w:tblPr>
        <w:tblLayout w:type="fixed"/>
        <w:tblInd w:w="1180" w:type="dxa"/>
        <w:tblCellMar>
          <w:top w:w="0" w:type="dxa"/>
          <w:left w:w="0" w:type="dxa"/>
          <w:bottom w:w="0" w:type="dxa"/>
          <w:right w:w="0" w:type="dxa"/>
        </w:tblCellMar>
      </w:tblPr>
      <w:tr>
        <w:trPr>
          <w:trHeight w:val="172"/>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GEO Management Services, Inc.</w:t>
            </w:r>
          </w:p>
        </w:tc>
        <w:tc>
          <w:tcPr>
            <w:tcW w:w="196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Delaware</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47-3556698</w:t>
            </w:r>
          </w:p>
        </w:tc>
      </w:tr>
      <w:tr>
        <w:trPr>
          <w:trHeight w:val="172"/>
        </w:trPr>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GEO MCF LP, LLC</w:t>
            </w:r>
          </w:p>
        </w:tc>
        <w:tc>
          <w:tcPr>
            <w:tcW w:w="196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Delaware</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GEO RE Holdings LLC</w:t>
            </w:r>
          </w:p>
        </w:tc>
        <w:tc>
          <w:tcPr>
            <w:tcW w:w="196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Delaware</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65-0853089</w:t>
            </w:r>
          </w:p>
        </w:tc>
      </w:tr>
      <w:tr>
        <w:trPr>
          <w:trHeight w:val="172"/>
        </w:trPr>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GEO Reentry of Alaska, Inc.</w:t>
            </w:r>
          </w:p>
        </w:tc>
        <w:tc>
          <w:tcPr>
            <w:tcW w:w="196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Alaska</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76-0578707</w:t>
            </w:r>
          </w:p>
        </w:tc>
      </w:tr>
      <w:tr>
        <w:trPr>
          <w:trHeight w:val="172"/>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GEO Reentry Services, LLC</w:t>
            </w:r>
          </w:p>
        </w:tc>
        <w:tc>
          <w:tcPr>
            <w:tcW w:w="196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Florida</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46-1260559</w:t>
            </w:r>
          </w:p>
        </w:tc>
      </w:tr>
      <w:tr>
        <w:trPr>
          <w:trHeight w:val="172"/>
        </w:trPr>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GEO Reentry, Inc.</w:t>
            </w:r>
          </w:p>
        </w:tc>
        <w:tc>
          <w:tcPr>
            <w:tcW w:w="196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Delaware</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47-3703578</w:t>
            </w:r>
          </w:p>
        </w:tc>
      </w:tr>
      <w:tr>
        <w:trPr>
          <w:trHeight w:val="172"/>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GEO Secure Services, LLC</w:t>
            </w:r>
          </w:p>
        </w:tc>
        <w:tc>
          <w:tcPr>
            <w:tcW w:w="196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Florida</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46-1258100</w:t>
            </w:r>
          </w:p>
        </w:tc>
      </w:tr>
      <w:tr>
        <w:trPr>
          <w:trHeight w:val="172"/>
        </w:trPr>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GEO Transport, Inc.</w:t>
            </w:r>
          </w:p>
        </w:tc>
        <w:tc>
          <w:tcPr>
            <w:tcW w:w="196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Florida</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56-2677868</w:t>
            </w:r>
          </w:p>
        </w:tc>
      </w:tr>
      <w:tr>
        <w:trPr>
          <w:trHeight w:val="172"/>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GEO/DEL/R/02, Inc.</w:t>
            </w:r>
          </w:p>
        </w:tc>
        <w:tc>
          <w:tcPr>
            <w:tcW w:w="196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Delaware</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GEO/DEL/T/02, Inc.</w:t>
            </w:r>
          </w:p>
        </w:tc>
        <w:tc>
          <w:tcPr>
            <w:tcW w:w="196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Delaware</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47-3516062</w:t>
            </w:r>
          </w:p>
        </w:tc>
      </w:tr>
      <w:tr>
        <w:trPr>
          <w:trHeight w:val="172"/>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Highpoint Investments LLC</w:t>
            </w:r>
          </w:p>
        </w:tc>
        <w:tc>
          <w:tcPr>
            <w:tcW w:w="196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Delaware</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MCF GP, LLC</w:t>
            </w:r>
          </w:p>
        </w:tc>
        <w:tc>
          <w:tcPr>
            <w:tcW w:w="196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Delaware</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Minsec Companies, LLC</w:t>
            </w:r>
          </w:p>
        </w:tc>
        <w:tc>
          <w:tcPr>
            <w:tcW w:w="196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Pennsylvania</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20-4798404</w:t>
            </w:r>
          </w:p>
        </w:tc>
      </w:tr>
      <w:tr>
        <w:trPr>
          <w:trHeight w:val="172"/>
        </w:trPr>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Minsec Treatment, LLC</w:t>
            </w:r>
          </w:p>
        </w:tc>
        <w:tc>
          <w:tcPr>
            <w:tcW w:w="196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Pennsylvania</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20-8432898</w:t>
            </w:r>
          </w:p>
        </w:tc>
      </w:tr>
      <w:tr>
        <w:trPr>
          <w:trHeight w:val="172"/>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Municipal Corrections Finance, L.P.</w:t>
            </w:r>
          </w:p>
        </w:tc>
        <w:tc>
          <w:tcPr>
            <w:tcW w:w="196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Delaware</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Protocol Criminal Justice, Inc.</w:t>
            </w:r>
          </w:p>
        </w:tc>
        <w:tc>
          <w:tcPr>
            <w:tcW w:w="196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Florida</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90-1031969</w:t>
            </w:r>
          </w:p>
        </w:tc>
      </w:tr>
      <w:tr>
        <w:trPr>
          <w:trHeight w:val="172"/>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Public Properties Development and Leasing LLC</w:t>
            </w:r>
          </w:p>
        </w:tc>
        <w:tc>
          <w:tcPr>
            <w:tcW w:w="196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Delaware</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SECON, Inc.</w:t>
            </w:r>
          </w:p>
        </w:tc>
        <w:tc>
          <w:tcPr>
            <w:tcW w:w="196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Massachusetts</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04-3308048</w:t>
            </w:r>
          </w:p>
        </w:tc>
      </w:tr>
      <w:tr>
        <w:trPr>
          <w:trHeight w:val="172"/>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WBP Leasing, LLC</w:t>
            </w:r>
          </w:p>
        </w:tc>
        <w:tc>
          <w:tcPr>
            <w:tcW w:w="196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Delaware</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76-0546892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74930</wp:posOffset>
            </wp:positionV>
            <wp:extent cx="606425" cy="698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9">
                      <a:extLst>
                        <a:ext uri="{28A0092B-C50C-407E-A947-70E740481C1C}"/>
                      </a:extLst>
                    </a:blip>
                    <a:srcRect/>
                    <a:stretch>
                      <a:fillRect/>
                    </a:stretch>
                  </pic:blipFill>
                  <pic:spPr bwMode="auto">
                    <a:xfrm>
                      <a:off x="0" y="0"/>
                      <a:ext cx="606425" cy="6985"/>
                    </a:xfrm>
                    <a:prstGeom prst="rect">
                      <a:avLst/>
                    </a:prstGeom>
                    <a:noFill/>
                  </pic:spPr>
                </pic:pic>
              </a:graphicData>
            </a:graphic>
          </wp:anchor>
        </w:drawing>
      </w:r>
    </w:p>
    <w:p>
      <w:pPr>
        <w:spacing w:after="0" w:line="1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Not applicable as these entities are disregarded for federal income tax purposes</w:t>
      </w:r>
    </w:p>
    <w:p>
      <w:pPr>
        <w:spacing w:after="0" w:line="182" w:lineRule="exact"/>
        <w:rPr>
          <w:sz w:val="20"/>
          <w:szCs w:val="20"/>
          <w:color w:val="auto"/>
        </w:rPr>
      </w:pPr>
    </w:p>
    <w:p>
      <w:pPr>
        <w:ind w:left="120" w:right="139"/>
        <w:spacing w:after="0" w:line="292" w:lineRule="auto"/>
        <w:rPr>
          <w:sz w:val="20"/>
          <w:szCs w:val="20"/>
          <w:color w:val="auto"/>
        </w:rPr>
      </w:pPr>
      <w:r>
        <w:rPr>
          <w:rFonts w:ascii="Times New Roman" w:cs="Times New Roman" w:eastAsia="Times New Roman" w:hAnsi="Times New Roman"/>
          <w:sz w:val="14"/>
          <w:szCs w:val="14"/>
          <w:color w:val="auto"/>
        </w:rPr>
        <w:t>The address and telephone number of the principal executive offices for all of the subsidiaries are the same as for The GEO Group, Inc. and the agent for service at such address is the same as for The GEO Group, Inc.</w:t>
      </w:r>
    </w:p>
    <w:p>
      <w:pPr>
        <w:sectPr>
          <w:pgSz w:w="11900" w:h="16838" w:orient="portrait"/>
          <w:cols w:equalWidth="0" w:num="1">
            <w:col w:w="9019"/>
          </w:cols>
          <w:pgMar w:left="1440" w:top="257" w:right="1440" w:bottom="1440" w:gutter="0" w:footer="0" w:header="0"/>
        </w:sectPr>
      </w:pPr>
    </w:p>
    <w:bookmarkStart w:id="266" w:name="page267"/>
    <w:bookmarkEnd w:id="266"/>
    <w:p>
      <w:pPr>
        <w:ind w:left="120"/>
        <w:spacing w:after="0"/>
        <w:tabs>
          <w:tab w:leader="none" w:pos="980" w:val="left"/>
        </w:tabs>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0">
                      <a:extLst>
                        <a:ext uri="{28A0092B-C50C-407E-A947-70E740481C1C}"/>
                      </a:extLst>
                    </a:blip>
                    <a:srcRect/>
                    <a:stretch>
                      <a:fillRect/>
                    </a:stretch>
                  </pic:blipFill>
                  <pic:spPr bwMode="auto">
                    <a:xfrm>
                      <a:off x="0" y="0"/>
                      <a:ext cx="7199630" cy="33020"/>
                    </a:xfrm>
                    <a:prstGeom prst="rect">
                      <a:avLst/>
                    </a:prstGeom>
                    <a:noFill/>
                  </pic:spPr>
                </pic:pic>
              </a:graphicData>
            </a:graphic>
          </wp:anchor>
        </w:drawing>
        <w:t>ITEM 1.</w:t>
      </w:r>
      <w:r>
        <w:rPr>
          <w:sz w:val="20"/>
          <w:szCs w:val="20"/>
          <w:color w:val="auto"/>
        </w:rPr>
        <w:tab/>
      </w:r>
      <w:r>
        <w:rPr>
          <w:rFonts w:ascii="Times New Roman" w:cs="Times New Roman" w:eastAsia="Times New Roman" w:hAnsi="Times New Roman"/>
          <w:sz w:val="14"/>
          <w:szCs w:val="14"/>
          <w:b w:val="1"/>
          <w:bCs w:val="1"/>
          <w:color w:val="auto"/>
        </w:rPr>
        <w:t>General information. Furnish the following information as to the Trustee:</w:t>
      </w:r>
    </w:p>
    <w:p>
      <w:pPr>
        <w:spacing w:after="0" w:line="107" w:lineRule="exact"/>
        <w:rPr>
          <w:sz w:val="20"/>
          <w:szCs w:val="20"/>
          <w:color w:val="auto"/>
        </w:rPr>
      </w:pPr>
    </w:p>
    <w:p>
      <w:pPr>
        <w:ind w:left="900" w:hanging="430"/>
        <w:spacing w:after="0"/>
        <w:tabs>
          <w:tab w:leader="none" w:pos="900" w:val="left"/>
        </w:tabs>
        <w:numPr>
          <w:ilvl w:val="0"/>
          <w:numId w:val="19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Name and address of each examining or supervising authority to which it is subject.</w:t>
      </w: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135"/>
        </w:trPr>
        <w:tc>
          <w:tcPr>
            <w:tcW w:w="300" w:type="dxa"/>
            <w:vAlign w:val="bottom"/>
          </w:tcPr>
          <w:p>
            <w:pPr>
              <w:spacing w:after="0"/>
              <w:rPr>
                <w:sz w:val="20"/>
                <w:szCs w:val="20"/>
                <w:color w:val="auto"/>
              </w:rPr>
            </w:pPr>
            <w:r>
              <w:rPr>
                <w:rFonts w:ascii="Times New Roman" w:cs="Times New Roman" w:eastAsia="Times New Roman" w:hAnsi="Times New Roman"/>
                <w:sz w:val="11"/>
                <w:szCs w:val="11"/>
                <w:color w:val="auto"/>
              </w:rPr>
              <w:t>Name</w:t>
            </w:r>
          </w:p>
        </w:tc>
        <w:tc>
          <w:tcPr>
            <w:tcW w:w="3060" w:type="dxa"/>
            <w:vAlign w:val="bottom"/>
          </w:tcPr>
          <w:p>
            <w:pPr>
              <w:spacing w:after="0"/>
              <w:rPr>
                <w:sz w:val="11"/>
                <w:szCs w:val="11"/>
                <w:color w:val="auto"/>
              </w:rPr>
            </w:pPr>
          </w:p>
        </w:tc>
        <w:tc>
          <w:tcPr>
            <w:tcW w:w="4180" w:type="dxa"/>
            <w:vAlign w:val="bottom"/>
            <w:gridSpan w:val="3"/>
          </w:tcPr>
          <w:p>
            <w:pPr>
              <w:ind w:left="1200"/>
              <w:spacing w:after="0"/>
              <w:rPr>
                <w:sz w:val="20"/>
                <w:szCs w:val="20"/>
                <w:color w:val="auto"/>
              </w:rPr>
            </w:pPr>
            <w:r>
              <w:rPr>
                <w:rFonts w:ascii="Times New Roman" w:cs="Times New Roman" w:eastAsia="Times New Roman" w:hAnsi="Times New Roman"/>
                <w:sz w:val="11"/>
                <w:szCs w:val="11"/>
                <w:color w:val="auto"/>
              </w:rPr>
              <w:t>Address</w:t>
            </w: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3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Hampshire Banking Department</w:t>
            </w:r>
          </w:p>
        </w:tc>
        <w:tc>
          <w:tcPr>
            <w:tcW w:w="12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rPr>
              <w:t>New</w:t>
            </w:r>
          </w:p>
        </w:tc>
        <w:tc>
          <w:tcPr>
            <w:tcW w:w="306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2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53 Regional Drive, Suite 200, Concord, N.H. 03301</w:t>
            </w: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900" w:hanging="430"/>
        <w:spacing w:after="0"/>
        <w:tabs>
          <w:tab w:leader="none" w:pos="900" w:val="left"/>
        </w:tabs>
        <w:numPr>
          <w:ilvl w:val="0"/>
          <w:numId w:val="20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Whether it is authorized to exercise corporate trust powers.</w:t>
      </w:r>
    </w:p>
    <w:p>
      <w:pPr>
        <w:spacing w:after="0" w:line="9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Yes.</w:t>
      </w:r>
    </w:p>
    <w:p>
      <w:pPr>
        <w:spacing w:after="0" w:line="298" w:lineRule="exact"/>
        <w:rPr>
          <w:sz w:val="20"/>
          <w:szCs w:val="20"/>
          <w:color w:val="auto"/>
        </w:rPr>
      </w:pPr>
    </w:p>
    <w:p>
      <w:pPr>
        <w:ind w:left="120"/>
        <w:spacing w:after="0"/>
        <w:tabs>
          <w:tab w:leader="none" w:pos="980" w:val="left"/>
        </w:tabs>
        <w:rPr>
          <w:sz w:val="20"/>
          <w:szCs w:val="20"/>
          <w:color w:val="auto"/>
        </w:rPr>
      </w:pPr>
      <w:r>
        <w:rPr>
          <w:rFonts w:ascii="Times New Roman" w:cs="Times New Roman" w:eastAsia="Times New Roman" w:hAnsi="Times New Roman"/>
          <w:sz w:val="14"/>
          <w:szCs w:val="14"/>
          <w:b w:val="1"/>
          <w:bCs w:val="1"/>
          <w:color w:val="auto"/>
        </w:rPr>
        <w:t>ITEM 2.</w:t>
      </w:r>
      <w:r>
        <w:rPr>
          <w:sz w:val="20"/>
          <w:szCs w:val="20"/>
          <w:color w:val="auto"/>
        </w:rPr>
        <w:tab/>
      </w:r>
      <w:r>
        <w:rPr>
          <w:rFonts w:ascii="Times New Roman" w:cs="Times New Roman" w:eastAsia="Times New Roman" w:hAnsi="Times New Roman"/>
          <w:sz w:val="14"/>
          <w:szCs w:val="14"/>
          <w:b w:val="1"/>
          <w:bCs w:val="1"/>
          <w:color w:val="auto"/>
        </w:rPr>
        <w:t>Affiliations with Obligor.</w:t>
      </w:r>
    </w:p>
    <w:p>
      <w:pPr>
        <w:spacing w:after="0" w:line="9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b w:val="1"/>
          <w:bCs w:val="1"/>
          <w:color w:val="auto"/>
        </w:rPr>
        <w:t>If the obligor is an affiliate of the trustee, describe each such affiliation.</w:t>
      </w:r>
    </w:p>
    <w:p>
      <w:pPr>
        <w:spacing w:after="0" w:line="9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None.</w:t>
      </w:r>
    </w:p>
    <w:p>
      <w:pPr>
        <w:spacing w:after="0" w:line="202" w:lineRule="exact"/>
        <w:rPr>
          <w:sz w:val="20"/>
          <w:szCs w:val="20"/>
          <w:color w:val="auto"/>
        </w:rPr>
      </w:pPr>
    </w:p>
    <w:p>
      <w:pPr>
        <w:jc w:val="both"/>
        <w:ind w:left="1260" w:right="259" w:hanging="1139"/>
        <w:spacing w:after="0" w:line="274" w:lineRule="auto"/>
        <w:tabs>
          <w:tab w:leader="none" w:pos="1240" w:val="left"/>
        </w:tabs>
        <w:rPr>
          <w:sz w:val="20"/>
          <w:szCs w:val="20"/>
          <w:color w:val="auto"/>
        </w:rPr>
      </w:pPr>
      <w:r>
        <w:rPr>
          <w:rFonts w:ascii="Times New Roman" w:cs="Times New Roman" w:eastAsia="Times New Roman" w:hAnsi="Times New Roman"/>
          <w:sz w:val="14"/>
          <w:szCs w:val="14"/>
          <w:b w:val="1"/>
          <w:bCs w:val="1"/>
          <w:color w:val="auto"/>
        </w:rPr>
        <w:t>ITEMS 3. – 15.</w:t>
      </w:r>
      <w:r>
        <w:rPr>
          <w:sz w:val="20"/>
          <w:szCs w:val="20"/>
          <w:color w:val="auto"/>
        </w:rPr>
        <w:tab/>
      </w:r>
      <w:r>
        <w:rPr>
          <w:rFonts w:ascii="Times New Roman" w:cs="Times New Roman" w:eastAsia="Times New Roman" w:hAnsi="Times New Roman"/>
          <w:sz w:val="14"/>
          <w:szCs w:val="14"/>
          <w:color w:val="auto"/>
        </w:rPr>
        <w:t>No responses are included for Items 3-15. Responses to those items are not required because, as provided in General Instruction B, to the best knowledge of Ankura Trust Company, LLC, the obligor is not in default on any securities issued under indentures under which Ankura Trust Company, LLC is a trustee and Ankura Trust Company, LLC is not a foreign trustee.</w:t>
      </w:r>
    </w:p>
    <w:p>
      <w:pPr>
        <w:spacing w:after="0" w:line="253" w:lineRule="exact"/>
        <w:rPr>
          <w:sz w:val="20"/>
          <w:szCs w:val="20"/>
          <w:color w:val="auto"/>
        </w:rPr>
      </w:pPr>
    </w:p>
    <w:p>
      <w:pPr>
        <w:ind w:left="120"/>
        <w:spacing w:after="0"/>
        <w:tabs>
          <w:tab w:leader="none" w:pos="980" w:val="left"/>
        </w:tabs>
        <w:rPr>
          <w:sz w:val="20"/>
          <w:szCs w:val="20"/>
          <w:color w:val="auto"/>
        </w:rPr>
      </w:pPr>
      <w:r>
        <w:rPr>
          <w:rFonts w:ascii="Times New Roman" w:cs="Times New Roman" w:eastAsia="Times New Roman" w:hAnsi="Times New Roman"/>
          <w:sz w:val="14"/>
          <w:szCs w:val="14"/>
          <w:b w:val="1"/>
          <w:bCs w:val="1"/>
          <w:color w:val="auto"/>
        </w:rPr>
        <w:t>ITEM 16.</w:t>
      </w:r>
      <w:r>
        <w:rPr>
          <w:sz w:val="20"/>
          <w:szCs w:val="20"/>
          <w:color w:val="auto"/>
        </w:rPr>
        <w:tab/>
      </w:r>
      <w:r>
        <w:rPr>
          <w:rFonts w:ascii="Times New Roman" w:cs="Times New Roman" w:eastAsia="Times New Roman" w:hAnsi="Times New Roman"/>
          <w:sz w:val="14"/>
          <w:szCs w:val="14"/>
          <w:b w:val="1"/>
          <w:bCs w:val="1"/>
          <w:color w:val="auto"/>
        </w:rPr>
        <w:t>List of Exhibits.</w:t>
      </w:r>
    </w:p>
    <w:p>
      <w:pPr>
        <w:spacing w:after="0" w:line="109" w:lineRule="exact"/>
        <w:rPr>
          <w:sz w:val="20"/>
          <w:szCs w:val="20"/>
          <w:color w:val="auto"/>
        </w:rPr>
      </w:pPr>
    </w:p>
    <w:p>
      <w:pPr>
        <w:ind w:left="900" w:hanging="430"/>
        <w:spacing w:after="0"/>
        <w:tabs>
          <w:tab w:leader="none" w:pos="900" w:val="left"/>
        </w:tabs>
        <w:numPr>
          <w:ilvl w:val="0"/>
          <w:numId w:val="2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the Certificate of Formation of Ankura Trust Company, LLC as now in effect.</w:t>
      </w:r>
    </w:p>
    <w:p>
      <w:pPr>
        <w:spacing w:after="0" w:line="107" w:lineRule="exact"/>
        <w:rPr>
          <w:rFonts w:ascii="Times New Roman" w:cs="Times New Roman" w:eastAsia="Times New Roman" w:hAnsi="Times New Roman"/>
          <w:sz w:val="14"/>
          <w:szCs w:val="14"/>
          <w:color w:val="auto"/>
        </w:rPr>
      </w:pPr>
    </w:p>
    <w:p>
      <w:pPr>
        <w:ind w:left="900" w:right="639" w:hanging="430"/>
        <w:spacing w:after="0" w:line="292" w:lineRule="auto"/>
        <w:tabs>
          <w:tab w:leader="none" w:pos="900" w:val="left"/>
        </w:tabs>
        <w:numPr>
          <w:ilvl w:val="0"/>
          <w:numId w:val="2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the State of New Hampshire –– Office of the Bank Commissioner Certificate to Conduct Business for the Trustee, dated January 25, 2018.</w:t>
      </w:r>
    </w:p>
    <w:p>
      <w:pPr>
        <w:spacing w:after="0" w:line="48" w:lineRule="exact"/>
        <w:rPr>
          <w:rFonts w:ascii="Times New Roman" w:cs="Times New Roman" w:eastAsia="Times New Roman" w:hAnsi="Times New Roman"/>
          <w:sz w:val="14"/>
          <w:szCs w:val="14"/>
          <w:color w:val="auto"/>
        </w:rPr>
      </w:pPr>
    </w:p>
    <w:p>
      <w:pPr>
        <w:ind w:left="900" w:right="219" w:hanging="430"/>
        <w:spacing w:after="0" w:line="292" w:lineRule="auto"/>
        <w:tabs>
          <w:tab w:leader="none" w:pos="900" w:val="left"/>
        </w:tabs>
        <w:numPr>
          <w:ilvl w:val="0"/>
          <w:numId w:val="2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the State of New Hampshire Certificate to Exercise Corporate Trust Powers for the Trustee, dated January 23, 2018 (Certificate of Endorsement).</w:t>
      </w:r>
    </w:p>
    <w:p>
      <w:pPr>
        <w:spacing w:after="0" w:line="48" w:lineRule="exact"/>
        <w:rPr>
          <w:rFonts w:ascii="Times New Roman" w:cs="Times New Roman" w:eastAsia="Times New Roman" w:hAnsi="Times New Roman"/>
          <w:sz w:val="14"/>
          <w:szCs w:val="14"/>
          <w:color w:val="auto"/>
        </w:rPr>
      </w:pPr>
    </w:p>
    <w:p>
      <w:pPr>
        <w:ind w:left="900" w:hanging="430"/>
        <w:spacing w:after="0"/>
        <w:tabs>
          <w:tab w:leader="none" w:pos="900" w:val="left"/>
        </w:tabs>
        <w:numPr>
          <w:ilvl w:val="0"/>
          <w:numId w:val="2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the existing Limited Liability Company Agreement of the Trustee.</w:t>
      </w:r>
    </w:p>
    <w:p>
      <w:pPr>
        <w:spacing w:after="0" w:line="107" w:lineRule="exact"/>
        <w:rPr>
          <w:sz w:val="20"/>
          <w:szCs w:val="20"/>
          <w:color w:val="auto"/>
        </w:rPr>
      </w:pPr>
    </w:p>
    <w:p>
      <w:pPr>
        <w:ind w:left="900" w:hanging="430"/>
        <w:spacing w:after="0"/>
        <w:tabs>
          <w:tab w:leader="none" w:pos="900" w:val="left"/>
        </w:tabs>
        <w:numPr>
          <w:ilvl w:val="0"/>
          <w:numId w:val="2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consent of the Trustee required by Section 321(b) of the Trust Indenture Act of 1939.</w:t>
      </w:r>
    </w:p>
    <w:p>
      <w:pPr>
        <w:spacing w:after="0" w:line="107" w:lineRule="exact"/>
        <w:rPr>
          <w:rFonts w:ascii="Times New Roman" w:cs="Times New Roman" w:eastAsia="Times New Roman" w:hAnsi="Times New Roman"/>
          <w:sz w:val="14"/>
          <w:szCs w:val="14"/>
          <w:color w:val="auto"/>
        </w:rPr>
      </w:pPr>
    </w:p>
    <w:p>
      <w:pPr>
        <w:ind w:left="900" w:right="639" w:hanging="430"/>
        <w:spacing w:after="0" w:line="292" w:lineRule="auto"/>
        <w:tabs>
          <w:tab w:leader="none" w:pos="900" w:val="left"/>
        </w:tabs>
        <w:numPr>
          <w:ilvl w:val="0"/>
          <w:numId w:val="2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the latest report of condition of the trustee published pursuant to law or the requirements of its supervising or examining authority (Call Report Schedule RC-T for quarter ending June 30, 2026).</w:t>
      </w:r>
    </w:p>
    <w:p>
      <w:pPr>
        <w:sectPr>
          <w:pgSz w:w="11900" w:h="16838" w:orient="portrait"/>
          <w:cols w:equalWidth="0" w:num="1">
            <w:col w:w="9019"/>
          </w:cols>
          <w:pgMar w:left="1440" w:top="241" w:right="1440" w:bottom="1440" w:gutter="0" w:footer="0" w:header="0"/>
        </w:sectPr>
      </w:pPr>
    </w:p>
    <w:bookmarkStart w:id="267" w:name="page268"/>
    <w:bookmarkEnd w:id="267"/>
    <w:p>
      <w:pPr>
        <w:jc w:val="center"/>
        <w:ind w:right="19"/>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01">
                      <a:extLst>
                        <a:ext uri="{28A0092B-C50C-407E-A947-70E740481C1C}"/>
                      </a:extLst>
                    </a:blip>
                    <a:srcRect/>
                    <a:stretch>
                      <a:fillRect/>
                    </a:stretch>
                  </pic:blipFill>
                  <pic:spPr bwMode="auto">
                    <a:xfrm>
                      <a:off x="0" y="0"/>
                      <a:ext cx="7199630" cy="33020"/>
                    </a:xfrm>
                    <a:prstGeom prst="rect">
                      <a:avLst/>
                    </a:prstGeom>
                    <a:noFill/>
                  </pic:spPr>
                </pic:pic>
              </a:graphicData>
            </a:graphic>
          </wp:anchor>
        </w:drawing>
        <w:t>SIGNATURE</w:t>
      </w:r>
    </w:p>
    <w:p>
      <w:pPr>
        <w:spacing w:after="0" w:line="182" w:lineRule="exact"/>
        <w:rPr>
          <w:sz w:val="20"/>
          <w:szCs w:val="20"/>
          <w:color w:val="auto"/>
        </w:rPr>
      </w:pPr>
    </w:p>
    <w:p>
      <w:pPr>
        <w:jc w:val="both"/>
        <w:ind w:left="120" w:right="179" w:firstLine="350"/>
        <w:spacing w:after="0" w:line="279" w:lineRule="auto"/>
        <w:rPr>
          <w:sz w:val="20"/>
          <w:szCs w:val="20"/>
          <w:color w:val="auto"/>
        </w:rPr>
      </w:pPr>
      <w:r>
        <w:rPr>
          <w:rFonts w:ascii="Times New Roman" w:cs="Times New Roman" w:eastAsia="Times New Roman" w:hAnsi="Times New Roman"/>
          <w:sz w:val="14"/>
          <w:szCs w:val="14"/>
          <w:color w:val="auto"/>
        </w:rPr>
        <w:t>Pursuant to the requirements of the Trust Indenture Act of 1939, the trustee, Ankura Trust Company, LLC, a trust company organized and existing under the laws of the State of New Hampshire, has duly caused this statement of eligibility to be signed on its behalf by the undersigned, thereunto duly authorized, all in Fairfield, Connecticut, on the 30</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4"/>
          <w:szCs w:val="14"/>
          <w:color w:val="auto"/>
        </w:rPr>
        <w:t xml:space="preserve"> day of October, 2026.</w:t>
      </w:r>
    </w:p>
    <w:p>
      <w:pPr>
        <w:spacing w:after="0" w:line="5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ANKURA TRUST COMPANY, LLC</w:t>
      </w:r>
    </w:p>
    <w:p>
      <w:pPr>
        <w:spacing w:after="0" w:line="182"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By: /s/ James J. McGinley</w:t>
      </w:r>
    </w:p>
    <w:p>
      <w:pPr>
        <w:spacing w:after="0" w:line="2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James J. McGinley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3578860</wp:posOffset>
            </wp:positionH>
            <wp:positionV relativeFrom="paragraph">
              <wp:posOffset>-100965</wp:posOffset>
            </wp:positionV>
            <wp:extent cx="2064385" cy="698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2">
                      <a:extLst>
                        <a:ext uri="{28A0092B-C50C-407E-A947-70E740481C1C}"/>
                      </a:extLst>
                    </a:blip>
                    <a:srcRect/>
                    <a:stretch>
                      <a:fillRect/>
                    </a:stretch>
                  </pic:blipFill>
                  <pic:spPr bwMode="auto">
                    <a:xfrm>
                      <a:off x="0" y="0"/>
                      <a:ext cx="2064385" cy="6985"/>
                    </a:xfrm>
                    <a:prstGeom prst="rect">
                      <a:avLst/>
                    </a:prstGeom>
                    <a:noFill/>
                  </pic:spPr>
                </pic:pic>
              </a:graphicData>
            </a:graphic>
          </wp:anchor>
        </w:drawing>
      </w:r>
    </w:p>
    <w:p>
      <w:pPr>
        <w:spacing w:after="0" w:line="1"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Chief Executive Officer &amp; President</w:t>
      </w:r>
    </w:p>
    <w:p>
      <w:pPr>
        <w:sectPr>
          <w:pgSz w:w="11900" w:h="16838" w:orient="portrait"/>
          <w:cols w:equalWidth="0" w:num="1">
            <w:col w:w="9019"/>
          </w:cols>
          <w:pgMar w:left="1440" w:top="243" w:right="1440" w:bottom="1440" w:gutter="0" w:footer="0" w:header="0"/>
        </w:sectPr>
      </w:pPr>
    </w:p>
    <w:bookmarkStart w:id="268" w:name="page269"/>
    <w:bookmarkEnd w:id="268"/>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3">
                      <a:extLst>
                        <a:ext uri="{28A0092B-C50C-407E-A947-70E740481C1C}"/>
                      </a:extLst>
                    </a:blip>
                    <a:srcRect/>
                    <a:stretch>
                      <a:fillRect/>
                    </a:stretch>
                  </pic:blipFill>
                  <pic:spPr bwMode="auto">
                    <a:xfrm>
                      <a:off x="0" y="0"/>
                      <a:ext cx="7199630" cy="33020"/>
                    </a:xfrm>
                    <a:prstGeom prst="rect">
                      <a:avLst/>
                    </a:prstGeom>
                    <a:noFill/>
                  </pic:spPr>
                </pic:pic>
              </a:graphicData>
            </a:graphic>
          </wp:anchor>
        </w:drawing>
        <w:t>Exhibit 1</w:t>
      </w:r>
    </w:p>
    <w:p>
      <w:pPr>
        <w:sectPr>
          <w:pgSz w:w="11900" w:h="16838" w:orient="portrait"/>
          <w:cols w:equalWidth="0" w:num="1">
            <w:col w:w="9019"/>
          </w:cols>
          <w:pgMar w:left="1440" w:top="241" w:right="1440" w:bottom="1440" w:gutter="0" w:footer="0" w:header="0"/>
        </w:sectPr>
      </w:pPr>
    </w:p>
    <w:bookmarkStart w:id="269" w:name="page270"/>
    <w:bookmarkEnd w:id="269"/>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4">
                      <a:extLst>
                        <a:ext uri="{28A0092B-C50C-407E-A947-70E740481C1C}"/>
                      </a:extLst>
                    </a:blip>
                    <a:srcRect/>
                    <a:stretch>
                      <a:fillRect/>
                    </a:stretch>
                  </pic:blipFill>
                  <pic:spPr bwMode="auto">
                    <a:xfrm>
                      <a:off x="0" y="0"/>
                      <a:ext cx="7199630" cy="33020"/>
                    </a:xfrm>
                    <a:prstGeom prst="rect">
                      <a:avLst/>
                    </a:prstGeom>
                    <a:noFill/>
                  </pic:spPr>
                </pic:pic>
              </a:graphicData>
            </a:graphic>
          </wp:anchor>
        </w:drawing>
        <w:t>Exhibit 1</w:t>
      </w:r>
    </w:p>
    <w:p>
      <w:pPr>
        <w:spacing w:after="0" w:line="204" w:lineRule="exact"/>
        <w:rPr>
          <w:sz w:val="20"/>
          <w:szCs w:val="20"/>
          <w:color w:val="auto"/>
        </w:rPr>
      </w:pPr>
    </w:p>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State of New Hampshire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-90805</wp:posOffset>
            </wp:positionV>
            <wp:extent cx="654050" cy="65405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5">
                      <a:extLst>
                        <a:ext uri="{28A0092B-C50C-407E-A947-70E740481C1C}"/>
                      </a:extLst>
                    </a:blip>
                    <a:srcRect/>
                    <a:stretch>
                      <a:fillRect/>
                    </a:stretch>
                  </pic:blipFill>
                  <pic:spPr bwMode="auto">
                    <a:xfrm>
                      <a:off x="0" y="0"/>
                      <a:ext cx="654050" cy="654050"/>
                    </a:xfrm>
                    <a:prstGeom prst="rect">
                      <a:avLst/>
                    </a:prstGeom>
                    <a:noFill/>
                  </pic:spPr>
                </pic:pic>
              </a:graphicData>
            </a:graphic>
          </wp:anchor>
        </w:drawing>
      </w:r>
    </w:p>
    <w:p>
      <w:pPr>
        <w:spacing w:after="0" w:line="6" w:lineRule="exact"/>
        <w:rPr>
          <w:sz w:val="20"/>
          <w:szCs w:val="20"/>
          <w:color w:val="auto"/>
        </w:rPr>
      </w:pPr>
    </w:p>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Banking Department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-100965</wp:posOffset>
            </wp:positionV>
            <wp:extent cx="4721225" cy="698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6">
                      <a:extLst>
                        <a:ext uri="{28A0092B-C50C-407E-A947-70E740481C1C}"/>
                      </a:extLst>
                    </a:blip>
                    <a:srcRect/>
                    <a:stretch>
                      <a:fillRect/>
                    </a:stretch>
                  </pic:blipFill>
                  <pic:spPr bwMode="auto">
                    <a:xfrm>
                      <a:off x="0" y="0"/>
                      <a:ext cx="4721225" cy="6985"/>
                    </a:xfrm>
                    <a:prstGeom prst="rect">
                      <a:avLst/>
                    </a:prstGeom>
                    <a:noFill/>
                  </pic:spPr>
                </pic:pic>
              </a:graphicData>
            </a:graphic>
          </wp:anchor>
        </w:drawing>
      </w:r>
    </w:p>
    <w:p>
      <w:pPr>
        <w:spacing w:after="0" w:line="1" w:lineRule="exact"/>
        <w:rPr>
          <w:sz w:val="20"/>
          <w:szCs w:val="20"/>
          <w:color w:val="auto"/>
        </w:rPr>
      </w:pPr>
    </w:p>
    <w:p>
      <w:pPr>
        <w:jc w:val="right"/>
        <w:ind w:right="139"/>
        <w:spacing w:after="0"/>
        <w:rPr>
          <w:sz w:val="20"/>
          <w:szCs w:val="20"/>
          <w:color w:val="auto"/>
        </w:rPr>
      </w:pPr>
      <w:r>
        <w:rPr>
          <w:rFonts w:ascii="Times New Roman" w:cs="Times New Roman" w:eastAsia="Times New Roman" w:hAnsi="Times New Roman"/>
          <w:sz w:val="14"/>
          <w:szCs w:val="14"/>
          <w:color w:val="auto"/>
        </w:rPr>
        <w:t>53 Regional Drive, Suite 200</w:t>
      </w:r>
    </w:p>
    <w:p>
      <w:pPr>
        <w:spacing w:after="0" w:line="11" w:lineRule="exact"/>
        <w:rPr>
          <w:sz w:val="20"/>
          <w:szCs w:val="20"/>
          <w:color w:val="auto"/>
        </w:rPr>
      </w:pPr>
    </w:p>
    <w:p>
      <w:pPr>
        <w:jc w:val="right"/>
        <w:ind w:right="139"/>
        <w:spacing w:after="0"/>
        <w:rPr>
          <w:sz w:val="20"/>
          <w:szCs w:val="20"/>
          <w:color w:val="auto"/>
        </w:rPr>
      </w:pPr>
      <w:r>
        <w:rPr>
          <w:rFonts w:ascii="Times New Roman" w:cs="Times New Roman" w:eastAsia="Times New Roman" w:hAnsi="Times New Roman"/>
          <w:sz w:val="14"/>
          <w:szCs w:val="14"/>
          <w:color w:val="auto"/>
        </w:rPr>
        <w:t>Concord, New Hampshire 03301</w:t>
      </w:r>
    </w:p>
    <w:p>
      <w:pPr>
        <w:spacing w:after="0" w:line="11" w:lineRule="exact"/>
        <w:rPr>
          <w:sz w:val="20"/>
          <w:szCs w:val="20"/>
          <w:color w:val="auto"/>
        </w:rPr>
      </w:pPr>
    </w:p>
    <w:p>
      <w:pPr>
        <w:jc w:val="right"/>
        <w:ind w:right="139"/>
        <w:spacing w:after="0"/>
        <w:rPr>
          <w:sz w:val="20"/>
          <w:szCs w:val="20"/>
          <w:color w:val="auto"/>
        </w:rPr>
      </w:pPr>
      <w:r>
        <w:rPr>
          <w:rFonts w:ascii="Times New Roman" w:cs="Times New Roman" w:eastAsia="Times New Roman" w:hAnsi="Times New Roman"/>
          <w:sz w:val="14"/>
          <w:szCs w:val="14"/>
          <w:color w:val="auto"/>
        </w:rPr>
        <w:t>Telephone: (603) 271-3561</w:t>
      </w:r>
    </w:p>
    <w:p>
      <w:pPr>
        <w:spacing w:after="0" w:line="11" w:lineRule="exact"/>
        <w:rPr>
          <w:sz w:val="20"/>
          <w:szCs w:val="20"/>
          <w:color w:val="auto"/>
        </w:rPr>
      </w:pPr>
    </w:p>
    <w:p>
      <w:pPr>
        <w:jc w:val="right"/>
        <w:ind w:right="139"/>
        <w:spacing w:after="0"/>
        <w:rPr>
          <w:sz w:val="20"/>
          <w:szCs w:val="20"/>
          <w:color w:val="auto"/>
        </w:rPr>
      </w:pPr>
      <w:r>
        <w:rPr>
          <w:rFonts w:ascii="Times New Roman" w:cs="Times New Roman" w:eastAsia="Times New Roman" w:hAnsi="Times New Roman"/>
          <w:sz w:val="14"/>
          <w:szCs w:val="14"/>
          <w:color w:val="auto"/>
        </w:rPr>
        <w:t>FAX: (603) 271-1090 or (603) 271-0750</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u w:val="single" w:color="auto"/>
          <w:color w:val="auto"/>
        </w:rPr>
        <w:t>Certificate of Endorsement</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Amended and Restated Certificate of Formation - Ankura Trust Company, LLC</w:t>
      </w:r>
    </w:p>
    <w:p>
      <w:pPr>
        <w:spacing w:after="0" w:line="182" w:lineRule="exact"/>
        <w:rPr>
          <w:sz w:val="20"/>
          <w:szCs w:val="20"/>
          <w:color w:val="auto"/>
        </w:rPr>
      </w:pPr>
    </w:p>
    <w:p>
      <w:pPr>
        <w:ind w:left="120" w:right="479"/>
        <w:spacing w:after="0" w:line="274" w:lineRule="auto"/>
        <w:rPr>
          <w:sz w:val="20"/>
          <w:szCs w:val="20"/>
          <w:color w:val="auto"/>
        </w:rPr>
      </w:pPr>
      <w:r>
        <w:rPr>
          <w:rFonts w:ascii="Times New Roman" w:cs="Times New Roman" w:eastAsia="Times New Roman" w:hAnsi="Times New Roman"/>
          <w:sz w:val="14"/>
          <w:szCs w:val="14"/>
          <w:color w:val="auto"/>
        </w:rPr>
        <w:t>By my signature below, I hereby confirm Ankura Trust Company, LLC applied for approval to amend its Certificate of Formation pursuant to RSA 383-A:3-316. On March 22, 2019, the New Hampshire Banking Department approved Ankura Trust Company, LLC’s application. The attached Amended and Restated Certificate of Formation is a true and accurate copy of the certificate so approved.</w:t>
      </w:r>
    </w:p>
    <w:p>
      <w:pPr>
        <w:spacing w:after="0" w:line="15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4"/>
          <w:szCs w:val="14"/>
          <w:color w:val="auto"/>
        </w:rPr>
        <w:t>/s/ Gerald H. Little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3088005</wp:posOffset>
            </wp:positionH>
            <wp:positionV relativeFrom="paragraph">
              <wp:posOffset>15875</wp:posOffset>
            </wp:positionV>
            <wp:extent cx="2554605" cy="698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7">
                      <a:extLst>
                        <a:ext uri="{28A0092B-C50C-407E-A947-70E740481C1C}"/>
                      </a:extLst>
                    </a:blip>
                    <a:srcRect/>
                    <a:stretch>
                      <a:fillRect/>
                    </a:stretch>
                  </pic:blipFill>
                  <pic:spPr bwMode="auto">
                    <a:xfrm>
                      <a:off x="0" y="0"/>
                      <a:ext cx="2554605" cy="6985"/>
                    </a:xfrm>
                    <a:prstGeom prst="rect">
                      <a:avLst/>
                    </a:prstGeom>
                    <a:noFill/>
                  </pic:spPr>
                </pic:pic>
              </a:graphicData>
            </a:graphic>
          </wp:anchor>
        </w:drawing>
      </w:r>
    </w:p>
    <w:p>
      <w:pPr>
        <w:spacing w:after="0" w:line="1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4"/>
          <w:szCs w:val="14"/>
          <w:color w:val="auto"/>
        </w:rPr>
        <w:t>Gerald H. Little</w:t>
      </w:r>
    </w:p>
    <w:p>
      <w:pPr>
        <w:spacing w:after="0" w:line="24" w:lineRule="exact"/>
        <w:rPr>
          <w:sz w:val="20"/>
          <w:szCs w:val="20"/>
          <w:color w:val="auto"/>
        </w:rPr>
      </w:pPr>
    </w:p>
    <w:p>
      <w:pPr>
        <w:ind w:left="120"/>
        <w:spacing w:after="0"/>
        <w:tabs>
          <w:tab w:leader="none" w:pos="4840" w:val="left"/>
        </w:tabs>
        <w:rPr>
          <w:sz w:val="20"/>
          <w:szCs w:val="20"/>
          <w:color w:val="auto"/>
        </w:rPr>
      </w:pPr>
      <w:r>
        <w:rPr>
          <w:rFonts w:ascii="Times New Roman" w:cs="Times New Roman" w:eastAsia="Times New Roman" w:hAnsi="Times New Roman"/>
          <w:sz w:val="14"/>
          <w:szCs w:val="14"/>
          <w:color w:val="auto"/>
        </w:rPr>
        <w:t>Date 3/22/19</w:t>
      </w:r>
      <w:r>
        <w:rPr>
          <w:sz w:val="20"/>
          <w:szCs w:val="20"/>
          <w:color w:val="auto"/>
        </w:rPr>
        <w:tab/>
      </w:r>
      <w:r>
        <w:rPr>
          <w:rFonts w:ascii="Times New Roman" w:cs="Times New Roman" w:eastAsia="Times New Roman" w:hAnsi="Times New Roman"/>
          <w:sz w:val="14"/>
          <w:szCs w:val="14"/>
          <w:color w:val="auto"/>
        </w:rPr>
        <w:t>Bank Commissioner</w:t>
      </w:r>
    </w:p>
    <w:p>
      <w:pPr>
        <w:spacing w:after="0" w:line="1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4"/>
          <w:szCs w:val="14"/>
          <w:color w:val="auto"/>
        </w:rPr>
        <w:t>State of New Hampshire</w:t>
      </w:r>
    </w:p>
    <w:p>
      <w:pPr>
        <w:spacing w:after="0" w:line="1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4"/>
          <w:szCs w:val="14"/>
          <w:color w:val="auto"/>
        </w:rPr>
        <w:t>Banking Department</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TDD Access: Relay NH 1-800-735-2964</w:t>
      </w:r>
    </w:p>
    <w:p>
      <w:pPr>
        <w:sectPr>
          <w:pgSz w:w="11900" w:h="16838" w:orient="portrait"/>
          <w:cols w:equalWidth="0" w:num="1">
            <w:col w:w="9019"/>
          </w:cols>
          <w:pgMar w:left="1440" w:top="241" w:right="1440" w:bottom="1440" w:gutter="0" w:footer="0" w:header="0"/>
        </w:sectPr>
      </w:pPr>
    </w:p>
    <w:bookmarkStart w:id="270" w:name="page271"/>
    <w:bookmarkEnd w:id="27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8">
                      <a:extLst>
                        <a:ext uri="{28A0092B-C50C-407E-A947-70E740481C1C}"/>
                      </a:extLst>
                    </a:blip>
                    <a:srcRect/>
                    <a:stretch>
                      <a:fillRect/>
                    </a:stretch>
                  </pic:blipFill>
                  <pic:spPr bwMode="auto">
                    <a:xfrm>
                      <a:off x="0" y="0"/>
                      <a:ext cx="7199630" cy="33020"/>
                    </a:xfrm>
                    <a:prstGeom prst="rect">
                      <a:avLst/>
                    </a:prstGeom>
                    <a:noFill/>
                  </pic:spPr>
                </pic:pic>
              </a:graphicData>
            </a:graphic>
          </wp:anchor>
        </w:drawing>
        <w:t>AMENDED AND RESTATED CERTIFICATE OF FORMATION</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OF</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ANKURA TRUST COMPANY, LLC</w:t>
      </w:r>
    </w:p>
    <w:p>
      <w:pPr>
        <w:spacing w:after="0" w:line="169" w:lineRule="exact"/>
        <w:rPr>
          <w:sz w:val="20"/>
          <w:szCs w:val="20"/>
          <w:color w:val="auto"/>
        </w:rPr>
      </w:pPr>
    </w:p>
    <w:p>
      <w:pPr>
        <w:ind w:left="120" w:right="279" w:firstLine="350"/>
        <w:spacing w:after="0" w:line="292" w:lineRule="auto"/>
        <w:rPr>
          <w:sz w:val="20"/>
          <w:szCs w:val="20"/>
          <w:color w:val="auto"/>
        </w:rPr>
      </w:pPr>
      <w:r>
        <w:rPr>
          <w:rFonts w:ascii="Times New Roman" w:cs="Times New Roman" w:eastAsia="Times New Roman" w:hAnsi="Times New Roman"/>
          <w:sz w:val="14"/>
          <w:szCs w:val="14"/>
          <w:color w:val="auto"/>
        </w:rPr>
        <w:t>Pursuant to the authority granted under RSA Chapter 383-C, Ankura Trust Parent, LLC, the sole member, hereby organizes a trust company as a limited liability company under RSA Chapter 304-C as follows:</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I</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NAME</w:t>
      </w:r>
    </w:p>
    <w:p>
      <w:pPr>
        <w:spacing w:after="0" w:line="16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The name of the trust company is Ankura Trust Company, LLC (“Trust Company”).</w:t>
      </w:r>
    </w:p>
    <w:p>
      <w:pPr>
        <w:spacing w:after="0" w:line="352"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4"/>
          <w:szCs w:val="14"/>
          <w:b w:val="1"/>
          <w:bCs w:val="1"/>
          <w:color w:val="auto"/>
        </w:rPr>
        <w:t>ARTICLE II</w:t>
      </w:r>
    </w:p>
    <w:p>
      <w:pPr>
        <w:spacing w:after="0" w:line="26"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4"/>
          <w:szCs w:val="14"/>
          <w:b w:val="1"/>
          <w:bCs w:val="1"/>
          <w:color w:val="auto"/>
        </w:rPr>
        <w:t>PURPOSES</w:t>
      </w:r>
    </w:p>
    <w:p>
      <w:pPr>
        <w:spacing w:after="0" w:line="169" w:lineRule="exact"/>
        <w:rPr>
          <w:sz w:val="20"/>
          <w:szCs w:val="20"/>
          <w:color w:val="auto"/>
        </w:rPr>
      </w:pPr>
    </w:p>
    <w:p>
      <w:pPr>
        <w:jc w:val="both"/>
        <w:ind w:left="120" w:right="259" w:firstLine="350"/>
        <w:spacing w:after="0" w:line="274" w:lineRule="auto"/>
        <w:rPr>
          <w:sz w:val="20"/>
          <w:szCs w:val="20"/>
          <w:color w:val="auto"/>
        </w:rPr>
      </w:pPr>
      <w:r>
        <w:rPr>
          <w:rFonts w:ascii="Times New Roman" w:cs="Times New Roman" w:eastAsia="Times New Roman" w:hAnsi="Times New Roman"/>
          <w:sz w:val="14"/>
          <w:szCs w:val="14"/>
          <w:color w:val="auto"/>
        </w:rPr>
        <w:t>The Trust Company is organized as a limited liability company under RSA Chapter 383-C, as such law now exists or may be hereafter amended, and shall have and may exercise all the express, implied and incidental powers conferred upon trust companies under the act. The Trust Company shall not accept deposits or make loans.</w:t>
      </w:r>
    </w:p>
    <w:p>
      <w:pPr>
        <w:spacing w:after="0" w:line="30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4"/>
          <w:szCs w:val="14"/>
          <w:b w:val="1"/>
          <w:bCs w:val="1"/>
          <w:color w:val="auto"/>
        </w:rPr>
        <w:t>ARTICLE III</w:t>
      </w:r>
    </w:p>
    <w:p>
      <w:pPr>
        <w:spacing w:after="0" w:line="26"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4"/>
          <w:szCs w:val="14"/>
          <w:b w:val="1"/>
          <w:bCs w:val="1"/>
          <w:color w:val="auto"/>
        </w:rPr>
        <w:t>DURATION</w:t>
      </w:r>
    </w:p>
    <w:p>
      <w:pPr>
        <w:spacing w:after="0" w:line="16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The duration of the Trust Company shall be perpetual.</w:t>
      </w: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IV</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MEMBERSHIP INTERESTS</w:t>
      </w:r>
    </w:p>
    <w:p>
      <w:pPr>
        <w:spacing w:after="0" w:line="169" w:lineRule="exact"/>
        <w:rPr>
          <w:sz w:val="20"/>
          <w:szCs w:val="20"/>
          <w:color w:val="auto"/>
        </w:rPr>
      </w:pPr>
    </w:p>
    <w:p>
      <w:pPr>
        <w:ind w:left="120" w:right="519" w:firstLine="350"/>
        <w:spacing w:after="0" w:line="292" w:lineRule="auto"/>
        <w:rPr>
          <w:sz w:val="20"/>
          <w:szCs w:val="20"/>
          <w:color w:val="auto"/>
        </w:rPr>
      </w:pPr>
      <w:r>
        <w:rPr>
          <w:rFonts w:ascii="Times New Roman" w:cs="Times New Roman" w:eastAsia="Times New Roman" w:hAnsi="Times New Roman"/>
          <w:sz w:val="14"/>
          <w:szCs w:val="14"/>
          <w:color w:val="auto"/>
        </w:rPr>
        <w:t>The amount of the authorized membership interests in the Trust Company shall be 1000, each having a nominal value of $1000.00. The sole member is Ankura Trust Parent, LLC (“Member”).</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V</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BOARD OF MANAGERS</w:t>
      </w:r>
    </w:p>
    <w:p>
      <w:pPr>
        <w:spacing w:after="0" w:line="169" w:lineRule="exact"/>
        <w:rPr>
          <w:sz w:val="20"/>
          <w:szCs w:val="20"/>
          <w:color w:val="auto"/>
        </w:rPr>
      </w:pPr>
    </w:p>
    <w:p>
      <w:pPr>
        <w:ind w:left="120" w:right="639" w:firstLine="350"/>
        <w:spacing w:after="0" w:line="292" w:lineRule="auto"/>
        <w:rPr>
          <w:sz w:val="20"/>
          <w:szCs w:val="20"/>
          <w:color w:val="auto"/>
        </w:rPr>
      </w:pPr>
      <w:r>
        <w:rPr>
          <w:rFonts w:ascii="Times New Roman" w:cs="Times New Roman" w:eastAsia="Times New Roman" w:hAnsi="Times New Roman"/>
          <w:sz w:val="14"/>
          <w:szCs w:val="14"/>
          <w:color w:val="auto"/>
        </w:rPr>
        <w:t>The Trust Company shall be managed by a Board of Managers appointed by the Member and shall consist of not less than five persons, as determined by the Member.</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VI</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LIMITATION ON MANAGER LIABILITY</w:t>
      </w:r>
    </w:p>
    <w:p>
      <w:pPr>
        <w:spacing w:after="0" w:line="169" w:lineRule="exact"/>
        <w:rPr>
          <w:sz w:val="20"/>
          <w:szCs w:val="20"/>
          <w:color w:val="auto"/>
        </w:rPr>
      </w:pPr>
    </w:p>
    <w:p>
      <w:pPr>
        <w:ind w:left="120" w:right="259" w:firstLine="350"/>
        <w:spacing w:after="0" w:line="292" w:lineRule="auto"/>
        <w:rPr>
          <w:sz w:val="20"/>
          <w:szCs w:val="20"/>
          <w:color w:val="auto"/>
        </w:rPr>
      </w:pPr>
      <w:r>
        <w:rPr>
          <w:rFonts w:ascii="Times New Roman" w:cs="Times New Roman" w:eastAsia="Times New Roman" w:hAnsi="Times New Roman"/>
          <w:sz w:val="14"/>
          <w:szCs w:val="14"/>
          <w:color w:val="auto"/>
        </w:rPr>
        <w:t>No Manager of the Trust Company shall be personally liable to the Trust Company or its Member for monetary damages for breach ·of fiduciary duty as a Manager notwithstanding any provision of law imposing such liability, except liability:</w:t>
      </w:r>
    </w:p>
    <w:p>
      <w:pPr>
        <w:spacing w:after="0" w:line="3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(a) For any breach of the Manager’s duty disloyalty to the Trust Company or its Member;</w:t>
      </w:r>
    </w:p>
    <w:p>
      <w:pPr>
        <w:sectPr>
          <w:pgSz w:w="11900" w:h="16838" w:orient="portrait"/>
          <w:cols w:equalWidth="0" w:num="1">
            <w:col w:w="9019"/>
          </w:cols>
          <w:pgMar w:left="1440" w:top="241" w:right="1440" w:bottom="1440" w:gutter="0" w:footer="0" w:header="0"/>
        </w:sectPr>
      </w:pPr>
    </w:p>
    <w:bookmarkStart w:id="271" w:name="page272"/>
    <w:bookmarkEnd w:id="271"/>
    <w:p>
      <w:pPr>
        <w:ind w:left="680" w:hanging="203"/>
        <w:spacing w:after="0"/>
        <w:tabs>
          <w:tab w:leader="none" w:pos="680" w:val="left"/>
        </w:tabs>
        <w:numPr>
          <w:ilvl w:val="0"/>
          <w:numId w:val="2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9">
                      <a:extLst>
                        <a:ext uri="{28A0092B-C50C-407E-A947-70E740481C1C}"/>
                      </a:extLst>
                    </a:blip>
                    <a:srcRect/>
                    <a:stretch>
                      <a:fillRect/>
                    </a:stretch>
                  </pic:blipFill>
                  <pic:spPr bwMode="auto">
                    <a:xfrm>
                      <a:off x="0" y="0"/>
                      <a:ext cx="7199630" cy="33020"/>
                    </a:xfrm>
                    <a:prstGeom prst="rect">
                      <a:avLst/>
                    </a:prstGeom>
                    <a:noFill/>
                  </pic:spPr>
                </pic:pic>
              </a:graphicData>
            </a:graphic>
          </wp:anchor>
        </w:drawing>
        <w:t>For acts of or omissions not in good faith or which involve intentional misconduct or a knowing violation of law; or</w:t>
      </w:r>
    </w:p>
    <w:p>
      <w:pPr>
        <w:spacing w:after="0" w:line="96" w:lineRule="exact"/>
        <w:rPr>
          <w:rFonts w:ascii="Times New Roman" w:cs="Times New Roman" w:eastAsia="Times New Roman" w:hAnsi="Times New Roman"/>
          <w:sz w:val="14"/>
          <w:szCs w:val="14"/>
          <w:color w:val="auto"/>
        </w:rPr>
      </w:pPr>
    </w:p>
    <w:p>
      <w:pPr>
        <w:ind w:left="680" w:hanging="203"/>
        <w:spacing w:after="0"/>
        <w:tabs>
          <w:tab w:leader="none" w:pos="680" w:val="left"/>
        </w:tabs>
        <w:numPr>
          <w:ilvl w:val="0"/>
          <w:numId w:val="2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any transaction from which the Manager derived an improper personal benefit.</w:t>
      </w:r>
    </w:p>
    <w:p>
      <w:pPr>
        <w:spacing w:after="0" w:line="182" w:lineRule="exact"/>
        <w:rPr>
          <w:sz w:val="20"/>
          <w:szCs w:val="20"/>
          <w:color w:val="auto"/>
        </w:rPr>
      </w:pPr>
    </w:p>
    <w:p>
      <w:pPr>
        <w:ind w:left="120" w:right="339" w:firstLine="350"/>
        <w:spacing w:after="0" w:line="268" w:lineRule="auto"/>
        <w:rPr>
          <w:sz w:val="20"/>
          <w:szCs w:val="20"/>
          <w:color w:val="auto"/>
        </w:rPr>
      </w:pPr>
      <w:r>
        <w:rPr>
          <w:rFonts w:ascii="Times New Roman" w:cs="Times New Roman" w:eastAsia="Times New Roman" w:hAnsi="Times New Roman"/>
          <w:sz w:val="14"/>
          <w:szCs w:val="14"/>
          <w:color w:val="auto"/>
        </w:rPr>
        <w:t>No amendment or repeal of this Article shall adversely affect the rights and protection afforded to a Manager of the Trust Company under this Article for acts or omissions occurring prior to such amendment or repeal. In construing the provisions of this Article, it is intended hereby to provide the Managers of the Trust Company with the full protection available to managers of a limited liability company under the New Hampshire Business Limited Liability Company Act (RSA Chapter 304-C).</w:t>
      </w: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VII</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LIMITED LIABILITY COMPANY AGREEMENT</w:t>
      </w:r>
    </w:p>
    <w:p>
      <w:pPr>
        <w:spacing w:after="0" w:line="169" w:lineRule="exact"/>
        <w:rPr>
          <w:sz w:val="20"/>
          <w:szCs w:val="20"/>
          <w:color w:val="auto"/>
        </w:rPr>
      </w:pPr>
    </w:p>
    <w:p>
      <w:pPr>
        <w:ind w:left="120" w:right="179" w:firstLine="350"/>
        <w:spacing w:after="0" w:line="274" w:lineRule="auto"/>
        <w:rPr>
          <w:sz w:val="20"/>
          <w:szCs w:val="20"/>
          <w:color w:val="auto"/>
        </w:rPr>
      </w:pPr>
      <w:r>
        <w:rPr>
          <w:rFonts w:ascii="Times New Roman" w:cs="Times New Roman" w:eastAsia="Times New Roman" w:hAnsi="Times New Roman"/>
          <w:sz w:val="14"/>
          <w:szCs w:val="14"/>
          <w:color w:val="auto"/>
        </w:rPr>
        <w:t>The Limited Liability Company Agreement of the Trust Company shall establish the procedures and standards of conduct for the regulation of the internal affairs of the Trust Company. The Limited Liability Company Agreement shall be adopted by the Member of the Trust Company and may be amended from time to time as provided therein.</w:t>
      </w:r>
    </w:p>
    <w:p>
      <w:pPr>
        <w:spacing w:after="0" w:line="305"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4"/>
          <w:szCs w:val="14"/>
          <w:b w:val="1"/>
          <w:bCs w:val="1"/>
          <w:color w:val="auto"/>
        </w:rPr>
        <w:t>ARTICLE VIII</w:t>
      </w:r>
    </w:p>
    <w:p>
      <w:pPr>
        <w:spacing w:after="0" w:line="26"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AMENDMENTS</w:t>
      </w:r>
    </w:p>
    <w:p>
      <w:pPr>
        <w:spacing w:after="0" w:line="169" w:lineRule="exact"/>
        <w:rPr>
          <w:sz w:val="20"/>
          <w:szCs w:val="20"/>
          <w:color w:val="auto"/>
        </w:rPr>
      </w:pPr>
    </w:p>
    <w:p>
      <w:pPr>
        <w:ind w:left="120" w:right="439" w:firstLine="350"/>
        <w:spacing w:after="0" w:line="292" w:lineRule="auto"/>
        <w:rPr>
          <w:sz w:val="20"/>
          <w:szCs w:val="20"/>
          <w:color w:val="auto"/>
        </w:rPr>
      </w:pPr>
      <w:r>
        <w:rPr>
          <w:rFonts w:ascii="Times New Roman" w:cs="Times New Roman" w:eastAsia="Times New Roman" w:hAnsi="Times New Roman"/>
          <w:sz w:val="14"/>
          <w:szCs w:val="14"/>
          <w:color w:val="auto"/>
        </w:rPr>
        <w:t>Subject to the approval of New Hampshire Bank Commissioner, this Amended and Restated Certificate of Formation may be amended by the Member.</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IX</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REGISTERED AGENT</w:t>
      </w:r>
    </w:p>
    <w:p>
      <w:pPr>
        <w:spacing w:after="0" w:line="16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The registered agent and address is National Registered Agents, Inc., 9 Capitol Street, Concord, New Hampshire 03301.</w:t>
      </w:r>
    </w:p>
    <w:p>
      <w:pPr>
        <w:spacing w:after="0" w:line="180" w:lineRule="exact"/>
        <w:rPr>
          <w:sz w:val="20"/>
          <w:szCs w:val="20"/>
          <w:color w:val="auto"/>
        </w:rPr>
      </w:pPr>
    </w:p>
    <w:p>
      <w:pPr>
        <w:ind w:left="120" w:right="679" w:firstLine="788"/>
        <w:spacing w:after="0" w:line="295" w:lineRule="auto"/>
        <w:rPr>
          <w:sz w:val="20"/>
          <w:szCs w:val="20"/>
          <w:color w:val="auto"/>
        </w:rPr>
      </w:pPr>
      <w:r>
        <w:rPr>
          <w:rFonts w:ascii="Times New Roman" w:cs="Times New Roman" w:eastAsia="Times New Roman" w:hAnsi="Times New Roman"/>
          <w:sz w:val="14"/>
          <w:szCs w:val="14"/>
          <w:b w:val="1"/>
          <w:bCs w:val="1"/>
          <w:color w:val="auto"/>
        </w:rPr>
        <w:t>IN WITNESS WHEREOF</w:t>
      </w:r>
      <w:r>
        <w:rPr>
          <w:rFonts w:ascii="Times New Roman" w:cs="Times New Roman" w:eastAsia="Times New Roman" w:hAnsi="Times New Roman"/>
          <w:sz w:val="14"/>
          <w:szCs w:val="14"/>
          <w:color w:val="auto"/>
        </w:rPr>
        <w:t>, the Member has executed this Amended and Restated Certificate of Formation as of this 12th day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February, 2019.</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43" w:right="1440" w:bottom="1440" w:gutter="0" w:footer="0" w:header="0"/>
        </w:sectPr>
      </w:pPr>
    </w:p>
    <w:bookmarkStart w:id="272" w:name="page273"/>
    <w:bookmarkEnd w:id="272"/>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0">
                      <a:extLst>
                        <a:ext uri="{28A0092B-C50C-407E-A947-70E740481C1C}"/>
                      </a:extLst>
                    </a:blip>
                    <a:srcRect/>
                    <a:stretch>
                      <a:fillRect/>
                    </a:stretch>
                  </pic:blipFill>
                  <pic:spPr bwMode="auto">
                    <a:xfrm>
                      <a:off x="0" y="0"/>
                      <a:ext cx="7199630" cy="33020"/>
                    </a:xfrm>
                    <a:prstGeom prst="rect">
                      <a:avLst/>
                    </a:prstGeom>
                    <a:noFill/>
                  </pic:spPr>
                </pic:pic>
              </a:graphicData>
            </a:graphic>
          </wp:anchor>
        </w:drawing>
        <w:t>Exhibit 2</w:t>
      </w:r>
    </w:p>
    <w:p>
      <w:pPr>
        <w:sectPr>
          <w:pgSz w:w="11900" w:h="16838" w:orient="portrait"/>
          <w:cols w:equalWidth="0" w:num="1">
            <w:col w:w="9019"/>
          </w:cols>
          <w:pgMar w:left="1440" w:top="241" w:right="1440" w:bottom="1440" w:gutter="0" w:footer="0" w:header="0"/>
        </w:sectPr>
      </w:pPr>
    </w:p>
    <w:bookmarkStart w:id="273" w:name="page274"/>
    <w:bookmarkEnd w:id="273"/>
    <w:p>
      <w:pPr>
        <w:ind w:left="83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11">
                      <a:extLst>
                        <a:ext uri="{28A0092B-C50C-407E-A947-70E740481C1C}"/>
                      </a:extLst>
                    </a:blip>
                    <a:srcRect/>
                    <a:stretch>
                      <a:fillRect/>
                    </a:stretch>
                  </pic:blipFill>
                  <pic:spPr bwMode="auto">
                    <a:xfrm>
                      <a:off x="0" y="0"/>
                      <a:ext cx="7199630" cy="33020"/>
                    </a:xfrm>
                    <a:prstGeom prst="rect">
                      <a:avLst/>
                    </a:prstGeom>
                    <a:noFill/>
                  </pic:spPr>
                </pic:pic>
              </a:graphicData>
            </a:graphic>
          </wp:anchor>
        </w:drawing>
        <w:t>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506095</wp:posOffset>
            </wp:positionH>
            <wp:positionV relativeFrom="paragraph">
              <wp:posOffset>139700</wp:posOffset>
            </wp:positionV>
            <wp:extent cx="4714875" cy="367220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12">
                      <a:extLst>
                        <a:ext uri="{28A0092B-C50C-407E-A947-70E740481C1C}"/>
                      </a:extLst>
                    </a:blip>
                    <a:srcRect/>
                    <a:stretch>
                      <a:fillRect/>
                    </a:stretch>
                  </pic:blipFill>
                  <pic:spPr bwMode="auto">
                    <a:xfrm>
                      <a:off x="0" y="0"/>
                      <a:ext cx="4714875" cy="367220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274" w:name="page275"/>
    <w:bookmarkEnd w:id="274"/>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13">
                      <a:extLst>
                        <a:ext uri="{28A0092B-C50C-407E-A947-70E740481C1C}"/>
                      </a:extLst>
                    </a:blip>
                    <a:srcRect/>
                    <a:stretch>
                      <a:fillRect/>
                    </a:stretch>
                  </pic:blipFill>
                  <pic:spPr bwMode="auto">
                    <a:xfrm>
                      <a:off x="0" y="0"/>
                      <a:ext cx="7199630" cy="33020"/>
                    </a:xfrm>
                    <a:prstGeom prst="rect">
                      <a:avLst/>
                    </a:prstGeom>
                    <a:noFill/>
                  </pic:spPr>
                </pic:pic>
              </a:graphicData>
            </a:graphic>
          </wp:anchor>
        </w:drawing>
        <w:t>Exhibit 3</w:t>
      </w:r>
    </w:p>
    <w:p>
      <w:pPr>
        <w:sectPr>
          <w:pgSz w:w="11900" w:h="16838" w:orient="portrait"/>
          <w:cols w:equalWidth="0" w:num="1">
            <w:col w:w="9019"/>
          </w:cols>
          <w:pgMar w:left="1440" w:top="241" w:right="1440" w:bottom="1440" w:gutter="0" w:footer="0" w:header="0"/>
        </w:sectPr>
      </w:pPr>
    </w:p>
    <w:bookmarkStart w:id="275" w:name="page276"/>
    <w:bookmarkEnd w:id="275"/>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4">
                      <a:extLst>
                        <a:ext uri="{28A0092B-C50C-407E-A947-70E740481C1C}"/>
                      </a:extLst>
                    </a:blip>
                    <a:srcRect/>
                    <a:stretch>
                      <a:fillRect/>
                    </a:stretch>
                  </pic:blipFill>
                  <pic:spPr bwMode="auto">
                    <a:xfrm>
                      <a:off x="0" y="0"/>
                      <a:ext cx="7199630" cy="33020"/>
                    </a:xfrm>
                    <a:prstGeom prst="rect">
                      <a:avLst/>
                    </a:prstGeom>
                    <a:noFill/>
                  </pic:spPr>
                </pic:pic>
              </a:graphicData>
            </a:graphic>
          </wp:anchor>
        </w:drawing>
        <w:t>Exhibit 3</w:t>
      </w:r>
    </w:p>
    <w:p>
      <w:pPr>
        <w:spacing w:after="0" w:line="204" w:lineRule="exact"/>
        <w:rPr>
          <w:sz w:val="20"/>
          <w:szCs w:val="20"/>
          <w:color w:val="auto"/>
        </w:rPr>
      </w:pPr>
    </w:p>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State of New Hampshire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-90805</wp:posOffset>
            </wp:positionV>
            <wp:extent cx="667385" cy="65405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5">
                      <a:extLst>
                        <a:ext uri="{28A0092B-C50C-407E-A947-70E740481C1C}"/>
                      </a:extLst>
                    </a:blip>
                    <a:srcRect/>
                    <a:stretch>
                      <a:fillRect/>
                    </a:stretch>
                  </pic:blipFill>
                  <pic:spPr bwMode="auto">
                    <a:xfrm>
                      <a:off x="0" y="0"/>
                      <a:ext cx="667385" cy="654050"/>
                    </a:xfrm>
                    <a:prstGeom prst="rect">
                      <a:avLst/>
                    </a:prstGeom>
                    <a:noFill/>
                  </pic:spPr>
                </pic:pic>
              </a:graphicData>
            </a:graphic>
          </wp:anchor>
        </w:drawing>
      </w:r>
    </w:p>
    <w:p>
      <w:pPr>
        <w:spacing w:after="0" w:line="6" w:lineRule="exact"/>
        <w:rPr>
          <w:sz w:val="20"/>
          <w:szCs w:val="20"/>
          <w:color w:val="auto"/>
        </w:rPr>
      </w:pPr>
    </w:p>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Banking Department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-100965</wp:posOffset>
            </wp:positionV>
            <wp:extent cx="4721225" cy="698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6">
                      <a:extLst>
                        <a:ext uri="{28A0092B-C50C-407E-A947-70E740481C1C}"/>
                      </a:extLst>
                    </a:blip>
                    <a:srcRect/>
                    <a:stretch>
                      <a:fillRect/>
                    </a:stretch>
                  </pic:blipFill>
                  <pic:spPr bwMode="auto">
                    <a:xfrm>
                      <a:off x="0" y="0"/>
                      <a:ext cx="4721225" cy="6985"/>
                    </a:xfrm>
                    <a:prstGeom prst="rect">
                      <a:avLst/>
                    </a:prstGeom>
                    <a:noFill/>
                  </pic:spPr>
                </pic:pic>
              </a:graphicData>
            </a:graphic>
          </wp:anchor>
        </w:drawing>
      </w:r>
    </w:p>
    <w:p>
      <w:pPr>
        <w:spacing w:after="0" w:line="1" w:lineRule="exact"/>
        <w:rPr>
          <w:sz w:val="20"/>
          <w:szCs w:val="20"/>
          <w:color w:val="auto"/>
        </w:rPr>
      </w:pPr>
    </w:p>
    <w:p>
      <w:pPr>
        <w:jc w:val="right"/>
        <w:ind w:right="139"/>
        <w:spacing w:after="0"/>
        <w:rPr>
          <w:sz w:val="20"/>
          <w:szCs w:val="20"/>
          <w:color w:val="auto"/>
        </w:rPr>
      </w:pPr>
      <w:r>
        <w:rPr>
          <w:rFonts w:ascii="Times New Roman" w:cs="Times New Roman" w:eastAsia="Times New Roman" w:hAnsi="Times New Roman"/>
          <w:sz w:val="14"/>
          <w:szCs w:val="14"/>
          <w:color w:val="auto"/>
        </w:rPr>
        <w:t>53 Regional Drive, Suite 200</w:t>
      </w:r>
    </w:p>
    <w:p>
      <w:pPr>
        <w:spacing w:after="0" w:line="11" w:lineRule="exact"/>
        <w:rPr>
          <w:sz w:val="20"/>
          <w:szCs w:val="20"/>
          <w:color w:val="auto"/>
        </w:rPr>
      </w:pPr>
    </w:p>
    <w:p>
      <w:pPr>
        <w:jc w:val="right"/>
        <w:ind w:right="139"/>
        <w:spacing w:after="0"/>
        <w:rPr>
          <w:sz w:val="20"/>
          <w:szCs w:val="20"/>
          <w:color w:val="auto"/>
        </w:rPr>
      </w:pPr>
      <w:r>
        <w:rPr>
          <w:rFonts w:ascii="Times New Roman" w:cs="Times New Roman" w:eastAsia="Times New Roman" w:hAnsi="Times New Roman"/>
          <w:sz w:val="14"/>
          <w:szCs w:val="14"/>
          <w:color w:val="auto"/>
        </w:rPr>
        <w:t>Concord, New Hampshire 03301</w:t>
      </w:r>
    </w:p>
    <w:p>
      <w:pPr>
        <w:spacing w:after="0" w:line="11" w:lineRule="exact"/>
        <w:rPr>
          <w:sz w:val="20"/>
          <w:szCs w:val="20"/>
          <w:color w:val="auto"/>
        </w:rPr>
      </w:pPr>
    </w:p>
    <w:p>
      <w:pPr>
        <w:jc w:val="right"/>
        <w:ind w:right="139"/>
        <w:spacing w:after="0"/>
        <w:rPr>
          <w:sz w:val="20"/>
          <w:szCs w:val="20"/>
          <w:color w:val="auto"/>
        </w:rPr>
      </w:pPr>
      <w:r>
        <w:rPr>
          <w:rFonts w:ascii="Times New Roman" w:cs="Times New Roman" w:eastAsia="Times New Roman" w:hAnsi="Times New Roman"/>
          <w:sz w:val="14"/>
          <w:szCs w:val="14"/>
          <w:color w:val="auto"/>
        </w:rPr>
        <w:t>Telephone: (603) 271-3561</w:t>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4"/>
          <w:szCs w:val="14"/>
          <w:color w:val="auto"/>
        </w:rPr>
        <w:t>FAX: (603) 271-1090 or (603) 271-0750</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u w:val="single" w:color="auto"/>
          <w:color w:val="auto"/>
        </w:rPr>
        <w:t>Certificate of Endorsement</w:t>
      </w:r>
    </w:p>
    <w:p>
      <w:pPr>
        <w:spacing w:after="0" w:line="182" w:lineRule="exact"/>
        <w:rPr>
          <w:sz w:val="20"/>
          <w:szCs w:val="20"/>
          <w:color w:val="auto"/>
        </w:rPr>
      </w:pPr>
    </w:p>
    <w:p>
      <w:pPr>
        <w:ind w:left="120" w:right="679"/>
        <w:spacing w:after="0" w:line="292" w:lineRule="auto"/>
        <w:rPr>
          <w:sz w:val="20"/>
          <w:szCs w:val="20"/>
          <w:color w:val="auto"/>
        </w:rPr>
      </w:pPr>
      <w:r>
        <w:rPr>
          <w:rFonts w:ascii="Times New Roman" w:cs="Times New Roman" w:eastAsia="Times New Roman" w:hAnsi="Times New Roman"/>
          <w:sz w:val="14"/>
          <w:szCs w:val="14"/>
          <w:color w:val="auto"/>
        </w:rPr>
        <w:t>By my signature below, I hereby confirm the New Hampshire Banking Department approved Ankura Trust Company, LLC to operate as a New Hampshire-chartered trust company.</w:t>
      </w:r>
    </w:p>
    <w:p>
      <w:pPr>
        <w:spacing w:after="0" w:line="145"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19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Emelia A.S. Galdieri</w:t>
            </w:r>
          </w:p>
        </w:tc>
      </w:tr>
      <w:tr>
        <w:trPr>
          <w:trHeight w:val="159"/>
        </w:trPr>
        <w:tc>
          <w:tcPr>
            <w:tcW w:w="198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Date 1/23/18</w:t>
            </w:r>
          </w:p>
        </w:tc>
        <w:tc>
          <w:tcPr>
            <w:tcW w:w="2760" w:type="dxa"/>
            <w:vAlign w:val="bottom"/>
          </w:tcPr>
          <w:p>
            <w:pPr>
              <w:spacing w:after="0"/>
              <w:rPr>
                <w:sz w:val="13"/>
                <w:szCs w:val="13"/>
                <w:color w:val="auto"/>
              </w:rPr>
            </w:pPr>
          </w:p>
        </w:tc>
        <w:tc>
          <w:tcPr>
            <w:tcW w:w="402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Emelia A.S. Galdieri</w:t>
            </w:r>
          </w:p>
        </w:tc>
      </w:tr>
      <w:tr>
        <w:trPr>
          <w:trHeight w:val="172"/>
        </w:trPr>
        <w:tc>
          <w:tcPr>
            <w:tcW w:w="19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Deputy Bank Commissioner</w:t>
            </w:r>
          </w:p>
        </w:tc>
      </w:tr>
      <w:tr>
        <w:trPr>
          <w:trHeight w:val="172"/>
        </w:trPr>
        <w:tc>
          <w:tcPr>
            <w:tcW w:w="19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State of New Hampshire</w:t>
            </w:r>
          </w:p>
        </w:tc>
      </w:tr>
      <w:tr>
        <w:trPr>
          <w:trHeight w:val="185"/>
        </w:trPr>
        <w:tc>
          <w:tcPr>
            <w:tcW w:w="19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Banking Department</w:t>
            </w:r>
          </w:p>
        </w:tc>
      </w:tr>
      <w:tr>
        <w:trPr>
          <w:trHeight w:val="354"/>
        </w:trPr>
        <w:tc>
          <w:tcPr>
            <w:tcW w:w="1980" w:type="dxa"/>
            <w:vAlign w:val="bottom"/>
          </w:tcPr>
          <w:p>
            <w:pPr>
              <w:spacing w:after="0"/>
              <w:rPr>
                <w:sz w:val="24"/>
                <w:szCs w:val="24"/>
                <w:color w:val="auto"/>
              </w:rPr>
            </w:pPr>
          </w:p>
        </w:tc>
        <w:tc>
          <w:tcPr>
            <w:tcW w:w="6780" w:type="dxa"/>
            <w:vAlign w:val="bottom"/>
            <w:gridSpan w:val="2"/>
          </w:tcPr>
          <w:p>
            <w:pPr>
              <w:ind w:left="1220"/>
              <w:spacing w:after="0"/>
              <w:rPr>
                <w:sz w:val="20"/>
                <w:szCs w:val="20"/>
                <w:color w:val="auto"/>
              </w:rPr>
            </w:pPr>
            <w:r>
              <w:rPr>
                <w:rFonts w:ascii="Times New Roman" w:cs="Times New Roman" w:eastAsia="Times New Roman" w:hAnsi="Times New Roman"/>
                <w:sz w:val="14"/>
                <w:szCs w:val="14"/>
                <w:color w:val="auto"/>
              </w:rPr>
              <w:t>TDD Access: Relay NH 1-800-735-2964</w:t>
            </w:r>
          </w:p>
        </w:tc>
      </w:tr>
    </w:tbl>
    <w:p>
      <w:pPr>
        <w:sectPr>
          <w:pgSz w:w="11900" w:h="16838" w:orient="portrait"/>
          <w:cols w:equalWidth="0" w:num="1">
            <w:col w:w="9019"/>
          </w:cols>
          <w:pgMar w:left="1440" w:top="241" w:right="1440" w:bottom="1440" w:gutter="0" w:footer="0" w:header="0"/>
        </w:sectPr>
      </w:pPr>
    </w:p>
    <w:bookmarkStart w:id="276" w:name="page277"/>
    <w:bookmarkEnd w:id="276"/>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7">
                      <a:extLst>
                        <a:ext uri="{28A0092B-C50C-407E-A947-70E740481C1C}"/>
                      </a:extLst>
                    </a:blip>
                    <a:srcRect/>
                    <a:stretch>
                      <a:fillRect/>
                    </a:stretch>
                  </pic:blipFill>
                  <pic:spPr bwMode="auto">
                    <a:xfrm>
                      <a:off x="0" y="0"/>
                      <a:ext cx="7199630" cy="33020"/>
                    </a:xfrm>
                    <a:prstGeom prst="rect">
                      <a:avLst/>
                    </a:prstGeom>
                    <a:noFill/>
                  </pic:spPr>
                </pic:pic>
              </a:graphicData>
            </a:graphic>
          </wp:anchor>
        </w:drawing>
        <w:t>Exhibit 4</w:t>
      </w:r>
    </w:p>
    <w:p>
      <w:pPr>
        <w:sectPr>
          <w:pgSz w:w="11900" w:h="16838" w:orient="portrait"/>
          <w:cols w:equalWidth="0" w:num="1">
            <w:col w:w="9019"/>
          </w:cols>
          <w:pgMar w:left="1440" w:top="241" w:right="1440" w:bottom="1440" w:gutter="0" w:footer="0" w:header="0"/>
        </w:sectPr>
      </w:pPr>
    </w:p>
    <w:bookmarkStart w:id="277" w:name="page278"/>
    <w:bookmarkEnd w:id="277"/>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8">
                      <a:extLst>
                        <a:ext uri="{28A0092B-C50C-407E-A947-70E740481C1C}"/>
                      </a:extLst>
                    </a:blip>
                    <a:srcRect/>
                    <a:stretch>
                      <a:fillRect/>
                    </a:stretch>
                  </pic:blipFill>
                  <pic:spPr bwMode="auto">
                    <a:xfrm>
                      <a:off x="0" y="0"/>
                      <a:ext cx="7199630" cy="33020"/>
                    </a:xfrm>
                    <a:prstGeom prst="rect">
                      <a:avLst/>
                    </a:prstGeom>
                    <a:noFill/>
                  </pic:spPr>
                </pic:pic>
              </a:graphicData>
            </a:graphic>
          </wp:anchor>
        </w:drawing>
        <w:t>Exhibit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146685</wp:posOffset>
            </wp:positionV>
            <wp:extent cx="5559425" cy="698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9">
                      <a:extLst>
                        <a:ext uri="{28A0092B-C50C-407E-A947-70E740481C1C}"/>
                      </a:extLst>
                    </a:blip>
                    <a:srcRect/>
                    <a:stretch>
                      <a:fillRect/>
                    </a:stretch>
                  </pic:blipFill>
                  <pic:spPr bwMode="auto">
                    <a:xfrm>
                      <a:off x="0" y="0"/>
                      <a:ext cx="5559425" cy="6985"/>
                    </a:xfrm>
                    <a:prstGeom prst="rect">
                      <a:avLst/>
                    </a:prstGeom>
                    <a:noFill/>
                  </pic:spPr>
                </pic:pic>
              </a:graphicData>
            </a:graphic>
          </wp:anchor>
        </w:drawing>
        <w:drawing>
          <wp:anchor simplePos="0" relativeHeight="251657728" behindDoc="1" locked="0" layoutInCell="0" allowOverlap="1">
            <wp:simplePos x="0" y="0"/>
            <wp:positionH relativeFrom="column">
              <wp:posOffset>83820</wp:posOffset>
            </wp:positionH>
            <wp:positionV relativeFrom="paragraph">
              <wp:posOffset>180975</wp:posOffset>
            </wp:positionV>
            <wp:extent cx="5559425" cy="698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0">
                      <a:extLst>
                        <a:ext uri="{28A0092B-C50C-407E-A947-70E740481C1C}"/>
                      </a:extLst>
                    </a:blip>
                    <a:srcRect/>
                    <a:stretch>
                      <a:fillRect/>
                    </a:stretch>
                  </pic:blipFill>
                  <pic:spPr bwMode="auto">
                    <a:xfrm>
                      <a:off x="0" y="0"/>
                      <a:ext cx="5559425" cy="6985"/>
                    </a:xfrm>
                    <a:prstGeom prst="rect">
                      <a:avLst/>
                    </a:prstGeom>
                    <a:noFill/>
                  </pic:spPr>
                </pic:pic>
              </a:graphicData>
            </a:graphic>
          </wp:anchor>
        </w:drawing>
        <w:drawing>
          <wp:anchor simplePos="0" relativeHeight="251657728" behindDoc="1" locked="0" layoutInCell="0" allowOverlap="1">
            <wp:simplePos x="0" y="0"/>
            <wp:positionH relativeFrom="column">
              <wp:posOffset>2277745</wp:posOffset>
            </wp:positionH>
            <wp:positionV relativeFrom="paragraph">
              <wp:posOffset>385445</wp:posOffset>
            </wp:positionV>
            <wp:extent cx="1165225" cy="698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21">
                      <a:extLst>
                        <a:ext uri="{28A0092B-C50C-407E-A947-70E740481C1C}"/>
                      </a:extLst>
                    </a:blip>
                    <a:srcRect/>
                    <a:stretch>
                      <a:fillRect/>
                    </a:stretch>
                  </pic:blipFill>
                  <pic:spPr bwMode="auto">
                    <a:xfrm>
                      <a:off x="0" y="0"/>
                      <a:ext cx="116522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ANKURA TRUST COMPANY LLC</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 New Hampshire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2277745</wp:posOffset>
            </wp:positionH>
            <wp:positionV relativeFrom="paragraph">
              <wp:posOffset>200025</wp:posOffset>
            </wp:positionV>
            <wp:extent cx="1165225" cy="698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22">
                      <a:extLst>
                        <a:ext uri="{28A0092B-C50C-407E-A947-70E740481C1C}"/>
                      </a:extLst>
                    </a:blip>
                    <a:srcRect/>
                    <a:stretch>
                      <a:fillRect/>
                    </a:stretch>
                  </pic:blipFill>
                  <pic:spPr bwMode="auto">
                    <a:xfrm>
                      <a:off x="0" y="0"/>
                      <a:ext cx="1165225" cy="698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LIMITED LIABILITY COMPANY AGREEMENT</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Dated as of 12/22/17</w:t>
      </w:r>
    </w:p>
    <w:p>
      <w:pPr>
        <w:spacing w:after="0" w:line="182" w:lineRule="exact"/>
        <w:rPr>
          <w:sz w:val="20"/>
          <w:szCs w:val="20"/>
          <w:color w:val="auto"/>
        </w:rPr>
      </w:pPr>
    </w:p>
    <w:p>
      <w:pPr>
        <w:ind w:left="120" w:right="159"/>
        <w:spacing w:after="0" w:line="265" w:lineRule="auto"/>
        <w:rPr>
          <w:sz w:val="20"/>
          <w:szCs w:val="20"/>
          <w:color w:val="auto"/>
        </w:rPr>
      </w:pPr>
      <w:r>
        <w:rPr>
          <w:rFonts w:ascii="Times New Roman" w:cs="Times New Roman" w:eastAsia="Times New Roman" w:hAnsi="Times New Roman"/>
          <w:sz w:val="14"/>
          <w:szCs w:val="14"/>
          <w:color w:val="auto"/>
        </w:rPr>
        <w:t>THE MEMBERSHIP INTERESTS REPRESENTED BY THIS LIMITED LIABILITY COMPANY AGREEMENT HAVE NOT BEEN REGISTERED UNDER THE UNITED STATES SECURITIES ACT OF 1933, AS AMENDED, OR UNDER ANY OTHER APPLICABLE SECURITIES LAWS. SUCH INTERESTS MAY NOT BE SOLD, ASSIGNED, PLEDGED OR OTHERWISE DISPOSED OF AT ANY TIME WITHOUT EFFECTIVE REGISTRATION UNDER SUCH ACT AND LAWS OR EXEMPTION THEREFROM, AND COMPLIANCE WITH THE OTHER RESTRICTIONS ON TRANSFERABILITY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119380</wp:posOffset>
            </wp:positionV>
            <wp:extent cx="5559425" cy="698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23">
                      <a:extLst>
                        <a:ext uri="{28A0092B-C50C-407E-A947-70E740481C1C}"/>
                      </a:extLst>
                    </a:blip>
                    <a:srcRect/>
                    <a:stretch>
                      <a:fillRect/>
                    </a:stretch>
                  </pic:blipFill>
                  <pic:spPr bwMode="auto">
                    <a:xfrm>
                      <a:off x="0" y="0"/>
                      <a:ext cx="5559425" cy="6985"/>
                    </a:xfrm>
                    <a:prstGeom prst="rect">
                      <a:avLst/>
                    </a:prstGeom>
                    <a:noFill/>
                  </pic:spPr>
                </pic:pic>
              </a:graphicData>
            </a:graphic>
          </wp:anchor>
        </w:drawing>
        <w:drawing>
          <wp:anchor simplePos="0" relativeHeight="251657728" behindDoc="1" locked="0" layoutInCell="0" allowOverlap="1">
            <wp:simplePos x="0" y="0"/>
            <wp:positionH relativeFrom="column">
              <wp:posOffset>83820</wp:posOffset>
            </wp:positionH>
            <wp:positionV relativeFrom="paragraph">
              <wp:posOffset>153670</wp:posOffset>
            </wp:positionV>
            <wp:extent cx="5559425" cy="698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4">
                      <a:extLst>
                        <a:ext uri="{28A0092B-C50C-407E-A947-70E740481C1C}"/>
                      </a:extLst>
                    </a:blip>
                    <a:srcRect/>
                    <a:stretch>
                      <a:fillRect/>
                    </a:stretch>
                  </pic:blipFill>
                  <pic:spPr bwMode="auto">
                    <a:xfrm>
                      <a:off x="0" y="0"/>
                      <a:ext cx="5559425"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278" w:name="page279"/>
    <w:bookmarkEnd w:id="278"/>
    <w:p>
      <w:pPr>
        <w:jc w:val="center"/>
        <w:ind w:right="19"/>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5">
                      <a:extLst>
                        <a:ext uri="{28A0092B-C50C-407E-A947-70E740481C1C}"/>
                      </a:extLst>
                    </a:blip>
                    <a:srcRect/>
                    <a:stretch>
                      <a:fillRect/>
                    </a:stretch>
                  </pic:blipFill>
                  <pic:spPr bwMode="auto">
                    <a:xfrm>
                      <a:off x="0" y="0"/>
                      <a:ext cx="7199630" cy="33020"/>
                    </a:xfrm>
                    <a:prstGeom prst="rect">
                      <a:avLst/>
                    </a:prstGeom>
                    <a:noFill/>
                  </pic:spPr>
                </pic:pic>
              </a:graphicData>
            </a:graphic>
          </wp:anchor>
        </w:drawing>
        <w:t>LIMITED LIABILITY COMPANY AGREEMENT</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OF</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ANKURA TRUST COMPANY LLC</w:t>
      </w:r>
    </w:p>
    <w:p>
      <w:pPr>
        <w:spacing w:after="0" w:line="182" w:lineRule="exact"/>
        <w:rPr>
          <w:sz w:val="20"/>
          <w:szCs w:val="20"/>
          <w:color w:val="auto"/>
        </w:rPr>
      </w:pPr>
    </w:p>
    <w:p>
      <w:pPr>
        <w:ind w:left="120" w:right="139" w:firstLine="788"/>
        <w:spacing w:after="0" w:line="268" w:lineRule="auto"/>
        <w:rPr>
          <w:sz w:val="20"/>
          <w:szCs w:val="20"/>
          <w:color w:val="auto"/>
        </w:rPr>
      </w:pPr>
      <w:r>
        <w:rPr>
          <w:rFonts w:ascii="Times New Roman" w:cs="Times New Roman" w:eastAsia="Times New Roman" w:hAnsi="Times New Roman"/>
          <w:sz w:val="14"/>
          <w:szCs w:val="14"/>
          <w:color w:val="auto"/>
        </w:rPr>
        <w:t>This LIMITED LIABILITY COMPANY AGREEMENT (this “</w:t>
      </w:r>
      <w:r>
        <w:rPr>
          <w:rFonts w:ascii="Times New Roman" w:cs="Times New Roman" w:eastAsia="Times New Roman" w:hAnsi="Times New Roman"/>
          <w:sz w:val="14"/>
          <w:szCs w:val="14"/>
          <w:u w:val="single" w:color="auto"/>
          <w:color w:val="auto"/>
        </w:rPr>
        <w:t>Agreement</w:t>
      </w:r>
      <w:r>
        <w:rPr>
          <w:rFonts w:ascii="Times New Roman" w:cs="Times New Roman" w:eastAsia="Times New Roman" w:hAnsi="Times New Roman"/>
          <w:sz w:val="14"/>
          <w:szCs w:val="14"/>
          <w:color w:val="auto"/>
        </w:rPr>
        <w:t>”) of ANKURA TRUST COMPANY, LLC (the “</w:t>
      </w:r>
      <w:r>
        <w:rPr>
          <w:rFonts w:ascii="Times New Roman" w:cs="Times New Roman" w:eastAsia="Times New Roman" w:hAnsi="Times New Roman"/>
          <w:sz w:val="14"/>
          <w:szCs w:val="14"/>
          <w:u w:val="single" w:color="auto"/>
          <w:color w:val="auto"/>
        </w:rPr>
        <w:t>Compan</w:t>
      </w:r>
      <w:r>
        <w:rPr>
          <w:rFonts w:ascii="Times New Roman" w:cs="Times New Roman" w:eastAsia="Times New Roman" w:hAnsi="Times New Roman"/>
          <w:sz w:val="14"/>
          <w:szCs w:val="14"/>
          <w:color w:val="auto"/>
        </w:rPr>
        <w:t>y”) dated as of 12/22/17, is adopted, executed and agreed to by Ankura Trust Parent, LLC, a Delaware limited liability company, (the “</w:t>
      </w:r>
      <w:r>
        <w:rPr>
          <w:rFonts w:ascii="Times New Roman" w:cs="Times New Roman" w:eastAsia="Times New Roman" w:hAnsi="Times New Roman"/>
          <w:sz w:val="14"/>
          <w:szCs w:val="14"/>
          <w:u w:val="single" w:color="auto"/>
          <w:color w:val="auto"/>
        </w:rPr>
        <w:t>Member</w:t>
      </w:r>
      <w:r>
        <w:rPr>
          <w:rFonts w:ascii="Times New Roman" w:cs="Times New Roman" w:eastAsia="Times New Roman" w:hAnsi="Times New Roman"/>
          <w:sz w:val="14"/>
          <w:szCs w:val="14"/>
          <w:color w:val="auto"/>
        </w:rPr>
        <w:t>”) under the laws of the State of New Hampshire and in accordance with the provisions of the New Hampshire Limited Liability Company Act (RSA 304-C) and any successor statute, as amended from time to time, governing the affairs of the Company and the conduct of its business.</w:t>
      </w:r>
    </w:p>
    <w:p>
      <w:pPr>
        <w:spacing w:after="0" w:line="139" w:lineRule="exact"/>
        <w:rPr>
          <w:sz w:val="20"/>
          <w:szCs w:val="20"/>
          <w:color w:val="auto"/>
        </w:rPr>
      </w:pPr>
    </w:p>
    <w:p>
      <w:pPr>
        <w:ind w:left="120" w:right="319" w:firstLine="788"/>
        <w:spacing w:after="0" w:line="292" w:lineRule="auto"/>
        <w:rPr>
          <w:sz w:val="20"/>
          <w:szCs w:val="20"/>
          <w:color w:val="auto"/>
        </w:rPr>
      </w:pPr>
      <w:r>
        <w:rPr>
          <w:rFonts w:ascii="Times New Roman" w:cs="Times New Roman" w:eastAsia="Times New Roman" w:hAnsi="Times New Roman"/>
          <w:sz w:val="14"/>
          <w:szCs w:val="14"/>
          <w:color w:val="auto"/>
        </w:rPr>
        <w:t>NOW, THEREFORE, in consideration of the mutual covenants and agreements herein made and other good and valuable consideration, the Member hereby agree as follows:</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ARTICLE I</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u w:val="single" w:color="auto"/>
          <w:color w:val="auto"/>
        </w:rPr>
        <w:t>The Limited Liability Company</w:t>
      </w:r>
    </w:p>
    <w:p>
      <w:pPr>
        <w:spacing w:after="0" w:line="169" w:lineRule="exact"/>
        <w:rPr>
          <w:sz w:val="20"/>
          <w:szCs w:val="20"/>
          <w:color w:val="auto"/>
        </w:rPr>
      </w:pPr>
    </w:p>
    <w:p>
      <w:pPr>
        <w:ind w:left="120" w:right="139" w:firstLine="788"/>
        <w:spacing w:after="0" w:line="274" w:lineRule="auto"/>
        <w:rPr>
          <w:sz w:val="20"/>
          <w:szCs w:val="20"/>
          <w:color w:val="auto"/>
        </w:rPr>
      </w:pPr>
      <w:r>
        <w:rPr>
          <w:rFonts w:ascii="Times New Roman" w:cs="Times New Roman" w:eastAsia="Times New Roman" w:hAnsi="Times New Roman"/>
          <w:sz w:val="14"/>
          <w:szCs w:val="14"/>
          <w:color w:val="auto"/>
        </w:rPr>
        <w:t xml:space="preserve">1.1 </w:t>
      </w:r>
      <w:r>
        <w:rPr>
          <w:rFonts w:ascii="Times New Roman" w:cs="Times New Roman" w:eastAsia="Times New Roman" w:hAnsi="Times New Roman"/>
          <w:sz w:val="14"/>
          <w:szCs w:val="14"/>
          <w:u w:val="single" w:color="auto"/>
          <w:color w:val="auto"/>
        </w:rPr>
        <w:t>Formation</w:t>
      </w:r>
      <w:r>
        <w:rPr>
          <w:rFonts w:ascii="Times New Roman" w:cs="Times New Roman" w:eastAsia="Times New Roman" w:hAnsi="Times New Roman"/>
          <w:sz w:val="14"/>
          <w:szCs w:val="14"/>
          <w:color w:val="auto"/>
        </w:rPr>
        <w:t>. The Member has formed the Company as a limited liability company formed pursuant to the provisions of the RSA 304-C and RSA 383-C. A Certificate of Formation for the Company (the “</w:t>
      </w:r>
      <w:r>
        <w:rPr>
          <w:rFonts w:ascii="Times New Roman" w:cs="Times New Roman" w:eastAsia="Times New Roman" w:hAnsi="Times New Roman"/>
          <w:sz w:val="14"/>
          <w:szCs w:val="14"/>
          <w:u w:val="single" w:color="auto"/>
          <w:color w:val="auto"/>
        </w:rPr>
        <w:t>Certificate of Formation</w:t>
      </w:r>
      <w:r>
        <w:rPr>
          <w:rFonts w:ascii="Times New Roman" w:cs="Times New Roman" w:eastAsia="Times New Roman" w:hAnsi="Times New Roman"/>
          <w:sz w:val="14"/>
          <w:szCs w:val="14"/>
          <w:color w:val="auto"/>
        </w:rPr>
        <w:t>”) has been filed in the Office of the Secretary of State of the State of New Hampshire in conformity with the RSA 304-C and RSA 383-C.</w:t>
      </w:r>
    </w:p>
    <w:p>
      <w:pPr>
        <w:spacing w:after="0" w:line="49" w:lineRule="exact"/>
        <w:rPr>
          <w:sz w:val="20"/>
          <w:szCs w:val="20"/>
          <w:color w:val="auto"/>
        </w:rPr>
      </w:pPr>
    </w:p>
    <w:p>
      <w:pPr>
        <w:ind w:left="120" w:right="139" w:firstLine="788"/>
        <w:spacing w:after="0" w:line="274" w:lineRule="auto"/>
        <w:rPr>
          <w:sz w:val="20"/>
          <w:szCs w:val="20"/>
          <w:color w:val="auto"/>
        </w:rPr>
      </w:pPr>
      <w:r>
        <w:rPr>
          <w:rFonts w:ascii="Times New Roman" w:cs="Times New Roman" w:eastAsia="Times New Roman" w:hAnsi="Times New Roman"/>
          <w:sz w:val="14"/>
          <w:szCs w:val="14"/>
          <w:color w:val="auto"/>
        </w:rPr>
        <w:t xml:space="preserve">1.2 </w:t>
      </w:r>
      <w:r>
        <w:rPr>
          <w:rFonts w:ascii="Times New Roman" w:cs="Times New Roman" w:eastAsia="Times New Roman" w:hAnsi="Times New Roman"/>
          <w:sz w:val="14"/>
          <w:szCs w:val="14"/>
          <w:u w:val="single" w:color="auto"/>
          <w:color w:val="auto"/>
        </w:rPr>
        <w:t>Name</w:t>
      </w:r>
      <w:r>
        <w:rPr>
          <w:rFonts w:ascii="Times New Roman" w:cs="Times New Roman" w:eastAsia="Times New Roman" w:hAnsi="Times New Roman"/>
          <w:sz w:val="14"/>
          <w:szCs w:val="14"/>
          <w:color w:val="auto"/>
        </w:rPr>
        <w:t>. The name of the Company is “Ankura Trust Company, LLC” and its business shall be carried on in such name with such variations and changes as the Board (as hereinafter defined) shall determine or deem necessary to comply with requirements of the jurisdictions in which the Company’s operations are conducted.</w:t>
      </w:r>
    </w:p>
    <w:p>
      <w:pPr>
        <w:spacing w:after="0" w:line="49" w:lineRule="exact"/>
        <w:rPr>
          <w:sz w:val="20"/>
          <w:szCs w:val="20"/>
          <w:color w:val="auto"/>
        </w:rPr>
      </w:pPr>
    </w:p>
    <w:p>
      <w:pPr>
        <w:ind w:left="120" w:right="199" w:firstLine="788"/>
        <w:spacing w:after="0" w:line="268" w:lineRule="auto"/>
        <w:rPr>
          <w:sz w:val="20"/>
          <w:szCs w:val="20"/>
          <w:color w:val="auto"/>
        </w:rPr>
      </w:pPr>
      <w:r>
        <w:rPr>
          <w:rFonts w:ascii="Times New Roman" w:cs="Times New Roman" w:eastAsia="Times New Roman" w:hAnsi="Times New Roman"/>
          <w:sz w:val="14"/>
          <w:szCs w:val="14"/>
          <w:color w:val="auto"/>
        </w:rPr>
        <w:t xml:space="preserve">1.3 </w:t>
      </w:r>
      <w:r>
        <w:rPr>
          <w:rFonts w:ascii="Times New Roman" w:cs="Times New Roman" w:eastAsia="Times New Roman" w:hAnsi="Times New Roman"/>
          <w:sz w:val="14"/>
          <w:szCs w:val="14"/>
          <w:u w:val="single" w:color="auto"/>
          <w:color w:val="auto"/>
        </w:rPr>
        <w:t>Business Purpose; Powers</w:t>
      </w:r>
      <w:r>
        <w:rPr>
          <w:rFonts w:ascii="Times New Roman" w:cs="Times New Roman" w:eastAsia="Times New Roman" w:hAnsi="Times New Roman"/>
          <w:sz w:val="14"/>
          <w:szCs w:val="14"/>
          <w:color w:val="auto"/>
        </w:rPr>
        <w:t>. The Company is formed for the purpose of engaging in a trust company business pursuant to RSA 383-C. The Company shall possess and may exercise all the powers and privileges granted by the RSA 383-C or by any other law or by this Agreement, together with any powers incidental thereto, so far as such powers and privileges are necessary or convenient to the conduct, promotion or attainment of the business purposes or activities of the Company.</w:t>
      </w:r>
    </w:p>
    <w:p>
      <w:pPr>
        <w:spacing w:after="0" w:line="53" w:lineRule="exact"/>
        <w:rPr>
          <w:sz w:val="20"/>
          <w:szCs w:val="20"/>
          <w:color w:val="auto"/>
        </w:rPr>
      </w:pPr>
    </w:p>
    <w:p>
      <w:pPr>
        <w:ind w:left="120" w:right="279" w:firstLine="788"/>
        <w:spacing w:after="0" w:line="292" w:lineRule="auto"/>
        <w:rPr>
          <w:sz w:val="20"/>
          <w:szCs w:val="20"/>
          <w:color w:val="auto"/>
        </w:rPr>
      </w:pPr>
      <w:r>
        <w:rPr>
          <w:rFonts w:ascii="Times New Roman" w:cs="Times New Roman" w:eastAsia="Times New Roman" w:hAnsi="Times New Roman"/>
          <w:sz w:val="14"/>
          <w:szCs w:val="14"/>
          <w:color w:val="auto"/>
        </w:rPr>
        <w:t xml:space="preserve">1.4 </w:t>
      </w:r>
      <w:r>
        <w:rPr>
          <w:rFonts w:ascii="Times New Roman" w:cs="Times New Roman" w:eastAsia="Times New Roman" w:hAnsi="Times New Roman"/>
          <w:sz w:val="14"/>
          <w:szCs w:val="14"/>
          <w:u w:val="single" w:color="auto"/>
          <w:color w:val="auto"/>
        </w:rPr>
        <w:t>Registered Office and Agent</w:t>
      </w:r>
      <w:r>
        <w:rPr>
          <w:rFonts w:ascii="Times New Roman" w:cs="Times New Roman" w:eastAsia="Times New Roman" w:hAnsi="Times New Roman"/>
          <w:sz w:val="14"/>
          <w:szCs w:val="14"/>
          <w:color w:val="auto"/>
        </w:rPr>
        <w:t>. The location of the registered office of the Company in the State of New Hampshire is 9 Capitol Street, Concord, New Hampshire 03301. The Company’s Registered Agent at such address is National Registered Agents, Inc.</w:t>
      </w:r>
    </w:p>
    <w:p>
      <w:pPr>
        <w:spacing w:after="0" w:line="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 xml:space="preserve">1.5 </w:t>
      </w:r>
      <w:r>
        <w:rPr>
          <w:rFonts w:ascii="Times New Roman" w:cs="Times New Roman" w:eastAsia="Times New Roman" w:hAnsi="Times New Roman"/>
          <w:sz w:val="14"/>
          <w:szCs w:val="14"/>
          <w:u w:val="single" w:color="auto"/>
          <w:color w:val="auto"/>
        </w:rPr>
        <w:t>Term</w:t>
      </w:r>
      <w:r>
        <w:rPr>
          <w:rFonts w:ascii="Times New Roman" w:cs="Times New Roman" w:eastAsia="Times New Roman" w:hAnsi="Times New Roman"/>
          <w:sz w:val="14"/>
          <w:szCs w:val="14"/>
          <w:color w:val="auto"/>
        </w:rPr>
        <w:t xml:space="preserve">. Subject to the provisions of </w:t>
      </w:r>
      <w:r>
        <w:rPr>
          <w:rFonts w:ascii="Times New Roman" w:cs="Times New Roman" w:eastAsia="Times New Roman" w:hAnsi="Times New Roman"/>
          <w:sz w:val="14"/>
          <w:szCs w:val="14"/>
          <w:u w:val="single" w:color="auto"/>
          <w:color w:val="auto"/>
        </w:rPr>
        <w:t>Article VI</w:t>
      </w:r>
      <w:r>
        <w:rPr>
          <w:rFonts w:ascii="Times New Roman" w:cs="Times New Roman" w:eastAsia="Times New Roman" w:hAnsi="Times New Roman"/>
          <w:sz w:val="14"/>
          <w:szCs w:val="14"/>
          <w:color w:val="auto"/>
        </w:rPr>
        <w:t xml:space="preserve"> below, the Company shall have perpetual existence.</w:t>
      </w:r>
    </w:p>
    <w:p>
      <w:pPr>
        <w:sectPr>
          <w:pgSz w:w="11900" w:h="16838" w:orient="portrait"/>
          <w:cols w:equalWidth="0" w:num="1">
            <w:col w:w="9019"/>
          </w:cols>
          <w:pgMar w:left="1440" w:top="243" w:right="1440" w:bottom="1440" w:gutter="0" w:footer="0" w:header="0"/>
        </w:sectPr>
      </w:pPr>
    </w:p>
    <w:bookmarkStart w:id="279" w:name="page280"/>
    <w:bookmarkEnd w:id="279"/>
    <w:p>
      <w:pPr>
        <w:ind w:left="414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6">
                      <a:extLst>
                        <a:ext uri="{28A0092B-C50C-407E-A947-70E740481C1C}"/>
                      </a:extLst>
                    </a:blip>
                    <a:srcRect/>
                    <a:stretch>
                      <a:fillRect/>
                    </a:stretch>
                  </pic:blipFill>
                  <pic:spPr bwMode="auto">
                    <a:xfrm>
                      <a:off x="0" y="0"/>
                      <a:ext cx="7199630" cy="33020"/>
                    </a:xfrm>
                    <a:prstGeom prst="rect">
                      <a:avLst/>
                    </a:prstGeom>
                    <a:noFill/>
                  </pic:spPr>
                </pic:pic>
              </a:graphicData>
            </a:graphic>
          </wp:anchor>
        </w:drawing>
        <w:t>ARTICLE II</w:t>
      </w:r>
    </w:p>
    <w:p>
      <w:pPr>
        <w:spacing w:after="0" w:line="2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4"/>
          <w:szCs w:val="14"/>
          <w:u w:val="single" w:color="auto"/>
          <w:color w:val="auto"/>
        </w:rPr>
        <w:t>The Member</w:t>
      </w:r>
    </w:p>
    <w:p>
      <w:pPr>
        <w:spacing w:after="0" w:line="16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 xml:space="preserve">2.1 </w:t>
      </w:r>
      <w:r>
        <w:rPr>
          <w:rFonts w:ascii="Times New Roman" w:cs="Times New Roman" w:eastAsia="Times New Roman" w:hAnsi="Times New Roman"/>
          <w:sz w:val="14"/>
          <w:szCs w:val="14"/>
          <w:u w:val="single" w:color="auto"/>
          <w:color w:val="auto"/>
        </w:rPr>
        <w:t>The Member</w:t>
      </w:r>
      <w:r>
        <w:rPr>
          <w:rFonts w:ascii="Times New Roman" w:cs="Times New Roman" w:eastAsia="Times New Roman" w:hAnsi="Times New Roman"/>
          <w:sz w:val="14"/>
          <w:szCs w:val="14"/>
          <w:color w:val="auto"/>
        </w:rPr>
        <w:t>. The name and address of the Member is as follows:</w:t>
      </w: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155"/>
        </w:trPr>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Name</w:t>
            </w:r>
          </w:p>
        </w:tc>
        <w:tc>
          <w:tcPr>
            <w:tcW w:w="2740" w:type="dxa"/>
            <w:vAlign w:val="bottom"/>
          </w:tcPr>
          <w:p>
            <w:pPr>
              <w:spacing w:after="0"/>
              <w:rPr>
                <w:sz w:val="13"/>
                <w:szCs w:val="13"/>
                <w:color w:val="auto"/>
              </w:rPr>
            </w:pPr>
          </w:p>
        </w:tc>
        <w:tc>
          <w:tcPr>
            <w:tcW w:w="5720" w:type="dxa"/>
            <w:vAlign w:val="bottom"/>
            <w:gridSpan w:val="2"/>
          </w:tcPr>
          <w:p>
            <w:pPr>
              <w:ind w:left="1520"/>
              <w:spacing w:after="0"/>
              <w:rPr>
                <w:sz w:val="20"/>
                <w:szCs w:val="20"/>
                <w:color w:val="auto"/>
              </w:rPr>
            </w:pPr>
            <w:r>
              <w:rPr>
                <w:rFonts w:ascii="Times New Roman" w:cs="Times New Roman" w:eastAsia="Times New Roman" w:hAnsi="Times New Roman"/>
                <w:sz w:val="11"/>
                <w:szCs w:val="11"/>
                <w:color w:val="auto"/>
              </w:rPr>
              <w:t>Address</w:t>
            </w:r>
          </w:p>
        </w:tc>
      </w:tr>
      <w:tr>
        <w:trPr>
          <w:trHeight w:val="138"/>
        </w:trPr>
        <w:tc>
          <w:tcPr>
            <w:tcW w:w="3040" w:type="dxa"/>
            <w:vAlign w:val="bottom"/>
            <w:gridSpan w:val="2"/>
          </w:tcPr>
          <w:p>
            <w:pPr>
              <w:spacing w:after="0" w:line="139" w:lineRule="exact"/>
              <w:rPr>
                <w:sz w:val="20"/>
                <w:szCs w:val="20"/>
                <w:color w:val="auto"/>
              </w:rPr>
            </w:pPr>
            <w:r>
              <w:rPr>
                <w:rFonts w:ascii="Times New Roman" w:cs="Times New Roman" w:eastAsia="Times New Roman" w:hAnsi="Times New Roman"/>
                <w:sz w:val="14"/>
                <w:szCs w:val="14"/>
                <w:color w:val="auto"/>
              </w:rPr>
              <w:t>Ankura Trust Parent, LLC</w:t>
            </w:r>
          </w:p>
        </w:tc>
        <w:tc>
          <w:tcPr>
            <w:tcW w:w="1540" w:type="dxa"/>
            <w:vAlign w:val="bottom"/>
          </w:tcPr>
          <w:p>
            <w:pPr>
              <w:spacing w:after="0"/>
              <w:rPr>
                <w:sz w:val="12"/>
                <w:szCs w:val="12"/>
                <w:color w:val="auto"/>
              </w:rPr>
            </w:pPr>
          </w:p>
        </w:tc>
        <w:tc>
          <w:tcPr>
            <w:tcW w:w="4180" w:type="dxa"/>
            <w:vAlign w:val="bottom"/>
            <w:tcBorders>
              <w:top w:val="single" w:sz="8" w:color="auto"/>
            </w:tcBorders>
          </w:tcPr>
          <w:p>
            <w:pPr>
              <w:spacing w:after="0" w:line="138" w:lineRule="exact"/>
              <w:rPr>
                <w:sz w:val="20"/>
                <w:szCs w:val="20"/>
                <w:color w:val="auto"/>
              </w:rPr>
            </w:pPr>
            <w:r>
              <w:rPr>
                <w:rFonts w:ascii="Times New Roman" w:cs="Times New Roman" w:eastAsia="Times New Roman" w:hAnsi="Times New Roman"/>
                <w:sz w:val="11"/>
                <w:szCs w:val="11"/>
                <w:color w:val="auto"/>
              </w:rPr>
              <w:t>750 Third Avenue, 28</w:t>
            </w:r>
            <w:r>
              <w:rPr>
                <w:rFonts w:ascii="Times New Roman" w:cs="Times New Roman" w:eastAsia="Times New Roman" w:hAnsi="Times New Roman"/>
                <w:sz w:val="16"/>
                <w:szCs w:val="16"/>
                <w:color w:val="auto"/>
                <w:vertAlign w:val="superscript"/>
              </w:rPr>
              <w:t>th</w:t>
            </w:r>
            <w:r>
              <w:rPr>
                <w:rFonts w:ascii="Times New Roman" w:cs="Times New Roman" w:eastAsia="Times New Roman" w:hAnsi="Times New Roman"/>
                <w:sz w:val="11"/>
                <w:szCs w:val="11"/>
                <w:color w:val="auto"/>
              </w:rPr>
              <w:t xml:space="preserve"> Floor</w:t>
            </w:r>
          </w:p>
        </w:tc>
      </w:tr>
      <w:tr>
        <w:trPr>
          <w:trHeight w:val="185"/>
        </w:trPr>
        <w:tc>
          <w:tcPr>
            <w:tcW w:w="3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5720" w:type="dxa"/>
            <w:vAlign w:val="bottom"/>
            <w:gridSpan w:val="2"/>
          </w:tcPr>
          <w:p>
            <w:pPr>
              <w:ind w:left="1520"/>
              <w:spacing w:after="0"/>
              <w:rPr>
                <w:sz w:val="20"/>
                <w:szCs w:val="20"/>
                <w:color w:val="auto"/>
              </w:rPr>
            </w:pPr>
            <w:r>
              <w:rPr>
                <w:rFonts w:ascii="Times New Roman" w:cs="Times New Roman" w:eastAsia="Times New Roman" w:hAnsi="Times New Roman"/>
                <w:sz w:val="14"/>
                <w:szCs w:val="14"/>
                <w:color w:val="auto"/>
              </w:rPr>
              <w:t>New York, N.Y. 10017</w:t>
            </w:r>
          </w:p>
        </w:tc>
      </w:tr>
    </w:tbl>
    <w:p>
      <w:pPr>
        <w:spacing w:after="0" w:line="169" w:lineRule="exact"/>
        <w:rPr>
          <w:sz w:val="20"/>
          <w:szCs w:val="20"/>
          <w:color w:val="auto"/>
        </w:rPr>
      </w:pPr>
    </w:p>
    <w:p>
      <w:pPr>
        <w:ind w:left="120" w:right="159" w:firstLine="788"/>
        <w:spacing w:after="0" w:line="274" w:lineRule="auto"/>
        <w:rPr>
          <w:sz w:val="20"/>
          <w:szCs w:val="20"/>
          <w:color w:val="auto"/>
        </w:rPr>
      </w:pPr>
      <w:r>
        <w:rPr>
          <w:rFonts w:ascii="Times New Roman" w:cs="Times New Roman" w:eastAsia="Times New Roman" w:hAnsi="Times New Roman"/>
          <w:sz w:val="14"/>
          <w:szCs w:val="14"/>
          <w:color w:val="auto"/>
        </w:rPr>
        <w:t xml:space="preserve">2.2 </w:t>
      </w:r>
      <w:r>
        <w:rPr>
          <w:rFonts w:ascii="Times New Roman" w:cs="Times New Roman" w:eastAsia="Times New Roman" w:hAnsi="Times New Roman"/>
          <w:sz w:val="14"/>
          <w:szCs w:val="14"/>
          <w:u w:val="single" w:color="auto"/>
          <w:color w:val="auto"/>
        </w:rPr>
        <w:t>Actions b</w:t>
      </w:r>
      <w:r>
        <w:rPr>
          <w:rFonts w:ascii="Times New Roman" w:cs="Times New Roman" w:eastAsia="Times New Roman" w:hAnsi="Times New Roman"/>
          <w:sz w:val="14"/>
          <w:szCs w:val="14"/>
          <w:color w:val="auto"/>
        </w:rPr>
        <w:t>y the Member; Meetings. The Member shall have the right to vote on any Company matter as permitted under the Certificate of Formation or this Agreement or under any nonwaivable provision of RSA 304-C. The actions by the Member permitted hereunder may be taken at a meeting called by the Board or the Member or by written consent without a meeting. Meetings of the Member may be called at any time by the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1112520</wp:posOffset>
            </wp:positionH>
            <wp:positionV relativeFrom="paragraph">
              <wp:posOffset>-251460</wp:posOffset>
            </wp:positionV>
            <wp:extent cx="768985" cy="698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7">
                      <a:extLst>
                        <a:ext uri="{28A0092B-C50C-407E-A947-70E740481C1C}"/>
                      </a:extLst>
                    </a:blip>
                    <a:srcRect/>
                    <a:stretch>
                      <a:fillRect/>
                    </a:stretch>
                  </pic:blipFill>
                  <pic:spPr bwMode="auto">
                    <a:xfrm>
                      <a:off x="0" y="0"/>
                      <a:ext cx="768985" cy="6985"/>
                    </a:xfrm>
                    <a:prstGeom prst="rect">
                      <a:avLst/>
                    </a:prstGeom>
                    <a:noFill/>
                  </pic:spPr>
                </pic:pic>
              </a:graphicData>
            </a:graphic>
          </wp:anchor>
        </w:drawing>
      </w:r>
    </w:p>
    <w:p>
      <w:pPr>
        <w:spacing w:after="0" w:line="29" w:lineRule="exact"/>
        <w:rPr>
          <w:sz w:val="20"/>
          <w:szCs w:val="20"/>
          <w:color w:val="auto"/>
        </w:rPr>
      </w:pPr>
    </w:p>
    <w:p>
      <w:pPr>
        <w:ind w:left="120" w:right="159" w:firstLine="788"/>
        <w:spacing w:after="0" w:line="274" w:lineRule="auto"/>
        <w:rPr>
          <w:sz w:val="20"/>
          <w:szCs w:val="20"/>
          <w:color w:val="auto"/>
        </w:rPr>
      </w:pPr>
      <w:r>
        <w:rPr>
          <w:rFonts w:ascii="Times New Roman" w:cs="Times New Roman" w:eastAsia="Times New Roman" w:hAnsi="Times New Roman"/>
          <w:sz w:val="14"/>
          <w:szCs w:val="14"/>
          <w:color w:val="auto"/>
        </w:rPr>
        <w:t xml:space="preserve">2.3 </w:t>
      </w:r>
      <w:r>
        <w:rPr>
          <w:rFonts w:ascii="Times New Roman" w:cs="Times New Roman" w:eastAsia="Times New Roman" w:hAnsi="Times New Roman"/>
          <w:sz w:val="14"/>
          <w:szCs w:val="14"/>
          <w:u w:val="single" w:color="auto"/>
          <w:color w:val="auto"/>
        </w:rPr>
        <w:t>Liabili</w:t>
      </w:r>
      <w:r>
        <w:rPr>
          <w:rFonts w:ascii="Times New Roman" w:cs="Times New Roman" w:eastAsia="Times New Roman" w:hAnsi="Times New Roman"/>
          <w:sz w:val="14"/>
          <w:szCs w:val="14"/>
          <w:color w:val="auto"/>
        </w:rPr>
        <w:t>ty of the Member. All debts, obligations and liabilities of the Company, whether arising in contract, tort or otherwise, shall be solely the debts, obligations and liabilities of the Company, and the Member shall not be obligated personally for any such debt, obligation or liability of the Company solely by reason of being a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1029335</wp:posOffset>
            </wp:positionH>
            <wp:positionV relativeFrom="paragraph">
              <wp:posOffset>-251460</wp:posOffset>
            </wp:positionV>
            <wp:extent cx="561975" cy="698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8">
                      <a:extLst>
                        <a:ext uri="{28A0092B-C50C-407E-A947-70E740481C1C}"/>
                      </a:extLst>
                    </a:blip>
                    <a:srcRect/>
                    <a:stretch>
                      <a:fillRect/>
                    </a:stretch>
                  </pic:blipFill>
                  <pic:spPr bwMode="auto">
                    <a:xfrm>
                      <a:off x="0" y="0"/>
                      <a:ext cx="561975" cy="6985"/>
                    </a:xfrm>
                    <a:prstGeom prst="rect">
                      <a:avLst/>
                    </a:prstGeom>
                    <a:noFill/>
                  </pic:spPr>
                </pic:pic>
              </a:graphicData>
            </a:graphic>
          </wp:anchor>
        </w:drawing>
      </w:r>
    </w:p>
    <w:p>
      <w:pPr>
        <w:spacing w:after="0" w:line="29" w:lineRule="exact"/>
        <w:rPr>
          <w:sz w:val="20"/>
          <w:szCs w:val="20"/>
          <w:color w:val="auto"/>
        </w:rPr>
      </w:pPr>
    </w:p>
    <w:p>
      <w:pPr>
        <w:ind w:left="120" w:right="179" w:firstLine="788"/>
        <w:spacing w:after="0" w:line="268" w:lineRule="auto"/>
        <w:rPr>
          <w:sz w:val="20"/>
          <w:szCs w:val="20"/>
          <w:color w:val="auto"/>
        </w:rPr>
      </w:pPr>
      <w:r>
        <w:rPr>
          <w:rFonts w:ascii="Times New Roman" w:cs="Times New Roman" w:eastAsia="Times New Roman" w:hAnsi="Times New Roman"/>
          <w:sz w:val="14"/>
          <w:szCs w:val="14"/>
          <w:color w:val="auto"/>
        </w:rPr>
        <w:t xml:space="preserve">2.4 </w:t>
      </w:r>
      <w:r>
        <w:rPr>
          <w:rFonts w:ascii="Times New Roman" w:cs="Times New Roman" w:eastAsia="Times New Roman" w:hAnsi="Times New Roman"/>
          <w:sz w:val="14"/>
          <w:szCs w:val="14"/>
          <w:u w:val="single" w:color="auto"/>
          <w:color w:val="auto"/>
        </w:rPr>
        <w:t>Lack of Authori</w:t>
      </w:r>
      <w:r>
        <w:rPr>
          <w:rFonts w:ascii="Times New Roman" w:cs="Times New Roman" w:eastAsia="Times New Roman" w:hAnsi="Times New Roman"/>
          <w:sz w:val="14"/>
          <w:szCs w:val="14"/>
          <w:color w:val="auto"/>
        </w:rPr>
        <w:t>ty. The Member (in its capacity as such) shall have no the authority or power to act for or on behalf of the Company, to do any act that would be binding on the Company or to make any expenditures on behalf of the Company, unless such specific authority has been expressly granted to and not revoked from the Member by the Board, and the Member hereby consents to the exercise by the Board of the powers conferred on it by law and this Agreement.</w:t>
      </w:r>
    </w:p>
    <w:p>
      <w:pPr>
        <w:spacing w:after="0" w:line="53" w:lineRule="exact"/>
        <w:rPr>
          <w:sz w:val="20"/>
          <w:szCs w:val="20"/>
          <w:color w:val="auto"/>
        </w:rPr>
      </w:pPr>
    </w:p>
    <w:p>
      <w:pPr>
        <w:ind w:left="120" w:right="619" w:firstLine="788"/>
        <w:spacing w:after="0" w:line="292" w:lineRule="auto"/>
        <w:rPr>
          <w:sz w:val="20"/>
          <w:szCs w:val="20"/>
          <w:color w:val="auto"/>
        </w:rPr>
      </w:pPr>
      <w:r>
        <w:rPr>
          <w:rFonts w:ascii="Times New Roman" w:cs="Times New Roman" w:eastAsia="Times New Roman" w:hAnsi="Times New Roman"/>
          <w:sz w:val="14"/>
          <w:szCs w:val="14"/>
          <w:color w:val="auto"/>
        </w:rPr>
        <w:t xml:space="preserve">2.5 </w:t>
      </w:r>
      <w:r>
        <w:rPr>
          <w:rFonts w:ascii="Times New Roman" w:cs="Times New Roman" w:eastAsia="Times New Roman" w:hAnsi="Times New Roman"/>
          <w:sz w:val="14"/>
          <w:szCs w:val="14"/>
          <w:u w:val="single" w:color="auto"/>
          <w:color w:val="auto"/>
        </w:rPr>
        <w:t>Admission of Members</w:t>
      </w:r>
      <w:r>
        <w:rPr>
          <w:rFonts w:ascii="Times New Roman" w:cs="Times New Roman" w:eastAsia="Times New Roman" w:hAnsi="Times New Roman"/>
          <w:sz w:val="14"/>
          <w:szCs w:val="14"/>
          <w:color w:val="auto"/>
        </w:rPr>
        <w:t>. New members shall be admitted only upon the approval of the Member and the New Hampshire Bank Commissioner.</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ARTICLE III</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u w:val="single" w:color="auto"/>
          <w:color w:val="auto"/>
        </w:rPr>
        <w:t>The Board</w:t>
      </w:r>
    </w:p>
    <w:p>
      <w:pPr>
        <w:spacing w:after="0" w:line="16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 xml:space="preserve">3.1 </w:t>
      </w:r>
      <w:r>
        <w:rPr>
          <w:rFonts w:ascii="Times New Roman" w:cs="Times New Roman" w:eastAsia="Times New Roman" w:hAnsi="Times New Roman"/>
          <w:sz w:val="14"/>
          <w:szCs w:val="14"/>
          <w:u w:val="single" w:color="auto"/>
          <w:color w:val="auto"/>
        </w:rPr>
        <w:t>Management b</w:t>
      </w:r>
      <w:r>
        <w:rPr>
          <w:rFonts w:ascii="Times New Roman" w:cs="Times New Roman" w:eastAsia="Times New Roman" w:hAnsi="Times New Roman"/>
          <w:sz w:val="14"/>
          <w:szCs w:val="14"/>
          <w:color w:val="auto"/>
        </w:rPr>
        <w:t xml:space="preserve">y </w:t>
      </w:r>
      <w:r>
        <w:rPr>
          <w:rFonts w:ascii="Times New Roman" w:cs="Times New Roman" w:eastAsia="Times New Roman" w:hAnsi="Times New Roman"/>
          <w:sz w:val="14"/>
          <w:szCs w:val="14"/>
          <w:u w:val="single" w:color="auto"/>
          <w:color w:val="auto"/>
        </w:rPr>
        <w:t>Board of Managers</w:t>
      </w:r>
      <w:r>
        <w:rPr>
          <w:rFonts w:ascii="Times New Roman" w:cs="Times New Roman" w:eastAsia="Times New Roman" w:hAnsi="Times New Roman"/>
          <w:sz w:val="14"/>
          <w:szCs w:val="14"/>
          <w:color w:val="auto"/>
        </w:rPr>
        <w:t>.</w:t>
      </w:r>
    </w:p>
    <w:p>
      <w:pPr>
        <w:spacing w:after="0" w:line="97" w:lineRule="exact"/>
        <w:rPr>
          <w:sz w:val="20"/>
          <w:szCs w:val="20"/>
          <w:color w:val="auto"/>
        </w:rPr>
      </w:pPr>
    </w:p>
    <w:p>
      <w:pPr>
        <w:ind w:left="120" w:right="159" w:firstLine="1145"/>
        <w:spacing w:after="0" w:line="268" w:lineRule="auto"/>
        <w:tabs>
          <w:tab w:leader="none" w:pos="1452" w:val="left"/>
        </w:tabs>
        <w:numPr>
          <w:ilvl w:val="0"/>
          <w:numId w:val="2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Subject to such matters which are expressly reserved under nonwaivable provisions of applicable law to the Member for decision and </w:t>
      </w:r>
      <w:r>
        <w:rPr>
          <w:rFonts w:ascii="Times New Roman" w:cs="Times New Roman" w:eastAsia="Times New Roman" w:hAnsi="Times New Roman"/>
          <w:sz w:val="14"/>
          <w:szCs w:val="14"/>
          <w:u w:val="single" w:color="auto"/>
          <w:color w:val="auto"/>
        </w:rPr>
        <w:t>Section 3.6</w:t>
      </w:r>
      <w:r>
        <w:rPr>
          <w:rFonts w:ascii="Times New Roman" w:cs="Times New Roman" w:eastAsia="Times New Roman" w:hAnsi="Times New Roman"/>
          <w:sz w:val="14"/>
          <w:szCs w:val="14"/>
          <w:color w:val="auto"/>
        </w:rPr>
        <w:t>, (A) the powers of the Company shall be exercised by or under the authority of, and the business and affairs of the Company shall be managed under the direction of, a board of managers (the “</w:t>
      </w:r>
      <w:r>
        <w:rPr>
          <w:rFonts w:ascii="Times New Roman" w:cs="Times New Roman" w:eastAsia="Times New Roman" w:hAnsi="Times New Roman"/>
          <w:sz w:val="14"/>
          <w:szCs w:val="14"/>
          <w:u w:val="single" w:color="auto"/>
          <w:color w:val="auto"/>
        </w:rPr>
        <w:t>Board</w:t>
      </w:r>
      <w:r>
        <w:rPr>
          <w:rFonts w:ascii="Times New Roman" w:cs="Times New Roman" w:eastAsia="Times New Roman" w:hAnsi="Times New Roman"/>
          <w:sz w:val="14"/>
          <w:szCs w:val="14"/>
          <w:color w:val="auto"/>
        </w:rPr>
        <w:t>”), and (B) the Board may make all decisions and take all actions for the Company not otherwise provided for in this Agreement.</w:t>
      </w:r>
    </w:p>
    <w:p>
      <w:pPr>
        <w:spacing w:after="0" w:line="53" w:lineRule="exact"/>
        <w:rPr>
          <w:rFonts w:ascii="Times New Roman" w:cs="Times New Roman" w:eastAsia="Times New Roman" w:hAnsi="Times New Roman"/>
          <w:sz w:val="14"/>
          <w:szCs w:val="14"/>
          <w:color w:val="auto"/>
        </w:rPr>
      </w:pPr>
    </w:p>
    <w:p>
      <w:pPr>
        <w:ind w:left="120" w:right="199" w:firstLine="1145"/>
        <w:spacing w:after="0" w:line="292" w:lineRule="auto"/>
        <w:tabs>
          <w:tab w:leader="none" w:pos="1461" w:val="left"/>
        </w:tabs>
        <w:numPr>
          <w:ilvl w:val="0"/>
          <w:numId w:val="2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Board may act (A) by resolutions adopted at a meeting and by written consents pursuant to </w:t>
      </w:r>
      <w:r>
        <w:rPr>
          <w:rFonts w:ascii="Times New Roman" w:cs="Times New Roman" w:eastAsia="Times New Roman" w:hAnsi="Times New Roman"/>
          <w:sz w:val="14"/>
          <w:szCs w:val="14"/>
          <w:u w:val="single" w:color="auto"/>
          <w:color w:val="auto"/>
        </w:rPr>
        <w:t>Section 3.4</w:t>
      </w:r>
      <w:r>
        <w:rPr>
          <w:rFonts w:ascii="Times New Roman" w:cs="Times New Roman" w:eastAsia="Times New Roman" w:hAnsi="Times New Roman"/>
          <w:sz w:val="14"/>
          <w:szCs w:val="14"/>
          <w:color w:val="auto"/>
        </w:rPr>
        <w:t xml:space="preserve">, or (B) by delegating power and authority to any Officer pursuant to </w:t>
      </w:r>
      <w:r>
        <w:rPr>
          <w:rFonts w:ascii="Times New Roman" w:cs="Times New Roman" w:eastAsia="Times New Roman" w:hAnsi="Times New Roman"/>
          <w:sz w:val="14"/>
          <w:szCs w:val="14"/>
          <w:u w:val="single" w:color="auto"/>
          <w:color w:val="auto"/>
        </w:rPr>
        <w:t>Section 3.7</w:t>
      </w:r>
      <w:r>
        <w:rPr>
          <w:rFonts w:ascii="Times New Roman" w:cs="Times New Roman" w:eastAsia="Times New Roman" w:hAnsi="Times New Roman"/>
          <w:sz w:val="14"/>
          <w:szCs w:val="14"/>
          <w:color w:val="auto"/>
        </w:rPr>
        <w:t>.</w:t>
      </w:r>
    </w:p>
    <w:p>
      <w:pPr>
        <w:spacing w:after="0" w:line="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43" w:right="1440" w:bottom="1440" w:gutter="0" w:footer="0" w:header="0"/>
        </w:sectPr>
      </w:pPr>
    </w:p>
    <w:bookmarkStart w:id="280" w:name="page281"/>
    <w:bookmarkEnd w:id="280"/>
    <w:p>
      <w:pPr>
        <w:ind w:left="9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9">
                      <a:extLst>
                        <a:ext uri="{28A0092B-C50C-407E-A947-70E740481C1C}"/>
                      </a:extLst>
                    </a:blip>
                    <a:srcRect/>
                    <a:stretch>
                      <a:fillRect/>
                    </a:stretch>
                  </pic:blipFill>
                  <pic:spPr bwMode="auto">
                    <a:xfrm>
                      <a:off x="0" y="0"/>
                      <a:ext cx="7199630" cy="33020"/>
                    </a:xfrm>
                    <a:prstGeom prst="rect">
                      <a:avLst/>
                    </a:prstGeom>
                    <a:noFill/>
                  </pic:spPr>
                </pic:pic>
              </a:graphicData>
            </a:graphic>
          </wp:anchor>
        </w:drawing>
        <w:t xml:space="preserve">3.2 </w:t>
      </w:r>
      <w:r>
        <w:rPr>
          <w:rFonts w:ascii="Times New Roman" w:cs="Times New Roman" w:eastAsia="Times New Roman" w:hAnsi="Times New Roman"/>
          <w:sz w:val="14"/>
          <w:szCs w:val="14"/>
          <w:u w:val="single" w:color="auto"/>
          <w:color w:val="auto"/>
        </w:rPr>
        <w:t>Composition and Election of Board of Managers</w:t>
      </w:r>
    </w:p>
    <w:p>
      <w:pPr>
        <w:spacing w:after="0" w:line="97" w:lineRule="exact"/>
        <w:rPr>
          <w:sz w:val="20"/>
          <w:szCs w:val="20"/>
          <w:color w:val="auto"/>
        </w:rPr>
      </w:pPr>
    </w:p>
    <w:p>
      <w:pPr>
        <w:ind w:left="120" w:right="219" w:firstLine="1145"/>
        <w:spacing w:after="0" w:line="274" w:lineRule="auto"/>
        <w:tabs>
          <w:tab w:leader="none" w:pos="1452" w:val="left"/>
        </w:tabs>
        <w:numPr>
          <w:ilvl w:val="0"/>
          <w:numId w:val="2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Number and Designation</w:t>
      </w:r>
      <w:r>
        <w:rPr>
          <w:rFonts w:ascii="Times New Roman" w:cs="Times New Roman" w:eastAsia="Times New Roman" w:hAnsi="Times New Roman"/>
          <w:sz w:val="14"/>
          <w:szCs w:val="14"/>
          <w:color w:val="auto"/>
        </w:rPr>
        <w:t>. The board shall consist of no fewer than five (5) individuals (each. a ‘‘</w:t>
      </w:r>
      <w:r>
        <w:rPr>
          <w:rFonts w:ascii="Times New Roman" w:cs="Times New Roman" w:eastAsia="Times New Roman" w:hAnsi="Times New Roman"/>
          <w:sz w:val="14"/>
          <w:szCs w:val="14"/>
          <w:u w:val="single" w:color="auto"/>
          <w:color w:val="auto"/>
        </w:rPr>
        <w:t>Manager</w:t>
      </w:r>
      <w:r>
        <w:rPr>
          <w:rFonts w:ascii="Times New Roman" w:cs="Times New Roman" w:eastAsia="Times New Roman" w:hAnsi="Times New Roman"/>
          <w:sz w:val="14"/>
          <w:szCs w:val="14"/>
          <w:color w:val="auto"/>
        </w:rPr>
        <w:t xml:space="preserve">”). The number of Managers on the Board shall be the number serving pursuant to clauses (i) through (iii) of this </w:t>
      </w:r>
      <w:r>
        <w:rPr>
          <w:rFonts w:ascii="Times New Roman" w:cs="Times New Roman" w:eastAsia="Times New Roman" w:hAnsi="Times New Roman"/>
          <w:sz w:val="14"/>
          <w:szCs w:val="14"/>
          <w:u w:val="single" w:color="auto"/>
          <w:color w:val="auto"/>
        </w:rPr>
        <w:t>Section 3.2</w:t>
      </w:r>
      <w:r>
        <w:rPr>
          <w:rFonts w:ascii="Times New Roman" w:cs="Times New Roman" w:eastAsia="Times New Roman" w:hAnsi="Times New Roman"/>
          <w:sz w:val="14"/>
          <w:szCs w:val="14"/>
          <w:color w:val="auto"/>
        </w:rPr>
        <w:t>(a). The Board shall at all times be comprised of the following persons:</w:t>
      </w:r>
    </w:p>
    <w:p>
      <w:pPr>
        <w:spacing w:after="0" w:line="49" w:lineRule="exact"/>
        <w:rPr>
          <w:rFonts w:ascii="Times New Roman" w:cs="Times New Roman" w:eastAsia="Times New Roman" w:hAnsi="Times New Roman"/>
          <w:sz w:val="14"/>
          <w:szCs w:val="14"/>
          <w:color w:val="auto"/>
        </w:rPr>
      </w:pPr>
    </w:p>
    <w:p>
      <w:pPr>
        <w:ind w:left="120" w:right="199" w:firstLine="1582"/>
        <w:spacing w:after="0" w:line="292" w:lineRule="auto"/>
        <w:tabs>
          <w:tab w:leader="none" w:pos="1866" w:val="left"/>
        </w:tabs>
        <w:numPr>
          <w:ilvl w:val="1"/>
          <w:numId w:val="2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four (4) Managers designated by the Member (each a “</w:t>
      </w:r>
      <w:r>
        <w:rPr>
          <w:rFonts w:ascii="Times New Roman" w:cs="Times New Roman" w:eastAsia="Times New Roman" w:hAnsi="Times New Roman"/>
          <w:sz w:val="14"/>
          <w:szCs w:val="14"/>
          <w:u w:val="single" w:color="auto"/>
          <w:color w:val="auto"/>
        </w:rPr>
        <w:t>Compan</w:t>
      </w:r>
      <w:r>
        <w:rPr>
          <w:rFonts w:ascii="Times New Roman" w:cs="Times New Roman" w:eastAsia="Times New Roman" w:hAnsi="Times New Roman"/>
          <w:sz w:val="14"/>
          <w:szCs w:val="14"/>
          <w:color w:val="auto"/>
        </w:rPr>
        <w:t xml:space="preserve">y </w:t>
      </w:r>
      <w:r>
        <w:rPr>
          <w:rFonts w:ascii="Times New Roman" w:cs="Times New Roman" w:eastAsia="Times New Roman" w:hAnsi="Times New Roman"/>
          <w:sz w:val="14"/>
          <w:szCs w:val="14"/>
          <w:u w:val="single" w:color="auto"/>
          <w:color w:val="auto"/>
        </w:rPr>
        <w:t>Manager</w:t>
      </w:r>
      <w:r>
        <w:rPr>
          <w:rFonts w:ascii="Times New Roman" w:cs="Times New Roman" w:eastAsia="Times New Roman" w:hAnsi="Times New Roman"/>
          <w:sz w:val="14"/>
          <w:szCs w:val="14"/>
          <w:color w:val="auto"/>
        </w:rPr>
        <w:t>’’ and, collectively, the “</w:t>
      </w:r>
      <w:r>
        <w:rPr>
          <w:rFonts w:ascii="Times New Roman" w:cs="Times New Roman" w:eastAsia="Times New Roman" w:hAnsi="Times New Roman"/>
          <w:sz w:val="14"/>
          <w:szCs w:val="14"/>
          <w:u w:val="single" w:color="auto"/>
          <w:color w:val="auto"/>
        </w:rPr>
        <w:t>Compan</w:t>
      </w:r>
      <w:r>
        <w:rPr>
          <w:rFonts w:ascii="Times New Roman" w:cs="Times New Roman" w:eastAsia="Times New Roman" w:hAnsi="Times New Roman"/>
          <w:sz w:val="14"/>
          <w:szCs w:val="14"/>
          <w:color w:val="auto"/>
        </w:rPr>
        <w:t xml:space="preserve">y </w:t>
      </w:r>
      <w:r>
        <w:rPr>
          <w:rFonts w:ascii="Times New Roman" w:cs="Times New Roman" w:eastAsia="Times New Roman" w:hAnsi="Times New Roman"/>
          <w:sz w:val="14"/>
          <w:szCs w:val="14"/>
          <w:u w:val="single" w:color="auto"/>
          <w:color w:val="auto"/>
        </w:rPr>
        <w:t>Managers</w:t>
      </w:r>
      <w:r>
        <w:rPr>
          <w:rFonts w:ascii="Times New Roman" w:cs="Times New Roman" w:eastAsia="Times New Roman" w:hAnsi="Times New Roman"/>
          <w:sz w:val="14"/>
          <w:szCs w:val="14"/>
          <w:color w:val="auto"/>
        </w:rPr>
        <w:t>”), who initially shall be Kevin Lavin, Roger Carlile, David Sawyer and James J. McGinley;</w:t>
      </w:r>
    </w:p>
    <w:p>
      <w:pPr>
        <w:spacing w:after="0" w:line="37" w:lineRule="exact"/>
        <w:rPr>
          <w:rFonts w:ascii="Times New Roman" w:cs="Times New Roman" w:eastAsia="Times New Roman" w:hAnsi="Times New Roman"/>
          <w:sz w:val="14"/>
          <w:szCs w:val="14"/>
          <w:color w:val="auto"/>
        </w:rPr>
      </w:pPr>
    </w:p>
    <w:p>
      <w:pPr>
        <w:ind w:left="120" w:right="559" w:firstLine="1582"/>
        <w:spacing w:after="0" w:line="292" w:lineRule="auto"/>
        <w:tabs>
          <w:tab w:leader="none" w:pos="1906" w:val="left"/>
        </w:tabs>
        <w:numPr>
          <w:ilvl w:val="1"/>
          <w:numId w:val="2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one ( 1) Managers or more designated by the Member, who is not an employee or equity investor of Member or its affiliates and is independent from management (each a “</w:t>
      </w:r>
      <w:r>
        <w:rPr>
          <w:rFonts w:ascii="Times New Roman" w:cs="Times New Roman" w:eastAsia="Times New Roman" w:hAnsi="Times New Roman"/>
          <w:sz w:val="14"/>
          <w:szCs w:val="14"/>
          <w:u w:val="single" w:color="auto"/>
          <w:color w:val="auto"/>
        </w:rPr>
        <w:t>Independent Manager</w:t>
      </w:r>
      <w:r>
        <w:rPr>
          <w:rFonts w:ascii="Times New Roman" w:cs="Times New Roman" w:eastAsia="Times New Roman" w:hAnsi="Times New Roman"/>
          <w:sz w:val="14"/>
          <w:szCs w:val="14"/>
          <w:color w:val="auto"/>
        </w:rPr>
        <w:t>”), who initially shall be Carl Toriello; and</w:t>
      </w:r>
    </w:p>
    <w:p>
      <w:pPr>
        <w:spacing w:after="0" w:line="37" w:lineRule="exact"/>
        <w:rPr>
          <w:rFonts w:ascii="Times New Roman" w:cs="Times New Roman" w:eastAsia="Times New Roman" w:hAnsi="Times New Roman"/>
          <w:sz w:val="14"/>
          <w:szCs w:val="14"/>
          <w:color w:val="auto"/>
        </w:rPr>
      </w:pPr>
    </w:p>
    <w:p>
      <w:pPr>
        <w:ind w:left="1960" w:hanging="258"/>
        <w:spacing w:after="0"/>
        <w:tabs>
          <w:tab w:leader="none" w:pos="1960" w:val="left"/>
        </w:tabs>
        <w:numPr>
          <w:ilvl w:val="1"/>
          <w:numId w:val="2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additional Managers as may be appointed by the Member (each, an “</w:t>
      </w:r>
      <w:r>
        <w:rPr>
          <w:rFonts w:ascii="Times New Roman" w:cs="Times New Roman" w:eastAsia="Times New Roman" w:hAnsi="Times New Roman"/>
          <w:sz w:val="14"/>
          <w:szCs w:val="14"/>
          <w:u w:val="single" w:color="auto"/>
          <w:color w:val="auto"/>
        </w:rPr>
        <w:t>Additional Manager</w:t>
      </w:r>
      <w:r>
        <w:rPr>
          <w:rFonts w:ascii="Times New Roman" w:cs="Times New Roman" w:eastAsia="Times New Roman" w:hAnsi="Times New Roman"/>
          <w:sz w:val="14"/>
          <w:szCs w:val="14"/>
          <w:color w:val="auto"/>
        </w:rPr>
        <w:t>”)</w:t>
      </w:r>
    </w:p>
    <w:p>
      <w:pPr>
        <w:spacing w:after="0" w:line="97" w:lineRule="exact"/>
        <w:rPr>
          <w:sz w:val="20"/>
          <w:szCs w:val="20"/>
          <w:color w:val="auto"/>
        </w:rPr>
      </w:pPr>
    </w:p>
    <w:p>
      <w:pPr>
        <w:ind w:left="120" w:right="139" w:firstLine="788"/>
        <w:spacing w:after="0" w:line="261" w:lineRule="auto"/>
        <w:rPr>
          <w:sz w:val="20"/>
          <w:szCs w:val="20"/>
          <w:color w:val="auto"/>
        </w:rPr>
      </w:pPr>
      <w:r>
        <w:rPr>
          <w:rFonts w:ascii="Times New Roman" w:cs="Times New Roman" w:eastAsia="Times New Roman" w:hAnsi="Times New Roman"/>
          <w:sz w:val="14"/>
          <w:szCs w:val="14"/>
          <w:color w:val="auto"/>
        </w:rPr>
        <w:t xml:space="preserve">3.3 </w:t>
      </w:r>
      <w:r>
        <w:rPr>
          <w:rFonts w:ascii="Times New Roman" w:cs="Times New Roman" w:eastAsia="Times New Roman" w:hAnsi="Times New Roman"/>
          <w:sz w:val="14"/>
          <w:szCs w:val="14"/>
          <w:u w:val="single" w:color="auto"/>
          <w:color w:val="auto"/>
        </w:rPr>
        <w:t>Term</w:t>
      </w:r>
      <w:r>
        <w:rPr>
          <w:rFonts w:ascii="Times New Roman" w:cs="Times New Roman" w:eastAsia="Times New Roman" w:hAnsi="Times New Roman"/>
          <w:sz w:val="14"/>
          <w:szCs w:val="14"/>
          <w:color w:val="auto"/>
        </w:rPr>
        <w:t xml:space="preserve">. Members of the Board shall serve from their designation in accordance with the terms hereof until their resignation, death or removal in accordance with the terms hereof. Members of the Board need not be members and need not be residents of the State of New Hampshire. A person shall become a Manager and member of the Board effective upon receipt by the Company at its principal place of business of a written acceptance addressed to the Board (or at such later time or upon the happening of some other event specified in such acceptance) of such person’s appointment pursuant to </w:t>
      </w:r>
      <w:r>
        <w:rPr>
          <w:rFonts w:ascii="Times New Roman" w:cs="Times New Roman" w:eastAsia="Times New Roman" w:hAnsi="Times New Roman"/>
          <w:sz w:val="14"/>
          <w:szCs w:val="14"/>
          <w:u w:val="single" w:color="auto"/>
          <w:color w:val="auto"/>
        </w:rPr>
        <w:t>Section 3.2</w:t>
      </w:r>
      <w:r>
        <w:rPr>
          <w:rFonts w:ascii="Times New Roman" w:cs="Times New Roman" w:eastAsia="Times New Roman" w:hAnsi="Times New Roman"/>
          <w:sz w:val="14"/>
          <w:szCs w:val="14"/>
          <w:color w:val="auto"/>
        </w:rPr>
        <w:t>(a). A member of the Board may resign as such by delivering his, her or its written resignation to the Company at the Company’s principal office addressed to the Board. Such resignation shall be effective upon receipt unless it is specified to be effective at some other time or upon the happening of some other event.</w:t>
      </w:r>
    </w:p>
    <w:p>
      <w:pPr>
        <w:spacing w:after="0" w:line="62" w:lineRule="exact"/>
        <w:rPr>
          <w:sz w:val="20"/>
          <w:szCs w:val="20"/>
          <w:color w:val="auto"/>
        </w:rPr>
      </w:pPr>
    </w:p>
    <w:p>
      <w:pPr>
        <w:ind w:left="120" w:right="139" w:firstLine="1145"/>
        <w:spacing w:after="0" w:line="268" w:lineRule="auto"/>
        <w:tabs>
          <w:tab w:leader="none" w:pos="1452" w:val="left"/>
        </w:tabs>
        <w:numPr>
          <w:ilvl w:val="0"/>
          <w:numId w:val="2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Removal</w:t>
      </w:r>
      <w:r>
        <w:rPr>
          <w:rFonts w:ascii="Times New Roman" w:cs="Times New Roman" w:eastAsia="Times New Roman" w:hAnsi="Times New Roman"/>
          <w:sz w:val="14"/>
          <w:szCs w:val="14"/>
          <w:color w:val="auto"/>
        </w:rPr>
        <w:t>. The removal from the Board (with or without cause) of any Manager shall be upon (and only upon) the written demand of the Member; p</w:t>
      </w:r>
      <w:r>
        <w:rPr>
          <w:rFonts w:ascii="Times New Roman" w:cs="Times New Roman" w:eastAsia="Times New Roman" w:hAnsi="Times New Roman"/>
          <w:sz w:val="14"/>
          <w:szCs w:val="14"/>
          <w:u w:val="single" w:color="auto"/>
          <w:color w:val="auto"/>
        </w:rPr>
        <w:t>rovided</w:t>
      </w:r>
      <w:r>
        <w:rPr>
          <w:rFonts w:ascii="Times New Roman" w:cs="Times New Roman" w:eastAsia="Times New Roman" w:hAnsi="Times New Roman"/>
          <w:sz w:val="14"/>
          <w:szCs w:val="14"/>
          <w:color w:val="auto"/>
        </w:rPr>
        <w:t xml:space="preserve"> that, in the event any Company Manager or Additional Manager ceases to be an employee of the Company, Ankura Holdings, LP, or any of their respective subsidiaries (collectively the “</w:t>
      </w:r>
      <w:r>
        <w:rPr>
          <w:rFonts w:ascii="Times New Roman" w:cs="Times New Roman" w:eastAsia="Times New Roman" w:hAnsi="Times New Roman"/>
          <w:sz w:val="14"/>
          <w:szCs w:val="14"/>
          <w:u w:val="single" w:color="auto"/>
          <w:color w:val="auto"/>
        </w:rPr>
        <w:t>Compan</w:t>
      </w:r>
      <w:r>
        <w:rPr>
          <w:rFonts w:ascii="Times New Roman" w:cs="Times New Roman" w:eastAsia="Times New Roman" w:hAnsi="Times New Roman"/>
          <w:sz w:val="14"/>
          <w:szCs w:val="14"/>
          <w:color w:val="auto"/>
        </w:rPr>
        <w:t xml:space="preserve">y </w:t>
      </w:r>
      <w:r>
        <w:rPr>
          <w:rFonts w:ascii="Times New Roman" w:cs="Times New Roman" w:eastAsia="Times New Roman" w:hAnsi="Times New Roman"/>
          <w:sz w:val="14"/>
          <w:szCs w:val="14"/>
          <w:u w:val="single" w:color="auto"/>
          <w:color w:val="auto"/>
        </w:rPr>
        <w:t>Grou</w:t>
      </w:r>
      <w:r>
        <w:rPr>
          <w:rFonts w:ascii="Times New Roman" w:cs="Times New Roman" w:eastAsia="Times New Roman" w:hAnsi="Times New Roman"/>
          <w:sz w:val="14"/>
          <w:szCs w:val="14"/>
          <w:color w:val="auto"/>
        </w:rPr>
        <w:t>p”) for any reason, such Company Manager or Additional Manager shall, at such time, be automatically removed from the Board.</w:t>
      </w:r>
    </w:p>
    <w:p>
      <w:pPr>
        <w:spacing w:after="0" w:line="53" w:lineRule="exact"/>
        <w:rPr>
          <w:rFonts w:ascii="Times New Roman" w:cs="Times New Roman" w:eastAsia="Times New Roman" w:hAnsi="Times New Roman"/>
          <w:sz w:val="14"/>
          <w:szCs w:val="14"/>
          <w:color w:val="auto"/>
        </w:rPr>
      </w:pPr>
    </w:p>
    <w:p>
      <w:pPr>
        <w:ind w:left="120" w:right="299" w:firstLine="1145"/>
        <w:spacing w:after="0" w:line="292" w:lineRule="auto"/>
        <w:tabs>
          <w:tab w:leader="none" w:pos="1460" w:val="left"/>
        </w:tabs>
        <w:numPr>
          <w:ilvl w:val="0"/>
          <w:numId w:val="2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Vacancies</w:t>
      </w:r>
      <w:r>
        <w:rPr>
          <w:rFonts w:ascii="Times New Roman" w:cs="Times New Roman" w:eastAsia="Times New Roman" w:hAnsi="Times New Roman"/>
          <w:sz w:val="14"/>
          <w:szCs w:val="14"/>
          <w:color w:val="auto"/>
        </w:rPr>
        <w:t xml:space="preserve">. If any designee under </w:t>
      </w:r>
      <w:r>
        <w:rPr>
          <w:rFonts w:ascii="Times New Roman" w:cs="Times New Roman" w:eastAsia="Times New Roman" w:hAnsi="Times New Roman"/>
          <w:sz w:val="14"/>
          <w:szCs w:val="14"/>
          <w:u w:val="single" w:color="auto"/>
          <w:color w:val="auto"/>
        </w:rPr>
        <w:t>Section 3.2</w:t>
      </w:r>
      <w:r>
        <w:rPr>
          <w:rFonts w:ascii="Times New Roman" w:cs="Times New Roman" w:eastAsia="Times New Roman" w:hAnsi="Times New Roman"/>
          <w:sz w:val="14"/>
          <w:szCs w:val="14"/>
          <w:color w:val="auto"/>
        </w:rPr>
        <w:t>(a) for any reason ceases to serve as a member of the Board, the resulting vacancy on the Board shall be filled by the Member.</w:t>
      </w:r>
    </w:p>
    <w:p>
      <w:pPr>
        <w:spacing w:after="0" w:line="37" w:lineRule="exact"/>
        <w:rPr>
          <w:rFonts w:ascii="Times New Roman" w:cs="Times New Roman" w:eastAsia="Times New Roman" w:hAnsi="Times New Roman"/>
          <w:sz w:val="14"/>
          <w:szCs w:val="14"/>
          <w:color w:val="auto"/>
        </w:rPr>
      </w:pPr>
    </w:p>
    <w:p>
      <w:pPr>
        <w:ind w:left="120" w:right="239" w:firstLine="1145"/>
        <w:spacing w:after="0" w:line="292" w:lineRule="auto"/>
        <w:tabs>
          <w:tab w:leader="none" w:pos="1452" w:val="left"/>
        </w:tabs>
        <w:numPr>
          <w:ilvl w:val="0"/>
          <w:numId w:val="2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Reimbursement</w:t>
      </w:r>
      <w:r>
        <w:rPr>
          <w:rFonts w:ascii="Times New Roman" w:cs="Times New Roman" w:eastAsia="Times New Roman" w:hAnsi="Times New Roman"/>
          <w:sz w:val="14"/>
          <w:szCs w:val="14"/>
          <w:color w:val="auto"/>
        </w:rPr>
        <w:t>. The Company shall pay or cause to be paid all reimbursable out-of-pocket costs and expenses incurred by each Manager incurred in the course of his or her service hereunder, including in connection with attending regular and special meetings of the Board.</w:t>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43" w:right="1440" w:bottom="1440" w:gutter="0" w:footer="0" w:header="0"/>
        </w:sectPr>
      </w:pPr>
    </w:p>
    <w:bookmarkStart w:id="281" w:name="page282"/>
    <w:bookmarkEnd w:id="281"/>
    <w:p>
      <w:pPr>
        <w:ind w:left="120" w:right="299" w:firstLine="1145"/>
        <w:spacing w:after="0" w:line="292" w:lineRule="auto"/>
        <w:tabs>
          <w:tab w:leader="none" w:pos="1460" w:val="left"/>
        </w:tabs>
        <w:numPr>
          <w:ilvl w:val="0"/>
          <w:numId w:val="2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0">
                      <a:extLst>
                        <a:ext uri="{28A0092B-C50C-407E-A947-70E740481C1C}"/>
                      </a:extLst>
                    </a:blip>
                    <a:srcRect/>
                    <a:stretch>
                      <a:fillRect/>
                    </a:stretch>
                  </pic:blipFill>
                  <pic:spPr bwMode="auto">
                    <a:xfrm>
                      <a:off x="0" y="0"/>
                      <a:ext cx="7199630" cy="33020"/>
                    </a:xfrm>
                    <a:prstGeom prst="rect">
                      <a:avLst/>
                    </a:prstGeom>
                    <a:noFill/>
                  </pic:spPr>
                </pic:pic>
              </a:graphicData>
            </a:graphic>
          </wp:anchor>
        </w:drawing>
        <w:t>Compensation of Managers</w:t>
      </w:r>
      <w:r>
        <w:rPr>
          <w:rFonts w:ascii="Times New Roman" w:cs="Times New Roman" w:eastAsia="Times New Roman" w:hAnsi="Times New Roman"/>
          <w:sz w:val="14"/>
          <w:szCs w:val="14"/>
          <w:color w:val="auto"/>
        </w:rPr>
        <w:t>. Except as approved in writing by the Member, Company Managers shall receive no compensation for serving in such capacity.</w:t>
      </w:r>
    </w:p>
    <w:p>
      <w:pPr>
        <w:spacing w:after="0" w:line="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 xml:space="preserve">3.4 </w:t>
      </w:r>
      <w:r>
        <w:rPr>
          <w:rFonts w:ascii="Times New Roman" w:cs="Times New Roman" w:eastAsia="Times New Roman" w:hAnsi="Times New Roman"/>
          <w:sz w:val="14"/>
          <w:szCs w:val="14"/>
          <w:u w:val="single" w:color="auto"/>
          <w:color w:val="auto"/>
        </w:rPr>
        <w:t>Action b</w:t>
      </w:r>
      <w:r>
        <w:rPr>
          <w:rFonts w:ascii="Times New Roman" w:cs="Times New Roman" w:eastAsia="Times New Roman" w:hAnsi="Times New Roman"/>
          <w:sz w:val="14"/>
          <w:szCs w:val="14"/>
          <w:color w:val="auto"/>
        </w:rPr>
        <w:t>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1077595</wp:posOffset>
            </wp:positionH>
            <wp:positionV relativeFrom="paragraph">
              <wp:posOffset>-3810</wp:posOffset>
            </wp:positionV>
            <wp:extent cx="378460" cy="698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31">
                      <a:extLst>
                        <a:ext uri="{28A0092B-C50C-407E-A947-70E740481C1C}"/>
                      </a:extLst>
                    </a:blip>
                    <a:srcRect/>
                    <a:stretch>
                      <a:fillRect/>
                    </a:stretch>
                  </pic:blipFill>
                  <pic:spPr bwMode="auto">
                    <a:xfrm>
                      <a:off x="0" y="0"/>
                      <a:ext cx="378460" cy="6985"/>
                    </a:xfrm>
                    <a:prstGeom prst="rect">
                      <a:avLst/>
                    </a:prstGeom>
                    <a:noFill/>
                  </pic:spPr>
                </pic:pic>
              </a:graphicData>
            </a:graphic>
          </wp:anchor>
        </w:drawing>
      </w:r>
    </w:p>
    <w:p>
      <w:pPr>
        <w:spacing w:after="0" w:line="77" w:lineRule="exact"/>
        <w:rPr>
          <w:sz w:val="20"/>
          <w:szCs w:val="20"/>
          <w:color w:val="auto"/>
        </w:rPr>
      </w:pPr>
    </w:p>
    <w:p>
      <w:pPr>
        <w:ind w:left="120" w:right="199" w:firstLine="1145"/>
        <w:spacing w:after="0" w:line="260" w:lineRule="auto"/>
        <w:tabs>
          <w:tab w:leader="none" w:pos="1452" w:val="left"/>
        </w:tabs>
        <w:numPr>
          <w:ilvl w:val="0"/>
          <w:numId w:val="2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Q</w:t>
      </w:r>
      <w:r>
        <w:rPr>
          <w:rFonts w:ascii="Times New Roman" w:cs="Times New Roman" w:eastAsia="Times New Roman" w:hAnsi="Times New Roman"/>
          <w:sz w:val="14"/>
          <w:szCs w:val="14"/>
          <w:u w:val="single" w:color="auto"/>
          <w:color w:val="auto"/>
        </w:rPr>
        <w:t>uorum: Votin</w:t>
      </w:r>
      <w:r>
        <w:rPr>
          <w:rFonts w:ascii="Times New Roman" w:cs="Times New Roman" w:eastAsia="Times New Roman" w:hAnsi="Times New Roman"/>
          <w:sz w:val="14"/>
          <w:szCs w:val="14"/>
          <w:color w:val="auto"/>
        </w:rPr>
        <w:t xml:space="preserve">g. A quorum for the transaction of business shall consist of a majority of the Managers, except that at least two Company Managers must be present at any meeting of the Board (including for purposes of actions taken pursuant to </w:t>
      </w:r>
      <w:r>
        <w:rPr>
          <w:rFonts w:ascii="Times New Roman" w:cs="Times New Roman" w:eastAsia="Times New Roman" w:hAnsi="Times New Roman"/>
          <w:sz w:val="14"/>
          <w:szCs w:val="14"/>
          <w:u w:val="single" w:color="auto"/>
          <w:color w:val="auto"/>
        </w:rPr>
        <w:t>Section 3.4</w:t>
      </w:r>
      <w:r>
        <w:rPr>
          <w:rFonts w:ascii="Times New Roman" w:cs="Times New Roman" w:eastAsia="Times New Roman" w:hAnsi="Times New Roman"/>
          <w:sz w:val="14"/>
          <w:szCs w:val="14"/>
          <w:color w:val="auto"/>
        </w:rPr>
        <w:t>(c)) in order to constitute a quorum. The act of the Managers that have a majority of the total votes present at a meeting of the Board at which a quorum is present shall be the act of the Board. Once a quorum is present to commence a meeting of the Board, such quorum shall be broken as soon as no Company Manager remains present at such meeting and no further business may be transacted at such meeting until such time as a quorum shall again be present. A Manager who is present at a meeting of the Board at which action on any matter is taken shall be presumed to have assented to the action unless his or her dissent shall be entered in the minutes of the meeting or unless he or she shall file his or her written dissent to such action with the person acting as secretary of the meeting before the adjournment thereof or shall deliver such dissent to the Company immediately after the adjournment of the meeting. Such right to dissent shall not apply to a Manager who voted in favor of such action.</w:t>
      </w:r>
    </w:p>
    <w:p>
      <w:pPr>
        <w:spacing w:after="0" w:line="61" w:lineRule="exact"/>
        <w:rPr>
          <w:rFonts w:ascii="Times New Roman" w:cs="Times New Roman" w:eastAsia="Times New Roman" w:hAnsi="Times New Roman"/>
          <w:sz w:val="14"/>
          <w:szCs w:val="14"/>
          <w:color w:val="auto"/>
        </w:rPr>
      </w:pPr>
    </w:p>
    <w:p>
      <w:pPr>
        <w:ind w:left="120" w:right="199" w:firstLine="1145"/>
        <w:spacing w:after="0" w:line="263" w:lineRule="auto"/>
        <w:tabs>
          <w:tab w:leader="none" w:pos="1460" w:val="left"/>
        </w:tabs>
        <w:numPr>
          <w:ilvl w:val="0"/>
          <w:numId w:val="2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Meetin</w:t>
      </w:r>
      <w:r>
        <w:rPr>
          <w:rFonts w:ascii="Times New Roman" w:cs="Times New Roman" w:eastAsia="Times New Roman" w:hAnsi="Times New Roman"/>
          <w:sz w:val="14"/>
          <w:szCs w:val="14"/>
          <w:color w:val="auto"/>
        </w:rPr>
        <w:t>gs. Regular meetings of the Board may be held at such times and places as shall be determined from time to time by resolution of the Board. Notice of regular meetings shall not be required. Special meetings of the Board may be called by the Member on at least 24 hours’ notice to each Managers. Such notice need not state the purpose or purposes of, nor the business to be transacted at, such meeting, except as may otherwise be required by law or provided for in this Agreement. Attendance of a Manager at a meeting shall constitute a waiver of notice of such meeting, except where a Manager attends a meeting for the express purpose of objecting to the transaction of any business on the ground that the meeting is not lawfully called or convened.</w:t>
      </w:r>
    </w:p>
    <w:p>
      <w:pPr>
        <w:spacing w:after="0" w:line="57" w:lineRule="exact"/>
        <w:rPr>
          <w:rFonts w:ascii="Times New Roman" w:cs="Times New Roman" w:eastAsia="Times New Roman" w:hAnsi="Times New Roman"/>
          <w:sz w:val="14"/>
          <w:szCs w:val="14"/>
          <w:color w:val="auto"/>
        </w:rPr>
      </w:pPr>
    </w:p>
    <w:p>
      <w:pPr>
        <w:ind w:left="120" w:right="179" w:firstLine="1145"/>
        <w:spacing w:after="0" w:line="260" w:lineRule="auto"/>
        <w:tabs>
          <w:tab w:leader="none" w:pos="1452" w:val="left"/>
        </w:tabs>
        <w:numPr>
          <w:ilvl w:val="0"/>
          <w:numId w:val="2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Action b</w:t>
      </w:r>
      <w:r>
        <w:rPr>
          <w:rFonts w:ascii="Times New Roman" w:cs="Times New Roman" w:eastAsia="Times New Roman" w:hAnsi="Times New Roman"/>
          <w:sz w:val="14"/>
          <w:szCs w:val="14"/>
          <w:color w:val="auto"/>
        </w:rPr>
        <w:t xml:space="preserve">y </w:t>
      </w:r>
      <w:r>
        <w:rPr>
          <w:rFonts w:ascii="Times New Roman" w:cs="Times New Roman" w:eastAsia="Times New Roman" w:hAnsi="Times New Roman"/>
          <w:sz w:val="14"/>
          <w:szCs w:val="14"/>
          <w:u w:val="single" w:color="auto"/>
          <w:color w:val="auto"/>
        </w:rPr>
        <w:t>Written Consent</w:t>
      </w:r>
      <w:r>
        <w:rPr>
          <w:rFonts w:ascii="Times New Roman" w:cs="Times New Roman" w:eastAsia="Times New Roman" w:hAnsi="Times New Roman"/>
          <w:sz w:val="14"/>
          <w:szCs w:val="14"/>
          <w:color w:val="auto"/>
        </w:rPr>
        <w:t>. Any action permitted or required by the RSA 304-C, the Certificate of Formation or this Agreement to be taken at a meeting of the Board may be taken without a meeting, without notice and without a vote if a consent in writing, setting forth the action to be taken, is signed by at least one Company Manager and the Managers that have at least the number of votes required to take such action at a meeting of the Board if all Managers were present at such meeting. Decisions may be made through electronic mail. In the case of an electronic mail, a precise description of the proposed action to all Managers at their respective electronic mail addresses as maintained in the records of the Trust Company and as updated from time to time upon the request of a Manager. The Managers shall respond by electronic mail stating whether or not they are in favor of the proposed action, and the responses of the Managers collectively shall be deemed an action by written consent. Any such consent shall have the same force and effect as a vote at a meeting and may be stated as such in any document or instrument filed with the Secretary of State of New Hampshire, and the execution of such consent shall constitute attendance or presence in person at a meeting of the Board.</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243" w:right="1440" w:bottom="1440" w:gutter="0" w:footer="0" w:header="0"/>
        </w:sectPr>
      </w:pPr>
    </w:p>
    <w:bookmarkStart w:id="282" w:name="page283"/>
    <w:bookmarkEnd w:id="282"/>
    <w:p>
      <w:pPr>
        <w:ind w:left="120" w:right="279" w:firstLine="1145"/>
        <w:spacing w:after="0" w:line="265" w:lineRule="auto"/>
        <w:tabs>
          <w:tab w:leader="none" w:pos="1460" w:val="left"/>
        </w:tabs>
        <w:numPr>
          <w:ilvl w:val="0"/>
          <w:numId w:val="2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32">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Telephone Conference</w:t>
      </w:r>
      <w:r>
        <w:rPr>
          <w:rFonts w:ascii="Times New Roman" w:cs="Times New Roman" w:eastAsia="Times New Roman" w:hAnsi="Times New Roman"/>
          <w:sz w:val="14"/>
          <w:szCs w:val="14"/>
          <w:color w:val="auto"/>
        </w:rPr>
        <w:t>. Subject to the requirements of RSA 304-C, the Certificate of Formation or this Agreement for notice of meetings, the Managers may participate in and hold a meeting of the Board by means of a conference telephone or similar communications equipment by means of which all persons participating in the meeting can hear each other, and participation in such meeting shall constitute attendance and presence in person at such meeting, except where a person participates in the meeting for the express purpose of objecting to the transaction of any business on the ground that the meeting is not lawfully called or convened.</w:t>
      </w:r>
    </w:p>
    <w:p>
      <w:pPr>
        <w:spacing w:after="0" w:line="55" w:lineRule="exact"/>
        <w:rPr>
          <w:rFonts w:ascii="Times New Roman" w:cs="Times New Roman" w:eastAsia="Times New Roman" w:hAnsi="Times New Roman"/>
          <w:sz w:val="14"/>
          <w:szCs w:val="14"/>
          <w:color w:val="auto"/>
        </w:rPr>
      </w:pPr>
    </w:p>
    <w:p>
      <w:pPr>
        <w:ind w:left="120" w:right="239" w:firstLine="1145"/>
        <w:spacing w:after="0" w:line="265" w:lineRule="auto"/>
        <w:tabs>
          <w:tab w:leader="none" w:pos="1452" w:val="left"/>
        </w:tabs>
        <w:numPr>
          <w:ilvl w:val="0"/>
          <w:numId w:val="2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Information</w:t>
      </w:r>
      <w:r>
        <w:rPr>
          <w:rFonts w:ascii="Times New Roman" w:cs="Times New Roman" w:eastAsia="Times New Roman" w:hAnsi="Times New Roman"/>
          <w:sz w:val="14"/>
          <w:szCs w:val="14"/>
          <w:color w:val="auto"/>
        </w:rPr>
        <w:t>. Each Manager shall receive: (i) all notices and other materials as and when provided to any Manager in connection with meetings or actions of the Board; and (ii) copies of all minutes, resolutions and consents of the Board reasonably promptly after approval thereof; p</w:t>
      </w:r>
      <w:r>
        <w:rPr>
          <w:rFonts w:ascii="Times New Roman" w:cs="Times New Roman" w:eastAsia="Times New Roman" w:hAnsi="Times New Roman"/>
          <w:sz w:val="14"/>
          <w:szCs w:val="14"/>
          <w:u w:val="single" w:color="auto"/>
          <w:color w:val="auto"/>
        </w:rPr>
        <w:t>rovided</w:t>
      </w:r>
      <w:r>
        <w:rPr>
          <w:rFonts w:ascii="Times New Roman" w:cs="Times New Roman" w:eastAsia="Times New Roman" w:hAnsi="Times New Roman"/>
          <w:sz w:val="14"/>
          <w:szCs w:val="14"/>
          <w:color w:val="auto"/>
        </w:rPr>
        <w:t xml:space="preserve"> that, the Company may withhold any notices and/or materials from a Manager if the Board determines that such notice and/or material is related to the actions, employment, compensation or review of such Manager. For the avoidance of doubt, no action of the Board shall be deemed to be unauthorized or in breach of this Agreement as a result of non-compliance with this </w:t>
      </w:r>
      <w:r>
        <w:rPr>
          <w:rFonts w:ascii="Times New Roman" w:cs="Times New Roman" w:eastAsia="Times New Roman" w:hAnsi="Times New Roman"/>
          <w:sz w:val="14"/>
          <w:szCs w:val="14"/>
          <w:u w:val="single" w:color="auto"/>
          <w:color w:val="auto"/>
        </w:rPr>
        <w:t>Section 3.4</w:t>
      </w:r>
      <w:r>
        <w:rPr>
          <w:rFonts w:ascii="Times New Roman" w:cs="Times New Roman" w:eastAsia="Times New Roman" w:hAnsi="Times New Roman"/>
          <w:sz w:val="14"/>
          <w:szCs w:val="14"/>
          <w:color w:val="auto"/>
        </w:rPr>
        <w:t>(e).</w:t>
      </w:r>
    </w:p>
    <w:p>
      <w:pPr>
        <w:spacing w:after="0" w:line="55" w:lineRule="exact"/>
        <w:rPr>
          <w:sz w:val="20"/>
          <w:szCs w:val="20"/>
          <w:color w:val="auto"/>
        </w:rPr>
      </w:pPr>
    </w:p>
    <w:p>
      <w:pPr>
        <w:ind w:left="120" w:right="139" w:firstLine="788"/>
        <w:spacing w:after="0" w:line="274" w:lineRule="auto"/>
        <w:rPr>
          <w:sz w:val="20"/>
          <w:szCs w:val="20"/>
          <w:color w:val="auto"/>
        </w:rPr>
      </w:pPr>
      <w:r>
        <w:rPr>
          <w:rFonts w:ascii="Times New Roman" w:cs="Times New Roman" w:eastAsia="Times New Roman" w:hAnsi="Times New Roman"/>
          <w:sz w:val="14"/>
          <w:szCs w:val="14"/>
          <w:color w:val="auto"/>
        </w:rPr>
        <w:t xml:space="preserve">3.5 </w:t>
      </w:r>
      <w:r>
        <w:rPr>
          <w:rFonts w:ascii="Times New Roman" w:cs="Times New Roman" w:eastAsia="Times New Roman" w:hAnsi="Times New Roman"/>
          <w:sz w:val="14"/>
          <w:szCs w:val="14"/>
          <w:u w:val="single" w:color="auto"/>
          <w:color w:val="auto"/>
        </w:rPr>
        <w:t>Power to Bind Compan</w:t>
      </w:r>
      <w:r>
        <w:rPr>
          <w:rFonts w:ascii="Times New Roman" w:cs="Times New Roman" w:eastAsia="Times New Roman" w:hAnsi="Times New Roman"/>
          <w:sz w:val="14"/>
          <w:szCs w:val="14"/>
          <w:color w:val="auto"/>
        </w:rPr>
        <w:t>y. None of the Managers (acting in their capacity as such) shall have authority to bind the Company to any third party with respect to any matter unless the Board shall have approved such matter and authorized such Manager(s) to bind the Company with respect thereto.</w:t>
      </w:r>
    </w:p>
    <w:p>
      <w:pPr>
        <w:spacing w:after="0" w:line="49" w:lineRule="exact"/>
        <w:rPr>
          <w:sz w:val="20"/>
          <w:szCs w:val="20"/>
          <w:color w:val="auto"/>
        </w:rPr>
      </w:pPr>
    </w:p>
    <w:p>
      <w:pPr>
        <w:ind w:left="120" w:right="199" w:firstLine="788"/>
        <w:spacing w:after="0" w:line="292" w:lineRule="auto"/>
        <w:rPr>
          <w:sz w:val="20"/>
          <w:szCs w:val="20"/>
          <w:color w:val="auto"/>
        </w:rPr>
      </w:pPr>
      <w:r>
        <w:rPr>
          <w:rFonts w:ascii="Times New Roman" w:cs="Times New Roman" w:eastAsia="Times New Roman" w:hAnsi="Times New Roman"/>
          <w:sz w:val="14"/>
          <w:szCs w:val="14"/>
          <w:color w:val="auto"/>
        </w:rPr>
        <w:t xml:space="preserve">3.6 </w:t>
      </w:r>
      <w:r>
        <w:rPr>
          <w:rFonts w:ascii="Times New Roman" w:cs="Times New Roman" w:eastAsia="Times New Roman" w:hAnsi="Times New Roman"/>
          <w:sz w:val="14"/>
          <w:szCs w:val="14"/>
          <w:u w:val="single" w:color="auto"/>
          <w:color w:val="auto"/>
        </w:rPr>
        <w:t>Certain Consent Rights</w:t>
      </w:r>
      <w:r>
        <w:rPr>
          <w:rFonts w:ascii="Times New Roman" w:cs="Times New Roman" w:eastAsia="Times New Roman" w:hAnsi="Times New Roman"/>
          <w:sz w:val="14"/>
          <w:szCs w:val="14"/>
          <w:color w:val="auto"/>
        </w:rPr>
        <w:t>. Without the prior written consent of the Member, the Company shall not, and the Board and the Officers shall cause the Company not to:</w:t>
      </w:r>
    </w:p>
    <w:p>
      <w:pPr>
        <w:spacing w:after="0" w:line="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(a) liquidate or file a voluntary petition for bankruptcy or take any action related to bankruptcy, insolvency, dissolution, or winding</w:t>
      </w:r>
    </w:p>
    <w:p>
      <w:pPr>
        <w:spacing w:after="0" w:line="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up;</w:t>
      </w:r>
    </w:p>
    <w:p>
      <w:pPr>
        <w:spacing w:after="0" w:line="83" w:lineRule="exact"/>
        <w:rPr>
          <w:sz w:val="20"/>
          <w:szCs w:val="20"/>
          <w:color w:val="auto"/>
        </w:rPr>
      </w:pPr>
    </w:p>
    <w:p>
      <w:pPr>
        <w:ind w:left="1460" w:hanging="195"/>
        <w:spacing w:after="0"/>
        <w:tabs>
          <w:tab w:leader="none" w:pos="1460" w:val="left"/>
        </w:tabs>
        <w:numPr>
          <w:ilvl w:val="0"/>
          <w:numId w:val="2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amend the Company’s organizational documents (including recapitalizations and changes in equity interest or capital);</w:t>
      </w:r>
    </w:p>
    <w:p>
      <w:pPr>
        <w:spacing w:after="0" w:line="96" w:lineRule="exact"/>
        <w:rPr>
          <w:rFonts w:ascii="Times New Roman" w:cs="Times New Roman" w:eastAsia="Times New Roman" w:hAnsi="Times New Roman"/>
          <w:sz w:val="14"/>
          <w:szCs w:val="14"/>
          <w:color w:val="auto"/>
        </w:rPr>
      </w:pPr>
    </w:p>
    <w:p>
      <w:pPr>
        <w:ind w:left="1460" w:hanging="195"/>
        <w:spacing w:after="0"/>
        <w:tabs>
          <w:tab w:leader="none" w:pos="1460" w:val="left"/>
        </w:tabs>
        <w:numPr>
          <w:ilvl w:val="0"/>
          <w:numId w:val="2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alter the Company’s principal lines of business;</w:t>
      </w:r>
    </w:p>
    <w:p>
      <w:pPr>
        <w:spacing w:after="0" w:line="96" w:lineRule="exact"/>
        <w:rPr>
          <w:rFonts w:ascii="Times New Roman" w:cs="Times New Roman" w:eastAsia="Times New Roman" w:hAnsi="Times New Roman"/>
          <w:sz w:val="14"/>
          <w:szCs w:val="14"/>
          <w:color w:val="auto"/>
        </w:rPr>
      </w:pPr>
    </w:p>
    <w:p>
      <w:pPr>
        <w:ind w:left="1460" w:hanging="195"/>
        <w:spacing w:after="0"/>
        <w:tabs>
          <w:tab w:leader="none" w:pos="1460" w:val="left"/>
        </w:tabs>
        <w:numPr>
          <w:ilvl w:val="0"/>
          <w:numId w:val="2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of jurisdiction or legal form of the Company;</w:t>
      </w:r>
    </w:p>
    <w:p>
      <w:pPr>
        <w:spacing w:after="0" w:line="96" w:lineRule="exact"/>
        <w:rPr>
          <w:rFonts w:ascii="Times New Roman" w:cs="Times New Roman" w:eastAsia="Times New Roman" w:hAnsi="Times New Roman"/>
          <w:sz w:val="14"/>
          <w:szCs w:val="14"/>
          <w:color w:val="auto"/>
        </w:rPr>
      </w:pPr>
    </w:p>
    <w:p>
      <w:pPr>
        <w:ind w:left="1460" w:hanging="195"/>
        <w:spacing w:after="0"/>
        <w:tabs>
          <w:tab w:leader="none" w:pos="1460" w:val="left"/>
        </w:tabs>
        <w:numPr>
          <w:ilvl w:val="0"/>
          <w:numId w:val="2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create board committees, delegate powers to board committees or modify the powers of any board committees;</w:t>
      </w:r>
    </w:p>
    <w:p>
      <w:pPr>
        <w:spacing w:after="0" w:line="96" w:lineRule="exact"/>
        <w:rPr>
          <w:rFonts w:ascii="Times New Roman" w:cs="Times New Roman" w:eastAsia="Times New Roman" w:hAnsi="Times New Roman"/>
          <w:sz w:val="14"/>
          <w:szCs w:val="14"/>
          <w:color w:val="auto"/>
        </w:rPr>
      </w:pPr>
    </w:p>
    <w:p>
      <w:pPr>
        <w:ind w:left="1440" w:hanging="175"/>
        <w:spacing w:after="0"/>
        <w:tabs>
          <w:tab w:leader="none" w:pos="1440" w:val="left"/>
        </w:tabs>
        <w:numPr>
          <w:ilvl w:val="0"/>
          <w:numId w:val="2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material contracts outside the ordinary course of business;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243" w:right="1440" w:bottom="1440" w:gutter="0" w:footer="0" w:header="0"/>
        </w:sectPr>
      </w:pPr>
    </w:p>
    <w:bookmarkStart w:id="283" w:name="page284"/>
    <w:bookmarkEnd w:id="283"/>
    <w:p>
      <w:pPr>
        <w:ind w:left="1460" w:hanging="195"/>
        <w:spacing w:after="0"/>
        <w:tabs>
          <w:tab w:leader="none" w:pos="1460" w:val="left"/>
        </w:tabs>
        <w:numPr>
          <w:ilvl w:val="0"/>
          <w:numId w:val="2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33">
                      <a:extLst>
                        <a:ext uri="{28A0092B-C50C-407E-A947-70E740481C1C}"/>
                      </a:extLst>
                    </a:blip>
                    <a:srcRect/>
                    <a:stretch>
                      <a:fillRect/>
                    </a:stretch>
                  </pic:blipFill>
                  <pic:spPr bwMode="auto">
                    <a:xfrm>
                      <a:off x="0" y="0"/>
                      <a:ext cx="7199630" cy="33020"/>
                    </a:xfrm>
                    <a:prstGeom prst="rect">
                      <a:avLst/>
                    </a:prstGeom>
                    <a:noFill/>
                  </pic:spPr>
                </pic:pic>
              </a:graphicData>
            </a:graphic>
          </wp:anchor>
        </w:drawing>
        <w:t>engage in affiliate transactions other than between members of the Company Group;</w:t>
      </w:r>
    </w:p>
    <w:p>
      <w:pPr>
        <w:spacing w:after="0" w:line="96" w:lineRule="exact"/>
        <w:rPr>
          <w:rFonts w:ascii="Times New Roman" w:cs="Times New Roman" w:eastAsia="Times New Roman" w:hAnsi="Times New Roman"/>
          <w:sz w:val="14"/>
          <w:szCs w:val="14"/>
          <w:color w:val="auto"/>
        </w:rPr>
      </w:pPr>
    </w:p>
    <w:p>
      <w:pPr>
        <w:ind w:left="1460" w:hanging="195"/>
        <w:spacing w:after="0"/>
        <w:tabs>
          <w:tab w:leader="none" w:pos="1460" w:val="left"/>
        </w:tabs>
        <w:numPr>
          <w:ilvl w:val="0"/>
          <w:numId w:val="2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redeem or repurchase any debt or equity securities;</w:t>
      </w:r>
    </w:p>
    <w:p>
      <w:pPr>
        <w:spacing w:after="0" w:line="96" w:lineRule="exact"/>
        <w:rPr>
          <w:rFonts w:ascii="Times New Roman" w:cs="Times New Roman" w:eastAsia="Times New Roman" w:hAnsi="Times New Roman"/>
          <w:sz w:val="14"/>
          <w:szCs w:val="14"/>
          <w:color w:val="auto"/>
        </w:rPr>
      </w:pPr>
    </w:p>
    <w:p>
      <w:pPr>
        <w:ind w:left="1440" w:hanging="175"/>
        <w:spacing w:after="0"/>
        <w:tabs>
          <w:tab w:leader="none" w:pos="1440" w:val="left"/>
        </w:tabs>
        <w:numPr>
          <w:ilvl w:val="0"/>
          <w:numId w:val="2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adopt or amend any employee benefit or incentive (whether cash or equity) plan or make any issuances under any such plan;</w:t>
      </w:r>
    </w:p>
    <w:p>
      <w:pPr>
        <w:spacing w:after="0" w:line="96" w:lineRule="exact"/>
        <w:rPr>
          <w:rFonts w:ascii="Times New Roman" w:cs="Times New Roman" w:eastAsia="Times New Roman" w:hAnsi="Times New Roman"/>
          <w:sz w:val="14"/>
          <w:szCs w:val="14"/>
          <w:color w:val="auto"/>
        </w:rPr>
      </w:pPr>
    </w:p>
    <w:p>
      <w:pPr>
        <w:ind w:left="1440" w:hanging="175"/>
        <w:spacing w:after="0"/>
        <w:tabs>
          <w:tab w:leader="none" w:pos="1440" w:val="left"/>
        </w:tabs>
        <w:numPr>
          <w:ilvl w:val="0"/>
          <w:numId w:val="2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incur any indebtedness for borrowed money or guarantee the indebtedness or obligations of any person;</w:t>
      </w:r>
    </w:p>
    <w:p>
      <w:pPr>
        <w:spacing w:after="0" w:line="96" w:lineRule="exact"/>
        <w:rPr>
          <w:rFonts w:ascii="Times New Roman" w:cs="Times New Roman" w:eastAsia="Times New Roman" w:hAnsi="Times New Roman"/>
          <w:sz w:val="14"/>
          <w:szCs w:val="14"/>
          <w:color w:val="auto"/>
        </w:rPr>
      </w:pPr>
    </w:p>
    <w:p>
      <w:pPr>
        <w:ind w:left="1460" w:hanging="195"/>
        <w:spacing w:after="0"/>
        <w:tabs>
          <w:tab w:leader="none" w:pos="1460" w:val="left"/>
        </w:tabs>
        <w:numPr>
          <w:ilvl w:val="0"/>
          <w:numId w:val="2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loans, advances or investments to or in other persons, other than members of the Company Group;</w:t>
      </w:r>
    </w:p>
    <w:p>
      <w:pPr>
        <w:spacing w:after="0" w:line="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(I) initiate an initial public offering or grant any registration rights;</w:t>
      </w:r>
    </w:p>
    <w:p>
      <w:pPr>
        <w:spacing w:after="0" w:line="97" w:lineRule="exact"/>
        <w:rPr>
          <w:sz w:val="20"/>
          <w:szCs w:val="20"/>
          <w:color w:val="auto"/>
        </w:rPr>
      </w:pPr>
    </w:p>
    <w:p>
      <w:pPr>
        <w:ind w:left="1500" w:hanging="235"/>
        <w:spacing w:after="0"/>
        <w:tabs>
          <w:tab w:leader="none" w:pos="1500" w:val="left"/>
        </w:tabs>
        <w:numPr>
          <w:ilvl w:val="0"/>
          <w:numId w:val="2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undertake an acquisition, sale, merger, spin-off, joint-venture or other strategic transaction;</w:t>
      </w:r>
    </w:p>
    <w:p>
      <w:pPr>
        <w:spacing w:after="0" w:line="96" w:lineRule="exact"/>
        <w:rPr>
          <w:rFonts w:ascii="Times New Roman" w:cs="Times New Roman" w:eastAsia="Times New Roman" w:hAnsi="Times New Roman"/>
          <w:sz w:val="14"/>
          <w:szCs w:val="14"/>
          <w:color w:val="auto"/>
        </w:rPr>
      </w:pPr>
    </w:p>
    <w:p>
      <w:pPr>
        <w:ind w:left="1460" w:hanging="195"/>
        <w:spacing w:after="0"/>
        <w:tabs>
          <w:tab w:leader="none" w:pos="1460" w:val="left"/>
        </w:tabs>
        <w:numPr>
          <w:ilvl w:val="0"/>
          <w:numId w:val="2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the Company’s independent auditor;</w:t>
      </w:r>
    </w:p>
    <w:p>
      <w:pPr>
        <w:spacing w:after="0" w:line="96" w:lineRule="exact"/>
        <w:rPr>
          <w:rFonts w:ascii="Times New Roman" w:cs="Times New Roman" w:eastAsia="Times New Roman" w:hAnsi="Times New Roman"/>
          <w:sz w:val="14"/>
          <w:szCs w:val="14"/>
          <w:color w:val="auto"/>
        </w:rPr>
      </w:pPr>
    </w:p>
    <w:p>
      <w:pPr>
        <w:ind w:left="1460" w:hanging="195"/>
        <w:spacing w:after="0"/>
        <w:tabs>
          <w:tab w:leader="none" w:pos="1460" w:val="left"/>
        </w:tabs>
        <w:numPr>
          <w:ilvl w:val="0"/>
          <w:numId w:val="2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significant tax elections or change significant tax, accounting, investment or risk management policies; ·</w:t>
      </w:r>
    </w:p>
    <w:p>
      <w:pPr>
        <w:spacing w:after="0" w:line="96" w:lineRule="exact"/>
        <w:rPr>
          <w:rFonts w:ascii="Times New Roman" w:cs="Times New Roman" w:eastAsia="Times New Roman" w:hAnsi="Times New Roman"/>
          <w:sz w:val="14"/>
          <w:szCs w:val="14"/>
          <w:color w:val="auto"/>
        </w:rPr>
      </w:pPr>
    </w:p>
    <w:p>
      <w:pPr>
        <w:ind w:left="120" w:right="419" w:firstLine="1145"/>
        <w:spacing w:after="0" w:line="292" w:lineRule="auto"/>
        <w:tabs>
          <w:tab w:leader="none" w:pos="1461" w:val="left"/>
        </w:tabs>
        <w:numPr>
          <w:ilvl w:val="0"/>
          <w:numId w:val="2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approve the Company’s annual budget and any material expenditures outside of the approved budget or intentionally deviate from the applicable annual budget;</w:t>
      </w:r>
    </w:p>
    <w:p>
      <w:pPr>
        <w:spacing w:after="0" w:line="37" w:lineRule="exact"/>
        <w:rPr>
          <w:rFonts w:ascii="Times New Roman" w:cs="Times New Roman" w:eastAsia="Times New Roman" w:hAnsi="Times New Roman"/>
          <w:sz w:val="14"/>
          <w:szCs w:val="14"/>
          <w:color w:val="auto"/>
        </w:rPr>
      </w:pPr>
    </w:p>
    <w:p>
      <w:pPr>
        <w:ind w:left="1460" w:hanging="195"/>
        <w:spacing w:after="0"/>
        <w:tabs>
          <w:tab w:leader="none" w:pos="1460" w:val="left"/>
        </w:tabs>
        <w:numPr>
          <w:ilvl w:val="0"/>
          <w:numId w:val="2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commence or settle any material litigation or dispute; or</w:t>
      </w:r>
    </w:p>
    <w:p>
      <w:pPr>
        <w:spacing w:after="0" w:line="96" w:lineRule="exact"/>
        <w:rPr>
          <w:rFonts w:ascii="Times New Roman" w:cs="Times New Roman" w:eastAsia="Times New Roman" w:hAnsi="Times New Roman"/>
          <w:sz w:val="14"/>
          <w:szCs w:val="14"/>
          <w:color w:val="auto"/>
        </w:rPr>
      </w:pPr>
    </w:p>
    <w:p>
      <w:pPr>
        <w:ind w:left="1440" w:hanging="175"/>
        <w:spacing w:after="0"/>
        <w:tabs>
          <w:tab w:leader="none" w:pos="1440" w:val="left"/>
        </w:tabs>
        <w:numPr>
          <w:ilvl w:val="0"/>
          <w:numId w:val="2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approve any material agreements with regulatory authorities or consent to any material regulatory orders.</w:t>
      </w:r>
    </w:p>
    <w:p>
      <w:pPr>
        <w:spacing w:after="0" w:line="97" w:lineRule="exact"/>
        <w:rPr>
          <w:sz w:val="20"/>
          <w:szCs w:val="20"/>
          <w:color w:val="auto"/>
        </w:rPr>
      </w:pPr>
    </w:p>
    <w:p>
      <w:pPr>
        <w:ind w:left="120" w:right="139" w:firstLine="788"/>
        <w:spacing w:after="0" w:line="260" w:lineRule="auto"/>
        <w:rPr>
          <w:sz w:val="20"/>
          <w:szCs w:val="20"/>
          <w:color w:val="auto"/>
        </w:rPr>
      </w:pPr>
      <w:r>
        <w:rPr>
          <w:rFonts w:ascii="Times New Roman" w:cs="Times New Roman" w:eastAsia="Times New Roman" w:hAnsi="Times New Roman"/>
          <w:sz w:val="14"/>
          <w:szCs w:val="14"/>
          <w:color w:val="auto"/>
        </w:rPr>
        <w:t xml:space="preserve">3.7 </w:t>
      </w:r>
      <w:r>
        <w:rPr>
          <w:rFonts w:ascii="Times New Roman" w:cs="Times New Roman" w:eastAsia="Times New Roman" w:hAnsi="Times New Roman"/>
          <w:sz w:val="14"/>
          <w:szCs w:val="14"/>
          <w:u w:val="single" w:color="auto"/>
          <w:color w:val="auto"/>
        </w:rPr>
        <w:t>Officers and Related Persons</w:t>
      </w:r>
      <w:r>
        <w:rPr>
          <w:rFonts w:ascii="Times New Roman" w:cs="Times New Roman" w:eastAsia="Times New Roman" w:hAnsi="Times New Roman"/>
          <w:sz w:val="14"/>
          <w:szCs w:val="14"/>
          <w:color w:val="auto"/>
        </w:rPr>
        <w:t>. The officers of the Company (the “</w:t>
      </w:r>
      <w:r>
        <w:rPr>
          <w:rFonts w:ascii="Times New Roman" w:cs="Times New Roman" w:eastAsia="Times New Roman" w:hAnsi="Times New Roman"/>
          <w:sz w:val="14"/>
          <w:szCs w:val="14"/>
          <w:u w:val="single" w:color="auto"/>
          <w:color w:val="auto"/>
        </w:rPr>
        <w:t>Officers</w:t>
      </w:r>
      <w:r>
        <w:rPr>
          <w:rFonts w:ascii="Times New Roman" w:cs="Times New Roman" w:eastAsia="Times New Roman" w:hAnsi="Times New Roman"/>
          <w:sz w:val="14"/>
          <w:szCs w:val="14"/>
          <w:color w:val="auto"/>
        </w:rPr>
        <w:t>”), if any, shall be appointed by the Board in its sole discretion, and the Board may assign such officers titles including, but not limited to, “chief executive officer,” “president,” ‘‘vice president,” “treasurer,” “secretary,” “assistant secretary,” “managing director,” “chief financial officer,” and such other officers and assistant officers as may be deemed necessary or desirable by the Board. Any Officers so appointed will have such authority and perform such duties as the Board may, from time to time, delegate to them. No Officer need be a Member or a member of the Board and any number of offices may be held by a single person. The salaries and other compensation, if any, of the Officers shall be fixed from time to time by the Board. Any Officer may resign, in writing, as such at any time and such resignation will be effective at the time specified in the written resignation, or if no time is specified, at the time the written resignation is received by the Company. Any Officer may be removed as such, either with or without cause, at any time by the Board or the Member. In the event that any Officer ceases to be an employee of any member of the Company Group for any reason, such Officer shall, at such time, be automatically removed from each applicable office.</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243" w:right="1440" w:bottom="1440" w:gutter="0" w:footer="0" w:header="0"/>
        </w:sectPr>
      </w:pPr>
    </w:p>
    <w:bookmarkStart w:id="284" w:name="page285"/>
    <w:bookmarkEnd w:id="284"/>
    <w:p>
      <w:pPr>
        <w:jc w:val="center"/>
        <w:ind w:right="19"/>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34">
                      <a:extLst>
                        <a:ext uri="{28A0092B-C50C-407E-A947-70E740481C1C}"/>
                      </a:extLst>
                    </a:blip>
                    <a:srcRect/>
                    <a:stretch>
                      <a:fillRect/>
                    </a:stretch>
                  </pic:blipFill>
                  <pic:spPr bwMode="auto">
                    <a:xfrm>
                      <a:off x="0" y="0"/>
                      <a:ext cx="7199630" cy="33020"/>
                    </a:xfrm>
                    <a:prstGeom prst="rect">
                      <a:avLst/>
                    </a:prstGeom>
                    <a:noFill/>
                  </pic:spPr>
                </pic:pic>
              </a:graphicData>
            </a:graphic>
          </wp:anchor>
        </w:drawing>
        <w:t>ARTICLE IV</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u w:val="single" w:color="auto"/>
          <w:color w:val="auto"/>
        </w:rPr>
        <w:t>Capital Structure and Contributions</w:t>
      </w:r>
    </w:p>
    <w:p>
      <w:pPr>
        <w:spacing w:after="0" w:line="169" w:lineRule="exact"/>
        <w:rPr>
          <w:sz w:val="20"/>
          <w:szCs w:val="20"/>
          <w:color w:val="auto"/>
        </w:rPr>
      </w:pPr>
    </w:p>
    <w:p>
      <w:pPr>
        <w:ind w:left="120" w:right="259" w:firstLine="788"/>
        <w:spacing w:after="0" w:line="274" w:lineRule="auto"/>
        <w:rPr>
          <w:sz w:val="20"/>
          <w:szCs w:val="20"/>
          <w:color w:val="auto"/>
        </w:rPr>
      </w:pPr>
      <w:r>
        <w:rPr>
          <w:rFonts w:ascii="Times New Roman" w:cs="Times New Roman" w:eastAsia="Times New Roman" w:hAnsi="Times New Roman"/>
          <w:sz w:val="14"/>
          <w:szCs w:val="14"/>
          <w:color w:val="auto"/>
        </w:rPr>
        <w:t xml:space="preserve">4.1 </w:t>
      </w:r>
      <w:r>
        <w:rPr>
          <w:rFonts w:ascii="Times New Roman" w:cs="Times New Roman" w:eastAsia="Times New Roman" w:hAnsi="Times New Roman"/>
          <w:sz w:val="14"/>
          <w:szCs w:val="14"/>
          <w:u w:val="single" w:color="auto"/>
          <w:color w:val="auto"/>
        </w:rPr>
        <w:t>Capital Structure</w:t>
      </w:r>
      <w:r>
        <w:rPr>
          <w:rFonts w:ascii="Times New Roman" w:cs="Times New Roman" w:eastAsia="Times New Roman" w:hAnsi="Times New Roman"/>
          <w:sz w:val="14"/>
          <w:szCs w:val="14"/>
          <w:color w:val="auto"/>
        </w:rPr>
        <w:t>. The capital structure of the Company shall consist of one class of common interests (the “</w:t>
      </w:r>
      <w:r>
        <w:rPr>
          <w:rFonts w:ascii="Times New Roman" w:cs="Times New Roman" w:eastAsia="Times New Roman" w:hAnsi="Times New Roman"/>
          <w:sz w:val="14"/>
          <w:szCs w:val="14"/>
          <w:u w:val="single" w:color="auto"/>
          <w:color w:val="auto"/>
        </w:rPr>
        <w:t>Common Units</w:t>
      </w:r>
      <w:r>
        <w:rPr>
          <w:rFonts w:ascii="Times New Roman" w:cs="Times New Roman" w:eastAsia="Times New Roman" w:hAnsi="Times New Roman"/>
          <w:sz w:val="14"/>
          <w:szCs w:val="14"/>
          <w:color w:val="auto"/>
        </w:rPr>
        <w:t xml:space="preserve">”). All Common Units shall be identical with each other in every respect. The Member shall own all of the Common Units issued and outstanding, as set forth on </w:t>
      </w:r>
      <w:r>
        <w:rPr>
          <w:rFonts w:ascii="Times New Roman" w:cs="Times New Roman" w:eastAsia="Times New Roman" w:hAnsi="Times New Roman"/>
          <w:sz w:val="14"/>
          <w:szCs w:val="14"/>
          <w:u w:val="single" w:color="auto"/>
          <w:color w:val="auto"/>
        </w:rPr>
        <w:t>Schedule I</w:t>
      </w:r>
      <w:r>
        <w:rPr>
          <w:rFonts w:ascii="Times New Roman" w:cs="Times New Roman" w:eastAsia="Times New Roman" w:hAnsi="Times New Roman"/>
          <w:sz w:val="14"/>
          <w:szCs w:val="14"/>
          <w:color w:val="auto"/>
        </w:rPr>
        <w:t xml:space="preserve"> attached hereto.</w:t>
      </w:r>
    </w:p>
    <w:p>
      <w:pPr>
        <w:spacing w:after="0" w:line="49" w:lineRule="exact"/>
        <w:rPr>
          <w:sz w:val="20"/>
          <w:szCs w:val="20"/>
          <w:color w:val="auto"/>
        </w:rPr>
      </w:pPr>
    </w:p>
    <w:p>
      <w:pPr>
        <w:ind w:left="120" w:right="219" w:firstLine="788"/>
        <w:spacing w:after="0" w:line="274" w:lineRule="auto"/>
        <w:rPr>
          <w:sz w:val="20"/>
          <w:szCs w:val="20"/>
          <w:color w:val="auto"/>
        </w:rPr>
      </w:pPr>
      <w:r>
        <w:rPr>
          <w:rFonts w:ascii="Times New Roman" w:cs="Times New Roman" w:eastAsia="Times New Roman" w:hAnsi="Times New Roman"/>
          <w:sz w:val="14"/>
          <w:szCs w:val="14"/>
          <w:color w:val="auto"/>
        </w:rPr>
        <w:t xml:space="preserve">4.2 </w:t>
      </w:r>
      <w:r>
        <w:rPr>
          <w:rFonts w:ascii="Times New Roman" w:cs="Times New Roman" w:eastAsia="Times New Roman" w:hAnsi="Times New Roman"/>
          <w:sz w:val="14"/>
          <w:szCs w:val="14"/>
          <w:u w:val="single" w:color="auto"/>
          <w:color w:val="auto"/>
        </w:rPr>
        <w:t>Capital Contributions</w:t>
      </w:r>
      <w:r>
        <w:rPr>
          <w:rFonts w:ascii="Times New Roman" w:cs="Times New Roman" w:eastAsia="Times New Roman" w:hAnsi="Times New Roman"/>
          <w:sz w:val="14"/>
          <w:szCs w:val="14"/>
          <w:color w:val="auto"/>
        </w:rPr>
        <w:t>. From time to time, the Board may determine that the Company requires capital and may request the Member to make capital contribution(s) in an amount determined by the Board. A capital account shall be maintained for the Member, to which contributions and profits shall be credited and against which distributions and losses shall be charged.</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ARTICLE V</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u w:val="single" w:color="auto"/>
          <w:color w:val="auto"/>
        </w:rPr>
        <w:t>Profits, Losses and Distributions</w:t>
      </w:r>
    </w:p>
    <w:p>
      <w:pPr>
        <w:spacing w:after="0" w:line="169" w:lineRule="exact"/>
        <w:rPr>
          <w:sz w:val="20"/>
          <w:szCs w:val="20"/>
          <w:color w:val="auto"/>
        </w:rPr>
      </w:pPr>
    </w:p>
    <w:p>
      <w:pPr>
        <w:ind w:left="120" w:right="159" w:firstLine="788"/>
        <w:spacing w:after="0" w:line="292" w:lineRule="auto"/>
        <w:rPr>
          <w:sz w:val="20"/>
          <w:szCs w:val="20"/>
          <w:color w:val="auto"/>
        </w:rPr>
      </w:pPr>
      <w:r>
        <w:rPr>
          <w:rFonts w:ascii="Times New Roman" w:cs="Times New Roman" w:eastAsia="Times New Roman" w:hAnsi="Times New Roman"/>
          <w:sz w:val="14"/>
          <w:szCs w:val="14"/>
          <w:color w:val="auto"/>
        </w:rPr>
        <w:t xml:space="preserve">5.1 </w:t>
      </w:r>
      <w:r>
        <w:rPr>
          <w:rFonts w:ascii="Times New Roman" w:cs="Times New Roman" w:eastAsia="Times New Roman" w:hAnsi="Times New Roman"/>
          <w:sz w:val="14"/>
          <w:szCs w:val="14"/>
          <w:u w:val="single" w:color="auto"/>
          <w:color w:val="auto"/>
        </w:rPr>
        <w:t>Profits and Losses</w:t>
      </w:r>
      <w:r>
        <w:rPr>
          <w:rFonts w:ascii="Times New Roman" w:cs="Times New Roman" w:eastAsia="Times New Roman" w:hAnsi="Times New Roman"/>
          <w:sz w:val="14"/>
          <w:szCs w:val="14"/>
          <w:color w:val="auto"/>
        </w:rPr>
        <w:t>. For financial accounting and tax purposes, the Company’s net profits or net losses shall be determined on an annual basis in accordance with the manner determined by the Board. In each year, profits and losses shall be allocated entirely to the Member.</w:t>
      </w:r>
    </w:p>
    <w:p>
      <w:pPr>
        <w:spacing w:after="0" w:line="37" w:lineRule="exact"/>
        <w:rPr>
          <w:sz w:val="20"/>
          <w:szCs w:val="20"/>
          <w:color w:val="auto"/>
        </w:rPr>
      </w:pPr>
    </w:p>
    <w:p>
      <w:pPr>
        <w:ind w:left="120" w:right="239" w:firstLine="788"/>
        <w:spacing w:after="0" w:line="274" w:lineRule="auto"/>
        <w:rPr>
          <w:sz w:val="20"/>
          <w:szCs w:val="20"/>
          <w:color w:val="auto"/>
        </w:rPr>
      </w:pPr>
      <w:r>
        <w:rPr>
          <w:rFonts w:ascii="Times New Roman" w:cs="Times New Roman" w:eastAsia="Times New Roman" w:hAnsi="Times New Roman"/>
          <w:sz w:val="14"/>
          <w:szCs w:val="14"/>
          <w:color w:val="auto"/>
        </w:rPr>
        <w:t xml:space="preserve">5.2 </w:t>
      </w:r>
      <w:r>
        <w:rPr>
          <w:rFonts w:ascii="Times New Roman" w:cs="Times New Roman" w:eastAsia="Times New Roman" w:hAnsi="Times New Roman"/>
          <w:sz w:val="14"/>
          <w:szCs w:val="14"/>
          <w:u w:val="single" w:color="auto"/>
          <w:color w:val="auto"/>
        </w:rPr>
        <w:t>Distributions</w:t>
      </w:r>
      <w:r>
        <w:rPr>
          <w:rFonts w:ascii="Times New Roman" w:cs="Times New Roman" w:eastAsia="Times New Roman" w:hAnsi="Times New Roman"/>
          <w:sz w:val="14"/>
          <w:szCs w:val="14"/>
          <w:color w:val="auto"/>
        </w:rPr>
        <w:t>. The Board shall determine profits available for distribution and the amount, if any, to be distributed to the Member, and shall authorize and distribute on the Common Units, the determined amount when, as and if declared by the Board. The distributions of the Company shall be distributed entirely to the Member.</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ARTICLE VI</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u w:val="single" w:color="auto"/>
          <w:color w:val="auto"/>
        </w:rPr>
        <w:t>Dissolution</w:t>
      </w:r>
    </w:p>
    <w:p>
      <w:pPr>
        <w:spacing w:after="0" w:line="16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Subject to the approval of the Bank Commissioner, the Company may be dissolved and its affairs wound up pursuant to RSA 383-C:10.</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ARTICLE VII</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u w:val="single" w:color="auto"/>
          <w:color w:val="auto"/>
        </w:rPr>
        <w:t>Transfer of Common Units of the Compan</w:t>
      </w:r>
      <w:r>
        <w:rPr>
          <w:rFonts w:ascii="Times New Roman" w:cs="Times New Roman" w:eastAsia="Times New Roman" w:hAnsi="Times New Roman"/>
          <w:sz w:val="14"/>
          <w:szCs w:val="14"/>
          <w:color w:val="auto"/>
        </w:rPr>
        <w:t>y</w:t>
      </w:r>
    </w:p>
    <w:p>
      <w:pPr>
        <w:spacing w:after="0" w:line="169" w:lineRule="exact"/>
        <w:rPr>
          <w:sz w:val="20"/>
          <w:szCs w:val="20"/>
          <w:color w:val="auto"/>
        </w:rPr>
      </w:pPr>
    </w:p>
    <w:p>
      <w:pPr>
        <w:ind w:left="120" w:right="159" w:firstLine="788"/>
        <w:spacing w:after="0" w:line="268" w:lineRule="auto"/>
        <w:rPr>
          <w:sz w:val="20"/>
          <w:szCs w:val="20"/>
          <w:color w:val="auto"/>
        </w:rPr>
      </w:pPr>
      <w:r>
        <w:rPr>
          <w:rFonts w:ascii="Times New Roman" w:cs="Times New Roman" w:eastAsia="Times New Roman" w:hAnsi="Times New Roman"/>
          <w:sz w:val="14"/>
          <w:szCs w:val="14"/>
          <w:color w:val="auto"/>
        </w:rPr>
        <w:t>Subject to the approval of the New Hampshire Bank Commissioner, the Member may sell, assign, transfer, convey, gift, exchange or otherwise dispose of any or all of its Common Units and, upon receipt by the Company of a written agreement executed by the person or entity to whom such Common Units are to be transferred agreeing to be bound by the terms of this Agreement as amended from time to time, such person shall be admitted as a member.</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243" w:right="1440" w:bottom="1440" w:gutter="0" w:footer="0" w:header="0"/>
        </w:sectPr>
      </w:pPr>
    </w:p>
    <w:bookmarkStart w:id="285" w:name="page286"/>
    <w:bookmarkEnd w:id="285"/>
    <w:p>
      <w:pPr>
        <w:jc w:val="center"/>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5">
                      <a:extLst>
                        <a:ext uri="{28A0092B-C50C-407E-A947-70E740481C1C}"/>
                      </a:extLst>
                    </a:blip>
                    <a:srcRect/>
                    <a:stretch>
                      <a:fillRect/>
                    </a:stretch>
                  </pic:blipFill>
                  <pic:spPr bwMode="auto">
                    <a:xfrm>
                      <a:off x="0" y="0"/>
                      <a:ext cx="7199630" cy="33020"/>
                    </a:xfrm>
                    <a:prstGeom prst="rect">
                      <a:avLst/>
                    </a:prstGeom>
                    <a:noFill/>
                  </pic:spPr>
                </pic:pic>
              </a:graphicData>
            </a:graphic>
          </wp:anchor>
        </w:drawing>
        <w:t>ARTICLE VIII</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Exculpation and Indemnification</w:t>
      </w:r>
    </w:p>
    <w:p>
      <w:pPr>
        <w:spacing w:after="0" w:line="169" w:lineRule="exact"/>
        <w:rPr>
          <w:sz w:val="20"/>
          <w:szCs w:val="20"/>
          <w:color w:val="auto"/>
        </w:rPr>
      </w:pPr>
    </w:p>
    <w:p>
      <w:pPr>
        <w:ind w:left="120" w:right="179" w:firstLine="788"/>
        <w:spacing w:after="0" w:line="261" w:lineRule="auto"/>
        <w:rPr>
          <w:sz w:val="20"/>
          <w:szCs w:val="20"/>
          <w:color w:val="auto"/>
        </w:rPr>
      </w:pPr>
      <w:r>
        <w:rPr>
          <w:rFonts w:ascii="Times New Roman" w:cs="Times New Roman" w:eastAsia="Times New Roman" w:hAnsi="Times New Roman"/>
          <w:sz w:val="14"/>
          <w:szCs w:val="14"/>
          <w:color w:val="auto"/>
        </w:rPr>
        <w:t xml:space="preserve">8.1 </w:t>
      </w:r>
      <w:r>
        <w:rPr>
          <w:rFonts w:ascii="Times New Roman" w:cs="Times New Roman" w:eastAsia="Times New Roman" w:hAnsi="Times New Roman"/>
          <w:sz w:val="14"/>
          <w:szCs w:val="14"/>
          <w:u w:val="single" w:color="auto"/>
          <w:color w:val="auto"/>
        </w:rPr>
        <w:t>Exculpation</w:t>
      </w:r>
      <w:r>
        <w:rPr>
          <w:rFonts w:ascii="Times New Roman" w:cs="Times New Roman" w:eastAsia="Times New Roman" w:hAnsi="Times New Roman"/>
          <w:sz w:val="14"/>
          <w:szCs w:val="14"/>
          <w:color w:val="auto"/>
        </w:rPr>
        <w:t>. Notwithstanding any other provisions of this Agreement, whether express or implied, or any obligation or duty at law or in equity, no Member, Manager or current or former manager, officers, employees, affiliates, representatives or agents of any of the foregoing, nor any officer, employee, representative or agent of the Company (individually, a “</w:t>
      </w:r>
      <w:r>
        <w:rPr>
          <w:rFonts w:ascii="Times New Roman" w:cs="Times New Roman" w:eastAsia="Times New Roman" w:hAnsi="Times New Roman"/>
          <w:sz w:val="14"/>
          <w:szCs w:val="14"/>
          <w:u w:val="single" w:color="auto"/>
          <w:color w:val="auto"/>
        </w:rPr>
        <w:t>Covered Person</w:t>
      </w:r>
      <w:r>
        <w:rPr>
          <w:rFonts w:ascii="Times New Roman" w:cs="Times New Roman" w:eastAsia="Times New Roman" w:hAnsi="Times New Roman"/>
          <w:sz w:val="14"/>
          <w:szCs w:val="14"/>
          <w:color w:val="auto"/>
        </w:rPr>
        <w:t>” and, collectively, the “</w:t>
      </w:r>
      <w:r>
        <w:rPr>
          <w:rFonts w:ascii="Times New Roman" w:cs="Times New Roman" w:eastAsia="Times New Roman" w:hAnsi="Times New Roman"/>
          <w:sz w:val="14"/>
          <w:szCs w:val="14"/>
          <w:u w:val="single" w:color="auto"/>
          <w:color w:val="auto"/>
        </w:rPr>
        <w:t>Covered Persons</w:t>
      </w:r>
      <w:r>
        <w:rPr>
          <w:rFonts w:ascii="Times New Roman" w:cs="Times New Roman" w:eastAsia="Times New Roman" w:hAnsi="Times New Roman"/>
          <w:sz w:val="14"/>
          <w:szCs w:val="14"/>
          <w:color w:val="auto"/>
        </w:rPr>
        <w:t>”) shall be liable to the Company or any other person for any act or omission since the formation of the Company (in relation to the Company, its property or the conduct of its business or affairs, this Agreement, any related document or any transaction or investment contemplated hereby or thereby) taken or omitted by a Covered Person in the reasonable belief that such act or omission is in or is not contrary to the best interests of the Company and is within the scope of authority granted to such Covered Person by the Agreement, provided such act or omission does not constitute fraud, willful misconduct, bad faith or gross negligence.</w:t>
      </w:r>
    </w:p>
    <w:p>
      <w:pPr>
        <w:spacing w:after="0" w:line="59" w:lineRule="exact"/>
        <w:rPr>
          <w:sz w:val="20"/>
          <w:szCs w:val="20"/>
          <w:color w:val="auto"/>
        </w:rPr>
      </w:pPr>
    </w:p>
    <w:p>
      <w:pPr>
        <w:ind w:left="120" w:right="199" w:firstLine="788"/>
        <w:spacing w:after="0" w:line="259" w:lineRule="auto"/>
        <w:rPr>
          <w:sz w:val="20"/>
          <w:szCs w:val="20"/>
          <w:color w:val="auto"/>
        </w:rPr>
      </w:pPr>
      <w:r>
        <w:rPr>
          <w:rFonts w:ascii="Times New Roman" w:cs="Times New Roman" w:eastAsia="Times New Roman" w:hAnsi="Times New Roman"/>
          <w:sz w:val="14"/>
          <w:szCs w:val="14"/>
          <w:color w:val="auto"/>
        </w:rPr>
        <w:t xml:space="preserve">8.2 </w:t>
      </w:r>
      <w:r>
        <w:rPr>
          <w:rFonts w:ascii="Times New Roman" w:cs="Times New Roman" w:eastAsia="Times New Roman" w:hAnsi="Times New Roman"/>
          <w:sz w:val="14"/>
          <w:szCs w:val="14"/>
          <w:u w:val="single" w:color="auto"/>
          <w:color w:val="auto"/>
        </w:rPr>
        <w:t>Indemnification</w:t>
      </w:r>
      <w:r>
        <w:rPr>
          <w:rFonts w:ascii="Times New Roman" w:cs="Times New Roman" w:eastAsia="Times New Roman" w:hAnsi="Times New Roman"/>
          <w:sz w:val="14"/>
          <w:szCs w:val="14"/>
          <w:color w:val="auto"/>
        </w:rPr>
        <w:t>. To the fullest extent permitted by law, the Company shall indemnify and hold harmless each Covered Person from and against any and all losses, claims, demands, liabilities, expenses, judgments, fines, settlements and other amounts arising from any and all claims, demands, actions, suits or proceedings, civil, criminal, administrative or investigative (“</w:t>
      </w:r>
      <w:r>
        <w:rPr>
          <w:rFonts w:ascii="Times New Roman" w:cs="Times New Roman" w:eastAsia="Times New Roman" w:hAnsi="Times New Roman"/>
          <w:sz w:val="14"/>
          <w:szCs w:val="14"/>
          <w:u w:val="single" w:color="auto"/>
          <w:color w:val="auto"/>
        </w:rPr>
        <w:t>Claims</w:t>
      </w:r>
      <w:r>
        <w:rPr>
          <w:rFonts w:ascii="Times New Roman" w:cs="Times New Roman" w:eastAsia="Times New Roman" w:hAnsi="Times New Roman"/>
          <w:sz w:val="14"/>
          <w:szCs w:val="14"/>
          <w:color w:val="auto"/>
        </w:rPr>
        <w:t xml:space="preserve">”), in which the Covered Person may be involved, or threatened to be involved, as a party or otherwise, by reason of its management of the affairs of the Company or which relates to or arises out of the Company or its property, business or affairs. A Covered Person shall not be entitled to indemnification under this </w:t>
      </w:r>
      <w:r>
        <w:rPr>
          <w:rFonts w:ascii="Times New Roman" w:cs="Times New Roman" w:eastAsia="Times New Roman" w:hAnsi="Times New Roman"/>
          <w:sz w:val="14"/>
          <w:szCs w:val="14"/>
          <w:u w:val="single" w:color="auto"/>
          <w:color w:val="auto"/>
        </w:rPr>
        <w:t>Section 8.2</w:t>
      </w:r>
      <w:r>
        <w:rPr>
          <w:rFonts w:ascii="Times New Roman" w:cs="Times New Roman" w:eastAsia="Times New Roman" w:hAnsi="Times New Roman"/>
          <w:sz w:val="14"/>
          <w:szCs w:val="14"/>
          <w:color w:val="auto"/>
        </w:rPr>
        <w:t xml:space="preserve"> with respect to (i) any Claim with respect to which such Covered Person has engaged in fraud, willful misconduct, bad faith or gross negligence or (ii) any Claim initiated by such Covered Person unless such Claim (or part thereof) (A) was brought to enforce such Covered Person’s rights to indemnification hereunder or (B) was authorized or consented to by the Board or Member. Expenses incurred by a Covered Person in defending any Claim shall be paid by the Company in advance of the final disposition of such Claim upon receipt by the Company of an undertaking by or on behalf of such Covered Person to repay such amount if it shall be ultimately determined that such Covered Person is not entitled to be indemnified by the Company as authorized by this </w:t>
      </w:r>
      <w:r>
        <w:rPr>
          <w:rFonts w:ascii="Times New Roman" w:cs="Times New Roman" w:eastAsia="Times New Roman" w:hAnsi="Times New Roman"/>
          <w:sz w:val="14"/>
          <w:szCs w:val="14"/>
          <w:u w:val="single" w:color="auto"/>
          <w:color w:val="auto"/>
        </w:rPr>
        <w:t>Section 8.2</w:t>
      </w:r>
      <w:r>
        <w:rPr>
          <w:rFonts w:ascii="Times New Roman" w:cs="Times New Roman" w:eastAsia="Times New Roman" w:hAnsi="Times New Roman"/>
          <w:sz w:val="14"/>
          <w:szCs w:val="14"/>
          <w:color w:val="auto"/>
        </w:rPr>
        <w:t>.</w:t>
      </w:r>
    </w:p>
    <w:p>
      <w:pPr>
        <w:spacing w:after="0" w:line="65" w:lineRule="exact"/>
        <w:rPr>
          <w:sz w:val="20"/>
          <w:szCs w:val="20"/>
          <w:color w:val="auto"/>
        </w:rPr>
      </w:pPr>
    </w:p>
    <w:p>
      <w:pPr>
        <w:ind w:left="120" w:right="199" w:firstLine="788"/>
        <w:spacing w:after="0" w:line="292" w:lineRule="auto"/>
        <w:rPr>
          <w:sz w:val="20"/>
          <w:szCs w:val="20"/>
          <w:color w:val="auto"/>
        </w:rPr>
      </w:pPr>
      <w:r>
        <w:rPr>
          <w:rFonts w:ascii="Times New Roman" w:cs="Times New Roman" w:eastAsia="Times New Roman" w:hAnsi="Times New Roman"/>
          <w:sz w:val="14"/>
          <w:szCs w:val="14"/>
          <w:color w:val="auto"/>
        </w:rPr>
        <w:t xml:space="preserve">8.3 </w:t>
      </w:r>
      <w:r>
        <w:rPr>
          <w:rFonts w:ascii="Times New Roman" w:cs="Times New Roman" w:eastAsia="Times New Roman" w:hAnsi="Times New Roman"/>
          <w:sz w:val="14"/>
          <w:szCs w:val="14"/>
          <w:u w:val="single" w:color="auto"/>
          <w:color w:val="auto"/>
        </w:rPr>
        <w:t>No Right of Partition</w:t>
      </w:r>
      <w:r>
        <w:rPr>
          <w:rFonts w:ascii="Times New Roman" w:cs="Times New Roman" w:eastAsia="Times New Roman" w:hAnsi="Times New Roman"/>
          <w:sz w:val="14"/>
          <w:szCs w:val="14"/>
          <w:color w:val="auto"/>
        </w:rPr>
        <w:t>. No Member as a unitholder shall have the right to seek or obtain partition by court decree or operation of law of any Company property, or the right to own or use particular or individual assets of the Company.</w:t>
      </w:r>
    </w:p>
    <w:p>
      <w:pPr>
        <w:spacing w:after="0" w:line="37" w:lineRule="exact"/>
        <w:rPr>
          <w:sz w:val="20"/>
          <w:szCs w:val="20"/>
          <w:color w:val="auto"/>
        </w:rPr>
      </w:pPr>
    </w:p>
    <w:p>
      <w:pPr>
        <w:ind w:left="120" w:right="239" w:firstLine="788"/>
        <w:spacing w:after="0" w:line="274" w:lineRule="auto"/>
        <w:rPr>
          <w:sz w:val="20"/>
          <w:szCs w:val="20"/>
          <w:color w:val="auto"/>
        </w:rPr>
      </w:pPr>
      <w:r>
        <w:rPr>
          <w:rFonts w:ascii="Times New Roman" w:cs="Times New Roman" w:eastAsia="Times New Roman" w:hAnsi="Times New Roman"/>
          <w:sz w:val="14"/>
          <w:szCs w:val="14"/>
          <w:color w:val="auto"/>
        </w:rPr>
        <w:t xml:space="preserve">8.4 </w:t>
      </w:r>
      <w:r>
        <w:rPr>
          <w:rFonts w:ascii="Times New Roman" w:cs="Times New Roman" w:eastAsia="Times New Roman" w:hAnsi="Times New Roman"/>
          <w:sz w:val="14"/>
          <w:szCs w:val="14"/>
          <w:u w:val="single" w:color="auto"/>
          <w:color w:val="auto"/>
        </w:rPr>
        <w:t>Amendments</w:t>
      </w:r>
      <w:r>
        <w:rPr>
          <w:rFonts w:ascii="Times New Roman" w:cs="Times New Roman" w:eastAsia="Times New Roman" w:hAnsi="Times New Roman"/>
          <w:sz w:val="14"/>
          <w:szCs w:val="14"/>
          <w:color w:val="auto"/>
        </w:rPr>
        <w:t xml:space="preserve">. Any repeal or modification of this </w:t>
      </w:r>
      <w:r>
        <w:rPr>
          <w:rFonts w:ascii="Times New Roman" w:cs="Times New Roman" w:eastAsia="Times New Roman" w:hAnsi="Times New Roman"/>
          <w:sz w:val="14"/>
          <w:szCs w:val="14"/>
          <w:u w:val="single" w:color="auto"/>
          <w:color w:val="auto"/>
        </w:rPr>
        <w:t>Article VIII</w:t>
      </w:r>
      <w:r>
        <w:rPr>
          <w:rFonts w:ascii="Times New Roman" w:cs="Times New Roman" w:eastAsia="Times New Roman" w:hAnsi="Times New Roman"/>
          <w:sz w:val="14"/>
          <w:szCs w:val="14"/>
          <w:color w:val="auto"/>
        </w:rPr>
        <w:t xml:space="preserve"> by the Member shall not adversely affect any rights of such Covered Person pursuant to this </w:t>
      </w:r>
      <w:r>
        <w:rPr>
          <w:rFonts w:ascii="Times New Roman" w:cs="Times New Roman" w:eastAsia="Times New Roman" w:hAnsi="Times New Roman"/>
          <w:sz w:val="14"/>
          <w:szCs w:val="14"/>
          <w:u w:val="single" w:color="auto"/>
          <w:color w:val="auto"/>
        </w:rPr>
        <w:t>Article VIII</w:t>
      </w:r>
      <w:r>
        <w:rPr>
          <w:rFonts w:ascii="Times New Roman" w:cs="Times New Roman" w:eastAsia="Times New Roman" w:hAnsi="Times New Roman"/>
          <w:sz w:val="14"/>
          <w:szCs w:val="14"/>
          <w:color w:val="auto"/>
        </w:rPr>
        <w:t>, including the right to indemnification and to the advancement of expenses of a Covered Person existing at the time of such repeal or modification with respect to any acts or omissions occurring prior to such repeal or modification.</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243" w:right="1440" w:bottom="1440" w:gutter="0" w:footer="0" w:header="0"/>
        </w:sectPr>
      </w:pPr>
    </w:p>
    <w:bookmarkStart w:id="286" w:name="page287"/>
    <w:bookmarkEnd w:id="286"/>
    <w:p>
      <w:pPr>
        <w:ind w:left="41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6">
                      <a:extLst>
                        <a:ext uri="{28A0092B-C50C-407E-A947-70E740481C1C}"/>
                      </a:extLst>
                    </a:blip>
                    <a:srcRect/>
                    <a:stretch>
                      <a:fillRect/>
                    </a:stretch>
                  </pic:blipFill>
                  <pic:spPr bwMode="auto">
                    <a:xfrm>
                      <a:off x="0" y="0"/>
                      <a:ext cx="7199630" cy="33020"/>
                    </a:xfrm>
                    <a:prstGeom prst="rect">
                      <a:avLst/>
                    </a:prstGeom>
                    <a:noFill/>
                  </pic:spPr>
                </pic:pic>
              </a:graphicData>
            </a:graphic>
          </wp:anchor>
        </w:drawing>
        <w:t>ARTICLE IX</w:t>
      </w:r>
    </w:p>
    <w:p>
      <w:pPr>
        <w:spacing w:after="0" w:line="2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4"/>
          <w:szCs w:val="14"/>
          <w:u w:val="single" w:color="auto"/>
          <w:color w:val="auto"/>
        </w:rPr>
        <w:t>Miscellaneous</w:t>
      </w:r>
    </w:p>
    <w:p>
      <w:pPr>
        <w:spacing w:after="0" w:line="169" w:lineRule="exact"/>
        <w:rPr>
          <w:sz w:val="20"/>
          <w:szCs w:val="20"/>
          <w:color w:val="auto"/>
        </w:rPr>
      </w:pPr>
    </w:p>
    <w:p>
      <w:pPr>
        <w:ind w:left="120" w:right="219" w:firstLine="788"/>
        <w:spacing w:after="0" w:line="271" w:lineRule="auto"/>
        <w:rPr>
          <w:sz w:val="20"/>
          <w:szCs w:val="20"/>
          <w:color w:val="auto"/>
        </w:rPr>
      </w:pPr>
      <w:r>
        <w:rPr>
          <w:rFonts w:ascii="Times New Roman" w:cs="Times New Roman" w:eastAsia="Times New Roman" w:hAnsi="Times New Roman"/>
          <w:sz w:val="14"/>
          <w:szCs w:val="14"/>
          <w:color w:val="auto"/>
        </w:rPr>
        <w:t xml:space="preserve">9.1 </w:t>
      </w:r>
      <w:r>
        <w:rPr>
          <w:rFonts w:ascii="Times New Roman" w:cs="Times New Roman" w:eastAsia="Times New Roman" w:hAnsi="Times New Roman"/>
          <w:sz w:val="14"/>
          <w:szCs w:val="14"/>
          <w:u w:val="single" w:color="auto"/>
          <w:color w:val="auto"/>
        </w:rPr>
        <w:t>Tax Treatment</w:t>
      </w:r>
      <w:r>
        <w:rPr>
          <w:rFonts w:ascii="Times New Roman" w:cs="Times New Roman" w:eastAsia="Times New Roman" w:hAnsi="Times New Roman"/>
          <w:sz w:val="14"/>
          <w:szCs w:val="14"/>
          <w:color w:val="auto"/>
        </w:rPr>
        <w:t>. Unless otherwise determined by the Member, the Company shall be a disregarded entity for U.S. federal income tax purposes (as well as for any analogous state or local tax purposes), and the Member and the Company shall timely make any and all necessary elections and filings for the Company treated as a disregarded entity for U.S. federal income tax purposes (as well as for any’analogous state or local tax purposes).</w:t>
      </w:r>
    </w:p>
    <w:p>
      <w:pPr>
        <w:spacing w:after="0" w:line="227" w:lineRule="exact"/>
        <w:rPr>
          <w:sz w:val="20"/>
          <w:szCs w:val="20"/>
          <w:color w:val="auto"/>
        </w:rPr>
      </w:pPr>
    </w:p>
    <w:p>
      <w:pPr>
        <w:ind w:left="120" w:right="259" w:firstLine="788"/>
        <w:spacing w:after="0" w:line="292" w:lineRule="auto"/>
        <w:rPr>
          <w:sz w:val="20"/>
          <w:szCs w:val="20"/>
          <w:color w:val="auto"/>
        </w:rPr>
      </w:pPr>
      <w:r>
        <w:rPr>
          <w:rFonts w:ascii="Times New Roman" w:cs="Times New Roman" w:eastAsia="Times New Roman" w:hAnsi="Times New Roman"/>
          <w:sz w:val="14"/>
          <w:szCs w:val="14"/>
          <w:color w:val="auto"/>
        </w:rPr>
        <w:t xml:space="preserve">9.2 </w:t>
      </w:r>
      <w:r>
        <w:rPr>
          <w:rFonts w:ascii="Times New Roman" w:cs="Times New Roman" w:eastAsia="Times New Roman" w:hAnsi="Times New Roman"/>
          <w:sz w:val="14"/>
          <w:szCs w:val="14"/>
          <w:u w:val="single" w:color="auto"/>
          <w:color w:val="auto"/>
        </w:rPr>
        <w:t>Amendments</w:t>
      </w:r>
      <w:r>
        <w:rPr>
          <w:rFonts w:ascii="Times New Roman" w:cs="Times New Roman" w:eastAsia="Times New Roman" w:hAnsi="Times New Roman"/>
          <w:sz w:val="14"/>
          <w:szCs w:val="14"/>
          <w:color w:val="auto"/>
        </w:rPr>
        <w:t>. Amendments to this Agreement shall be approved in writing by the Member. An amendment shall become effective as of the date specified in the approval of the Member or if none is specified as of the date of such approval or as otherwise provided in the RSA 304-C.</w:t>
      </w:r>
    </w:p>
    <w:p>
      <w:pPr>
        <w:spacing w:after="0" w:line="37" w:lineRule="exact"/>
        <w:rPr>
          <w:sz w:val="20"/>
          <w:szCs w:val="20"/>
          <w:color w:val="auto"/>
        </w:rPr>
      </w:pPr>
    </w:p>
    <w:p>
      <w:pPr>
        <w:ind w:left="120" w:right="159" w:firstLine="788"/>
        <w:spacing w:after="0" w:line="265" w:lineRule="auto"/>
        <w:rPr>
          <w:sz w:val="20"/>
          <w:szCs w:val="20"/>
          <w:color w:val="auto"/>
        </w:rPr>
      </w:pPr>
      <w:r>
        <w:rPr>
          <w:rFonts w:ascii="Times New Roman" w:cs="Times New Roman" w:eastAsia="Times New Roman" w:hAnsi="Times New Roman"/>
          <w:sz w:val="14"/>
          <w:szCs w:val="14"/>
          <w:color w:val="auto"/>
        </w:rPr>
        <w:t xml:space="preserve">9.3 </w:t>
      </w:r>
      <w:r>
        <w:rPr>
          <w:rFonts w:ascii="Times New Roman" w:cs="Times New Roman" w:eastAsia="Times New Roman" w:hAnsi="Times New Roman"/>
          <w:sz w:val="14"/>
          <w:szCs w:val="14"/>
          <w:u w:val="single" w:color="auto"/>
          <w:color w:val="auto"/>
        </w:rPr>
        <w:t>Severabili</w:t>
      </w:r>
      <w:r>
        <w:rPr>
          <w:rFonts w:ascii="Times New Roman" w:cs="Times New Roman" w:eastAsia="Times New Roman" w:hAnsi="Times New Roman"/>
          <w:sz w:val="14"/>
          <w:szCs w:val="14"/>
          <w:color w:val="auto"/>
        </w:rPr>
        <w:t>ty. If any provision of this Agreement is held to be invalid or unenforceable for any reason, such provision shall be ineffective to the extent of such invalidity or unenforceability; provided, however, that the remaining provisions will continue in full force without being impaired or invalidated in any way unless such invalid or unenforceable provision or clause shall be so significant as to materially affect the expectations of the Member regarding this Agreement. Otherwise, any invalid or unenforceable provision shall be replaced by the Member with a valid provision which most closely approximates the intent and economic effect of the invalid or unenforceable provision.</w:t>
      </w:r>
    </w:p>
    <w:p>
      <w:pPr>
        <w:spacing w:after="0" w:line="55" w:lineRule="exact"/>
        <w:rPr>
          <w:sz w:val="20"/>
          <w:szCs w:val="20"/>
          <w:color w:val="auto"/>
        </w:rPr>
      </w:pPr>
    </w:p>
    <w:p>
      <w:pPr>
        <w:ind w:left="120" w:right="539" w:firstLine="788"/>
        <w:spacing w:after="0" w:line="292" w:lineRule="auto"/>
        <w:rPr>
          <w:sz w:val="20"/>
          <w:szCs w:val="20"/>
          <w:color w:val="auto"/>
        </w:rPr>
      </w:pPr>
      <w:r>
        <w:rPr>
          <w:rFonts w:ascii="Times New Roman" w:cs="Times New Roman" w:eastAsia="Times New Roman" w:hAnsi="Times New Roman"/>
          <w:sz w:val="14"/>
          <w:szCs w:val="14"/>
          <w:color w:val="auto"/>
        </w:rPr>
        <w:t xml:space="preserve">9.4 </w:t>
      </w:r>
      <w:r>
        <w:rPr>
          <w:rFonts w:ascii="Times New Roman" w:cs="Times New Roman" w:eastAsia="Times New Roman" w:hAnsi="Times New Roman"/>
          <w:sz w:val="14"/>
          <w:szCs w:val="14"/>
          <w:u w:val="single" w:color="auto"/>
          <w:color w:val="auto"/>
        </w:rPr>
        <w:t>Governing Law</w:t>
      </w:r>
      <w:r>
        <w:rPr>
          <w:rFonts w:ascii="Times New Roman" w:cs="Times New Roman" w:eastAsia="Times New Roman" w:hAnsi="Times New Roman"/>
          <w:sz w:val="14"/>
          <w:szCs w:val="14"/>
          <w:color w:val="auto"/>
        </w:rPr>
        <w:t>. This Agreement shall be governed by and construed in accordance with the laws of the State ofNew Hampshire without regard to the principles of conflicts of laws thereof.</w:t>
      </w:r>
    </w:p>
    <w:p>
      <w:pPr>
        <w:spacing w:after="0" w:line="37" w:lineRule="exact"/>
        <w:rPr>
          <w:sz w:val="20"/>
          <w:szCs w:val="20"/>
          <w:color w:val="auto"/>
        </w:rPr>
      </w:pPr>
    </w:p>
    <w:p>
      <w:pPr>
        <w:ind w:left="120" w:right="279" w:firstLine="788"/>
        <w:spacing w:after="0" w:line="292" w:lineRule="auto"/>
        <w:rPr>
          <w:sz w:val="20"/>
          <w:szCs w:val="20"/>
          <w:color w:val="auto"/>
        </w:rPr>
      </w:pPr>
      <w:r>
        <w:rPr>
          <w:rFonts w:ascii="Times New Roman" w:cs="Times New Roman" w:eastAsia="Times New Roman" w:hAnsi="Times New Roman"/>
          <w:sz w:val="14"/>
          <w:szCs w:val="14"/>
          <w:color w:val="auto"/>
        </w:rPr>
        <w:t xml:space="preserve">9.5 </w:t>
      </w:r>
      <w:r>
        <w:rPr>
          <w:rFonts w:ascii="Times New Roman" w:cs="Times New Roman" w:eastAsia="Times New Roman" w:hAnsi="Times New Roman"/>
          <w:sz w:val="14"/>
          <w:szCs w:val="14"/>
          <w:u w:val="single" w:color="auto"/>
          <w:color w:val="auto"/>
        </w:rPr>
        <w:t>Limited Liabili</w:t>
      </w:r>
      <w:r>
        <w:rPr>
          <w:rFonts w:ascii="Times New Roman" w:cs="Times New Roman" w:eastAsia="Times New Roman" w:hAnsi="Times New Roman"/>
          <w:sz w:val="14"/>
          <w:szCs w:val="14"/>
          <w:color w:val="auto"/>
        </w:rPr>
        <w:t xml:space="preserve">ty </w:t>
      </w:r>
      <w:r>
        <w:rPr>
          <w:rFonts w:ascii="Times New Roman" w:cs="Times New Roman" w:eastAsia="Times New Roman" w:hAnsi="Times New Roman"/>
          <w:sz w:val="14"/>
          <w:szCs w:val="14"/>
          <w:u w:val="single" w:color="auto"/>
          <w:color w:val="auto"/>
        </w:rPr>
        <w:t>Compan</w:t>
      </w:r>
      <w:r>
        <w:rPr>
          <w:rFonts w:ascii="Times New Roman" w:cs="Times New Roman" w:eastAsia="Times New Roman" w:hAnsi="Times New Roman"/>
          <w:sz w:val="14"/>
          <w:szCs w:val="14"/>
          <w:color w:val="auto"/>
        </w:rPr>
        <w:t>y. The Member intends to form a limited liability company and does not intend to form a partnership under the laws of the State of New Hampshire or any other laws.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[Signature page follows]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9019"/>
          </w:cols>
          <w:pgMar w:left="1440" w:top="243" w:right="1440" w:bottom="1440" w:gutter="0" w:footer="0" w:header="0"/>
        </w:sectPr>
      </w:pPr>
    </w:p>
    <w:bookmarkStart w:id="287" w:name="page288"/>
    <w:bookmarkEnd w:id="287"/>
    <w:p>
      <w:pPr>
        <w:ind w:left="9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7">
                      <a:extLst>
                        <a:ext uri="{28A0092B-C50C-407E-A947-70E740481C1C}"/>
                      </a:extLst>
                    </a:blip>
                    <a:srcRect/>
                    <a:stretch>
                      <a:fillRect/>
                    </a:stretch>
                  </pic:blipFill>
                  <pic:spPr bwMode="auto">
                    <a:xfrm>
                      <a:off x="0" y="0"/>
                      <a:ext cx="7199630" cy="33020"/>
                    </a:xfrm>
                    <a:prstGeom prst="rect">
                      <a:avLst/>
                    </a:prstGeom>
                    <a:noFill/>
                  </pic:spPr>
                </pic:pic>
              </a:graphicData>
            </a:graphic>
          </wp:anchor>
        </w:drawing>
        <w:t>IN WITNESS WHEREOF, the undersigned have duly executed this Limited Liability Company Agreement as of the day first above</w:t>
      </w:r>
    </w:p>
    <w:p>
      <w:pPr>
        <w:spacing w:after="0" w:line="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written.</w:t>
      </w:r>
    </w:p>
    <w:p>
      <w:pPr>
        <w:spacing w:after="0" w:line="18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b w:val="1"/>
          <w:bCs w:val="1"/>
          <w:color w:val="auto"/>
        </w:rPr>
        <w:t>ANKURA TRUST PARENT, LLC</w:t>
      </w:r>
    </w:p>
    <w:p>
      <w:pPr>
        <w:spacing w:after="0" w:line="184" w:lineRule="exact"/>
        <w:rPr>
          <w:sz w:val="20"/>
          <w:szCs w:val="20"/>
          <w:color w:val="auto"/>
        </w:rPr>
      </w:pPr>
    </w:p>
    <w:tbl>
      <w:tblPr>
        <w:tblLayout w:type="fixed"/>
        <w:tblInd w:w="5380" w:type="dxa"/>
        <w:tblCellMar>
          <w:top w:w="0" w:type="dxa"/>
          <w:left w:w="0" w:type="dxa"/>
          <w:bottom w:w="0" w:type="dxa"/>
          <w:right w:w="0" w:type="dxa"/>
        </w:tblCellMar>
      </w:tblPr>
      <w:tr>
        <w:trPr>
          <w:trHeight w:val="172"/>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Ankura Intermediate Holdings, LP</w:t>
            </w:r>
          </w:p>
        </w:tc>
      </w:tr>
      <w:tr>
        <w:trPr>
          <w:trHeight w:val="185"/>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Its:</w:t>
            </w:r>
          </w:p>
        </w:tc>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Member</w:t>
            </w:r>
          </w:p>
        </w:tc>
      </w:tr>
      <w:tr>
        <w:trPr>
          <w:trHeight w:val="343"/>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3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Roger Carlile</w:t>
            </w:r>
          </w:p>
        </w:tc>
      </w:tr>
      <w:tr>
        <w:trPr>
          <w:trHeight w:val="159"/>
        </w:trPr>
        <w:tc>
          <w:tcPr>
            <w:tcW w:w="46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Name:</w:t>
            </w:r>
          </w:p>
        </w:tc>
        <w:tc>
          <w:tcPr>
            <w:tcW w:w="304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Roger Carlile</w:t>
            </w:r>
          </w:p>
        </w:tc>
      </w:tr>
      <w:tr>
        <w:trPr>
          <w:trHeight w:val="185"/>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Its:</w:t>
            </w:r>
          </w:p>
        </w:tc>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Chief Executive Officer</w:t>
            </w:r>
          </w:p>
        </w:tc>
      </w:tr>
    </w:tbl>
    <w:p>
      <w:pPr>
        <w:spacing w:after="0" w:line="15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4"/>
          <w:szCs w:val="14"/>
          <w:i w:val="1"/>
          <w:iCs w:val="1"/>
          <w:color w:val="auto"/>
        </w:rPr>
        <w:t>Signature Page to Agreement of Limited Liability Company Agreement of [Ankura Trust Company], LLC</w:t>
      </w:r>
    </w:p>
    <w:p>
      <w:pPr>
        <w:sectPr>
          <w:pgSz w:w="11900" w:h="16838" w:orient="portrait"/>
          <w:cols w:equalWidth="0" w:num="1">
            <w:col w:w="9019"/>
          </w:cols>
          <w:pgMar w:left="1440" w:top="243" w:right="1440" w:bottom="1440" w:gutter="0" w:footer="0" w:header="0"/>
        </w:sectPr>
      </w:pPr>
    </w:p>
    <w:bookmarkStart w:id="288" w:name="page289"/>
    <w:bookmarkEnd w:id="288"/>
    <w:p>
      <w:pPr>
        <w:ind w:left="120"/>
        <w:spacing w:after="0"/>
        <w:rPr>
          <w:sz w:val="20"/>
          <w:szCs w:val="20"/>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8">
                      <a:extLst>
                        <a:ext uri="{28A0092B-C50C-407E-A947-70E740481C1C}"/>
                      </a:extLst>
                    </a:blip>
                    <a:srcRect/>
                    <a:stretch>
                      <a:fillRect/>
                    </a:stretch>
                  </pic:blipFill>
                  <pic:spPr bwMode="auto">
                    <a:xfrm>
                      <a:off x="0" y="0"/>
                      <a:ext cx="7199630" cy="33020"/>
                    </a:xfrm>
                    <a:prstGeom prst="rect">
                      <a:avLst/>
                    </a:prstGeom>
                    <a:noFill/>
                  </pic:spPr>
                </pic:pic>
              </a:graphicData>
            </a:graphic>
          </wp:anchor>
        </w:drawing>
        <w:t>SCHEDULE I</w:t>
      </w:r>
    </w:p>
    <w:p>
      <w:pPr>
        <w:spacing w:after="0" w:line="195" w:lineRule="exact"/>
        <w:rPr>
          <w:sz w:val="20"/>
          <w:szCs w:val="20"/>
          <w:color w:val="auto"/>
        </w:rPr>
      </w:pPr>
    </w:p>
    <w:tbl>
      <w:tblPr>
        <w:tblLayout w:type="fixed"/>
        <w:tblInd w:w="1540" w:type="dxa"/>
        <w:tblCellMar>
          <w:top w:w="0" w:type="dxa"/>
          <w:left w:w="0" w:type="dxa"/>
          <w:bottom w:w="0" w:type="dxa"/>
          <w:right w:w="0" w:type="dxa"/>
        </w:tblCellMar>
      </w:tblPr>
      <w:tr>
        <w:trPr>
          <w:trHeight w:val="126"/>
        </w:trPr>
        <w:tc>
          <w:tcPr>
            <w:tcW w:w="82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Name of Member</w:t>
            </w:r>
          </w:p>
        </w:tc>
        <w:tc>
          <w:tcPr>
            <w:tcW w:w="2400" w:type="dxa"/>
            <w:vAlign w:val="bottom"/>
            <w:vMerge w:val="restart"/>
          </w:tcPr>
          <w:p>
            <w:pPr>
              <w:spacing w:after="0"/>
              <w:rPr>
                <w:sz w:val="11"/>
                <w:szCs w:val="11"/>
                <w:color w:val="auto"/>
              </w:rPr>
            </w:pPr>
          </w:p>
        </w:tc>
        <w:tc>
          <w:tcPr>
            <w:tcW w:w="272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Number of Common</w:t>
            </w:r>
          </w:p>
        </w:tc>
        <w:tc>
          <w:tcPr>
            <w:tcW w:w="0" w:type="dxa"/>
            <w:vAlign w:val="bottom"/>
          </w:tcPr>
          <w:p>
            <w:pPr>
              <w:spacing w:after="0"/>
              <w:rPr>
                <w:sz w:val="1"/>
                <w:szCs w:val="1"/>
                <w:color w:val="auto"/>
              </w:rPr>
            </w:pPr>
          </w:p>
        </w:tc>
      </w:tr>
      <w:tr>
        <w:trPr>
          <w:trHeight w:val="145"/>
        </w:trPr>
        <w:tc>
          <w:tcPr>
            <w:tcW w:w="820" w:type="dxa"/>
            <w:vAlign w:val="bottom"/>
            <w:tcBorders>
              <w:bottom w:val="single" w:sz="8" w:color="auto"/>
            </w:tcBorders>
            <w:vMerge w:val="continue"/>
          </w:tcPr>
          <w:p>
            <w:pPr>
              <w:spacing w:after="0"/>
              <w:rPr>
                <w:sz w:val="12"/>
                <w:szCs w:val="12"/>
                <w:color w:val="auto"/>
              </w:rPr>
            </w:pPr>
          </w:p>
        </w:tc>
        <w:tc>
          <w:tcPr>
            <w:tcW w:w="2400" w:type="dxa"/>
            <w:vAlign w:val="bottom"/>
            <w:vMerge w:val="continue"/>
          </w:tcPr>
          <w:p>
            <w:pPr>
              <w:spacing w:after="0"/>
              <w:rPr>
                <w:sz w:val="12"/>
                <w:szCs w:val="12"/>
                <w:color w:val="auto"/>
              </w:rPr>
            </w:pPr>
          </w:p>
        </w:tc>
        <w:tc>
          <w:tcPr>
            <w:tcW w:w="1720" w:type="dxa"/>
            <w:vAlign w:val="bottom"/>
          </w:tcPr>
          <w:p>
            <w:pPr>
              <w:spacing w:after="0"/>
              <w:rPr>
                <w:sz w:val="12"/>
                <w:szCs w:val="12"/>
                <w:color w:val="auto"/>
              </w:rPr>
            </w:pPr>
          </w:p>
        </w:tc>
        <w:tc>
          <w:tcPr>
            <w:tcW w:w="1000" w:type="dxa"/>
            <w:vAlign w:val="bottom"/>
            <w:gridSpan w:val="2"/>
          </w:tcPr>
          <w:p>
            <w:pPr>
              <w:ind w:left="360"/>
              <w:spacing w:after="0" w:line="125" w:lineRule="exact"/>
              <w:rPr>
                <w:sz w:val="20"/>
                <w:szCs w:val="20"/>
                <w:color w:val="auto"/>
              </w:rPr>
            </w:pPr>
            <w:r>
              <w:rPr>
                <w:rFonts w:ascii="Times New Roman" w:cs="Times New Roman" w:eastAsia="Times New Roman" w:hAnsi="Times New Roman"/>
                <w:sz w:val="11"/>
                <w:szCs w:val="11"/>
                <w:color w:val="auto"/>
              </w:rPr>
              <w:t>Units</w:t>
            </w:r>
          </w:p>
        </w:tc>
        <w:tc>
          <w:tcPr>
            <w:tcW w:w="0" w:type="dxa"/>
            <w:vAlign w:val="bottom"/>
          </w:tcPr>
          <w:p>
            <w:pPr>
              <w:spacing w:after="0"/>
              <w:rPr>
                <w:sz w:val="1"/>
                <w:szCs w:val="1"/>
                <w:color w:val="auto"/>
              </w:rPr>
            </w:pPr>
          </w:p>
        </w:tc>
      </w:tr>
      <w:tr>
        <w:trPr>
          <w:trHeight w:val="153"/>
        </w:trPr>
        <w:tc>
          <w:tcPr>
            <w:tcW w:w="3220" w:type="dxa"/>
            <w:vAlign w:val="bottom"/>
            <w:tcBorders>
              <w:top w:val="single" w:sz="8" w:color="CCEEFF"/>
            </w:tcBorders>
            <w:gridSpan w:val="2"/>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Ankura Trust Parent, LLC</w:t>
            </w:r>
          </w:p>
        </w:tc>
        <w:tc>
          <w:tcPr>
            <w:tcW w:w="172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jc w:val="right"/>
              <w:spacing w:after="0" w:line="153" w:lineRule="exact"/>
              <w:rPr>
                <w:sz w:val="20"/>
                <w:szCs w:val="20"/>
                <w:color w:val="auto"/>
              </w:rPr>
            </w:pPr>
            <w:r>
              <w:rPr>
                <w:rFonts w:ascii="Times New Roman" w:cs="Times New Roman" w:eastAsia="Times New Roman" w:hAnsi="Times New Roman"/>
                <w:sz w:val="14"/>
                <w:szCs w:val="14"/>
                <w:color w:val="auto"/>
              </w:rPr>
              <w:t>1,000</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41" w:right="1440" w:bottom="1440" w:gutter="0" w:footer="0" w:header="0"/>
        </w:sectPr>
      </w:pPr>
    </w:p>
    <w:bookmarkStart w:id="289" w:name="page290"/>
    <w:bookmarkEnd w:id="289"/>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9">
                      <a:extLst>
                        <a:ext uri="{28A0092B-C50C-407E-A947-70E740481C1C}"/>
                      </a:extLst>
                    </a:blip>
                    <a:srcRect/>
                    <a:stretch>
                      <a:fillRect/>
                    </a:stretch>
                  </pic:blipFill>
                  <pic:spPr bwMode="auto">
                    <a:xfrm>
                      <a:off x="0" y="0"/>
                      <a:ext cx="7199630" cy="33020"/>
                    </a:xfrm>
                    <a:prstGeom prst="rect">
                      <a:avLst/>
                    </a:prstGeom>
                    <a:noFill/>
                  </pic:spPr>
                </pic:pic>
              </a:graphicData>
            </a:graphic>
          </wp:anchor>
        </w:drawing>
        <w:t>Exhibit 6</w:t>
      </w:r>
    </w:p>
    <w:p>
      <w:pPr>
        <w:sectPr>
          <w:pgSz w:w="11900" w:h="16838" w:orient="portrait"/>
          <w:cols w:equalWidth="0" w:num="1">
            <w:col w:w="9019"/>
          </w:cols>
          <w:pgMar w:left="1440" w:top="241" w:right="1440" w:bottom="1440" w:gutter="0" w:footer="0" w:header="0"/>
        </w:sectPr>
      </w:pPr>
    </w:p>
    <w:bookmarkStart w:id="290" w:name="page291"/>
    <w:bookmarkEnd w:id="290"/>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40">
                      <a:extLst>
                        <a:ext uri="{28A0092B-C50C-407E-A947-70E740481C1C}"/>
                      </a:extLst>
                    </a:blip>
                    <a:srcRect/>
                    <a:stretch>
                      <a:fillRect/>
                    </a:stretch>
                  </pic:blipFill>
                  <pic:spPr bwMode="auto">
                    <a:xfrm>
                      <a:off x="0" y="0"/>
                      <a:ext cx="7199630" cy="33020"/>
                    </a:xfrm>
                    <a:prstGeom prst="rect">
                      <a:avLst/>
                    </a:prstGeom>
                    <a:noFill/>
                  </pic:spPr>
                </pic:pic>
              </a:graphicData>
            </a:graphic>
          </wp:anchor>
        </w:drawing>
        <w:t>CONSENT</w:t>
      </w:r>
    </w:p>
    <w:p>
      <w:pPr>
        <w:spacing w:after="0" w:line="184" w:lineRule="exact"/>
        <w:rPr>
          <w:sz w:val="20"/>
          <w:szCs w:val="20"/>
          <w:color w:val="auto"/>
        </w:rPr>
      </w:pPr>
    </w:p>
    <w:p>
      <w:pPr>
        <w:ind w:left="120" w:right="239" w:firstLine="350"/>
        <w:spacing w:after="0" w:line="274" w:lineRule="auto"/>
        <w:rPr>
          <w:sz w:val="20"/>
          <w:szCs w:val="20"/>
          <w:color w:val="auto"/>
        </w:rPr>
      </w:pPr>
      <w:r>
        <w:rPr>
          <w:rFonts w:ascii="Times New Roman" w:cs="Times New Roman" w:eastAsia="Times New Roman" w:hAnsi="Times New Roman"/>
          <w:sz w:val="14"/>
          <w:szCs w:val="14"/>
          <w:color w:val="auto"/>
        </w:rPr>
        <w:t>Pursuant to the requirements of the Trust Indenture Act of 1939, the undersigned, ANKURA TRUST COMPANY, LLC, hereby consents that reports of examination of the undersigned by Federal, State, Territorial or District authorities may be furnished by such authorities to the Securities and Exchange Commission upon its request therefor.</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Dated: October 30, 2026</w:t>
      </w:r>
    </w:p>
    <w:p>
      <w:pPr>
        <w:spacing w:after="0" w:line="20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ANKURA TRUST COMPANY, LLC</w:t>
      </w:r>
    </w:p>
    <w:p>
      <w:pPr>
        <w:spacing w:after="0" w:line="182"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By: /s/ James J. McGinley</w:t>
      </w:r>
    </w:p>
    <w:p>
      <w:pPr>
        <w:spacing w:after="0" w:line="2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James J. McGinley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3578860</wp:posOffset>
            </wp:positionH>
            <wp:positionV relativeFrom="paragraph">
              <wp:posOffset>-100965</wp:posOffset>
            </wp:positionV>
            <wp:extent cx="2064385" cy="698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41">
                      <a:extLst>
                        <a:ext uri="{28A0092B-C50C-407E-A947-70E740481C1C}"/>
                      </a:extLst>
                    </a:blip>
                    <a:srcRect/>
                    <a:stretch>
                      <a:fillRect/>
                    </a:stretch>
                  </pic:blipFill>
                  <pic:spPr bwMode="auto">
                    <a:xfrm>
                      <a:off x="0" y="0"/>
                      <a:ext cx="2064385" cy="6985"/>
                    </a:xfrm>
                    <a:prstGeom prst="rect">
                      <a:avLst/>
                    </a:prstGeom>
                    <a:noFill/>
                  </pic:spPr>
                </pic:pic>
              </a:graphicData>
            </a:graphic>
          </wp:anchor>
        </w:drawing>
      </w:r>
    </w:p>
    <w:p>
      <w:pPr>
        <w:spacing w:after="0" w:line="1"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Chief Executive Officer &amp; President</w:t>
      </w:r>
    </w:p>
    <w:p>
      <w:pPr>
        <w:sectPr>
          <w:pgSz w:w="11900" w:h="16838" w:orient="portrait"/>
          <w:cols w:equalWidth="0" w:num="1">
            <w:col w:w="9019"/>
          </w:cols>
          <w:pgMar w:left="1440" w:top="241" w:right="1440" w:bottom="1440" w:gutter="0" w:footer="0" w:header="0"/>
        </w:sectPr>
      </w:pPr>
    </w:p>
    <w:bookmarkStart w:id="291" w:name="page292"/>
    <w:bookmarkEnd w:id="291"/>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42">
                      <a:extLst>
                        <a:ext uri="{28A0092B-C50C-407E-A947-70E740481C1C}"/>
                      </a:extLst>
                    </a:blip>
                    <a:srcRect/>
                    <a:stretch>
                      <a:fillRect/>
                    </a:stretch>
                  </pic:blipFill>
                  <pic:spPr bwMode="auto">
                    <a:xfrm>
                      <a:off x="0" y="0"/>
                      <a:ext cx="7199630" cy="33020"/>
                    </a:xfrm>
                    <a:prstGeom prst="rect">
                      <a:avLst/>
                    </a:prstGeom>
                    <a:noFill/>
                  </pic:spPr>
                </pic:pic>
              </a:graphicData>
            </a:graphic>
          </wp:anchor>
        </w:drawing>
        <w:t>Exhibit 7</w:t>
      </w:r>
    </w:p>
    <w:p>
      <w:pPr>
        <w:sectPr>
          <w:pgSz w:w="11900" w:h="16838" w:orient="portrait"/>
          <w:cols w:equalWidth="0" w:num="1">
            <w:col w:w="9019"/>
          </w:cols>
          <w:pgMar w:left="1440" w:top="241" w:right="1440" w:bottom="1440" w:gutter="0" w:footer="0" w:header="0"/>
        </w:sectPr>
      </w:pPr>
    </w:p>
    <w:bookmarkStart w:id="292" w:name="page293"/>
    <w:bookmarkEnd w:id="29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6138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43">
                      <a:extLst>
                        <a:ext uri="{28A0092B-C50C-407E-A947-70E740481C1C}"/>
                      </a:extLst>
                    </a:blip>
                    <a:srcRect/>
                    <a:stretch>
                      <a:fillRect/>
                    </a:stretch>
                  </pic:blipFill>
                  <pic:spPr bwMode="auto">
                    <a:xfrm>
                      <a:off x="0" y="0"/>
                      <a:ext cx="7199630" cy="6138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3" w:name="page294"/>
    <w:bookmarkEnd w:id="29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6138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44">
                      <a:extLst>
                        <a:ext uri="{28A0092B-C50C-407E-A947-70E740481C1C}"/>
                      </a:extLst>
                    </a:blip>
                    <a:srcRect/>
                    <a:stretch>
                      <a:fillRect/>
                    </a:stretch>
                  </pic:blipFill>
                  <pic:spPr bwMode="auto">
                    <a:xfrm>
                      <a:off x="0" y="0"/>
                      <a:ext cx="7199630" cy="6138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4" w:name="page295"/>
    <w:bookmarkEnd w:id="29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6138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5">
                      <a:extLst>
                        <a:ext uri="{28A0092B-C50C-407E-A947-70E740481C1C}"/>
                      </a:extLst>
                    </a:blip>
                    <a:srcRect/>
                    <a:stretch>
                      <a:fillRect/>
                    </a:stretch>
                  </pic:blipFill>
                  <pic:spPr bwMode="auto">
                    <a:xfrm>
                      <a:off x="0" y="0"/>
                      <a:ext cx="7199630" cy="6138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5" w:name="page296"/>
    <w:bookmarkEnd w:id="29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6138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6">
                      <a:extLst>
                        <a:ext uri="{28A0092B-C50C-407E-A947-70E740481C1C}"/>
                      </a:extLst>
                    </a:blip>
                    <a:srcRect/>
                    <a:stretch>
                      <a:fillRect/>
                    </a:stretch>
                  </pic:blipFill>
                  <pic:spPr bwMode="auto">
                    <a:xfrm>
                      <a:off x="0" y="0"/>
                      <a:ext cx="7199630" cy="6138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6" w:name="page297"/>
    <w:bookmarkEnd w:id="29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6138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7">
                      <a:extLst>
                        <a:ext uri="{28A0092B-C50C-407E-A947-70E740481C1C}"/>
                      </a:extLst>
                    </a:blip>
                    <a:srcRect/>
                    <a:stretch>
                      <a:fillRect/>
                    </a:stretch>
                  </pic:blipFill>
                  <pic:spPr bwMode="auto">
                    <a:xfrm>
                      <a:off x="0" y="0"/>
                      <a:ext cx="7199630" cy="6138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7" w:name="page298"/>
    <w:bookmarkEnd w:id="29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6138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8">
                      <a:extLst>
                        <a:ext uri="{28A0092B-C50C-407E-A947-70E740481C1C}"/>
                      </a:extLst>
                    </a:blip>
                    <a:srcRect/>
                    <a:stretch>
                      <a:fillRect/>
                    </a:stretch>
                  </pic:blipFill>
                  <pic:spPr bwMode="auto">
                    <a:xfrm>
                      <a:off x="0" y="0"/>
                      <a:ext cx="7199630" cy="6138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8" w:name="page299"/>
    <w:bookmarkEnd w:id="29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6138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9">
                      <a:extLst>
                        <a:ext uri="{28A0092B-C50C-407E-A947-70E740481C1C}"/>
                      </a:extLst>
                    </a:blip>
                    <a:srcRect/>
                    <a:stretch>
                      <a:fillRect/>
                    </a:stretch>
                  </pic:blipFill>
                  <pic:spPr bwMode="auto">
                    <a:xfrm>
                      <a:off x="0" y="0"/>
                      <a:ext cx="7199630" cy="6138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9" w:name="page300"/>
    <w:bookmarkEnd w:id="29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6138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50">
                      <a:extLst>
                        <a:ext uri="{28A0092B-C50C-407E-A947-70E740481C1C}"/>
                      </a:extLst>
                    </a:blip>
                    <a:srcRect/>
                    <a:stretch>
                      <a:fillRect/>
                    </a:stretch>
                  </pic:blipFill>
                  <pic:spPr bwMode="auto">
                    <a:xfrm>
                      <a:off x="0" y="0"/>
                      <a:ext cx="7199630" cy="6138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0" w:name="page301"/>
    <w:bookmarkEnd w:id="30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6138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51">
                      <a:extLst>
                        <a:ext uri="{28A0092B-C50C-407E-A947-70E740481C1C}"/>
                      </a:extLst>
                    </a:blip>
                    <a:srcRect/>
                    <a:stretch>
                      <a:fillRect/>
                    </a:stretch>
                  </pic:blipFill>
                  <pic:spPr bwMode="auto">
                    <a:xfrm>
                      <a:off x="0" y="0"/>
                      <a:ext cx="7199630" cy="6138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1" w:name="page302"/>
    <w:bookmarkEnd w:id="30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6138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52">
                      <a:extLst>
                        <a:ext uri="{28A0092B-C50C-407E-A947-70E740481C1C}"/>
                      </a:extLst>
                    </a:blip>
                    <a:srcRect/>
                    <a:stretch>
                      <a:fillRect/>
                    </a:stretch>
                  </pic:blipFill>
                  <pic:spPr bwMode="auto">
                    <a:xfrm>
                      <a:off x="0" y="0"/>
                      <a:ext cx="7199630" cy="6138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2" w:name="page303"/>
    <w:bookmarkEnd w:id="30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6138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53">
                      <a:extLst>
                        <a:ext uri="{28A0092B-C50C-407E-A947-70E740481C1C}"/>
                      </a:extLst>
                    </a:blip>
                    <a:srcRect/>
                    <a:stretch>
                      <a:fillRect/>
                    </a:stretch>
                  </pic:blipFill>
                  <pic:spPr bwMode="auto">
                    <a:xfrm>
                      <a:off x="0" y="0"/>
                      <a:ext cx="7199630" cy="6138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3" w:name="page304"/>
    <w:bookmarkEnd w:id="30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6138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54">
                      <a:extLst>
                        <a:ext uri="{28A0092B-C50C-407E-A947-70E740481C1C}"/>
                      </a:extLst>
                    </a:blip>
                    <a:srcRect/>
                    <a:stretch>
                      <a:fillRect/>
                    </a:stretch>
                  </pic:blipFill>
                  <pic:spPr bwMode="auto">
                    <a:xfrm>
                      <a:off x="0" y="0"/>
                      <a:ext cx="7199630" cy="6138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4" w:name="page305"/>
    <w:bookmarkEnd w:id="304"/>
    <w:p>
      <w:pPr>
        <w:ind w:left="3460"/>
        <w:spacing w:after="0"/>
        <w:rPr>
          <w:sz w:val="20"/>
          <w:szCs w:val="20"/>
          <w:color w:val="auto"/>
        </w:rPr>
      </w:pPr>
      <w:r>
        <w:rPr>
          <w:rFonts w:ascii="Arial" w:cs="Arial" w:eastAsia="Arial" w:hAnsi="Arial"/>
          <w:sz w:val="29"/>
          <w:szCs w:val="29"/>
          <w:b w:val="1"/>
          <w:bCs w:val="1"/>
          <w:color w:val="auto"/>
        </w:rPr>
        <w:t>Calculation of Filing Fee Tables</w:t>
      </w:r>
    </w:p>
    <w:p>
      <w:pPr>
        <w:spacing w:after="0" w:line="171" w:lineRule="exact"/>
        <w:rPr>
          <w:sz w:val="20"/>
          <w:szCs w:val="20"/>
          <w:color w:val="auto"/>
        </w:rPr>
      </w:pPr>
    </w:p>
    <w:p>
      <w:pPr>
        <w:ind w:left="5360"/>
        <w:spacing w:after="0"/>
        <w:rPr>
          <w:sz w:val="20"/>
          <w:szCs w:val="20"/>
          <w:color w:val="auto"/>
        </w:rPr>
      </w:pPr>
      <w:r>
        <w:rPr>
          <w:rFonts w:ascii="Arial" w:cs="Arial" w:eastAsia="Arial" w:hAnsi="Arial"/>
          <w:sz w:val="29"/>
          <w:szCs w:val="29"/>
          <w:b w:val="1"/>
          <w:bCs w:val="1"/>
          <w:color w:val="auto"/>
        </w:rPr>
        <w:t>S-3</w:t>
      </w:r>
    </w:p>
    <w:p>
      <w:pPr>
        <w:spacing w:after="0" w:line="96" w:lineRule="exact"/>
        <w:rPr>
          <w:sz w:val="20"/>
          <w:szCs w:val="20"/>
          <w:color w:val="auto"/>
        </w:rPr>
      </w:pPr>
    </w:p>
    <w:p>
      <w:pPr>
        <w:jc w:val="center"/>
        <w:ind w:right="220"/>
        <w:spacing w:after="0"/>
        <w:rPr>
          <w:sz w:val="20"/>
          <w:szCs w:val="20"/>
          <w:color w:val="auto"/>
        </w:rPr>
      </w:pPr>
      <w:r>
        <w:rPr>
          <w:rFonts w:ascii="Arial" w:cs="Arial" w:eastAsia="Arial" w:hAnsi="Arial"/>
          <w:sz w:val="29"/>
          <w:szCs w:val="29"/>
          <w:b w:val="1"/>
          <w:bCs w:val="1"/>
          <w:color w:val="auto"/>
        </w:rPr>
        <w:t>GEO GROUP INC</w:t>
      </w:r>
    </w:p>
    <w:p>
      <w:pPr>
        <w:spacing w:after="0" w:line="98" w:lineRule="exact"/>
        <w:rPr>
          <w:sz w:val="20"/>
          <w:szCs w:val="20"/>
          <w:color w:val="auto"/>
        </w:rPr>
      </w:pPr>
    </w:p>
    <w:tbl>
      <w:tblPr>
        <w:tblLayout w:type="fixed"/>
        <w:tblInd w:w="10" w:type="dxa"/>
        <w:tblCellMar>
          <w:top w:w="0" w:type="dxa"/>
          <w:left w:w="0" w:type="dxa"/>
          <w:bottom w:w="0" w:type="dxa"/>
          <w:right w:w="0" w:type="dxa"/>
        </w:tblCellMar>
      </w:tblPr>
      <w:tr>
        <w:trPr>
          <w:trHeight w:val="282"/>
        </w:trPr>
        <w:tc>
          <w:tcPr>
            <w:tcW w:w="4600" w:type="dxa"/>
            <w:vAlign w:val="bottom"/>
            <w:tcBorders>
              <w:bottom w:val="single" w:sz="8" w:color="auto"/>
            </w:tcBorders>
            <w:gridSpan w:val="13"/>
          </w:tcPr>
          <w:p>
            <w:pPr>
              <w:ind w:left="40"/>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ind w:left="30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8"/>
        </w:trPr>
        <w:tc>
          <w:tcPr>
            <w:tcW w:w="40" w:type="dxa"/>
            <w:vAlign w:val="bottom"/>
            <w:tcBorders>
              <w:left w:val="single" w:sz="8" w:color="auto"/>
            </w:tcBorders>
          </w:tcPr>
          <w:p>
            <w:pPr>
              <w:spacing w:after="0"/>
              <w:rPr>
                <w:sz w:val="17"/>
                <w:szCs w:val="17"/>
                <w:color w:val="auto"/>
              </w:rPr>
            </w:pPr>
          </w:p>
        </w:tc>
        <w:tc>
          <w:tcPr>
            <w:tcW w:w="8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Filing Fee</w:t>
            </w: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9"/>
              </w:rPr>
              <w:t>Previously</w:t>
            </w: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Proposed</w:t>
            </w: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4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Paid in</w:t>
            </w:r>
          </w:p>
        </w:tc>
        <w:tc>
          <w:tcPr>
            <w:tcW w:w="0" w:type="dxa"/>
            <w:vAlign w:val="bottom"/>
          </w:tcPr>
          <w:p>
            <w:pPr>
              <w:spacing w:after="0"/>
              <w:rPr>
                <w:sz w:val="1"/>
                <w:szCs w:val="1"/>
                <w:color w:val="auto"/>
              </w:rPr>
            </w:pPr>
          </w:p>
        </w:tc>
      </w:tr>
      <w:tr>
        <w:trPr>
          <w:trHeight w:val="173"/>
        </w:trPr>
        <w:tc>
          <w:tcPr>
            <w:tcW w:w="40" w:type="dxa"/>
            <w:vAlign w:val="bottom"/>
            <w:tcBorders>
              <w:left w:val="single" w:sz="8" w:color="auto"/>
            </w:tcBorders>
          </w:tcPr>
          <w:p>
            <w:pPr>
              <w:spacing w:after="0"/>
              <w:rPr>
                <w:sz w:val="15"/>
                <w:szCs w:val="15"/>
                <w:color w:val="auto"/>
              </w:rPr>
            </w:pPr>
          </w:p>
        </w:tc>
        <w:tc>
          <w:tcPr>
            <w:tcW w:w="8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9ADAF6"/>
          </w:tcPr>
          <w:p>
            <w:pPr>
              <w:jc w:val="center"/>
              <w:spacing w:after="0" w:line="173" w:lineRule="exact"/>
              <w:rPr>
                <w:sz w:val="20"/>
                <w:szCs w:val="20"/>
                <w:color w:val="auto"/>
              </w:rPr>
            </w:pPr>
            <w:r>
              <w:rPr>
                <w:rFonts w:ascii="Arial" w:cs="Arial" w:eastAsia="Arial" w:hAnsi="Arial"/>
                <w:sz w:val="17"/>
                <w:szCs w:val="17"/>
                <w:b w:val="1"/>
                <w:bCs w:val="1"/>
                <w:color w:val="auto"/>
              </w:rPr>
              <w:t>Maximum</w:t>
            </w: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9ADAF6"/>
          </w:tcPr>
          <w:p>
            <w:pPr>
              <w:jc w:val="center"/>
              <w:spacing w:after="0" w:line="173"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5"/>
                <w:szCs w:val="15"/>
                <w:color w:val="auto"/>
              </w:rPr>
            </w:pPr>
          </w:p>
        </w:tc>
        <w:tc>
          <w:tcPr>
            <w:tcW w:w="700" w:type="dxa"/>
            <w:vAlign w:val="bottom"/>
            <w:shd w:val="clear" w:color="auto" w:fill="9ADAF6"/>
          </w:tcPr>
          <w:p>
            <w:pPr>
              <w:jc w:val="center"/>
              <w:spacing w:after="0" w:line="173" w:lineRule="exact"/>
              <w:rPr>
                <w:sz w:val="20"/>
                <w:szCs w:val="20"/>
                <w:color w:val="auto"/>
              </w:rPr>
            </w:pPr>
            <w:r>
              <w:rPr>
                <w:rFonts w:ascii="Arial" w:cs="Arial" w:eastAsia="Arial" w:hAnsi="Arial"/>
                <w:sz w:val="17"/>
                <w:szCs w:val="17"/>
                <w:b w:val="1"/>
                <w:bCs w:val="1"/>
                <w:color w:val="auto"/>
              </w:rPr>
              <w:t>Carry</w:t>
            </w:r>
          </w:p>
        </w:tc>
        <w:tc>
          <w:tcPr>
            <w:tcW w:w="20" w:type="dxa"/>
            <w:vAlign w:val="bottom"/>
          </w:tcPr>
          <w:p>
            <w:pPr>
              <w:spacing w:after="0"/>
              <w:rPr>
                <w:sz w:val="15"/>
                <w:szCs w:val="15"/>
                <w:color w:val="auto"/>
              </w:rPr>
            </w:pPr>
          </w:p>
        </w:tc>
        <w:tc>
          <w:tcPr>
            <w:tcW w:w="740" w:type="dxa"/>
            <w:vAlign w:val="bottom"/>
            <w:vMerge w:val="continue"/>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Borders>
              <w:right w:val="single" w:sz="8" w:color="auto"/>
            </w:tcBorders>
            <w:shd w:val="clear" w:color="auto" w:fill="9ADAF6"/>
          </w:tcPr>
          <w:p>
            <w:pPr>
              <w:jc w:val="center"/>
              <w:spacing w:after="0" w:line="173" w:lineRule="exact"/>
              <w:rPr>
                <w:sz w:val="20"/>
                <w:szCs w:val="20"/>
                <w:color w:val="auto"/>
              </w:rPr>
            </w:pPr>
            <w:r>
              <w:rPr>
                <w:rFonts w:ascii="Arial" w:cs="Arial" w:eastAsia="Arial" w:hAnsi="Arial"/>
                <w:sz w:val="17"/>
                <w:szCs w:val="17"/>
                <w:b w:val="1"/>
                <w:bCs w:val="1"/>
                <w:color w:val="auto"/>
              </w:rPr>
              <w:t>Connection</w:t>
            </w: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line="194"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6"/>
                <w:szCs w:val="16"/>
                <w:color w:val="auto"/>
              </w:rPr>
            </w:pPr>
          </w:p>
        </w:tc>
        <w:tc>
          <w:tcPr>
            <w:tcW w:w="920" w:type="dxa"/>
            <w:vAlign w:val="bottom"/>
            <w:shd w:val="clear" w:color="auto" w:fill="9ADAF6"/>
          </w:tcPr>
          <w:p>
            <w:pPr>
              <w:ind w:left="120"/>
              <w:spacing w:after="0" w:line="194"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Calculation</w:t>
            </w:r>
          </w:p>
        </w:tc>
        <w:tc>
          <w:tcPr>
            <w:tcW w:w="20" w:type="dxa"/>
            <w:vAlign w:val="bottom"/>
          </w:tcPr>
          <w:p>
            <w:pPr>
              <w:spacing w:after="0"/>
              <w:rPr>
                <w:sz w:val="16"/>
                <w:szCs w:val="16"/>
                <w:color w:val="auto"/>
              </w:rPr>
            </w:pPr>
          </w:p>
        </w:tc>
        <w:tc>
          <w:tcPr>
            <w:tcW w:w="920" w:type="dxa"/>
            <w:vAlign w:val="bottom"/>
            <w:shd w:val="clear" w:color="auto" w:fill="9ADAF6"/>
          </w:tcPr>
          <w:p>
            <w:pPr>
              <w:jc w:val="right"/>
              <w:ind w:right="54"/>
              <w:spacing w:after="0" w:line="194" w:lineRule="exact"/>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Maximum</w:t>
            </w:r>
          </w:p>
        </w:tc>
        <w:tc>
          <w:tcPr>
            <w:tcW w:w="20" w:type="dxa"/>
            <w:vAlign w:val="bottom"/>
          </w:tcPr>
          <w:p>
            <w:pPr>
              <w:spacing w:after="0"/>
              <w:rPr>
                <w:sz w:val="16"/>
                <w:szCs w:val="16"/>
                <w:color w:val="auto"/>
              </w:rPr>
            </w:pPr>
          </w:p>
        </w:tc>
        <w:tc>
          <w:tcPr>
            <w:tcW w:w="88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jc w:val="right"/>
              <w:spacing w:after="0" w:line="194" w:lineRule="exact"/>
              <w:rPr>
                <w:sz w:val="20"/>
                <w:szCs w:val="20"/>
                <w:color w:val="auto"/>
              </w:rPr>
            </w:pPr>
            <w:r>
              <w:rPr>
                <w:rFonts w:ascii="Arial" w:cs="Arial" w:eastAsia="Arial" w:hAnsi="Arial"/>
                <w:sz w:val="17"/>
                <w:szCs w:val="17"/>
                <w:b w:val="1"/>
                <w:bCs w:val="1"/>
                <w:color w:val="auto"/>
              </w:rPr>
              <w:t>Amount of</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Forward</w:t>
            </w:r>
          </w:p>
        </w:tc>
        <w:tc>
          <w:tcPr>
            <w:tcW w:w="4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ind w:left="160"/>
              <w:spacing w:after="0" w:line="194"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920" w:type="dxa"/>
            <w:vAlign w:val="bottom"/>
            <w:shd w:val="clear" w:color="auto" w:fill="9ADAF6"/>
          </w:tcPr>
          <w:p>
            <w:pPr>
              <w:ind w:left="40"/>
              <w:spacing w:after="0" w:line="194" w:lineRule="exact"/>
              <w:rPr>
                <w:sz w:val="20"/>
                <w:szCs w:val="20"/>
                <w:color w:val="auto"/>
              </w:rPr>
            </w:pPr>
            <w:r>
              <w:rPr>
                <w:rFonts w:ascii="Arial" w:cs="Arial" w:eastAsia="Arial" w:hAnsi="Arial"/>
                <w:sz w:val="17"/>
                <w:szCs w:val="17"/>
                <w:b w:val="1"/>
                <w:bCs w:val="1"/>
                <w:color w:val="auto"/>
              </w:rPr>
              <w:t>Class Title</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9"/>
              </w:rPr>
              <w:t>or Carry</w:t>
            </w:r>
          </w:p>
        </w:tc>
        <w:tc>
          <w:tcPr>
            <w:tcW w:w="20" w:type="dxa"/>
            <w:vAlign w:val="bottom"/>
          </w:tcPr>
          <w:p>
            <w:pPr>
              <w:spacing w:after="0"/>
              <w:rPr>
                <w:sz w:val="16"/>
                <w:szCs w:val="16"/>
                <w:color w:val="auto"/>
              </w:rPr>
            </w:pPr>
          </w:p>
        </w:tc>
        <w:tc>
          <w:tcPr>
            <w:tcW w:w="920" w:type="dxa"/>
            <w:vAlign w:val="bottom"/>
            <w:shd w:val="clear" w:color="auto" w:fill="9ADAF6"/>
          </w:tcPr>
          <w:p>
            <w:pPr>
              <w:jc w:val="right"/>
              <w:spacing w:after="0" w:line="194" w:lineRule="exact"/>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88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740" w:type="dxa"/>
            <w:vAlign w:val="bottom"/>
            <w:shd w:val="clear" w:color="auto" w:fill="9ADAF6"/>
          </w:tcPr>
          <w:p>
            <w:pPr>
              <w:spacing w:after="0" w:line="194" w:lineRule="exact"/>
              <w:rPr>
                <w:sz w:val="20"/>
                <w:szCs w:val="20"/>
                <w:color w:val="auto"/>
              </w:rPr>
            </w:pPr>
            <w:r>
              <w:rPr>
                <w:rFonts w:ascii="Arial" w:cs="Arial" w:eastAsia="Arial" w:hAnsi="Arial"/>
                <w:sz w:val="17"/>
                <w:szCs w:val="17"/>
                <w:b w:val="1"/>
                <w:bCs w:val="1"/>
                <w:color w:val="auto"/>
              </w:rPr>
              <w:t>Fee Rate</w:t>
            </w:r>
          </w:p>
        </w:tc>
        <w:tc>
          <w:tcPr>
            <w:tcW w:w="20" w:type="dxa"/>
            <w:vAlign w:val="bottom"/>
          </w:tcPr>
          <w:p>
            <w:pPr>
              <w:spacing w:after="0"/>
              <w:rPr>
                <w:sz w:val="16"/>
                <w:szCs w:val="16"/>
                <w:color w:val="auto"/>
              </w:rPr>
            </w:pPr>
          </w:p>
        </w:tc>
        <w:tc>
          <w:tcPr>
            <w:tcW w:w="1020" w:type="dxa"/>
            <w:vAlign w:val="bottom"/>
            <w:shd w:val="clear" w:color="auto" w:fill="9ADAF6"/>
          </w:tcPr>
          <w:p>
            <w:pPr>
              <w:jc w:val="right"/>
              <w:spacing w:after="0" w:line="194" w:lineRule="exact"/>
              <w:rPr>
                <w:sz w:val="20"/>
                <w:szCs w:val="20"/>
                <w:color w:val="auto"/>
              </w:rPr>
            </w:pPr>
            <w:r>
              <w:rPr>
                <w:rFonts w:ascii="Arial" w:cs="Arial" w:eastAsia="Arial" w:hAnsi="Arial"/>
                <w:sz w:val="17"/>
                <w:szCs w:val="17"/>
                <w:b w:val="1"/>
                <w:bCs w:val="1"/>
                <w:color w:val="auto"/>
              </w:rPr>
              <w:t>Registration</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8"/>
              </w:rPr>
              <w:t>Initial</w:t>
            </w:r>
          </w:p>
        </w:tc>
        <w:tc>
          <w:tcPr>
            <w:tcW w:w="4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Unsold</w:t>
            </w: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Price Per</w:t>
            </w:r>
          </w:p>
        </w:tc>
        <w:tc>
          <w:tcPr>
            <w:tcW w:w="20" w:type="dxa"/>
            <w:vAlign w:val="bottom"/>
          </w:tcPr>
          <w:p>
            <w:pPr>
              <w:spacing w:after="0"/>
              <w:rPr>
                <w:sz w:val="16"/>
                <w:szCs w:val="16"/>
                <w:color w:val="auto"/>
              </w:rPr>
            </w:pPr>
          </w:p>
        </w:tc>
        <w:tc>
          <w:tcPr>
            <w:tcW w:w="88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Price</w:t>
            </w: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jc w:val="right"/>
              <w:ind w:right="274"/>
              <w:spacing w:after="0" w:line="194" w:lineRule="exact"/>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Number</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Effective</w:t>
            </w:r>
          </w:p>
        </w:tc>
        <w:tc>
          <w:tcPr>
            <w:tcW w:w="4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Securities</w:t>
            </w: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8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Rule</w:t>
            </w:r>
          </w:p>
        </w:tc>
        <w:tc>
          <w:tcPr>
            <w:tcW w:w="20" w:type="dxa"/>
            <w:vAlign w:val="bottom"/>
          </w:tcPr>
          <w:p>
            <w:pPr>
              <w:spacing w:after="0"/>
              <w:rPr>
                <w:sz w:val="18"/>
                <w:szCs w:val="18"/>
                <w:color w:val="auto"/>
              </w:rPr>
            </w:pPr>
          </w:p>
        </w:tc>
        <w:tc>
          <w:tcPr>
            <w:tcW w:w="9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Unit</w:t>
            </w:r>
          </w:p>
        </w:tc>
        <w:tc>
          <w:tcPr>
            <w:tcW w:w="20" w:type="dxa"/>
            <w:vAlign w:val="bottom"/>
          </w:tcPr>
          <w:p>
            <w:pPr>
              <w:spacing w:after="0"/>
              <w:rPr>
                <w:sz w:val="18"/>
                <w:szCs w:val="18"/>
                <w:color w:val="auto"/>
              </w:rPr>
            </w:pPr>
          </w:p>
        </w:tc>
        <w:tc>
          <w:tcPr>
            <w:tcW w:w="8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7"/>
              </w:rPr>
              <w:t>Date</w:t>
            </w:r>
          </w:p>
        </w:tc>
        <w:tc>
          <w:tcPr>
            <w:tcW w:w="40" w:type="dxa"/>
            <w:vAlign w:val="bottom"/>
          </w:tcPr>
          <w:p>
            <w:pPr>
              <w:spacing w:after="0"/>
              <w:rPr>
                <w:sz w:val="18"/>
                <w:szCs w:val="18"/>
                <w:color w:val="auto"/>
              </w:rPr>
            </w:pPr>
          </w:p>
        </w:tc>
        <w:tc>
          <w:tcPr>
            <w:tcW w:w="98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to be</w:t>
            </w: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Carried</w:t>
            </w:r>
          </w:p>
        </w:tc>
        <w:tc>
          <w:tcPr>
            <w:tcW w:w="0" w:type="dxa"/>
            <w:vAlign w:val="bottom"/>
          </w:tcPr>
          <w:p>
            <w:pPr>
              <w:spacing w:after="0"/>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Forward</w:t>
            </w:r>
          </w:p>
        </w:tc>
        <w:tc>
          <w:tcPr>
            <w:tcW w:w="0" w:type="dxa"/>
            <w:vAlign w:val="bottom"/>
          </w:tcPr>
          <w:p>
            <w:pPr>
              <w:spacing w:after="0"/>
              <w:rPr>
                <w:sz w:val="1"/>
                <w:szCs w:val="1"/>
                <w:color w:val="auto"/>
              </w:rPr>
            </w:pPr>
          </w:p>
        </w:tc>
      </w:tr>
      <w:tr>
        <w:trPr>
          <w:trHeight w:val="252"/>
        </w:trPr>
        <w:tc>
          <w:tcPr>
            <w:tcW w:w="40" w:type="dxa"/>
            <w:vAlign w:val="bottom"/>
            <w:tcBorders>
              <w:left w:val="single" w:sz="8" w:color="auto"/>
            </w:tcBorders>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60" w:type="dxa"/>
            <w:vAlign w:val="bottom"/>
            <w:gridSpan w:val="9"/>
          </w:tcPr>
          <w:p>
            <w:pPr>
              <w:jc w:val="right"/>
              <w:ind w:right="1194"/>
              <w:spacing w:after="0"/>
              <w:rPr>
                <w:sz w:val="20"/>
                <w:szCs w:val="20"/>
                <w:color w:val="auto"/>
              </w:rPr>
            </w:pPr>
            <w:r>
              <w:rPr>
                <w:rFonts w:ascii="Arial" w:cs="Arial" w:eastAsia="Arial" w:hAnsi="Arial"/>
                <w:sz w:val="17"/>
                <w:szCs w:val="17"/>
                <w:b w:val="1"/>
                <w:bCs w:val="1"/>
                <w:color w:val="auto"/>
              </w:rPr>
              <w:t>Newly Registered Securities</w:t>
            </w: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Common</w:t>
            </w: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E7E7E2"/>
          </w:tcPr>
          <w:p>
            <w:pPr>
              <w:spacing w:after="0" w:line="194"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16"/>
                <w:szCs w:val="16"/>
                <w:color w:val="auto"/>
              </w:rPr>
            </w:pPr>
          </w:p>
        </w:tc>
        <w:tc>
          <w:tcPr>
            <w:tcW w:w="7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16"/>
                <w:szCs w:val="16"/>
                <w:color w:val="auto"/>
              </w:rPr>
            </w:pPr>
          </w:p>
        </w:tc>
        <w:tc>
          <w:tcPr>
            <w:tcW w:w="920" w:type="dxa"/>
            <w:vAlign w:val="bottom"/>
            <w:shd w:val="clear" w:color="auto" w:fill="E7E7E2"/>
          </w:tcPr>
          <w:p>
            <w:pPr>
              <w:ind w:left="20"/>
              <w:spacing w:after="0" w:line="194" w:lineRule="exact"/>
              <w:rPr>
                <w:sz w:val="20"/>
                <w:szCs w:val="20"/>
                <w:color w:val="auto"/>
              </w:rPr>
            </w:pPr>
            <w:r>
              <w:rPr>
                <w:rFonts w:ascii="Arial" w:cs="Arial" w:eastAsia="Arial" w:hAnsi="Arial"/>
                <w:sz w:val="17"/>
                <w:szCs w:val="17"/>
                <w:color w:val="auto"/>
              </w:rPr>
              <w:t>Stock, par</w:t>
            </w:r>
          </w:p>
        </w:tc>
        <w:tc>
          <w:tcPr>
            <w:tcW w:w="20" w:type="dxa"/>
            <w:vAlign w:val="bottom"/>
          </w:tcPr>
          <w:p>
            <w:pPr>
              <w:spacing w:after="0"/>
              <w:rPr>
                <w:sz w:val="16"/>
                <w:szCs w:val="16"/>
                <w:color w:val="auto"/>
              </w:rPr>
            </w:pPr>
          </w:p>
        </w:tc>
        <w:tc>
          <w:tcPr>
            <w:tcW w:w="96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457(r)</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0.000087</w:t>
            </w: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40" w:type="dxa"/>
            <w:vAlign w:val="bottom"/>
            <w:tcBorders>
              <w:left w:val="single" w:sz="8" w:color="auto"/>
            </w:tcBorders>
          </w:tcPr>
          <w:p>
            <w:pPr>
              <w:spacing w:after="0"/>
              <w:rPr>
                <w:sz w:val="11"/>
                <w:szCs w:val="11"/>
                <w:color w:val="auto"/>
              </w:rPr>
            </w:pPr>
          </w:p>
        </w:tc>
        <w:tc>
          <w:tcPr>
            <w:tcW w:w="820" w:type="dxa"/>
            <w:vAlign w:val="bottom"/>
            <w:vMerge w:val="restart"/>
            <w:shd w:val="clear" w:color="auto" w:fill="E7E7E2"/>
          </w:tcPr>
          <w:p>
            <w:pPr>
              <w:spacing w:after="0" w:line="194"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1"/>
                <w:szCs w:val="11"/>
                <w:color w:val="auto"/>
              </w:rPr>
            </w:pPr>
          </w:p>
        </w:tc>
        <w:tc>
          <w:tcPr>
            <w:tcW w:w="1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restart"/>
            <w:shd w:val="clear" w:color="auto" w:fill="E7E7E2"/>
          </w:tcPr>
          <w:p>
            <w:pPr>
              <w:ind w:left="20"/>
              <w:spacing w:after="0" w:line="194" w:lineRule="exact"/>
              <w:rPr>
                <w:sz w:val="20"/>
                <w:szCs w:val="20"/>
                <w:color w:val="auto"/>
              </w:rPr>
            </w:pPr>
            <w:r>
              <w:rPr>
                <w:rFonts w:ascii="Arial" w:cs="Arial" w:eastAsia="Arial" w:hAnsi="Arial"/>
                <w:sz w:val="17"/>
                <w:szCs w:val="17"/>
                <w:color w:val="auto"/>
              </w:rPr>
              <w:t>value $0.01</w:t>
            </w:r>
          </w:p>
        </w:tc>
        <w:tc>
          <w:tcPr>
            <w:tcW w:w="20" w:type="dxa"/>
            <w:vAlign w:val="bottom"/>
          </w:tcPr>
          <w:p>
            <w:pPr>
              <w:spacing w:after="0"/>
              <w:rPr>
                <w:sz w:val="11"/>
                <w:szCs w:val="11"/>
                <w:color w:val="auto"/>
              </w:rPr>
            </w:pPr>
          </w:p>
        </w:tc>
        <w:tc>
          <w:tcPr>
            <w:tcW w:w="9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Borders>
              <w:right w:val="single" w:sz="8" w:color="auto"/>
            </w:tcBorders>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64"/>
        </w:trPr>
        <w:tc>
          <w:tcPr>
            <w:tcW w:w="40" w:type="dxa"/>
            <w:vAlign w:val="bottom"/>
            <w:tcBorders>
              <w:left w:val="single" w:sz="8" w:color="auto"/>
            </w:tcBorders>
          </w:tcPr>
          <w:p>
            <w:pPr>
              <w:spacing w:after="0"/>
              <w:rPr>
                <w:sz w:val="5"/>
                <w:szCs w:val="5"/>
                <w:color w:val="auto"/>
              </w:rPr>
            </w:pPr>
          </w:p>
        </w:tc>
        <w:tc>
          <w:tcPr>
            <w:tcW w:w="82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shd w:val="clear" w:color="auto" w:fill="E7E7E2"/>
          </w:tcPr>
          <w:p>
            <w:pPr>
              <w:spacing w:after="0"/>
              <w:rPr>
                <w:sz w:val="5"/>
                <w:szCs w:val="5"/>
                <w:color w:val="auto"/>
              </w:rPr>
            </w:pPr>
          </w:p>
        </w:tc>
        <w:tc>
          <w:tcPr>
            <w:tcW w:w="40" w:type="dxa"/>
            <w:vAlign w:val="bottom"/>
          </w:tcPr>
          <w:p>
            <w:pPr>
              <w:spacing w:after="0"/>
              <w:rPr>
                <w:sz w:val="5"/>
                <w:szCs w:val="5"/>
                <w:color w:val="auto"/>
              </w:rPr>
            </w:pPr>
          </w:p>
        </w:tc>
        <w:tc>
          <w:tcPr>
            <w:tcW w:w="980" w:type="dxa"/>
            <w:vAlign w:val="bottom"/>
            <w:tcBorders>
              <w:right w:val="single" w:sz="8" w:color="auto"/>
            </w:tcBorders>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40" w:type="dxa"/>
            <w:vAlign w:val="bottom"/>
            <w:tcBorders>
              <w:left w:val="single" w:sz="8" w:color="auto"/>
            </w:tcBorders>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ind w:left="20"/>
              <w:spacing w:after="0"/>
              <w:rPr>
                <w:sz w:val="20"/>
                <w:szCs w:val="20"/>
                <w:color w:val="auto"/>
              </w:rPr>
            </w:pPr>
            <w:r>
              <w:rPr>
                <w:rFonts w:ascii="Arial" w:cs="Arial" w:eastAsia="Arial" w:hAnsi="Arial"/>
                <w:sz w:val="17"/>
                <w:szCs w:val="17"/>
                <w:color w:val="auto"/>
              </w:rPr>
              <w:t>per share</w:t>
            </w: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ind w:left="20"/>
              <w:spacing w:after="0" w:line="183" w:lineRule="exact"/>
              <w:rPr>
                <w:sz w:val="20"/>
                <w:szCs w:val="20"/>
                <w:color w:val="auto"/>
              </w:rPr>
            </w:pPr>
            <w:r>
              <w:rPr>
                <w:rFonts w:ascii="Arial" w:cs="Arial" w:eastAsia="Arial" w:hAnsi="Arial"/>
                <w:sz w:val="17"/>
                <w:szCs w:val="17"/>
                <w:color w:val="auto"/>
              </w:rPr>
              <w:t>Preferred</w:t>
            </w: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E7E7E2"/>
          </w:tcPr>
          <w:p>
            <w:pPr>
              <w:spacing w:after="0" w:line="194"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2</w:t>
            </w:r>
          </w:p>
        </w:tc>
        <w:tc>
          <w:tcPr>
            <w:tcW w:w="20" w:type="dxa"/>
            <w:vAlign w:val="bottom"/>
          </w:tcPr>
          <w:p>
            <w:pPr>
              <w:spacing w:after="0"/>
              <w:rPr>
                <w:sz w:val="16"/>
                <w:szCs w:val="16"/>
                <w:color w:val="auto"/>
              </w:rPr>
            </w:pPr>
          </w:p>
        </w:tc>
        <w:tc>
          <w:tcPr>
            <w:tcW w:w="7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16"/>
                <w:szCs w:val="16"/>
                <w:color w:val="auto"/>
              </w:rPr>
            </w:pPr>
          </w:p>
        </w:tc>
        <w:tc>
          <w:tcPr>
            <w:tcW w:w="920" w:type="dxa"/>
            <w:vAlign w:val="bottom"/>
            <w:shd w:val="clear" w:color="auto" w:fill="E7E7E2"/>
          </w:tcPr>
          <w:p>
            <w:pPr>
              <w:ind w:left="20"/>
              <w:spacing w:after="0" w:line="194" w:lineRule="exact"/>
              <w:rPr>
                <w:sz w:val="20"/>
                <w:szCs w:val="20"/>
                <w:color w:val="auto"/>
              </w:rPr>
            </w:pPr>
            <w:r>
              <w:rPr>
                <w:rFonts w:ascii="Arial" w:cs="Arial" w:eastAsia="Arial" w:hAnsi="Arial"/>
                <w:sz w:val="17"/>
                <w:szCs w:val="17"/>
                <w:color w:val="auto"/>
              </w:rPr>
              <w:t>Stock, par</w:t>
            </w:r>
          </w:p>
        </w:tc>
        <w:tc>
          <w:tcPr>
            <w:tcW w:w="20" w:type="dxa"/>
            <w:vAlign w:val="bottom"/>
          </w:tcPr>
          <w:p>
            <w:pPr>
              <w:spacing w:after="0"/>
              <w:rPr>
                <w:sz w:val="16"/>
                <w:szCs w:val="16"/>
                <w:color w:val="auto"/>
              </w:rPr>
            </w:pPr>
          </w:p>
        </w:tc>
        <w:tc>
          <w:tcPr>
            <w:tcW w:w="96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457(r)</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0.000087</w:t>
            </w: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40" w:type="dxa"/>
            <w:vAlign w:val="bottom"/>
            <w:tcBorders>
              <w:left w:val="single" w:sz="8" w:color="auto"/>
            </w:tcBorders>
          </w:tcPr>
          <w:p>
            <w:pPr>
              <w:spacing w:after="0"/>
              <w:rPr>
                <w:sz w:val="11"/>
                <w:szCs w:val="11"/>
                <w:color w:val="auto"/>
              </w:rPr>
            </w:pPr>
          </w:p>
        </w:tc>
        <w:tc>
          <w:tcPr>
            <w:tcW w:w="820" w:type="dxa"/>
            <w:vAlign w:val="bottom"/>
            <w:vMerge w:val="restart"/>
            <w:shd w:val="clear" w:color="auto" w:fill="E7E7E2"/>
          </w:tcPr>
          <w:p>
            <w:pPr>
              <w:spacing w:after="0" w:line="194"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1"/>
                <w:szCs w:val="11"/>
                <w:color w:val="auto"/>
              </w:rPr>
            </w:pPr>
          </w:p>
        </w:tc>
        <w:tc>
          <w:tcPr>
            <w:tcW w:w="1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restart"/>
            <w:shd w:val="clear" w:color="auto" w:fill="E7E7E2"/>
          </w:tcPr>
          <w:p>
            <w:pPr>
              <w:ind w:left="20"/>
              <w:spacing w:after="0" w:line="194" w:lineRule="exact"/>
              <w:rPr>
                <w:sz w:val="20"/>
                <w:szCs w:val="20"/>
                <w:color w:val="auto"/>
              </w:rPr>
            </w:pPr>
            <w:r>
              <w:rPr>
                <w:rFonts w:ascii="Arial" w:cs="Arial" w:eastAsia="Arial" w:hAnsi="Arial"/>
                <w:sz w:val="17"/>
                <w:szCs w:val="17"/>
                <w:color w:val="auto"/>
              </w:rPr>
              <w:t>value $0.01</w:t>
            </w:r>
          </w:p>
        </w:tc>
        <w:tc>
          <w:tcPr>
            <w:tcW w:w="20" w:type="dxa"/>
            <w:vAlign w:val="bottom"/>
          </w:tcPr>
          <w:p>
            <w:pPr>
              <w:spacing w:after="0"/>
              <w:rPr>
                <w:sz w:val="11"/>
                <w:szCs w:val="11"/>
                <w:color w:val="auto"/>
              </w:rPr>
            </w:pPr>
          </w:p>
        </w:tc>
        <w:tc>
          <w:tcPr>
            <w:tcW w:w="9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Borders>
              <w:right w:val="single" w:sz="8" w:color="auto"/>
            </w:tcBorders>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64"/>
        </w:trPr>
        <w:tc>
          <w:tcPr>
            <w:tcW w:w="40" w:type="dxa"/>
            <w:vAlign w:val="bottom"/>
            <w:tcBorders>
              <w:left w:val="single" w:sz="8" w:color="auto"/>
            </w:tcBorders>
          </w:tcPr>
          <w:p>
            <w:pPr>
              <w:spacing w:after="0"/>
              <w:rPr>
                <w:sz w:val="5"/>
                <w:szCs w:val="5"/>
                <w:color w:val="auto"/>
              </w:rPr>
            </w:pPr>
          </w:p>
        </w:tc>
        <w:tc>
          <w:tcPr>
            <w:tcW w:w="82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shd w:val="clear" w:color="auto" w:fill="E7E7E2"/>
          </w:tcPr>
          <w:p>
            <w:pPr>
              <w:spacing w:after="0"/>
              <w:rPr>
                <w:sz w:val="5"/>
                <w:szCs w:val="5"/>
                <w:color w:val="auto"/>
              </w:rPr>
            </w:pPr>
          </w:p>
        </w:tc>
        <w:tc>
          <w:tcPr>
            <w:tcW w:w="40" w:type="dxa"/>
            <w:vAlign w:val="bottom"/>
          </w:tcPr>
          <w:p>
            <w:pPr>
              <w:spacing w:after="0"/>
              <w:rPr>
                <w:sz w:val="5"/>
                <w:szCs w:val="5"/>
                <w:color w:val="auto"/>
              </w:rPr>
            </w:pPr>
          </w:p>
        </w:tc>
        <w:tc>
          <w:tcPr>
            <w:tcW w:w="980" w:type="dxa"/>
            <w:vAlign w:val="bottom"/>
            <w:tcBorders>
              <w:right w:val="single" w:sz="8" w:color="auto"/>
            </w:tcBorders>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40" w:type="dxa"/>
            <w:vAlign w:val="bottom"/>
            <w:tcBorders>
              <w:left w:val="single" w:sz="8" w:color="auto"/>
            </w:tcBorders>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ind w:left="20"/>
              <w:spacing w:after="0"/>
              <w:rPr>
                <w:sz w:val="20"/>
                <w:szCs w:val="20"/>
                <w:color w:val="auto"/>
              </w:rPr>
            </w:pPr>
            <w:r>
              <w:rPr>
                <w:rFonts w:ascii="Arial" w:cs="Arial" w:eastAsia="Arial" w:hAnsi="Arial"/>
                <w:sz w:val="17"/>
                <w:szCs w:val="17"/>
                <w:color w:val="auto"/>
              </w:rPr>
              <w:t>per share</w:t>
            </w: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820" w:type="dxa"/>
            <w:vAlign w:val="bottom"/>
            <w:shd w:val="clear" w:color="auto" w:fill="E7E7E2"/>
          </w:tcPr>
          <w:p>
            <w:pPr>
              <w:spacing w:after="0" w:line="183"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5"/>
                <w:szCs w:val="15"/>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3</w:t>
            </w:r>
          </w:p>
        </w:tc>
        <w:tc>
          <w:tcPr>
            <w:tcW w:w="20" w:type="dxa"/>
            <w:vAlign w:val="bottom"/>
          </w:tcPr>
          <w:p>
            <w:pPr>
              <w:spacing w:after="0"/>
              <w:rPr>
                <w:sz w:val="15"/>
                <w:szCs w:val="15"/>
                <w:color w:val="auto"/>
              </w:rPr>
            </w:pPr>
          </w:p>
        </w:tc>
        <w:tc>
          <w:tcPr>
            <w:tcW w:w="7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Debt</w:t>
            </w:r>
          </w:p>
        </w:tc>
        <w:tc>
          <w:tcPr>
            <w:tcW w:w="20" w:type="dxa"/>
            <w:vAlign w:val="bottom"/>
          </w:tcPr>
          <w:p>
            <w:pPr>
              <w:spacing w:after="0"/>
              <w:rPr>
                <w:sz w:val="15"/>
                <w:szCs w:val="15"/>
                <w:color w:val="auto"/>
              </w:rPr>
            </w:pPr>
          </w:p>
        </w:tc>
        <w:tc>
          <w:tcPr>
            <w:tcW w:w="920" w:type="dxa"/>
            <w:vAlign w:val="bottom"/>
            <w:shd w:val="clear" w:color="auto" w:fill="E7E7E2"/>
          </w:tcPr>
          <w:p>
            <w:pPr>
              <w:ind w:left="20"/>
              <w:spacing w:after="0" w:line="183" w:lineRule="exact"/>
              <w:rPr>
                <w:sz w:val="20"/>
                <w:szCs w:val="20"/>
                <w:color w:val="auto"/>
              </w:rPr>
            </w:pPr>
            <w:r>
              <w:rPr>
                <w:rFonts w:ascii="Arial" w:cs="Arial" w:eastAsia="Arial" w:hAnsi="Arial"/>
                <w:sz w:val="17"/>
                <w:szCs w:val="17"/>
                <w:color w:val="auto"/>
              </w:rPr>
              <w:t>Debt</w:t>
            </w:r>
          </w:p>
        </w:tc>
        <w:tc>
          <w:tcPr>
            <w:tcW w:w="20" w:type="dxa"/>
            <w:vAlign w:val="bottom"/>
          </w:tcPr>
          <w:p>
            <w:pPr>
              <w:spacing w:after="0"/>
              <w:rPr>
                <w:sz w:val="15"/>
                <w:szCs w:val="15"/>
                <w:color w:val="auto"/>
              </w:rPr>
            </w:pPr>
          </w:p>
        </w:tc>
        <w:tc>
          <w:tcPr>
            <w:tcW w:w="96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457(r)</w:t>
            </w: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0.000087</w:t>
            </w: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0" w:type="dxa"/>
            <w:vAlign w:val="bottom"/>
            <w:tcBorders>
              <w:left w:val="single" w:sz="8" w:color="auto"/>
            </w:tcBorders>
          </w:tcPr>
          <w:p>
            <w:pPr>
              <w:spacing w:after="0"/>
              <w:rPr>
                <w:sz w:val="11"/>
                <w:szCs w:val="11"/>
                <w:color w:val="auto"/>
              </w:rPr>
            </w:pPr>
          </w:p>
        </w:tc>
        <w:tc>
          <w:tcPr>
            <w:tcW w:w="8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1"/>
                <w:szCs w:val="11"/>
                <w:color w:val="auto"/>
              </w:rPr>
            </w:pPr>
          </w:p>
        </w:tc>
        <w:tc>
          <w:tcPr>
            <w:tcW w:w="1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1"/>
                <w:szCs w:val="11"/>
                <w:color w:val="auto"/>
              </w:rPr>
            </w:pPr>
          </w:p>
        </w:tc>
        <w:tc>
          <w:tcPr>
            <w:tcW w:w="9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Borders>
              <w:right w:val="single" w:sz="8" w:color="auto"/>
            </w:tcBorders>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8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98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8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ind w:left="20"/>
              <w:spacing w:after="0" w:line="183" w:lineRule="exact"/>
              <w:rPr>
                <w:sz w:val="20"/>
                <w:szCs w:val="20"/>
                <w:color w:val="auto"/>
              </w:rPr>
            </w:pPr>
            <w:r>
              <w:rPr>
                <w:rFonts w:ascii="Arial" w:cs="Arial" w:eastAsia="Arial" w:hAnsi="Arial"/>
                <w:sz w:val="17"/>
                <w:szCs w:val="17"/>
                <w:color w:val="auto"/>
                <w:w w:val="99"/>
              </w:rPr>
              <w:t>Guarantees</w:t>
            </w: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40" w:type="dxa"/>
            <w:vAlign w:val="bottom"/>
            <w:tcBorders>
              <w:left w:val="single" w:sz="8" w:color="auto"/>
            </w:tcBorders>
          </w:tcPr>
          <w:p>
            <w:pPr>
              <w:spacing w:after="0"/>
              <w:rPr>
                <w:sz w:val="8"/>
                <w:szCs w:val="8"/>
                <w:color w:val="auto"/>
              </w:rPr>
            </w:pPr>
          </w:p>
        </w:tc>
        <w:tc>
          <w:tcPr>
            <w:tcW w:w="8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vMerge w:val="restart"/>
            <w:shd w:val="clear" w:color="auto" w:fill="E7E7E2"/>
          </w:tcPr>
          <w:p>
            <w:pPr>
              <w:jc w:val="right"/>
              <w:spacing w:after="0" w:line="194" w:lineRule="exact"/>
              <w:rPr>
                <w:sz w:val="20"/>
                <w:szCs w:val="20"/>
                <w:color w:val="auto"/>
              </w:rPr>
            </w:pPr>
            <w:r>
              <w:rPr>
                <w:rFonts w:ascii="Arial" w:cs="Arial" w:eastAsia="Arial" w:hAnsi="Arial"/>
                <w:sz w:val="17"/>
                <w:szCs w:val="17"/>
                <w:color w:val="auto"/>
                <w:w w:val="84"/>
              </w:rPr>
              <w:t>4</w:t>
            </w:r>
          </w:p>
        </w:tc>
        <w:tc>
          <w:tcPr>
            <w:tcW w:w="20" w:type="dxa"/>
            <w:vAlign w:val="bottom"/>
          </w:tcPr>
          <w:p>
            <w:pPr>
              <w:spacing w:after="0"/>
              <w:rPr>
                <w:sz w:val="8"/>
                <w:szCs w:val="8"/>
                <w:color w:val="auto"/>
              </w:rPr>
            </w:pPr>
          </w:p>
        </w:tc>
        <w:tc>
          <w:tcPr>
            <w:tcW w:w="700" w:type="dxa"/>
            <w:vAlign w:val="bottom"/>
            <w:vMerge w:val="restart"/>
            <w:shd w:val="clear" w:color="auto" w:fill="E7E7E2"/>
          </w:tcPr>
          <w:p>
            <w:pPr>
              <w:spacing w:after="0" w:line="194" w:lineRule="exact"/>
              <w:rPr>
                <w:sz w:val="20"/>
                <w:szCs w:val="20"/>
                <w:color w:val="auto"/>
              </w:rPr>
            </w:pPr>
            <w:r>
              <w:rPr>
                <w:rFonts w:ascii="Arial" w:cs="Arial" w:eastAsia="Arial" w:hAnsi="Arial"/>
                <w:sz w:val="17"/>
                <w:szCs w:val="17"/>
                <w:color w:val="auto"/>
              </w:rPr>
              <w:t>Other</w:t>
            </w:r>
          </w:p>
        </w:tc>
        <w:tc>
          <w:tcPr>
            <w:tcW w:w="20" w:type="dxa"/>
            <w:vAlign w:val="bottom"/>
          </w:tcPr>
          <w:p>
            <w:pPr>
              <w:spacing w:after="0"/>
              <w:rPr>
                <w:sz w:val="8"/>
                <w:szCs w:val="8"/>
                <w:color w:val="auto"/>
              </w:rPr>
            </w:pPr>
          </w:p>
        </w:tc>
        <w:tc>
          <w:tcPr>
            <w:tcW w:w="920" w:type="dxa"/>
            <w:vAlign w:val="bottom"/>
            <w:vMerge w:val="restart"/>
            <w:shd w:val="clear" w:color="auto" w:fill="E7E7E2"/>
          </w:tcPr>
          <w:p>
            <w:pPr>
              <w:ind w:left="20"/>
              <w:spacing w:after="0" w:line="194" w:lineRule="exact"/>
              <w:rPr>
                <w:sz w:val="20"/>
                <w:szCs w:val="20"/>
                <w:color w:val="auto"/>
              </w:rPr>
            </w:pPr>
            <w:r>
              <w:rPr>
                <w:rFonts w:ascii="Arial" w:cs="Arial" w:eastAsia="Arial" w:hAnsi="Arial"/>
                <w:sz w:val="17"/>
                <w:szCs w:val="17"/>
                <w:color w:val="auto"/>
              </w:rPr>
              <w:t>of Debt</w:t>
            </w:r>
          </w:p>
        </w:tc>
        <w:tc>
          <w:tcPr>
            <w:tcW w:w="20" w:type="dxa"/>
            <w:vAlign w:val="bottom"/>
          </w:tcPr>
          <w:p>
            <w:pPr>
              <w:spacing w:after="0"/>
              <w:rPr>
                <w:sz w:val="8"/>
                <w:szCs w:val="8"/>
                <w:color w:val="auto"/>
              </w:rPr>
            </w:pPr>
          </w:p>
        </w:tc>
        <w:tc>
          <w:tcPr>
            <w:tcW w:w="960" w:type="dxa"/>
            <w:vAlign w:val="bottom"/>
            <w:vMerge w:val="restart"/>
            <w:shd w:val="clear" w:color="auto" w:fill="E7E7E2"/>
          </w:tcPr>
          <w:p>
            <w:pPr>
              <w:jc w:val="center"/>
              <w:spacing w:after="0" w:line="194" w:lineRule="exact"/>
              <w:rPr>
                <w:sz w:val="20"/>
                <w:szCs w:val="20"/>
                <w:color w:val="auto"/>
              </w:rPr>
            </w:pPr>
            <w:r>
              <w:rPr>
                <w:rFonts w:ascii="Arial" w:cs="Arial" w:eastAsia="Arial" w:hAnsi="Arial"/>
                <w:sz w:val="17"/>
                <w:szCs w:val="17"/>
                <w:color w:val="auto"/>
              </w:rPr>
              <w:t>457(r)</w:t>
            </w: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vMerge w:val="restart"/>
            <w:shd w:val="clear" w:color="auto" w:fill="E7E7E2"/>
          </w:tcPr>
          <w:p>
            <w:pPr>
              <w:spacing w:after="0" w:line="194" w:lineRule="exact"/>
              <w:rPr>
                <w:sz w:val="20"/>
                <w:szCs w:val="20"/>
                <w:color w:val="auto"/>
              </w:rPr>
            </w:pPr>
            <w:r>
              <w:rPr>
                <w:rFonts w:ascii="Arial" w:cs="Arial" w:eastAsia="Arial" w:hAnsi="Arial"/>
                <w:sz w:val="17"/>
                <w:szCs w:val="17"/>
                <w:color w:val="auto"/>
              </w:rPr>
              <w:t>0.000087</w:t>
            </w:r>
          </w:p>
        </w:tc>
        <w:tc>
          <w:tcPr>
            <w:tcW w:w="20" w:type="dxa"/>
            <w:vAlign w:val="bottom"/>
          </w:tcPr>
          <w:p>
            <w:pPr>
              <w:spacing w:after="0"/>
              <w:rPr>
                <w:sz w:val="8"/>
                <w:szCs w:val="8"/>
                <w:color w:val="auto"/>
              </w:rPr>
            </w:pPr>
          </w:p>
        </w:tc>
        <w:tc>
          <w:tcPr>
            <w:tcW w:w="10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98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40" w:type="dxa"/>
            <w:vAlign w:val="bottom"/>
            <w:tcBorders>
              <w:left w:val="single" w:sz="8" w:color="auto"/>
            </w:tcBorders>
          </w:tcPr>
          <w:p>
            <w:pPr>
              <w:spacing w:after="0"/>
              <w:rPr>
                <w:sz w:val="8"/>
                <w:szCs w:val="8"/>
                <w:color w:val="auto"/>
              </w:rPr>
            </w:pPr>
          </w:p>
        </w:tc>
        <w:tc>
          <w:tcPr>
            <w:tcW w:w="8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8"/>
                <w:szCs w:val="8"/>
                <w:color w:val="auto"/>
              </w:rPr>
            </w:pPr>
          </w:p>
        </w:tc>
        <w:tc>
          <w:tcPr>
            <w:tcW w:w="1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98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40" w:type="dxa"/>
            <w:vAlign w:val="bottom"/>
            <w:tcBorders>
              <w:left w:val="single" w:sz="8" w:color="auto"/>
            </w:tcBorders>
          </w:tcPr>
          <w:p>
            <w:pPr>
              <w:spacing w:after="0"/>
              <w:rPr>
                <w:sz w:val="11"/>
                <w:szCs w:val="11"/>
                <w:color w:val="auto"/>
              </w:rPr>
            </w:pPr>
          </w:p>
        </w:tc>
        <w:tc>
          <w:tcPr>
            <w:tcW w:w="8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1"/>
                <w:szCs w:val="11"/>
                <w:color w:val="auto"/>
              </w:rPr>
            </w:pPr>
          </w:p>
        </w:tc>
        <w:tc>
          <w:tcPr>
            <w:tcW w:w="96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Borders>
              <w:right w:val="single" w:sz="8" w:color="auto"/>
            </w:tcBorders>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98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820" w:type="dxa"/>
            <w:vAlign w:val="bottom"/>
            <w:shd w:val="clear" w:color="auto" w:fill="E7E7E2"/>
          </w:tcPr>
          <w:p>
            <w:pPr>
              <w:spacing w:after="0" w:line="183"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5"/>
                <w:szCs w:val="15"/>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5</w:t>
            </w:r>
          </w:p>
        </w:tc>
        <w:tc>
          <w:tcPr>
            <w:tcW w:w="20" w:type="dxa"/>
            <w:vAlign w:val="bottom"/>
          </w:tcPr>
          <w:p>
            <w:pPr>
              <w:spacing w:after="0"/>
              <w:rPr>
                <w:sz w:val="15"/>
                <w:szCs w:val="15"/>
                <w:color w:val="auto"/>
              </w:rPr>
            </w:pPr>
          </w:p>
        </w:tc>
        <w:tc>
          <w:tcPr>
            <w:tcW w:w="7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Other</w:t>
            </w:r>
          </w:p>
        </w:tc>
        <w:tc>
          <w:tcPr>
            <w:tcW w:w="20" w:type="dxa"/>
            <w:vAlign w:val="bottom"/>
          </w:tcPr>
          <w:p>
            <w:pPr>
              <w:spacing w:after="0"/>
              <w:rPr>
                <w:sz w:val="15"/>
                <w:szCs w:val="15"/>
                <w:color w:val="auto"/>
              </w:rPr>
            </w:pPr>
          </w:p>
        </w:tc>
        <w:tc>
          <w:tcPr>
            <w:tcW w:w="9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Warrants</w:t>
            </w:r>
          </w:p>
        </w:tc>
        <w:tc>
          <w:tcPr>
            <w:tcW w:w="20" w:type="dxa"/>
            <w:vAlign w:val="bottom"/>
          </w:tcPr>
          <w:p>
            <w:pPr>
              <w:spacing w:after="0"/>
              <w:rPr>
                <w:sz w:val="15"/>
                <w:szCs w:val="15"/>
                <w:color w:val="auto"/>
              </w:rPr>
            </w:pPr>
          </w:p>
        </w:tc>
        <w:tc>
          <w:tcPr>
            <w:tcW w:w="96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457(r)</w:t>
            </w: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0.000087</w:t>
            </w: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0" w:type="dxa"/>
            <w:vAlign w:val="bottom"/>
            <w:tcBorders>
              <w:left w:val="single" w:sz="8" w:color="auto"/>
            </w:tcBorders>
          </w:tcPr>
          <w:p>
            <w:pPr>
              <w:spacing w:after="0"/>
              <w:rPr>
                <w:sz w:val="11"/>
                <w:szCs w:val="11"/>
                <w:color w:val="auto"/>
              </w:rPr>
            </w:pPr>
          </w:p>
        </w:tc>
        <w:tc>
          <w:tcPr>
            <w:tcW w:w="8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1"/>
                <w:szCs w:val="11"/>
                <w:color w:val="auto"/>
              </w:rPr>
            </w:pPr>
          </w:p>
        </w:tc>
        <w:tc>
          <w:tcPr>
            <w:tcW w:w="1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Borders>
              <w:right w:val="single" w:sz="8" w:color="auto"/>
            </w:tcBorders>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8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98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820" w:type="dxa"/>
            <w:vAlign w:val="bottom"/>
            <w:shd w:val="clear" w:color="auto" w:fill="E7E7E2"/>
          </w:tcPr>
          <w:p>
            <w:pPr>
              <w:spacing w:after="0" w:line="183"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5"/>
                <w:szCs w:val="15"/>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6</w:t>
            </w:r>
          </w:p>
        </w:tc>
        <w:tc>
          <w:tcPr>
            <w:tcW w:w="20" w:type="dxa"/>
            <w:vAlign w:val="bottom"/>
          </w:tcPr>
          <w:p>
            <w:pPr>
              <w:spacing w:after="0"/>
              <w:rPr>
                <w:sz w:val="15"/>
                <w:szCs w:val="15"/>
                <w:color w:val="auto"/>
              </w:rPr>
            </w:pPr>
          </w:p>
        </w:tc>
        <w:tc>
          <w:tcPr>
            <w:tcW w:w="7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Other</w:t>
            </w:r>
          </w:p>
        </w:tc>
        <w:tc>
          <w:tcPr>
            <w:tcW w:w="20" w:type="dxa"/>
            <w:vAlign w:val="bottom"/>
          </w:tcPr>
          <w:p>
            <w:pPr>
              <w:spacing w:after="0"/>
              <w:rPr>
                <w:sz w:val="15"/>
                <w:szCs w:val="15"/>
                <w:color w:val="auto"/>
              </w:rPr>
            </w:pPr>
          </w:p>
        </w:tc>
        <w:tc>
          <w:tcPr>
            <w:tcW w:w="9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Units</w:t>
            </w:r>
          </w:p>
        </w:tc>
        <w:tc>
          <w:tcPr>
            <w:tcW w:w="20" w:type="dxa"/>
            <w:vAlign w:val="bottom"/>
          </w:tcPr>
          <w:p>
            <w:pPr>
              <w:spacing w:after="0"/>
              <w:rPr>
                <w:sz w:val="15"/>
                <w:szCs w:val="15"/>
                <w:color w:val="auto"/>
              </w:rPr>
            </w:pPr>
          </w:p>
        </w:tc>
        <w:tc>
          <w:tcPr>
            <w:tcW w:w="96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457(r)</w:t>
            </w: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0.000087</w:t>
            </w: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0" w:type="dxa"/>
            <w:vAlign w:val="bottom"/>
            <w:tcBorders>
              <w:left w:val="single" w:sz="8" w:color="auto"/>
            </w:tcBorders>
          </w:tcPr>
          <w:p>
            <w:pPr>
              <w:spacing w:after="0"/>
              <w:rPr>
                <w:sz w:val="11"/>
                <w:szCs w:val="11"/>
                <w:color w:val="auto"/>
              </w:rPr>
            </w:pPr>
          </w:p>
        </w:tc>
        <w:tc>
          <w:tcPr>
            <w:tcW w:w="8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1"/>
                <w:szCs w:val="11"/>
                <w:color w:val="auto"/>
              </w:rPr>
            </w:pPr>
          </w:p>
        </w:tc>
        <w:tc>
          <w:tcPr>
            <w:tcW w:w="1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Borders>
              <w:right w:val="single" w:sz="8" w:color="auto"/>
            </w:tcBorders>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8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98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820" w:type="dxa"/>
            <w:vAlign w:val="bottom"/>
            <w:shd w:val="clear" w:color="auto" w:fill="E7E7E2"/>
          </w:tcPr>
          <w:p>
            <w:pPr>
              <w:spacing w:after="0" w:line="183"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E7E7E2"/>
          </w:tcPr>
          <w:p>
            <w:pPr>
              <w:spacing w:after="0" w:line="194" w:lineRule="exact"/>
              <w:rPr>
                <w:sz w:val="20"/>
                <w:szCs w:val="20"/>
                <w:color w:val="auto"/>
              </w:rPr>
            </w:pPr>
            <w:r>
              <w:rPr>
                <w:rFonts w:ascii="Arial" w:cs="Arial" w:eastAsia="Arial" w:hAnsi="Arial"/>
                <w:sz w:val="17"/>
                <w:szCs w:val="17"/>
                <w:color w:val="auto"/>
              </w:rPr>
              <w:t>Previously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0" w:type="dxa"/>
            <w:vAlign w:val="bottom"/>
            <w:tcBorders>
              <w:left w:val="single" w:sz="8" w:color="auto"/>
            </w:tcBorders>
          </w:tcPr>
          <w:p>
            <w:pPr>
              <w:spacing w:after="0"/>
              <w:rPr>
                <w:sz w:val="19"/>
                <w:szCs w:val="19"/>
                <w:color w:val="auto"/>
              </w:rPr>
            </w:pPr>
          </w:p>
        </w:tc>
        <w:tc>
          <w:tcPr>
            <w:tcW w:w="82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40" w:type="dxa"/>
            <w:vAlign w:val="bottom"/>
            <w:tcBorders>
              <w:left w:val="single" w:sz="8" w:color="auto"/>
            </w:tcBorders>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520" w:type="dxa"/>
            <w:vAlign w:val="bottom"/>
            <w:gridSpan w:val="7"/>
          </w:tcPr>
          <w:p>
            <w:pPr>
              <w:jc w:val="right"/>
              <w:ind w:right="1334"/>
              <w:spacing w:after="0"/>
              <w:rPr>
                <w:sz w:val="20"/>
                <w:szCs w:val="20"/>
                <w:color w:val="auto"/>
              </w:rPr>
            </w:pPr>
            <w:r>
              <w:rPr>
                <w:rFonts w:ascii="Arial" w:cs="Arial" w:eastAsia="Arial" w:hAnsi="Arial"/>
                <w:sz w:val="17"/>
                <w:szCs w:val="17"/>
                <w:b w:val="1"/>
                <w:bCs w:val="1"/>
                <w:color w:val="auto"/>
              </w:rPr>
              <w:t>Carry Forward Securities</w:t>
            </w: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E7E7E2"/>
          </w:tcPr>
          <w:p>
            <w:pPr>
              <w:spacing w:after="0" w:line="194"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0" w:type="dxa"/>
            <w:vAlign w:val="bottom"/>
            <w:tcBorders>
              <w:left w:val="single" w:sz="8" w:color="auto"/>
            </w:tcBorders>
          </w:tcPr>
          <w:p>
            <w:pPr>
              <w:spacing w:after="0"/>
              <w:rPr>
                <w:sz w:val="19"/>
                <w:szCs w:val="19"/>
                <w:color w:val="auto"/>
              </w:rPr>
            </w:pPr>
          </w:p>
        </w:tc>
        <w:tc>
          <w:tcPr>
            <w:tcW w:w="82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0" w:type="dxa"/>
            <w:vAlign w:val="bottom"/>
            <w:tcBorders>
              <w:left w:val="single" w:sz="8" w:color="auto"/>
            </w:tcBorders>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20" w:type="dxa"/>
            <w:vAlign w:val="bottom"/>
            <w:gridSpan w:val="4"/>
          </w:tcPr>
          <w:p>
            <w:pPr>
              <w:jc w:val="right"/>
              <w:ind w:right="40"/>
              <w:spacing w:after="0"/>
              <w:rPr>
                <w:sz w:val="20"/>
                <w:szCs w:val="20"/>
                <w:color w:val="auto"/>
              </w:rPr>
            </w:pPr>
            <w:r>
              <w:rPr>
                <w:rFonts w:ascii="Arial" w:cs="Arial" w:eastAsia="Arial" w:hAnsi="Arial"/>
                <w:sz w:val="17"/>
                <w:szCs w:val="17"/>
                <w:color w:val="auto"/>
              </w:rPr>
              <w:t>Total Offering Amounts:</w:t>
            </w:r>
          </w:p>
        </w:tc>
        <w:tc>
          <w:tcPr>
            <w:tcW w:w="8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1800" w:type="dxa"/>
            <w:vAlign w:val="bottom"/>
            <w:gridSpan w:val="4"/>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0" w:type="dxa"/>
            <w:vAlign w:val="bottom"/>
            <w:tcBorders>
              <w:left w:val="single" w:sz="8" w:color="auto"/>
            </w:tcBorders>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60" w:type="dxa"/>
            <w:vAlign w:val="bottom"/>
            <w:gridSpan w:val="6"/>
          </w:tcPr>
          <w:p>
            <w:pPr>
              <w:jc w:val="right"/>
              <w:ind w:right="40"/>
              <w:spacing w:after="0"/>
              <w:rPr>
                <w:sz w:val="20"/>
                <w:szCs w:val="20"/>
                <w:color w:val="auto"/>
              </w:rPr>
            </w:pPr>
            <w:r>
              <w:rPr>
                <w:rFonts w:ascii="Arial" w:cs="Arial" w:eastAsia="Arial" w:hAnsi="Arial"/>
                <w:sz w:val="17"/>
                <w:szCs w:val="17"/>
                <w:color w:val="auto"/>
              </w:rPr>
              <w:t>Total Fees Previously Paid:</w:t>
            </w: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0" w:type="dxa"/>
            <w:vAlign w:val="bottom"/>
            <w:gridSpan w:val="4"/>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0" w:type="dxa"/>
            <w:vAlign w:val="bottom"/>
            <w:tcBorders>
              <w:left w:val="single" w:sz="8" w:color="auto"/>
            </w:tcBorders>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20" w:type="dxa"/>
            <w:vAlign w:val="bottom"/>
            <w:gridSpan w:val="4"/>
          </w:tcPr>
          <w:p>
            <w:pPr>
              <w:jc w:val="right"/>
              <w:ind w:right="40"/>
              <w:spacing w:after="0"/>
              <w:rPr>
                <w:sz w:val="20"/>
                <w:szCs w:val="20"/>
                <w:color w:val="auto"/>
              </w:rPr>
            </w:pPr>
            <w:r>
              <w:rPr>
                <w:rFonts w:ascii="Arial" w:cs="Arial" w:eastAsia="Arial" w:hAnsi="Arial"/>
                <w:sz w:val="17"/>
                <w:szCs w:val="17"/>
                <w:color w:val="auto"/>
              </w:rPr>
              <w:t>Total Fee Offsets:</w:t>
            </w: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0" w:type="dxa"/>
            <w:vAlign w:val="bottom"/>
            <w:gridSpan w:val="4"/>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0" w:type="dxa"/>
            <w:vAlign w:val="bottom"/>
            <w:tcBorders>
              <w:left w:val="single" w:sz="8" w:color="auto"/>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7"/>
                <w:szCs w:val="17"/>
                <w:color w:val="auto"/>
              </w:rPr>
              <w:t>Net Fee Due:</w:t>
            </w:r>
          </w:p>
        </w:tc>
        <w:tc>
          <w:tcPr>
            <w:tcW w:w="8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9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18" w:lineRule="exact"/>
        <w:rPr>
          <w:sz w:val="20"/>
          <w:szCs w:val="20"/>
          <w:color w:val="auto"/>
        </w:rPr>
      </w:pPr>
    </w:p>
    <w:p>
      <w:pPr>
        <w:ind w:left="220" w:right="160" w:hanging="182"/>
        <w:spacing w:after="0" w:line="236" w:lineRule="auto"/>
        <w:tabs>
          <w:tab w:leader="none" w:pos="220" w:val="left"/>
        </w:tabs>
        <w:numPr>
          <w:ilvl w:val="0"/>
          <w:numId w:val="213"/>
        </w:numPr>
        <w:rPr>
          <w:rFonts w:ascii="Arial" w:cs="Arial" w:eastAsia="Arial" w:hAnsi="Arial"/>
          <w:sz w:val="21"/>
          <w:szCs w:val="21"/>
          <w:color w:val="auto"/>
          <w:vertAlign w:val="superscript"/>
        </w:rPr>
      </w:pPr>
      <w:r>
        <w:rPr>
          <w:rFonts w:ascii="Arial" w:cs="Arial" w:eastAsia="Arial" w:hAnsi="Arial"/>
          <w:sz w:val="17"/>
          <w:szCs w:val="17"/>
          <w:color w:val="auto"/>
        </w:rPr>
        <w:t>(1) The registrant is registering an indeterminate amount of the securities of each identified class of securities of The GEO Group, Inc. (the "Company"), including such indeterminate amount of each identified class of securities as may be issued upon conversion of, or in exchange for, or upon exercise of, or pursuant to, convertible or exchangeable securities that provide for exercise or conversion into or purchase of such securities of the Company. An unspecified aggregate initial offering price or number of the securities of each identified class is being registered as may from time to time be offered at unspecified prices. Separate consideration may or may not be received for securities that are issuable on exercise, conversion or exchange of other securities. In accordance with Rules 456(b) and 457(r) under the Securities Act of 1933, as amended (the "Securities Act"), the registrant is deferring payment of the entire registration fee. In connection with the securities offered hereby, the registrant will pay "pay-as-you-go registration fees" in accordance with Rule 456(b) under the Securities Act, calculated at the fee rate in effect at the time of the applicable offering, which fees may be offset, in whole or in part, pursuant to Rule 457(p) as described in footnote (7) below. This footnote (1) applies to each class of securities listed in Table 1. (7) The registrant previously filed a prospectus supplement, dated December 28, 2023 (the "Prior Prospectus Supplement"), pursuant to the Registration Statement on Form S-3ASR (Registration No. 333-275219), filed with the Securities and Exchange Commission on October 30, 2023 (the "Prior Registration Statement"), relating to the offer and sale of shares of common stock having an aggregate offering price of up to $300,000,000 under its "at-the-market" program. In connection with the filing of the Prior Prospectus Supplement, a registration fee of $44,280 was due, of which $11,550 was paid contemporaneously with the filing of the Prior Prospectus Supplement and $32,730 was satisfied by offset pursuant to Rule 457(p) of a registration fee paid in connection with the registrant's prospectus supplement dated June 28, 2021 filed pursuant to the Registration Statement on Form S-3ASR (Registration No. 333-249772). As of the date of this registration statement, no securities have been sold under the Prior Prospectus Supplement, and the unsold aggregate offering amount under the Prior Prospectus Supplement is $300,000,000. The offering of the unsold securities registered on the Prior Registration Statement has been terminated. In accordance with Rule 457(p) under the Securities Act, the full unused amount of the registration fee associated with the unsold securities under the Prior Prospectus Supplement, or $44,280, may be applied to offset "pay-as-you-go registration fees" that become due from time to time in connection with offerings under this registration statement. Because the registrant is deferring payment of the entire registration fee pursuant to Rules 456(b) and 457(r), no registration fee is currently due and no fee offset is being claimed in connection with the filing of this registration statement. Any such offset will be claimed in the filing fee exhibit to the applicable prospectus supplement filed pursuant to Rule 424(b) at the time the related registration fee is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67310</wp:posOffset>
            </wp:positionV>
            <wp:extent cx="7145020" cy="3873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5">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pacing w:after="0" w:line="219" w:lineRule="exact"/>
        <w:rPr>
          <w:sz w:val="20"/>
          <w:szCs w:val="20"/>
          <w:color w:val="auto"/>
        </w:rPr>
      </w:pPr>
    </w:p>
    <w:p>
      <w:pPr>
        <w:ind w:left="220" w:hanging="182"/>
        <w:spacing w:after="0"/>
        <w:tabs>
          <w:tab w:leader="none" w:pos="220" w:val="left"/>
        </w:tabs>
        <w:numPr>
          <w:ilvl w:val="0"/>
          <w:numId w:val="214"/>
        </w:numPr>
        <w:rPr>
          <w:rFonts w:ascii="Arial" w:cs="Arial" w:eastAsia="Arial" w:hAnsi="Arial"/>
          <w:sz w:val="21"/>
          <w:szCs w:val="21"/>
          <w:color w:val="auto"/>
          <w:vertAlign w:val="superscript"/>
        </w:rPr>
      </w:pPr>
      <w:r>
        <w:rPr>
          <w:rFonts w:ascii="Arial" w:cs="Arial" w:eastAsia="Arial" w:hAnsi="Arial"/>
          <w:sz w:val="17"/>
          <w:szCs w:val="17"/>
          <w:color w:val="auto"/>
        </w:rPr>
        <w:t>(2) Preferred stock of the Company. See footnote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62230</wp:posOffset>
            </wp:positionV>
            <wp:extent cx="7145020" cy="3873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56">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pacing w:after="0" w:line="211" w:lineRule="exact"/>
        <w:rPr>
          <w:sz w:val="20"/>
          <w:szCs w:val="20"/>
          <w:color w:val="auto"/>
        </w:rPr>
      </w:pPr>
    </w:p>
    <w:p>
      <w:pPr>
        <w:ind w:left="220" w:hanging="182"/>
        <w:spacing w:after="0"/>
        <w:tabs>
          <w:tab w:leader="none" w:pos="220" w:val="left"/>
        </w:tabs>
        <w:numPr>
          <w:ilvl w:val="0"/>
          <w:numId w:val="215"/>
        </w:numPr>
        <w:rPr>
          <w:rFonts w:ascii="Arial" w:cs="Arial" w:eastAsia="Arial" w:hAnsi="Arial"/>
          <w:sz w:val="21"/>
          <w:szCs w:val="21"/>
          <w:color w:val="auto"/>
          <w:vertAlign w:val="superscript"/>
        </w:rPr>
      </w:pPr>
      <w:r>
        <w:rPr>
          <w:rFonts w:ascii="Arial" w:cs="Arial" w:eastAsia="Arial" w:hAnsi="Arial"/>
          <w:sz w:val="17"/>
          <w:szCs w:val="17"/>
          <w:color w:val="auto"/>
        </w:rPr>
        <w:t>(3) Debt securities of the Company. See footnote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62230</wp:posOffset>
            </wp:positionV>
            <wp:extent cx="7145020" cy="3873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7">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pacing w:after="0" w:line="211" w:lineRule="exact"/>
        <w:rPr>
          <w:sz w:val="20"/>
          <w:szCs w:val="20"/>
          <w:color w:val="auto"/>
        </w:rPr>
      </w:pPr>
    </w:p>
    <w:p>
      <w:pPr>
        <w:ind w:left="220" w:hanging="182"/>
        <w:spacing w:after="0"/>
        <w:tabs>
          <w:tab w:leader="none" w:pos="220" w:val="left"/>
        </w:tabs>
        <w:numPr>
          <w:ilvl w:val="0"/>
          <w:numId w:val="216"/>
        </w:numPr>
        <w:rPr>
          <w:rFonts w:ascii="Arial" w:cs="Arial" w:eastAsia="Arial" w:hAnsi="Arial"/>
          <w:sz w:val="21"/>
          <w:szCs w:val="21"/>
          <w:color w:val="auto"/>
          <w:vertAlign w:val="superscript"/>
        </w:rPr>
      </w:pPr>
      <w:r>
        <w:rPr>
          <w:rFonts w:ascii="Arial" w:cs="Arial" w:eastAsia="Arial" w:hAnsi="Arial"/>
          <w:sz w:val="17"/>
          <w:szCs w:val="17"/>
          <w:color w:val="auto"/>
        </w:rPr>
        <w:t>(4) Guarantees of the debt securities may be issued by one or more subsidiaries of the Company that are listed in this registration statement on</w:t>
      </w:r>
    </w:p>
    <w:p>
      <w:pPr>
        <w:sectPr>
          <w:pgSz w:w="11900" w:h="16838" w:orient="portrait"/>
          <w:cols w:equalWidth="0" w:num="1">
            <w:col w:w="11360"/>
          </w:cols>
          <w:pgMar w:left="300" w:top="140" w:right="239" w:bottom="0" w:gutter="0" w:footer="0" w:header="0"/>
        </w:sectPr>
      </w:pPr>
    </w:p>
    <w:bookmarkStart w:id="305" w:name="page306"/>
    <w:bookmarkEnd w:id="305"/>
    <w:p>
      <w:pPr>
        <w:ind w:left="220" w:right="120"/>
        <w:spacing w:after="0" w:line="274" w:lineRule="auto"/>
        <w:rPr>
          <w:sz w:val="20"/>
          <w:szCs w:val="20"/>
          <w:color w:val="auto"/>
        </w:rPr>
      </w:pPr>
      <w:r>
        <w:rPr>
          <w:rFonts w:ascii="Arial" w:cs="Arial" w:eastAsia="Arial" w:hAnsi="Arial"/>
          <w:sz w:val="17"/>
          <w:szCs w:val="17"/>
          <w:color w:val="auto"/>
        </w:rPr>
        <w:t>Form S-3 under the caption "Table of Additional Registrants." No separate consideration will be received for the guarantees. Pursuant to Rule 457(n) under the Securities Act, no separate registration fee is payable with respect to the guarantees being registered hereby. See footnote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45085</wp:posOffset>
            </wp:positionV>
            <wp:extent cx="7145020" cy="3873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58">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pacing w:after="0" w:line="184" w:lineRule="exact"/>
        <w:rPr>
          <w:sz w:val="20"/>
          <w:szCs w:val="20"/>
          <w:color w:val="auto"/>
        </w:rPr>
      </w:pPr>
    </w:p>
    <w:p>
      <w:pPr>
        <w:ind w:left="220" w:hanging="182"/>
        <w:spacing w:after="0"/>
        <w:tabs>
          <w:tab w:leader="none" w:pos="220" w:val="left"/>
        </w:tabs>
        <w:numPr>
          <w:ilvl w:val="0"/>
          <w:numId w:val="217"/>
        </w:numPr>
        <w:rPr>
          <w:rFonts w:ascii="Arial" w:cs="Arial" w:eastAsia="Arial" w:hAnsi="Arial"/>
          <w:sz w:val="21"/>
          <w:szCs w:val="21"/>
          <w:color w:val="auto"/>
          <w:vertAlign w:val="superscript"/>
        </w:rPr>
      </w:pPr>
      <w:r>
        <w:rPr>
          <w:rFonts w:ascii="Arial" w:cs="Arial" w:eastAsia="Arial" w:hAnsi="Arial"/>
          <w:sz w:val="17"/>
          <w:szCs w:val="17"/>
          <w:color w:val="auto"/>
        </w:rPr>
        <w:t>(5) Warrants of the Company. See footnote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62230</wp:posOffset>
            </wp:positionV>
            <wp:extent cx="7145020" cy="3873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9">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pacing w:after="0" w:line="227" w:lineRule="exact"/>
        <w:rPr>
          <w:sz w:val="20"/>
          <w:szCs w:val="20"/>
          <w:color w:val="auto"/>
        </w:rPr>
      </w:pPr>
    </w:p>
    <w:p>
      <w:pPr>
        <w:ind w:left="220" w:right="100" w:hanging="182"/>
        <w:spacing w:after="0" w:line="229" w:lineRule="auto"/>
        <w:tabs>
          <w:tab w:leader="none" w:pos="220" w:val="left"/>
        </w:tabs>
        <w:numPr>
          <w:ilvl w:val="0"/>
          <w:numId w:val="218"/>
        </w:numPr>
        <w:rPr>
          <w:rFonts w:ascii="Arial" w:cs="Arial" w:eastAsia="Arial" w:hAnsi="Arial"/>
          <w:sz w:val="21"/>
          <w:szCs w:val="21"/>
          <w:color w:val="auto"/>
          <w:vertAlign w:val="superscript"/>
        </w:rPr>
      </w:pPr>
      <w:r>
        <w:rPr>
          <w:rFonts w:ascii="Arial" w:cs="Arial" w:eastAsia="Arial" w:hAnsi="Arial"/>
          <w:sz w:val="17"/>
          <w:szCs w:val="17"/>
          <w:color w:val="auto"/>
        </w:rPr>
        <w:t>(6) Units of the Company. Any securities registered hereunder may be sold separately or as units with other securities registered hereunder. See footnote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45020" cy="3873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60">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tbl>
      <w:tblPr>
        <w:tblLayout w:type="fixed"/>
        <w:tblInd w:w="10" w:type="dxa"/>
        <w:tblCellMar>
          <w:top w:w="0" w:type="dxa"/>
          <w:left w:w="0" w:type="dxa"/>
          <w:bottom w:w="0" w:type="dxa"/>
          <w:right w:w="0" w:type="dxa"/>
        </w:tblCellMar>
      </w:tblPr>
      <w:tr>
        <w:trPr>
          <w:trHeight w:val="282"/>
        </w:trPr>
        <w:tc>
          <w:tcPr>
            <w:tcW w:w="3260" w:type="dxa"/>
            <w:vAlign w:val="bottom"/>
            <w:tcBorders>
              <w:bottom w:val="single" w:sz="8" w:color="auto"/>
            </w:tcBorders>
            <w:gridSpan w:val="11"/>
          </w:tcPr>
          <w:p>
            <w:pPr>
              <w:ind w:left="40"/>
              <w:spacing w:after="0"/>
              <w:rPr>
                <w:sz w:val="20"/>
                <w:szCs w:val="20"/>
                <w:color w:val="auto"/>
              </w:rPr>
            </w:pPr>
            <w:r>
              <w:rPr>
                <w:rFonts w:ascii="Arial" w:cs="Arial" w:eastAsia="Arial" w:hAnsi="Arial"/>
                <w:sz w:val="17"/>
                <w:szCs w:val="17"/>
                <w:b w:val="1"/>
                <w:bCs w:val="1"/>
                <w:color w:val="auto"/>
              </w:rPr>
              <w:t>Table 2: Fee Offset Claims and Sources</w:t>
            </w: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20"/>
              <w:spacing w:after="0" w:line="196" w:lineRule="exact"/>
              <w:rPr>
                <w:sz w:val="20"/>
                <w:szCs w:val="20"/>
                <w:color w:val="auto"/>
              </w:rPr>
            </w:pPr>
            <w:r>
              <w:rPr>
                <w:rFonts w:ascii="MS PGothic" w:cs="MS PGothic" w:eastAsia="MS PGothic" w:hAnsi="MS PGothic"/>
                <w:sz w:val="17"/>
                <w:szCs w:val="17"/>
                <w:color w:val="auto"/>
                <w:highlight w:val="black"/>
                <w:w w:val="98"/>
              </w:rPr>
              <w:t>☑</w:t>
            </w:r>
            <w:r>
              <w:rPr>
                <w:rFonts w:ascii="Arial" w:cs="Arial" w:eastAsia="Arial" w:hAnsi="Arial"/>
                <w:sz w:val="17"/>
                <w:szCs w:val="17"/>
                <w:b w:val="1"/>
                <w:bCs w:val="1"/>
                <w:color w:val="auto"/>
                <w:w w:val="98"/>
              </w:rPr>
              <w:t>Not Applicable</w:t>
            </w:r>
          </w:p>
        </w:tc>
        <w:tc>
          <w:tcPr>
            <w:tcW w:w="0" w:type="dxa"/>
            <w:vAlign w:val="bottom"/>
          </w:tcPr>
          <w:p>
            <w:pPr>
              <w:spacing w:after="0"/>
              <w:rPr>
                <w:sz w:val="1"/>
                <w:szCs w:val="1"/>
                <w:color w:val="auto"/>
              </w:rPr>
            </w:pPr>
          </w:p>
        </w:tc>
      </w:tr>
      <w:tr>
        <w:trPr>
          <w:trHeight w:val="198"/>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5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1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20" w:type="dxa"/>
            <w:vAlign w:val="bottom"/>
            <w:shd w:val="clear" w:color="auto" w:fill="9ADAF6"/>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60" w:type="dxa"/>
            <w:vAlign w:val="bottom"/>
            <w:tcBorders>
              <w:right w:val="single" w:sz="8" w:color="9ADAF6"/>
            </w:tcBorders>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shd w:val="clear" w:color="auto" w:fill="9ADAF6"/>
          </w:tcPr>
          <w:p>
            <w:pPr>
              <w:spacing w:after="0"/>
              <w:rPr>
                <w:sz w:val="17"/>
                <w:szCs w:val="17"/>
                <w:color w:val="auto"/>
              </w:rPr>
            </w:pPr>
          </w:p>
        </w:tc>
        <w:tc>
          <w:tcPr>
            <w:tcW w:w="80" w:type="dxa"/>
            <w:vAlign w:val="bottom"/>
            <w:tcBorders>
              <w:right w:val="single" w:sz="8" w:color="9ADAF6"/>
            </w:tcBorders>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shd w:val="clear" w:color="auto" w:fill="9ADAF6"/>
          </w:tcPr>
          <w:p>
            <w:pPr>
              <w:spacing w:after="0"/>
              <w:rPr>
                <w:sz w:val="17"/>
                <w:szCs w:val="17"/>
                <w:color w:val="auto"/>
              </w:rPr>
            </w:pPr>
          </w:p>
        </w:tc>
        <w:tc>
          <w:tcPr>
            <w:tcW w:w="40" w:type="dxa"/>
            <w:vAlign w:val="bottom"/>
            <w:shd w:val="clear" w:color="auto" w:fill="9ADAF6"/>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7"/>
                <w:szCs w:val="17"/>
                <w:color w:val="auto"/>
              </w:rPr>
            </w:pPr>
          </w:p>
        </w:tc>
        <w:tc>
          <w:tcPr>
            <w:tcW w:w="640" w:type="dxa"/>
            <w:vAlign w:val="bottom"/>
            <w:shd w:val="clear" w:color="auto" w:fill="9ADAF6"/>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1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6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6"/>
                <w:szCs w:val="16"/>
                <w:color w:val="auto"/>
              </w:rPr>
            </w:pPr>
          </w:p>
        </w:tc>
        <w:tc>
          <w:tcPr>
            <w:tcW w:w="940" w:type="dxa"/>
            <w:vAlign w:val="bottom"/>
            <w:tcBorders>
              <w:right w:val="single" w:sz="8" w:color="9ADAF6"/>
            </w:tcBorders>
            <w:gridSpan w:val="2"/>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Security</w:t>
            </w:r>
          </w:p>
        </w:tc>
        <w:tc>
          <w:tcPr>
            <w:tcW w:w="40" w:type="dxa"/>
            <w:vAlign w:val="bottom"/>
          </w:tcPr>
          <w:p>
            <w:pPr>
              <w:spacing w:after="0"/>
              <w:rPr>
                <w:sz w:val="16"/>
                <w:szCs w:val="16"/>
                <w:color w:val="auto"/>
              </w:rPr>
            </w:pPr>
          </w:p>
        </w:tc>
        <w:tc>
          <w:tcPr>
            <w:tcW w:w="940" w:type="dxa"/>
            <w:vAlign w:val="bottom"/>
            <w:gridSpan w:val="3"/>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5"/>
              </w:rPr>
              <w:t>Fee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1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6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940" w:type="dxa"/>
            <w:vAlign w:val="bottom"/>
            <w:tcBorders>
              <w:right w:val="single" w:sz="8" w:color="9ADAF6"/>
            </w:tcBorders>
            <w:gridSpan w:val="2"/>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Title</w:t>
            </w:r>
          </w:p>
        </w:tc>
        <w:tc>
          <w:tcPr>
            <w:tcW w:w="40" w:type="dxa"/>
            <w:vAlign w:val="bottom"/>
          </w:tcPr>
          <w:p>
            <w:pPr>
              <w:spacing w:after="0"/>
              <w:rPr>
                <w:sz w:val="16"/>
                <w:szCs w:val="16"/>
                <w:color w:val="auto"/>
              </w:rPr>
            </w:pPr>
          </w:p>
        </w:tc>
        <w:tc>
          <w:tcPr>
            <w:tcW w:w="940" w:type="dxa"/>
            <w:vAlign w:val="bottom"/>
            <w:gridSpan w:val="3"/>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Securities</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Paid</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7"/>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Registrant or Filer</w:t>
            </w: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or</w:t>
            </w:r>
          </w:p>
        </w:tc>
        <w:tc>
          <w:tcPr>
            <w:tcW w:w="20" w:type="dxa"/>
            <w:vAlign w:val="bottom"/>
          </w:tcPr>
          <w:p>
            <w:pPr>
              <w:spacing w:after="0"/>
              <w:rPr>
                <w:sz w:val="8"/>
                <w:szCs w:val="8"/>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8"/>
                <w:szCs w:val="8"/>
                <w:color w:val="auto"/>
              </w:rPr>
            </w:pPr>
          </w:p>
        </w:tc>
        <w:tc>
          <w:tcPr>
            <w:tcW w:w="540" w:type="dxa"/>
            <w:vAlign w:val="bottom"/>
            <w:gridSpan w:val="3"/>
            <w:vMerge w:val="continue"/>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8"/>
                <w:szCs w:val="8"/>
                <w:color w:val="auto"/>
              </w:rPr>
            </w:pPr>
          </w:p>
        </w:tc>
        <w:tc>
          <w:tcPr>
            <w:tcW w:w="640" w:type="dxa"/>
            <w:vAlign w:val="bottom"/>
            <w:gridSpan w:val="3"/>
            <w:vMerge w:val="continue"/>
            <w:shd w:val="clear" w:color="auto" w:fill="9ADAF6"/>
          </w:tcPr>
          <w:p>
            <w:pPr>
              <w:spacing w:after="0"/>
              <w:rPr>
                <w:sz w:val="8"/>
                <w:szCs w:val="8"/>
                <w:color w:val="auto"/>
              </w:rPr>
            </w:pPr>
          </w:p>
        </w:tc>
        <w:tc>
          <w:tcPr>
            <w:tcW w:w="6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40" w:type="dxa"/>
            <w:vAlign w:val="bottom"/>
            <w:tcBorders>
              <w:right w:val="single" w:sz="8" w:color="9ADAF6"/>
            </w:tcBorders>
            <w:gridSpan w:val="2"/>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Associated</w:t>
            </w:r>
          </w:p>
        </w:tc>
        <w:tc>
          <w:tcPr>
            <w:tcW w:w="40" w:type="dxa"/>
            <w:vAlign w:val="bottom"/>
          </w:tcPr>
          <w:p>
            <w:pPr>
              <w:spacing w:after="0"/>
              <w:rPr>
                <w:sz w:val="8"/>
                <w:szCs w:val="8"/>
                <w:color w:val="auto"/>
              </w:rPr>
            </w:pPr>
          </w:p>
        </w:tc>
        <w:tc>
          <w:tcPr>
            <w:tcW w:w="9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Associated</w:t>
            </w:r>
          </w:p>
        </w:tc>
        <w:tc>
          <w:tcPr>
            <w:tcW w:w="20" w:type="dxa"/>
            <w:vAlign w:val="bottom"/>
          </w:tcPr>
          <w:p>
            <w:pPr>
              <w:spacing w:after="0"/>
              <w:rPr>
                <w:sz w:val="8"/>
                <w:szCs w:val="8"/>
                <w:color w:val="auto"/>
              </w:rPr>
            </w:pPr>
          </w:p>
        </w:tc>
        <w:tc>
          <w:tcPr>
            <w:tcW w:w="98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Amount</w:t>
            </w:r>
          </w:p>
        </w:tc>
        <w:tc>
          <w:tcPr>
            <w:tcW w:w="20" w:type="dxa"/>
            <w:vAlign w:val="bottom"/>
          </w:tcPr>
          <w:p>
            <w:pPr>
              <w:spacing w:after="0"/>
              <w:rPr>
                <w:sz w:val="8"/>
                <w:szCs w:val="8"/>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with</w:t>
            </w:r>
          </w:p>
        </w:tc>
        <w:tc>
          <w:tcPr>
            <w:tcW w:w="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40" w:type="dxa"/>
            <w:vAlign w:val="bottom"/>
            <w:tcBorders>
              <w:left w:val="single" w:sz="8" w:color="auto"/>
            </w:tcBorders>
          </w:tcPr>
          <w:p>
            <w:pPr>
              <w:spacing w:after="0"/>
              <w:rPr>
                <w:sz w:val="15"/>
                <w:szCs w:val="15"/>
                <w:color w:val="auto"/>
              </w:rPr>
            </w:pPr>
          </w:p>
        </w:tc>
        <w:tc>
          <w:tcPr>
            <w:tcW w:w="44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5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520" w:type="dxa"/>
            <w:vAlign w:val="bottom"/>
            <w:gridSpan w:val="3"/>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gridSpan w:val="3"/>
            <w:shd w:val="clear" w:color="auto" w:fill="9ADAF6"/>
          </w:tcPr>
          <w:p>
            <w:pPr>
              <w:jc w:val="center"/>
              <w:spacing w:after="0" w:line="173" w:lineRule="exact"/>
              <w:rPr>
                <w:sz w:val="20"/>
                <w:szCs w:val="20"/>
                <w:color w:val="auto"/>
              </w:rPr>
            </w:pPr>
            <w:r>
              <w:rPr>
                <w:rFonts w:ascii="Arial" w:cs="Arial" w:eastAsia="Arial" w:hAnsi="Arial"/>
                <w:sz w:val="17"/>
                <w:szCs w:val="17"/>
                <w:b w:val="1"/>
                <w:bCs w:val="1"/>
                <w:color w:val="auto"/>
              </w:rPr>
              <w:t>Filing</w:t>
            </w:r>
          </w:p>
        </w:tc>
        <w:tc>
          <w:tcPr>
            <w:tcW w:w="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3"/>
            <w:shd w:val="clear" w:color="auto" w:fill="9ADAF6"/>
          </w:tcPr>
          <w:p>
            <w:pPr>
              <w:jc w:val="center"/>
              <w:spacing w:after="0" w:line="173" w:lineRule="exact"/>
              <w:rPr>
                <w:sz w:val="20"/>
                <w:szCs w:val="20"/>
                <w:color w:val="auto"/>
              </w:rPr>
            </w:pPr>
            <w:r>
              <w:rPr>
                <w:rFonts w:ascii="Arial" w:cs="Arial" w:eastAsia="Arial" w:hAnsi="Arial"/>
                <w:sz w:val="17"/>
                <w:szCs w:val="17"/>
                <w:b w:val="1"/>
                <w:bCs w:val="1"/>
                <w:color w:val="auto"/>
              </w:rPr>
              <w:t>Offset</w:t>
            </w:r>
          </w:p>
        </w:tc>
        <w:tc>
          <w:tcPr>
            <w:tcW w:w="60" w:type="dxa"/>
            <w:vAlign w:val="bottom"/>
            <w:tcBorders>
              <w:right w:val="single" w:sz="8" w:color="9ADAF6"/>
            </w:tcBorders>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9ADAF6"/>
            </w:tcBorders>
            <w:gridSpan w:val="2"/>
            <w:vMerge w:val="continue"/>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gridSpan w:val="3"/>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gridSpan w:val="3"/>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vMerge w:val="continue"/>
            <w:shd w:val="clear" w:color="auto" w:fill="9ADAF6"/>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160" w:type="dxa"/>
            <w:vAlign w:val="bottom"/>
            <w:shd w:val="clear" w:color="auto" w:fill="9ADAF6"/>
          </w:tcPr>
          <w:p>
            <w:pPr>
              <w:jc w:val="center"/>
              <w:ind w:right="274"/>
              <w:spacing w:after="0" w:line="194" w:lineRule="exact"/>
              <w:rPr>
                <w:sz w:val="20"/>
                <w:szCs w:val="20"/>
                <w:color w:val="auto"/>
              </w:rPr>
            </w:pPr>
            <w:r>
              <w:rPr>
                <w:rFonts w:ascii="Arial" w:cs="Arial" w:eastAsia="Arial" w:hAnsi="Arial"/>
                <w:sz w:val="17"/>
                <w:szCs w:val="17"/>
                <w:b w:val="1"/>
                <w:bCs w:val="1"/>
                <w:color w:val="auto"/>
              </w:rPr>
              <w:t>Name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16"/>
                <w:szCs w:val="16"/>
                <w:color w:val="auto"/>
              </w:rPr>
            </w:pPr>
          </w:p>
        </w:tc>
        <w:tc>
          <w:tcPr>
            <w:tcW w:w="76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540" w:type="dxa"/>
            <w:vAlign w:val="bottom"/>
            <w:gridSpan w:val="3"/>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Date</w:t>
            </w: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Date</w:t>
            </w:r>
          </w:p>
        </w:tc>
        <w:tc>
          <w:tcPr>
            <w:tcW w:w="20" w:type="dxa"/>
            <w:vAlign w:val="bottom"/>
          </w:tcPr>
          <w:p>
            <w:pPr>
              <w:spacing w:after="0"/>
              <w:rPr>
                <w:sz w:val="16"/>
                <w:szCs w:val="16"/>
                <w:color w:val="auto"/>
              </w:rPr>
            </w:pPr>
          </w:p>
        </w:tc>
        <w:tc>
          <w:tcPr>
            <w:tcW w:w="700" w:type="dxa"/>
            <w:vAlign w:val="bottom"/>
            <w:tcBorders>
              <w:right w:val="single" w:sz="8" w:color="9ADAF6"/>
            </w:tcBorders>
            <w:gridSpan w:val="4"/>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with Fee</w:t>
            </w:r>
          </w:p>
        </w:tc>
        <w:tc>
          <w:tcPr>
            <w:tcW w:w="20" w:type="dxa"/>
            <w:vAlign w:val="bottom"/>
          </w:tcPr>
          <w:p>
            <w:pPr>
              <w:spacing w:after="0"/>
              <w:rPr>
                <w:sz w:val="16"/>
                <w:szCs w:val="16"/>
                <w:color w:val="auto"/>
              </w:rPr>
            </w:pPr>
          </w:p>
        </w:tc>
        <w:tc>
          <w:tcPr>
            <w:tcW w:w="940" w:type="dxa"/>
            <w:vAlign w:val="bottom"/>
            <w:tcBorders>
              <w:right w:val="single" w:sz="8" w:color="9ADAF6"/>
            </w:tcBorders>
            <w:gridSpan w:val="2"/>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9"/>
              </w:rPr>
              <w:t>with Fee</w:t>
            </w:r>
          </w:p>
        </w:tc>
        <w:tc>
          <w:tcPr>
            <w:tcW w:w="40" w:type="dxa"/>
            <w:vAlign w:val="bottom"/>
          </w:tcPr>
          <w:p>
            <w:pPr>
              <w:spacing w:after="0"/>
              <w:rPr>
                <w:sz w:val="16"/>
                <w:szCs w:val="16"/>
                <w:color w:val="auto"/>
              </w:rPr>
            </w:pPr>
          </w:p>
        </w:tc>
        <w:tc>
          <w:tcPr>
            <w:tcW w:w="940" w:type="dxa"/>
            <w:vAlign w:val="bottom"/>
            <w:gridSpan w:val="3"/>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Associated</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5"/>
              </w:rPr>
              <w:t>Fee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40" w:type="dxa"/>
            <w:vAlign w:val="bottom"/>
            <w:tcBorders>
              <w:left w:val="single" w:sz="8" w:color="auto"/>
            </w:tcBorders>
          </w:tcPr>
          <w:p>
            <w:pPr>
              <w:spacing w:after="0"/>
              <w:rPr>
                <w:sz w:val="10"/>
                <w:szCs w:val="10"/>
                <w:color w:val="auto"/>
              </w:rPr>
            </w:pPr>
          </w:p>
        </w:tc>
        <w:tc>
          <w:tcPr>
            <w:tcW w:w="4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5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11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320" w:type="dxa"/>
            <w:vAlign w:val="bottom"/>
            <w:shd w:val="clear" w:color="auto" w:fill="9ADAF6"/>
          </w:tcPr>
          <w:p>
            <w:pPr>
              <w:spacing w:after="0"/>
              <w:rPr>
                <w:sz w:val="10"/>
                <w:szCs w:val="10"/>
                <w:color w:val="auto"/>
              </w:rPr>
            </w:pPr>
          </w:p>
        </w:tc>
        <w:tc>
          <w:tcPr>
            <w:tcW w:w="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120" w:type="dxa"/>
            <w:vAlign w:val="bottom"/>
            <w:shd w:val="clear" w:color="auto" w:fill="9ADAF6"/>
          </w:tcPr>
          <w:p>
            <w:pPr>
              <w:spacing w:after="0"/>
              <w:rPr>
                <w:sz w:val="10"/>
                <w:szCs w:val="10"/>
                <w:color w:val="auto"/>
              </w:rPr>
            </w:pPr>
          </w:p>
        </w:tc>
        <w:tc>
          <w:tcPr>
            <w:tcW w:w="60" w:type="dxa"/>
            <w:vAlign w:val="bottom"/>
            <w:tcBorders>
              <w:right w:val="single" w:sz="8" w:color="9ADAF6"/>
            </w:tcBorders>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40" w:type="dxa"/>
            <w:vAlign w:val="bottom"/>
            <w:tcBorders>
              <w:right w:val="single" w:sz="8" w:color="9ADAF6"/>
            </w:tcBorders>
            <w:gridSpan w:val="2"/>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40" w:type="dxa"/>
            <w:vAlign w:val="bottom"/>
          </w:tcPr>
          <w:p>
            <w:pPr>
              <w:spacing w:after="0"/>
              <w:rPr>
                <w:sz w:val="10"/>
                <w:szCs w:val="10"/>
                <w:color w:val="auto"/>
              </w:rPr>
            </w:pPr>
          </w:p>
        </w:tc>
        <w:tc>
          <w:tcPr>
            <w:tcW w:w="940" w:type="dxa"/>
            <w:vAlign w:val="bottom"/>
            <w:gridSpan w:val="3"/>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80" w:type="dxa"/>
            <w:vAlign w:val="bottom"/>
            <w:gridSpan w:val="3"/>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with Fee</w:t>
            </w:r>
          </w:p>
        </w:tc>
        <w:tc>
          <w:tcPr>
            <w:tcW w:w="20" w:type="dxa"/>
            <w:vAlign w:val="bottom"/>
          </w:tcPr>
          <w:p>
            <w:pPr>
              <w:spacing w:after="0"/>
              <w:rPr>
                <w:sz w:val="10"/>
                <w:szCs w:val="10"/>
                <w:color w:val="auto"/>
              </w:rPr>
            </w:pPr>
          </w:p>
        </w:tc>
        <w:tc>
          <w:tcPr>
            <w:tcW w:w="64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1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6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40" w:type="dxa"/>
            <w:vAlign w:val="bottom"/>
            <w:tcBorders>
              <w:right w:val="single" w:sz="8" w:color="9ADAF6"/>
            </w:tcBorders>
            <w:gridSpan w:val="2"/>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Claimed</w:t>
            </w:r>
          </w:p>
        </w:tc>
        <w:tc>
          <w:tcPr>
            <w:tcW w:w="40" w:type="dxa"/>
            <w:vAlign w:val="bottom"/>
          </w:tcPr>
          <w:p>
            <w:pPr>
              <w:spacing w:after="0"/>
              <w:rPr>
                <w:sz w:val="16"/>
                <w:szCs w:val="16"/>
                <w:color w:val="auto"/>
              </w:rPr>
            </w:pPr>
          </w:p>
        </w:tc>
        <w:tc>
          <w:tcPr>
            <w:tcW w:w="940" w:type="dxa"/>
            <w:vAlign w:val="bottom"/>
            <w:gridSpan w:val="3"/>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Claimed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Source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1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20" w:type="dxa"/>
            <w:vAlign w:val="bottom"/>
            <w:shd w:val="clear" w:color="auto" w:fill="9ADAF6"/>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60" w:type="dxa"/>
            <w:vAlign w:val="bottom"/>
            <w:tcBorders>
              <w:right w:val="single" w:sz="8" w:color="9ADAF6"/>
            </w:tcBorders>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9ADAF6"/>
          </w:tcPr>
          <w:p>
            <w:pPr>
              <w:spacing w:after="0"/>
              <w:rPr>
                <w:sz w:val="19"/>
                <w:szCs w:val="19"/>
                <w:color w:val="auto"/>
              </w:rPr>
            </w:pPr>
          </w:p>
        </w:tc>
        <w:tc>
          <w:tcPr>
            <w:tcW w:w="80" w:type="dxa"/>
            <w:vAlign w:val="bottom"/>
            <w:tcBorders>
              <w:right w:val="single" w:sz="8" w:color="9ADAF6"/>
            </w:tcBorders>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shd w:val="clear" w:color="auto" w:fill="9ADAF6"/>
          </w:tcPr>
          <w:p>
            <w:pPr>
              <w:spacing w:after="0"/>
              <w:rPr>
                <w:sz w:val="19"/>
                <w:szCs w:val="19"/>
                <w:color w:val="auto"/>
              </w:rPr>
            </w:pPr>
          </w:p>
        </w:tc>
        <w:tc>
          <w:tcPr>
            <w:tcW w:w="40" w:type="dxa"/>
            <w:vAlign w:val="bottom"/>
            <w:shd w:val="clear" w:color="auto" w:fill="9ADAF6"/>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9"/>
                <w:szCs w:val="19"/>
                <w:color w:val="auto"/>
              </w:rPr>
            </w:pPr>
          </w:p>
        </w:tc>
        <w:tc>
          <w:tcPr>
            <w:tcW w:w="640" w:type="dxa"/>
            <w:vAlign w:val="bottom"/>
            <w:shd w:val="clear" w:color="auto" w:fill="9ADAF6"/>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720" w:type="dxa"/>
            <w:vAlign w:val="bottom"/>
            <w:gridSpan w:val="15"/>
          </w:tcPr>
          <w:p>
            <w:pPr>
              <w:jc w:val="center"/>
              <w:ind w:right="137"/>
              <w:spacing w:after="0"/>
              <w:rPr>
                <w:sz w:val="20"/>
                <w:szCs w:val="20"/>
                <w:color w:val="auto"/>
              </w:rPr>
            </w:pPr>
            <w:r>
              <w:rPr>
                <w:rFonts w:ascii="Arial" w:cs="Arial" w:eastAsia="Arial" w:hAnsi="Arial"/>
                <w:sz w:val="17"/>
                <w:szCs w:val="17"/>
                <w:b w:val="1"/>
                <w:bCs w:val="1"/>
                <w:color w:val="auto"/>
              </w:rPr>
              <w:t>Rules 457(b) and 0-11(a)(2)</w:t>
            </w: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960" w:type="dxa"/>
            <w:vAlign w:val="bottom"/>
            <w:gridSpan w:val="3"/>
            <w:shd w:val="clear" w:color="auto" w:fill="E7E7E2"/>
          </w:tcPr>
          <w:p>
            <w:pPr>
              <w:spacing w:after="0" w:line="194"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1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2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6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80" w:type="dxa"/>
            <w:vAlign w:val="bottom"/>
            <w:tcBorders>
              <w:right w:val="single" w:sz="8" w:color="E7E7E2"/>
            </w:tcBorders>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4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0" w:type="dxa"/>
            <w:vAlign w:val="bottom"/>
            <w:tcBorders>
              <w:left w:val="single" w:sz="8" w:color="auto"/>
            </w:tcBorders>
          </w:tcPr>
          <w:p>
            <w:pPr>
              <w:spacing w:after="0"/>
              <w:rPr>
                <w:sz w:val="19"/>
                <w:szCs w:val="19"/>
                <w:color w:val="auto"/>
              </w:rPr>
            </w:pPr>
          </w:p>
        </w:tc>
        <w:tc>
          <w:tcPr>
            <w:tcW w:w="96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6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80" w:type="dxa"/>
            <w:vAlign w:val="bottom"/>
            <w:tcBorders>
              <w:right w:val="single" w:sz="8" w:color="E7E7E2"/>
            </w:tcBorders>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4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960" w:type="dxa"/>
            <w:vAlign w:val="bottom"/>
            <w:gridSpan w:val="3"/>
            <w:shd w:val="clear" w:color="auto" w:fill="E7E7E2"/>
          </w:tcPr>
          <w:p>
            <w:pPr>
              <w:spacing w:after="0" w:line="183"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2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60" w:type="dxa"/>
            <w:vAlign w:val="bottom"/>
            <w:tcBorders>
              <w:right w:val="single" w:sz="8" w:color="E7E7E2"/>
            </w:tcBorders>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80" w:type="dxa"/>
            <w:vAlign w:val="bottom"/>
            <w:tcBorders>
              <w:right w:val="single" w:sz="8" w:color="E7E7E2"/>
            </w:tcBorders>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4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0" w:type="dxa"/>
            <w:vAlign w:val="bottom"/>
            <w:tcBorders>
              <w:left w:val="single" w:sz="8" w:color="auto"/>
            </w:tcBorders>
          </w:tcPr>
          <w:p>
            <w:pPr>
              <w:spacing w:after="0"/>
              <w:rPr>
                <w:sz w:val="19"/>
                <w:szCs w:val="19"/>
                <w:color w:val="auto"/>
              </w:rPr>
            </w:pPr>
          </w:p>
        </w:tc>
        <w:tc>
          <w:tcPr>
            <w:tcW w:w="96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6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80" w:type="dxa"/>
            <w:vAlign w:val="bottom"/>
            <w:tcBorders>
              <w:right w:val="single" w:sz="8" w:color="E7E7E2"/>
            </w:tcBorders>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4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gridSpan w:val="8"/>
          </w:tcPr>
          <w:p>
            <w:pPr>
              <w:jc w:val="center"/>
              <w:ind w:right="220"/>
              <w:spacing w:after="0"/>
              <w:rPr>
                <w:sz w:val="20"/>
                <w:szCs w:val="20"/>
                <w:color w:val="auto"/>
              </w:rPr>
            </w:pPr>
            <w:r>
              <w:rPr>
                <w:rFonts w:ascii="Arial" w:cs="Arial" w:eastAsia="Arial" w:hAnsi="Arial"/>
                <w:sz w:val="17"/>
                <w:szCs w:val="17"/>
                <w:b w:val="1"/>
                <w:bCs w:val="1"/>
                <w:color w:val="auto"/>
              </w:rPr>
              <w:t>Rule 457(p)</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960" w:type="dxa"/>
            <w:vAlign w:val="bottom"/>
            <w:gridSpan w:val="3"/>
            <w:shd w:val="clear" w:color="auto" w:fill="E7E7E2"/>
          </w:tcPr>
          <w:p>
            <w:pPr>
              <w:spacing w:after="0" w:line="194"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1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2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6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80" w:type="dxa"/>
            <w:vAlign w:val="bottom"/>
            <w:tcBorders>
              <w:right w:val="single" w:sz="8" w:color="E7E7E2"/>
            </w:tcBorders>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4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0" w:type="dxa"/>
            <w:vAlign w:val="bottom"/>
            <w:tcBorders>
              <w:left w:val="single" w:sz="8" w:color="auto"/>
            </w:tcBorders>
          </w:tcPr>
          <w:p>
            <w:pPr>
              <w:spacing w:after="0"/>
              <w:rPr>
                <w:sz w:val="19"/>
                <w:szCs w:val="19"/>
                <w:color w:val="auto"/>
              </w:rPr>
            </w:pPr>
          </w:p>
        </w:tc>
        <w:tc>
          <w:tcPr>
            <w:tcW w:w="96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6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80" w:type="dxa"/>
            <w:vAlign w:val="bottom"/>
            <w:tcBorders>
              <w:right w:val="single" w:sz="8" w:color="E7E7E2"/>
            </w:tcBorders>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4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960" w:type="dxa"/>
            <w:vAlign w:val="bottom"/>
            <w:gridSpan w:val="3"/>
            <w:shd w:val="clear" w:color="auto" w:fill="E7E7E2"/>
          </w:tcPr>
          <w:p>
            <w:pPr>
              <w:spacing w:after="0" w:line="183"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2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60" w:type="dxa"/>
            <w:vAlign w:val="bottom"/>
            <w:tcBorders>
              <w:right w:val="single" w:sz="8" w:color="E7E7E2"/>
            </w:tcBorders>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80" w:type="dxa"/>
            <w:vAlign w:val="bottom"/>
            <w:tcBorders>
              <w:right w:val="single" w:sz="8" w:color="E7E7E2"/>
            </w:tcBorders>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4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0" w:type="dxa"/>
            <w:vAlign w:val="bottom"/>
            <w:tcBorders>
              <w:left w:val="single" w:sz="8" w:color="auto"/>
            </w:tcBorders>
          </w:tcPr>
          <w:p>
            <w:pPr>
              <w:spacing w:after="0"/>
              <w:rPr>
                <w:sz w:val="19"/>
                <w:szCs w:val="19"/>
                <w:color w:val="auto"/>
              </w:rPr>
            </w:pPr>
          </w:p>
        </w:tc>
        <w:tc>
          <w:tcPr>
            <w:tcW w:w="96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6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80" w:type="dxa"/>
            <w:vAlign w:val="bottom"/>
            <w:tcBorders>
              <w:right w:val="single" w:sz="8" w:color="E7E7E2"/>
            </w:tcBorders>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4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3260" w:type="dxa"/>
            <w:vAlign w:val="bottom"/>
            <w:tcBorders>
              <w:bottom w:val="single" w:sz="8" w:color="auto"/>
            </w:tcBorders>
            <w:gridSpan w:val="11"/>
          </w:tcPr>
          <w:p>
            <w:pPr>
              <w:ind w:left="40"/>
              <w:spacing w:after="0"/>
              <w:rPr>
                <w:sz w:val="20"/>
                <w:szCs w:val="20"/>
                <w:color w:val="auto"/>
              </w:rPr>
            </w:pPr>
            <w:r>
              <w:rPr>
                <w:rFonts w:ascii="Arial" w:cs="Arial" w:eastAsia="Arial" w:hAnsi="Arial"/>
                <w:sz w:val="17"/>
                <w:szCs w:val="17"/>
                <w:b w:val="1"/>
                <w:bCs w:val="1"/>
                <w:color w:val="auto"/>
              </w:rPr>
              <w:t>Table 3: Combined Prospectuses</w:t>
            </w: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20"/>
              <w:spacing w:after="0" w:line="196" w:lineRule="exact"/>
              <w:rPr>
                <w:sz w:val="20"/>
                <w:szCs w:val="20"/>
                <w:color w:val="auto"/>
              </w:rPr>
            </w:pPr>
            <w:r>
              <w:rPr>
                <w:rFonts w:ascii="MS PGothic" w:cs="MS PGothic" w:eastAsia="MS PGothic" w:hAnsi="MS PGothic"/>
                <w:sz w:val="17"/>
                <w:szCs w:val="17"/>
                <w:color w:val="auto"/>
                <w:highlight w:val="black"/>
                <w:w w:val="98"/>
              </w:rPr>
              <w:t>☑</w:t>
            </w:r>
            <w:r>
              <w:rPr>
                <w:rFonts w:ascii="Arial" w:cs="Arial" w:eastAsia="Arial" w:hAnsi="Arial"/>
                <w:sz w:val="17"/>
                <w:szCs w:val="17"/>
                <w:b w:val="1"/>
                <w:bCs w:val="1"/>
                <w:color w:val="auto"/>
                <w:w w:val="98"/>
              </w:rPr>
              <w:t>Not Applicable</w:t>
            </w:r>
          </w:p>
        </w:tc>
        <w:tc>
          <w:tcPr>
            <w:tcW w:w="0" w:type="dxa"/>
            <w:vAlign w:val="bottom"/>
          </w:tcPr>
          <w:p>
            <w:pPr>
              <w:spacing w:after="0"/>
              <w:rPr>
                <w:sz w:val="1"/>
                <w:szCs w:val="1"/>
                <w:color w:val="auto"/>
              </w:rPr>
            </w:pPr>
          </w:p>
        </w:tc>
      </w:tr>
      <w:tr>
        <w:trPr>
          <w:trHeight w:val="198"/>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6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6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2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shd w:val="clear" w:color="auto" w:fill="9ADAF6"/>
          </w:tcPr>
          <w:p>
            <w:pPr>
              <w:spacing w:after="0"/>
              <w:rPr>
                <w:sz w:val="17"/>
                <w:szCs w:val="17"/>
                <w:color w:val="auto"/>
              </w:rPr>
            </w:pPr>
          </w:p>
        </w:tc>
        <w:tc>
          <w:tcPr>
            <w:tcW w:w="1240" w:type="dxa"/>
            <w:vAlign w:val="bottom"/>
            <w:gridSpan w:val="5"/>
            <w:shd w:val="clear" w:color="auto" w:fill="9ADAF6"/>
          </w:tcPr>
          <w:p>
            <w:pPr>
              <w:ind w:left="40"/>
              <w:spacing w:after="0"/>
              <w:rPr>
                <w:sz w:val="20"/>
                <w:szCs w:val="20"/>
                <w:color w:val="auto"/>
              </w:rPr>
            </w:pPr>
            <w:r>
              <w:rPr>
                <w:rFonts w:ascii="Arial" w:cs="Arial" w:eastAsia="Arial" w:hAnsi="Arial"/>
                <w:sz w:val="17"/>
                <w:szCs w:val="17"/>
                <w:b w:val="1"/>
                <w:bCs w:val="1"/>
                <w:color w:val="auto"/>
              </w:rPr>
              <w:t>Amount of</w:t>
            </w:r>
          </w:p>
        </w:tc>
        <w:tc>
          <w:tcPr>
            <w:tcW w:w="20" w:type="dxa"/>
            <w:vAlign w:val="bottom"/>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60" w:type="dxa"/>
            <w:vAlign w:val="bottom"/>
            <w:tcBorders>
              <w:right w:val="single" w:sz="8" w:color="9ADAF6"/>
            </w:tcBorders>
            <w:shd w:val="clear" w:color="auto" w:fill="9ADAF6"/>
          </w:tcPr>
          <w:p>
            <w:pPr>
              <w:spacing w:after="0"/>
              <w:rPr>
                <w:sz w:val="17"/>
                <w:szCs w:val="17"/>
                <w:color w:val="auto"/>
              </w:rPr>
            </w:pPr>
          </w:p>
        </w:tc>
        <w:tc>
          <w:tcPr>
            <w:tcW w:w="1840" w:type="dxa"/>
            <w:vAlign w:val="bottom"/>
            <w:gridSpan w:val="4"/>
            <w:shd w:val="clear" w:color="auto" w:fill="9ADAF6"/>
          </w:tcPr>
          <w:p>
            <w:pPr>
              <w:jc w:val="center"/>
              <w:ind w:right="78"/>
              <w:spacing w:after="0"/>
              <w:rPr>
                <w:sz w:val="20"/>
                <w:szCs w:val="20"/>
                <w:color w:val="auto"/>
              </w:rPr>
            </w:pPr>
            <w:r>
              <w:rPr>
                <w:rFonts w:ascii="Arial" w:cs="Arial" w:eastAsia="Arial" w:hAnsi="Arial"/>
                <w:sz w:val="17"/>
                <w:szCs w:val="17"/>
                <w:b w:val="1"/>
                <w:bCs w:val="1"/>
                <w:color w:val="auto"/>
              </w:rPr>
              <w:t>Maximum Aggregate</w:t>
            </w:r>
          </w:p>
        </w:tc>
        <w:tc>
          <w:tcPr>
            <w:tcW w:w="80" w:type="dxa"/>
            <w:vAlign w:val="bottom"/>
            <w:tcBorders>
              <w:right w:val="single" w:sz="8" w:color="9ADAF6"/>
            </w:tcBorders>
          </w:tcPr>
          <w:p>
            <w:pPr>
              <w:spacing w:after="0"/>
              <w:rPr>
                <w:sz w:val="17"/>
                <w:szCs w:val="17"/>
                <w:color w:val="auto"/>
              </w:rPr>
            </w:pPr>
          </w:p>
        </w:tc>
        <w:tc>
          <w:tcPr>
            <w:tcW w:w="40" w:type="dxa"/>
            <w:vAlign w:val="bottom"/>
            <w:shd w:val="clear" w:color="auto" w:fill="9ADAF6"/>
          </w:tcPr>
          <w:p>
            <w:pPr>
              <w:spacing w:after="0"/>
              <w:rPr>
                <w:sz w:val="17"/>
                <w:szCs w:val="17"/>
                <w:color w:val="auto"/>
              </w:rPr>
            </w:pPr>
          </w:p>
        </w:tc>
        <w:tc>
          <w:tcPr>
            <w:tcW w:w="56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640" w:type="dxa"/>
            <w:vAlign w:val="bottom"/>
            <w:vMerge w:val="restart"/>
            <w:shd w:val="clear" w:color="auto" w:fill="9ADAF6"/>
          </w:tcPr>
          <w:p>
            <w:pPr>
              <w:jc w:val="center"/>
              <w:ind w:right="117"/>
              <w:spacing w:after="0"/>
              <w:rPr>
                <w:sz w:val="20"/>
                <w:szCs w:val="20"/>
                <w:color w:val="auto"/>
              </w:rPr>
            </w:pPr>
            <w:r>
              <w:rPr>
                <w:rFonts w:ascii="Arial" w:cs="Arial" w:eastAsia="Arial" w:hAnsi="Arial"/>
                <w:sz w:val="17"/>
                <w:szCs w:val="17"/>
                <w:b w:val="1"/>
                <w:bCs w:val="1"/>
                <w:color w:val="auto"/>
                <w:w w:val="98"/>
              </w:rPr>
              <w:t>Initial</w:t>
            </w:r>
          </w:p>
        </w:tc>
        <w:tc>
          <w:tcPr>
            <w:tcW w:w="60" w:type="dxa"/>
            <w:vAlign w:val="bottom"/>
            <w:tcBorders>
              <w:left w:val="single" w:sz="8" w:color="9ADAF6"/>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1240" w:type="dxa"/>
            <w:vAlign w:val="bottom"/>
            <w:gridSpan w:val="5"/>
            <w:vMerge w:val="restart"/>
            <w:shd w:val="clear" w:color="auto" w:fill="9ADAF6"/>
          </w:tcPr>
          <w:p>
            <w:pPr>
              <w:ind w:left="60"/>
              <w:spacing w:after="0" w:line="194" w:lineRule="exact"/>
              <w:rPr>
                <w:sz w:val="20"/>
                <w:szCs w:val="20"/>
                <w:color w:val="auto"/>
              </w:rPr>
            </w:pPr>
            <w:r>
              <w:rPr>
                <w:rFonts w:ascii="Arial" w:cs="Arial" w:eastAsia="Arial" w:hAnsi="Arial"/>
                <w:sz w:val="17"/>
                <w:szCs w:val="17"/>
                <w:b w:val="1"/>
                <w:bCs w:val="1"/>
                <w:color w:val="auto"/>
              </w:rPr>
              <w:t>Securities</w:t>
            </w: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60" w:type="dxa"/>
            <w:vAlign w:val="bottom"/>
            <w:tcBorders>
              <w:right w:val="single" w:sz="8" w:color="9ADAF6"/>
            </w:tcBorders>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820" w:type="dxa"/>
            <w:vAlign w:val="bottom"/>
            <w:gridSpan w:val="3"/>
            <w:vMerge w:val="restart"/>
            <w:shd w:val="clear" w:color="auto" w:fill="9ADAF6"/>
          </w:tcPr>
          <w:p>
            <w:pPr>
              <w:jc w:val="center"/>
              <w:ind w:right="118"/>
              <w:spacing w:after="0" w:line="194" w:lineRule="exact"/>
              <w:rPr>
                <w:sz w:val="20"/>
                <w:szCs w:val="20"/>
                <w:color w:val="auto"/>
              </w:rPr>
            </w:pPr>
            <w:r>
              <w:rPr>
                <w:rFonts w:ascii="Arial" w:cs="Arial" w:eastAsia="Arial" w:hAnsi="Arial"/>
                <w:sz w:val="17"/>
                <w:szCs w:val="17"/>
                <w:b w:val="1"/>
                <w:bCs w:val="1"/>
                <w:color w:val="auto"/>
              </w:rPr>
              <w:t>Offering Price of</w:t>
            </w:r>
          </w:p>
        </w:tc>
        <w:tc>
          <w:tcPr>
            <w:tcW w:w="80" w:type="dxa"/>
            <w:vAlign w:val="bottom"/>
            <w:tcBorders>
              <w:right w:val="single" w:sz="8" w:color="9ADAF6"/>
            </w:tcBorders>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560" w:type="dxa"/>
            <w:vAlign w:val="bottom"/>
            <w:vMerge w:val="restart"/>
            <w:shd w:val="clear" w:color="auto" w:fill="9ADAF6"/>
          </w:tcPr>
          <w:p>
            <w:pPr>
              <w:ind w:left="20"/>
              <w:spacing w:after="0" w:line="194" w:lineRule="exact"/>
              <w:rPr>
                <w:sz w:val="20"/>
                <w:szCs w:val="20"/>
                <w:color w:val="auto"/>
              </w:rPr>
            </w:pPr>
            <w:r>
              <w:rPr>
                <w:rFonts w:ascii="Arial" w:cs="Arial" w:eastAsia="Arial" w:hAnsi="Arial"/>
                <w:sz w:val="17"/>
                <w:szCs w:val="17"/>
                <w:b w:val="1"/>
                <w:bCs w:val="1"/>
                <w:color w:val="auto"/>
              </w:rPr>
              <w:t>Form</w:t>
            </w:r>
          </w:p>
        </w:tc>
        <w:tc>
          <w:tcPr>
            <w:tcW w:w="4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40" w:type="dxa"/>
            <w:vAlign w:val="bottom"/>
            <w:vMerge w:val="continue"/>
            <w:shd w:val="clear" w:color="auto" w:fill="9ADAF6"/>
          </w:tcPr>
          <w:p>
            <w:pPr>
              <w:spacing w:after="0"/>
              <w:rPr>
                <w:sz w:val="8"/>
                <w:szCs w:val="8"/>
                <w:color w:val="auto"/>
              </w:rPr>
            </w:pPr>
          </w:p>
        </w:tc>
        <w:tc>
          <w:tcPr>
            <w:tcW w:w="60" w:type="dxa"/>
            <w:vAlign w:val="bottom"/>
            <w:tcBorders>
              <w:left w:val="single" w:sz="8" w:color="9ADAF6"/>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restart"/>
            <w:shd w:val="clear" w:color="auto" w:fill="9ADAF6"/>
          </w:tcPr>
          <w:p>
            <w:pPr>
              <w:ind w:left="220"/>
              <w:spacing w:after="0" w:line="194" w:lineRule="exact"/>
              <w:rPr>
                <w:sz w:val="20"/>
                <w:szCs w:val="20"/>
                <w:color w:val="auto"/>
              </w:rPr>
            </w:pPr>
            <w:r>
              <w:rPr>
                <w:rFonts w:ascii="Arial" w:cs="Arial" w:eastAsia="Arial" w:hAnsi="Arial"/>
                <w:sz w:val="17"/>
                <w:szCs w:val="17"/>
                <w:b w:val="1"/>
                <w:bCs w:val="1"/>
                <w:color w:val="auto"/>
              </w:rPr>
              <w:t>Security Type</w:t>
            </w:r>
          </w:p>
        </w:tc>
        <w:tc>
          <w:tcPr>
            <w:tcW w:w="20" w:type="dxa"/>
            <w:vAlign w:val="bottom"/>
          </w:tcPr>
          <w:p>
            <w:pPr>
              <w:spacing w:after="0"/>
              <w:rPr>
                <w:sz w:val="8"/>
                <w:szCs w:val="8"/>
                <w:color w:val="auto"/>
              </w:rPr>
            </w:pPr>
          </w:p>
        </w:tc>
        <w:tc>
          <w:tcPr>
            <w:tcW w:w="2580" w:type="dxa"/>
            <w:vAlign w:val="bottom"/>
            <w:gridSpan w:val="5"/>
            <w:vMerge w:val="restart"/>
            <w:shd w:val="clear" w:color="auto" w:fill="9ADAF6"/>
          </w:tcPr>
          <w:p>
            <w:pPr>
              <w:ind w:left="620"/>
              <w:spacing w:after="0" w:line="194"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shd w:val="clear" w:color="auto" w:fill="9ADAF6"/>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124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60" w:type="dxa"/>
            <w:vAlign w:val="bottom"/>
            <w:tcBorders>
              <w:right w:val="single" w:sz="8" w:color="9ADAF6"/>
            </w:tcBorders>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820" w:type="dxa"/>
            <w:vAlign w:val="bottom"/>
            <w:gridSpan w:val="3"/>
            <w:vMerge w:val="continue"/>
            <w:shd w:val="clear" w:color="auto" w:fill="9ADAF6"/>
          </w:tcPr>
          <w:p>
            <w:pPr>
              <w:spacing w:after="0"/>
              <w:rPr>
                <w:sz w:val="8"/>
                <w:szCs w:val="8"/>
                <w:color w:val="auto"/>
              </w:rPr>
            </w:pPr>
          </w:p>
        </w:tc>
        <w:tc>
          <w:tcPr>
            <w:tcW w:w="80" w:type="dxa"/>
            <w:vAlign w:val="bottom"/>
            <w:tcBorders>
              <w:right w:val="single" w:sz="8" w:color="9ADAF6"/>
            </w:tcBorders>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560" w:type="dxa"/>
            <w:vAlign w:val="bottom"/>
            <w:vMerge w:val="continue"/>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1100" w:type="dxa"/>
            <w:vAlign w:val="bottom"/>
            <w:gridSpan w:val="3"/>
            <w:vMerge w:val="restart"/>
            <w:shd w:val="clear" w:color="auto" w:fill="9ADAF6"/>
          </w:tcPr>
          <w:p>
            <w:pPr>
              <w:ind w:left="60"/>
              <w:spacing w:after="0" w:line="194"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8"/>
                <w:szCs w:val="8"/>
                <w:color w:val="auto"/>
              </w:rPr>
            </w:pPr>
          </w:p>
        </w:tc>
        <w:tc>
          <w:tcPr>
            <w:tcW w:w="880" w:type="dxa"/>
            <w:vAlign w:val="bottom"/>
            <w:gridSpan w:val="3"/>
            <w:vMerge w:val="restart"/>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Effective</w:t>
            </w:r>
          </w:p>
        </w:tc>
        <w:tc>
          <w:tcPr>
            <w:tcW w:w="60" w:type="dxa"/>
            <w:vAlign w:val="bottom"/>
            <w:tcBorders>
              <w:left w:val="single" w:sz="8" w:color="9ADAF6"/>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580" w:type="dxa"/>
            <w:vAlign w:val="bottom"/>
            <w:gridSpan w:val="5"/>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1240" w:type="dxa"/>
            <w:vAlign w:val="bottom"/>
            <w:gridSpan w:val="5"/>
            <w:vMerge w:val="restart"/>
            <w:shd w:val="clear" w:color="auto" w:fill="9ADAF6"/>
          </w:tcPr>
          <w:p>
            <w:pPr>
              <w:ind w:left="20"/>
              <w:spacing w:after="0" w:line="194" w:lineRule="exact"/>
              <w:rPr>
                <w:sz w:val="20"/>
                <w:szCs w:val="20"/>
                <w:color w:val="auto"/>
              </w:rPr>
            </w:pPr>
            <w:r>
              <w:rPr>
                <w:rFonts w:ascii="Arial" w:cs="Arial" w:eastAsia="Arial" w:hAnsi="Arial"/>
                <w:sz w:val="17"/>
                <w:szCs w:val="17"/>
                <w:b w:val="1"/>
                <w:bCs w:val="1"/>
                <w:color w:val="auto"/>
              </w:rPr>
              <w:t>Previously</w:t>
            </w: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1900" w:type="dxa"/>
            <w:vAlign w:val="bottom"/>
            <w:gridSpan w:val="5"/>
            <w:vMerge w:val="restart"/>
            <w:shd w:val="clear" w:color="auto" w:fill="9ADAF6"/>
          </w:tcPr>
          <w:p>
            <w:pPr>
              <w:jc w:val="center"/>
              <w:ind w:right="38"/>
              <w:spacing w:after="0" w:line="194" w:lineRule="exact"/>
              <w:rPr>
                <w:sz w:val="20"/>
                <w:szCs w:val="20"/>
                <w:color w:val="auto"/>
              </w:rPr>
            </w:pPr>
            <w:r>
              <w:rPr>
                <w:rFonts w:ascii="Arial" w:cs="Arial" w:eastAsia="Arial" w:hAnsi="Arial"/>
                <w:sz w:val="17"/>
                <w:szCs w:val="17"/>
                <w:b w:val="1"/>
                <w:bCs w:val="1"/>
                <w:color w:val="auto"/>
              </w:rPr>
              <w:t>Securities Previously</w:t>
            </w:r>
          </w:p>
        </w:tc>
        <w:tc>
          <w:tcPr>
            <w:tcW w:w="80" w:type="dxa"/>
            <w:vAlign w:val="bottom"/>
            <w:tcBorders>
              <w:right w:val="single" w:sz="8" w:color="9ADAF6"/>
            </w:tcBorders>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560" w:type="dxa"/>
            <w:vAlign w:val="bottom"/>
            <w:vMerge w:val="restart"/>
            <w:shd w:val="clear" w:color="auto" w:fill="9ADAF6"/>
          </w:tcPr>
          <w:p>
            <w:pPr>
              <w:ind w:left="40"/>
              <w:spacing w:after="0" w:line="194" w:lineRule="exact"/>
              <w:rPr>
                <w:sz w:val="20"/>
                <w:szCs w:val="20"/>
                <w:color w:val="auto"/>
              </w:rPr>
            </w:pPr>
            <w:r>
              <w:rPr>
                <w:rFonts w:ascii="Arial" w:cs="Arial" w:eastAsia="Arial" w:hAnsi="Arial"/>
                <w:sz w:val="17"/>
                <w:szCs w:val="17"/>
                <w:b w:val="1"/>
                <w:bCs w:val="1"/>
                <w:color w:val="auto"/>
              </w:rPr>
              <w:t>Type</w:t>
            </w:r>
          </w:p>
        </w:tc>
        <w:tc>
          <w:tcPr>
            <w:tcW w:w="40" w:type="dxa"/>
            <w:vAlign w:val="bottom"/>
          </w:tcPr>
          <w:p>
            <w:pPr>
              <w:spacing w:after="0"/>
              <w:rPr>
                <w:sz w:val="8"/>
                <w:szCs w:val="8"/>
                <w:color w:val="auto"/>
              </w:rPr>
            </w:pPr>
          </w:p>
        </w:tc>
        <w:tc>
          <w:tcPr>
            <w:tcW w:w="110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gridSpan w:val="3"/>
            <w:vMerge w:val="continue"/>
            <w:shd w:val="clear" w:color="auto" w:fill="9ADAF6"/>
          </w:tcPr>
          <w:p>
            <w:pPr>
              <w:spacing w:after="0"/>
              <w:rPr>
                <w:sz w:val="8"/>
                <w:szCs w:val="8"/>
                <w:color w:val="auto"/>
              </w:rPr>
            </w:pPr>
          </w:p>
        </w:tc>
        <w:tc>
          <w:tcPr>
            <w:tcW w:w="60" w:type="dxa"/>
            <w:vAlign w:val="bottom"/>
            <w:tcBorders>
              <w:left w:val="single" w:sz="8" w:color="9ADAF6"/>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124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1900" w:type="dxa"/>
            <w:vAlign w:val="bottom"/>
            <w:gridSpan w:val="5"/>
            <w:vMerge w:val="continue"/>
            <w:shd w:val="clear" w:color="auto" w:fill="9ADAF6"/>
          </w:tcPr>
          <w:p>
            <w:pPr>
              <w:spacing w:after="0"/>
              <w:rPr>
                <w:sz w:val="8"/>
                <w:szCs w:val="8"/>
                <w:color w:val="auto"/>
              </w:rPr>
            </w:pPr>
          </w:p>
        </w:tc>
        <w:tc>
          <w:tcPr>
            <w:tcW w:w="80" w:type="dxa"/>
            <w:vAlign w:val="bottom"/>
            <w:tcBorders>
              <w:right w:val="single" w:sz="8" w:color="9ADAF6"/>
            </w:tcBorders>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560" w:type="dxa"/>
            <w:vAlign w:val="bottom"/>
            <w:vMerge w:val="continue"/>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40" w:type="dxa"/>
            <w:vAlign w:val="bottom"/>
            <w:vMerge w:val="restart"/>
            <w:shd w:val="clear" w:color="auto" w:fill="9ADAF6"/>
          </w:tcPr>
          <w:p>
            <w:pPr>
              <w:jc w:val="center"/>
              <w:ind w:right="117"/>
              <w:spacing w:after="0"/>
              <w:rPr>
                <w:sz w:val="20"/>
                <w:szCs w:val="20"/>
                <w:color w:val="auto"/>
              </w:rPr>
            </w:pPr>
            <w:r>
              <w:rPr>
                <w:rFonts w:ascii="Arial" w:cs="Arial" w:eastAsia="Arial" w:hAnsi="Arial"/>
                <w:sz w:val="17"/>
                <w:szCs w:val="17"/>
                <w:b w:val="1"/>
                <w:bCs w:val="1"/>
                <w:color w:val="auto"/>
                <w:w w:val="97"/>
              </w:rPr>
              <w:t>Date</w:t>
            </w:r>
          </w:p>
        </w:tc>
        <w:tc>
          <w:tcPr>
            <w:tcW w:w="60" w:type="dxa"/>
            <w:vAlign w:val="bottom"/>
            <w:tcBorders>
              <w:left w:val="single" w:sz="8" w:color="9ADAF6"/>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40" w:type="dxa"/>
            <w:vAlign w:val="bottom"/>
            <w:tcBorders>
              <w:left w:val="single" w:sz="8" w:color="auto"/>
            </w:tcBorders>
          </w:tcPr>
          <w:p>
            <w:pPr>
              <w:spacing w:after="0"/>
              <w:rPr>
                <w:sz w:val="12"/>
                <w:szCs w:val="12"/>
                <w:color w:val="auto"/>
              </w:rPr>
            </w:pPr>
          </w:p>
        </w:tc>
        <w:tc>
          <w:tcPr>
            <w:tcW w:w="4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68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3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62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76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20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shd w:val="clear" w:color="auto" w:fill="9ADAF6"/>
          </w:tcPr>
          <w:p>
            <w:pPr>
              <w:spacing w:after="0"/>
              <w:rPr>
                <w:sz w:val="12"/>
                <w:szCs w:val="12"/>
                <w:color w:val="auto"/>
              </w:rPr>
            </w:pPr>
          </w:p>
        </w:tc>
        <w:tc>
          <w:tcPr>
            <w:tcW w:w="1240" w:type="dxa"/>
            <w:vAlign w:val="bottom"/>
            <w:gridSpan w:val="5"/>
            <w:vMerge w:val="restart"/>
            <w:shd w:val="clear" w:color="auto" w:fill="9ADAF6"/>
          </w:tcPr>
          <w:p>
            <w:pPr>
              <w:ind w:left="20"/>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2"/>
                <w:szCs w:val="12"/>
                <w:color w:val="auto"/>
              </w:rPr>
            </w:pPr>
          </w:p>
        </w:tc>
        <w:tc>
          <w:tcPr>
            <w:tcW w:w="120" w:type="dxa"/>
            <w:vAlign w:val="bottom"/>
            <w:shd w:val="clear" w:color="auto" w:fill="9ADAF6"/>
          </w:tcPr>
          <w:p>
            <w:pPr>
              <w:spacing w:after="0"/>
              <w:rPr>
                <w:sz w:val="12"/>
                <w:szCs w:val="12"/>
                <w:color w:val="auto"/>
              </w:rPr>
            </w:pPr>
          </w:p>
        </w:tc>
        <w:tc>
          <w:tcPr>
            <w:tcW w:w="60" w:type="dxa"/>
            <w:vAlign w:val="bottom"/>
            <w:tcBorders>
              <w:right w:val="single" w:sz="8" w:color="9ADAF6"/>
            </w:tcBorders>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1820" w:type="dxa"/>
            <w:vAlign w:val="bottom"/>
            <w:gridSpan w:val="3"/>
            <w:vMerge w:val="restart"/>
            <w:shd w:val="clear" w:color="auto" w:fill="9ADAF6"/>
          </w:tcPr>
          <w:p>
            <w:pPr>
              <w:jc w:val="center"/>
              <w:ind w:right="98"/>
              <w:spacing w:after="0"/>
              <w:rPr>
                <w:sz w:val="20"/>
                <w:szCs w:val="20"/>
                <w:color w:val="auto"/>
              </w:rPr>
            </w:pPr>
            <w:r>
              <w:rPr>
                <w:rFonts w:ascii="Arial" w:cs="Arial" w:eastAsia="Arial" w:hAnsi="Arial"/>
                <w:sz w:val="17"/>
                <w:szCs w:val="17"/>
                <w:b w:val="1"/>
                <w:bCs w:val="1"/>
                <w:color w:val="auto"/>
              </w:rPr>
              <w:t>Registered</w:t>
            </w:r>
          </w:p>
        </w:tc>
        <w:tc>
          <w:tcPr>
            <w:tcW w:w="80" w:type="dxa"/>
            <w:vAlign w:val="bottom"/>
            <w:tcBorders>
              <w:right w:val="single" w:sz="8" w:color="9ADAF6"/>
            </w:tcBorders>
          </w:tcPr>
          <w:p>
            <w:pPr>
              <w:spacing w:after="0"/>
              <w:rPr>
                <w:sz w:val="12"/>
                <w:szCs w:val="12"/>
                <w:color w:val="auto"/>
              </w:rPr>
            </w:pPr>
          </w:p>
        </w:tc>
        <w:tc>
          <w:tcPr>
            <w:tcW w:w="40" w:type="dxa"/>
            <w:vAlign w:val="bottom"/>
            <w:shd w:val="clear" w:color="auto" w:fill="9ADAF6"/>
          </w:tcPr>
          <w:p>
            <w:pPr>
              <w:spacing w:after="0"/>
              <w:rPr>
                <w:sz w:val="12"/>
                <w:szCs w:val="12"/>
                <w:color w:val="auto"/>
              </w:rPr>
            </w:pPr>
          </w:p>
        </w:tc>
        <w:tc>
          <w:tcPr>
            <w:tcW w:w="56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7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640" w:type="dxa"/>
            <w:vAlign w:val="bottom"/>
            <w:vMerge w:val="continue"/>
            <w:shd w:val="clear" w:color="auto" w:fill="9ADAF6"/>
          </w:tcPr>
          <w:p>
            <w:pPr>
              <w:spacing w:after="0"/>
              <w:rPr>
                <w:sz w:val="12"/>
                <w:szCs w:val="12"/>
                <w:color w:val="auto"/>
              </w:rPr>
            </w:pPr>
          </w:p>
        </w:tc>
        <w:tc>
          <w:tcPr>
            <w:tcW w:w="60" w:type="dxa"/>
            <w:vAlign w:val="bottom"/>
            <w:tcBorders>
              <w:left w:val="single" w:sz="8" w:color="9ADAF6"/>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shd w:val="clear" w:color="auto" w:fill="9ADAF6"/>
          </w:tcPr>
          <w:p>
            <w:pPr>
              <w:spacing w:after="0"/>
              <w:rPr>
                <w:sz w:val="7"/>
                <w:szCs w:val="7"/>
                <w:color w:val="auto"/>
              </w:rPr>
            </w:pPr>
          </w:p>
        </w:tc>
        <w:tc>
          <w:tcPr>
            <w:tcW w:w="1240" w:type="dxa"/>
            <w:vAlign w:val="bottom"/>
            <w:gridSpan w:val="5"/>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shd w:val="clear" w:color="auto" w:fill="9ADAF6"/>
          </w:tcPr>
          <w:p>
            <w:pPr>
              <w:spacing w:after="0"/>
              <w:rPr>
                <w:sz w:val="7"/>
                <w:szCs w:val="7"/>
                <w:color w:val="auto"/>
              </w:rPr>
            </w:pPr>
          </w:p>
        </w:tc>
        <w:tc>
          <w:tcPr>
            <w:tcW w:w="60" w:type="dxa"/>
            <w:vAlign w:val="bottom"/>
            <w:tcBorders>
              <w:right w:val="single" w:sz="8" w:color="9ADAF6"/>
            </w:tcBorders>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820" w:type="dxa"/>
            <w:vAlign w:val="bottom"/>
            <w:gridSpan w:val="3"/>
            <w:vMerge w:val="continue"/>
            <w:shd w:val="clear" w:color="auto" w:fill="9ADAF6"/>
          </w:tcPr>
          <w:p>
            <w:pPr>
              <w:spacing w:after="0"/>
              <w:rPr>
                <w:sz w:val="7"/>
                <w:szCs w:val="7"/>
                <w:color w:val="auto"/>
              </w:rPr>
            </w:pPr>
          </w:p>
        </w:tc>
        <w:tc>
          <w:tcPr>
            <w:tcW w:w="80" w:type="dxa"/>
            <w:vAlign w:val="bottom"/>
            <w:tcBorders>
              <w:right w:val="single" w:sz="8" w:color="9ADAF6"/>
            </w:tcBorders>
          </w:tcPr>
          <w:p>
            <w:pPr>
              <w:spacing w:after="0"/>
              <w:rPr>
                <w:sz w:val="7"/>
                <w:szCs w:val="7"/>
                <w:color w:val="auto"/>
              </w:rPr>
            </w:pPr>
          </w:p>
        </w:tc>
        <w:tc>
          <w:tcPr>
            <w:tcW w:w="40" w:type="dxa"/>
            <w:vAlign w:val="bottom"/>
            <w:shd w:val="clear" w:color="auto" w:fill="9ADAF6"/>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shd w:val="clear" w:color="auto" w:fill="9ADAF6"/>
          </w:tcPr>
          <w:p>
            <w:pPr>
              <w:spacing w:after="0"/>
              <w:rPr>
                <w:sz w:val="7"/>
                <w:szCs w:val="7"/>
                <w:color w:val="auto"/>
              </w:rPr>
            </w:pP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3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2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E7E7E2"/>
            </w:tcBorders>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5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E7E7E2"/>
            </w:tcBorders>
          </w:tcPr>
          <w:p>
            <w:pPr>
              <w:spacing w:after="0" w:line="20" w:lineRule="exact"/>
              <w:rPr>
                <w:sz w:val="1"/>
                <w:szCs w:val="1"/>
                <w:color w:val="auto"/>
              </w:rPr>
            </w:pPr>
          </w:p>
        </w:tc>
        <w:tc>
          <w:tcPr>
            <w:tcW w:w="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9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860" w:type="dxa"/>
            <w:vAlign w:val="bottom"/>
            <w:tcBorders>
              <w:bottom w:val="single" w:sz="8" w:color="E7E7E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E7E7E2"/>
            </w:tcBorders>
          </w:tcPr>
          <w:p>
            <w:pPr>
              <w:spacing w:after="0" w:line="20" w:lineRule="exact"/>
              <w:rPr>
                <w:sz w:val="1"/>
                <w:szCs w:val="1"/>
                <w:color w:val="auto"/>
              </w:rPr>
            </w:pPr>
          </w:p>
        </w:tc>
        <w:tc>
          <w:tcPr>
            <w:tcW w:w="560" w:type="dxa"/>
            <w:vAlign w:val="bottom"/>
            <w:tcBorders>
              <w:bottom w:val="single" w:sz="8" w:color="E7E7E2"/>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40" w:type="dxa"/>
            <w:vAlign w:val="bottom"/>
            <w:tcBorders>
              <w:bottom w:val="single" w:sz="8" w:color="E7E7E2"/>
            </w:tcBorders>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80"/>
      </w:cols>
      <w:pgMar w:left="300" w:top="11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97E1B4E"/>
    <w:multiLevelType w:val="hybridMultilevel"/>
    <w:lvl w:ilvl="0">
      <w:lvlJc w:val="left"/>
      <w:lvlText w:val="1"/>
      <w:numFmt w:val="bullet"/>
      <w:start w:val="1"/>
    </w:lvl>
  </w:abstractNum>
  <w:abstractNum w:abstractNumId="1">
    <w:nsid w:val="51088277"/>
    <w:multiLevelType w:val="hybridMultilevel"/>
    <w:lvl w:ilvl="0">
      <w:lvlJc w:val="left"/>
      <w:lvlText w:val="(%1)"/>
      <w:numFmt w:val="lowerRoman"/>
      <w:start w:val="1"/>
    </w:lvl>
  </w:abstractNum>
  <w:abstractNum w:abstractNumId="2">
    <w:nsid w:val="1CA0C5FA"/>
    <w:multiLevelType w:val="hybridMultilevel"/>
    <w:lvl w:ilvl="0">
      <w:lvlJc w:val="left"/>
      <w:lvlText w:val="•"/>
      <w:numFmt w:val="bullet"/>
      <w:start w:val="1"/>
    </w:lvl>
  </w:abstractNum>
  <w:abstractNum w:abstractNumId="3">
    <w:nsid w:val="53584BCB"/>
    <w:multiLevelType w:val="hybridMultilevel"/>
    <w:lvl w:ilvl="0">
      <w:lvlJc w:val="left"/>
      <w:lvlText w:val="•"/>
      <w:numFmt w:val="bullet"/>
      <w:start w:val="1"/>
    </w:lvl>
  </w:abstractNum>
  <w:abstractNum w:abstractNumId="4">
    <w:nsid w:val="415E286C"/>
    <w:multiLevelType w:val="hybridMultilevel"/>
    <w:lvl w:ilvl="0">
      <w:lvlJc w:val="left"/>
      <w:lvlText w:val="•"/>
      <w:numFmt w:val="bullet"/>
      <w:start w:val="1"/>
    </w:lvl>
  </w:abstractNum>
  <w:abstractNum w:abstractNumId="5">
    <w:nsid w:val="7C58FD05"/>
    <w:multiLevelType w:val="hybridMultilevel"/>
    <w:lvl w:ilvl="0">
      <w:lvlJc w:val="left"/>
      <w:lvlText w:val="•"/>
      <w:numFmt w:val="bullet"/>
      <w:start w:val="1"/>
    </w:lvl>
  </w:abstractNum>
  <w:abstractNum w:abstractNumId="6">
    <w:nsid w:val="23D86AAC"/>
    <w:multiLevelType w:val="hybridMultilevel"/>
    <w:lvl w:ilvl="0">
      <w:lvlJc w:val="left"/>
      <w:lvlText w:val="•"/>
      <w:numFmt w:val="bullet"/>
      <w:start w:val="1"/>
    </w:lvl>
  </w:abstractNum>
  <w:abstractNum w:abstractNumId="7">
    <w:nsid w:val="45E6D486"/>
    <w:multiLevelType w:val="hybridMultilevel"/>
    <w:lvl w:ilvl="0">
      <w:lvlJc w:val="left"/>
      <w:lvlText w:val="•"/>
      <w:numFmt w:val="bullet"/>
      <w:start w:val="1"/>
    </w:lvl>
  </w:abstractNum>
  <w:abstractNum w:abstractNumId="8">
    <w:nsid w:val="5C10FE21"/>
    <w:multiLevelType w:val="hybridMultilevel"/>
    <w:lvl w:ilvl="0">
      <w:lvlJc w:val="left"/>
      <w:lvlText w:val="(%1)"/>
      <w:numFmt w:val="lowerLetter"/>
      <w:start w:val="1"/>
    </w:lvl>
  </w:abstractNum>
  <w:abstractNum w:abstractNumId="9">
    <w:nsid w:val="E7FFA2B"/>
    <w:multiLevelType w:val="hybridMultilevel"/>
    <w:lvl w:ilvl="0">
      <w:lvlJc w:val="left"/>
      <w:lvlText w:val="•"/>
      <w:numFmt w:val="bullet"/>
      <w:start w:val="1"/>
    </w:lvl>
  </w:abstractNum>
  <w:abstractNum w:abstractNumId="10">
    <w:nsid w:val="3C5991AA"/>
    <w:multiLevelType w:val="hybridMultilevel"/>
    <w:lvl w:ilvl="0">
      <w:lvlJc w:val="left"/>
      <w:lvlText w:val="•"/>
      <w:numFmt w:val="bullet"/>
      <w:start w:val="1"/>
    </w:lvl>
  </w:abstractNum>
  <w:abstractNum w:abstractNumId="11">
    <w:nsid w:val="4BD8591A"/>
    <w:multiLevelType w:val="hybridMultilevel"/>
    <w:lvl w:ilvl="0">
      <w:lvlJc w:val="left"/>
      <w:lvlText w:val="•"/>
      <w:numFmt w:val="bullet"/>
      <w:start w:val="1"/>
    </w:lvl>
  </w:abstractNum>
  <w:abstractNum w:abstractNumId="12">
    <w:nsid w:val="78DF6A55"/>
    <w:multiLevelType w:val="hybridMultilevel"/>
    <w:lvl w:ilvl="0">
      <w:lvlJc w:val="left"/>
      <w:lvlText w:val="•"/>
      <w:numFmt w:val="bullet"/>
      <w:start w:val="1"/>
    </w:lvl>
  </w:abstractNum>
  <w:abstractNum w:abstractNumId="13">
    <w:nsid w:val="39B7AAA2"/>
    <w:multiLevelType w:val="hybridMultilevel"/>
    <w:lvl w:ilvl="0">
      <w:lvlJc w:val="left"/>
      <w:lvlText w:val="•"/>
      <w:numFmt w:val="bullet"/>
      <w:start w:val="1"/>
    </w:lvl>
  </w:abstractNum>
  <w:abstractNum w:abstractNumId="14">
    <w:nsid w:val="2B0D8DBE"/>
    <w:multiLevelType w:val="hybridMultilevel"/>
    <w:lvl w:ilvl="0">
      <w:lvlJc w:val="left"/>
      <w:lvlText w:val="•"/>
      <w:numFmt w:val="bullet"/>
      <w:start w:val="1"/>
    </w:lvl>
  </w:abstractNum>
  <w:abstractNum w:abstractNumId="15">
    <w:nsid w:val="6C80EC70"/>
    <w:multiLevelType w:val="hybridMultilevel"/>
    <w:lvl w:ilvl="0">
      <w:lvlJc w:val="left"/>
      <w:lvlText w:val="•"/>
      <w:numFmt w:val="bullet"/>
      <w:start w:val="1"/>
    </w:lvl>
  </w:abstractNum>
  <w:abstractNum w:abstractNumId="16">
    <w:nsid w:val="379E21B5"/>
    <w:multiLevelType w:val="hybridMultilevel"/>
    <w:lvl w:ilvl="0">
      <w:lvlJc w:val="left"/>
      <w:lvlText w:val="•"/>
      <w:numFmt w:val="bullet"/>
      <w:start w:val="1"/>
    </w:lvl>
  </w:abstractNum>
  <w:abstractNum w:abstractNumId="17">
    <w:nsid w:val="69E373"/>
    <w:multiLevelType w:val="hybridMultilevel"/>
    <w:lvl w:ilvl="0">
      <w:lvlJc w:val="left"/>
      <w:lvlText w:val="•"/>
      <w:numFmt w:val="bullet"/>
      <w:start w:val="1"/>
    </w:lvl>
  </w:abstractNum>
  <w:abstractNum w:abstractNumId="18">
    <w:nsid w:val="2C27173B"/>
    <w:multiLevelType w:val="hybridMultilevel"/>
    <w:lvl w:ilvl="0">
      <w:lvlJc w:val="left"/>
      <w:lvlText w:val="•"/>
      <w:numFmt w:val="bullet"/>
      <w:start w:val="1"/>
    </w:lvl>
  </w:abstractNum>
  <w:abstractNum w:abstractNumId="19">
    <w:nsid w:val="4C9B0904"/>
    <w:multiLevelType w:val="hybridMultilevel"/>
    <w:lvl w:ilvl="0">
      <w:lvlJc w:val="left"/>
      <w:lvlText w:val="•"/>
      <w:numFmt w:val="bullet"/>
      <w:start w:val="1"/>
    </w:lvl>
  </w:abstractNum>
  <w:abstractNum w:abstractNumId="20">
    <w:nsid w:val="6AA7B75C"/>
    <w:multiLevelType w:val="hybridMultilevel"/>
    <w:lvl w:ilvl="0">
      <w:lvlJc w:val="left"/>
      <w:lvlText w:val="•"/>
      <w:numFmt w:val="bullet"/>
      <w:start w:val="1"/>
    </w:lvl>
  </w:abstractNum>
  <w:abstractNum w:abstractNumId="21">
    <w:nsid w:val="1DF029D3"/>
    <w:multiLevelType w:val="hybridMultilevel"/>
    <w:lvl w:ilvl="0">
      <w:lvlJc w:val="left"/>
      <w:lvlText w:val="*"/>
      <w:numFmt w:val="bullet"/>
      <w:start w:val="1"/>
    </w:lvl>
  </w:abstractNum>
  <w:abstractNum w:abstractNumId="22">
    <w:nsid w:val="5675FF36"/>
    <w:multiLevelType w:val="hybridMultilevel"/>
    <w:lvl w:ilvl="0">
      <w:lvlJc w:val="left"/>
      <w:lvlText w:val="(%1)"/>
      <w:numFmt w:val="decimal"/>
      <w:start w:val="1"/>
    </w:lvl>
  </w:abstractNum>
  <w:abstractNum w:abstractNumId="23">
    <w:nsid w:val="3DD15094"/>
    <w:multiLevelType w:val="hybridMultilevel"/>
    <w:lvl w:ilvl="0">
      <w:lvlJc w:val="left"/>
      <w:lvlText w:val="(%1)"/>
      <w:numFmt w:val="lowerLetter"/>
      <w:start w:val="3"/>
    </w:lvl>
  </w:abstractNum>
  <w:abstractNum w:abstractNumId="24">
    <w:nsid w:val="3DB012B3"/>
    <w:multiLevelType w:val="hybridMultilevel"/>
    <w:lvl w:ilvl="0">
      <w:lvlJc w:val="left"/>
      <w:lvlText w:val="(%1)"/>
      <w:numFmt w:val="lowerLetter"/>
      <w:start w:val="4"/>
    </w:lvl>
  </w:abstractNum>
  <w:abstractNum w:abstractNumId="25">
    <w:nsid w:val="2708C9AF"/>
    <w:multiLevelType w:val="hybridMultilevel"/>
    <w:lvl w:ilvl="0">
      <w:lvlJc w:val="left"/>
      <w:lvlText w:val="•"/>
      <w:numFmt w:val="bullet"/>
      <w:start w:val="1"/>
    </w:lvl>
  </w:abstractNum>
  <w:abstractNum w:abstractNumId="26">
    <w:nsid w:val="5B25ACE2"/>
    <w:multiLevelType w:val="hybridMultilevel"/>
    <w:lvl w:ilvl="0">
      <w:lvlJc w:val="left"/>
      <w:lvlText w:val="•"/>
      <w:numFmt w:val="bullet"/>
      <w:start w:val="1"/>
    </w:lvl>
  </w:abstractNum>
  <w:abstractNum w:abstractNumId="27">
    <w:nsid w:val="175DFCF0"/>
    <w:multiLevelType w:val="hybridMultilevel"/>
    <w:lvl w:ilvl="0">
      <w:lvlJc w:val="left"/>
      <w:lvlText w:val="(%1)"/>
      <w:numFmt w:val="lowerRoman"/>
      <w:start w:val="3"/>
    </w:lvl>
  </w:abstractNum>
  <w:abstractNum w:abstractNumId="28">
    <w:nsid w:val="4F97E3E4"/>
    <w:multiLevelType w:val="hybridMultilevel"/>
    <w:lvl w:ilvl="0">
      <w:lvlJc w:val="left"/>
      <w:lvlText w:val="(%1)"/>
      <w:numFmt w:val="decimal"/>
      <w:start w:val="2"/>
    </w:lvl>
  </w:abstractNum>
  <w:abstractNum w:abstractNumId="29">
    <w:nsid w:val="53B0A9E"/>
    <w:multiLevelType w:val="hybridMultilevel"/>
    <w:lvl w:ilvl="0">
      <w:lvlJc w:val="left"/>
      <w:lvlText w:val="(%1)"/>
      <w:numFmt w:val="decimal"/>
      <w:start w:val="1"/>
    </w:lvl>
  </w:abstractNum>
  <w:abstractNum w:abstractNumId="30">
    <w:nsid w:val="34FD6B4F"/>
    <w:multiLevelType w:val="hybridMultilevel"/>
    <w:lvl w:ilvl="0">
      <w:lvlJc w:val="left"/>
      <w:lvlText w:val="(%1)"/>
      <w:numFmt w:val="decimal"/>
      <w:start w:val="3"/>
    </w:lvl>
  </w:abstractNum>
  <w:abstractNum w:abstractNumId="31">
    <w:nsid w:val="5915FF32"/>
    <w:multiLevelType w:val="hybridMultilevel"/>
    <w:lvl w:ilvl="0">
      <w:lvlJc w:val="left"/>
      <w:lvlText w:val="(%1)"/>
      <w:numFmt w:val="lowerRoman"/>
      <w:start w:val="1"/>
    </w:lvl>
  </w:abstractNum>
  <w:abstractNum w:abstractNumId="32">
    <w:nsid w:val="56438D15"/>
    <w:multiLevelType w:val="hybridMultilevel"/>
    <w:lvl w:ilvl="0">
      <w:lvlJc w:val="left"/>
      <w:lvlText w:val="%1"/>
      <w:numFmt w:val="upperLetter"/>
      <w:start w:val="55"/>
    </w:lvl>
  </w:abstractNum>
  <w:abstractNum w:abstractNumId="33">
    <w:nsid w:val="519E3149"/>
    <w:multiLevelType w:val="hybridMultilevel"/>
    <w:lvl w:ilvl="0">
      <w:lvlJc w:val="left"/>
      <w:lvlText w:val=" "/>
      <w:numFmt w:val="bullet"/>
      <w:start w:val="1"/>
    </w:lvl>
  </w:abstractNum>
  <w:abstractNum w:abstractNumId="34">
    <w:nsid w:val="2C6E4AFD"/>
    <w:multiLevelType w:val="hybridMultilevel"/>
    <w:lvl w:ilvl="0">
      <w:lvlJc w:val="left"/>
      <w:lvlText w:val=" "/>
      <w:numFmt w:val="bullet"/>
      <w:start w:val="1"/>
    </w:lvl>
  </w:abstractNum>
  <w:abstractNum w:abstractNumId="35">
    <w:nsid w:val="17A1B582"/>
    <w:multiLevelType w:val="hybridMultilevel"/>
    <w:lvl w:ilvl="0">
      <w:lvlJc w:val="left"/>
      <w:lvlText w:val=" "/>
      <w:numFmt w:val="bullet"/>
      <w:start w:val="1"/>
    </w:lvl>
  </w:abstractNum>
  <w:abstractNum w:abstractNumId="36">
    <w:nsid w:val="4DF72E4E"/>
    <w:multiLevelType w:val="hybridMultilevel"/>
    <w:lvl w:ilvl="0">
      <w:lvlJc w:val="left"/>
      <w:lvlText w:val=" "/>
      <w:numFmt w:val="bullet"/>
      <w:start w:val="1"/>
    </w:lvl>
  </w:abstractNum>
  <w:abstractNum w:abstractNumId="37">
    <w:nsid w:val="5046B5A9"/>
    <w:multiLevelType w:val="hybridMultilevel"/>
    <w:lvl w:ilvl="0">
      <w:lvlJc w:val="left"/>
      <w:lvlText w:val=" "/>
      <w:numFmt w:val="bullet"/>
      <w:start w:val="1"/>
    </w:lvl>
  </w:abstractNum>
  <w:abstractNum w:abstractNumId="38">
    <w:nsid w:val="5D888A08"/>
    <w:multiLevelType w:val="hybridMultilevel"/>
    <w:lvl w:ilvl="0">
      <w:lvlJc w:val="left"/>
      <w:lvlText w:val="%1"/>
      <w:numFmt w:val="decimal"/>
      <w:start w:val="107"/>
    </w:lvl>
  </w:abstractNum>
  <w:abstractNum w:abstractNumId="39">
    <w:nsid w:val="2A082C70"/>
    <w:multiLevelType w:val="hybridMultilevel"/>
    <w:lvl w:ilvl="0">
      <w:lvlJc w:val="left"/>
      <w:lvlText w:val="*"/>
      <w:numFmt w:val="bullet"/>
      <w:start w:val="1"/>
    </w:lvl>
  </w:abstractNum>
  <w:abstractNum w:abstractNumId="40">
    <w:nsid w:val="5EC6AFD4"/>
    <w:multiLevelType w:val="hybridMultilevel"/>
    <w:lvl w:ilvl="0">
      <w:lvlJc w:val="left"/>
      <w:lvlText w:val="**"/>
      <w:numFmt w:val="bullet"/>
      <w:start w:val="1"/>
    </w:lvl>
  </w:abstractNum>
  <w:abstractNum w:abstractNumId="41">
    <w:nsid w:val="19E21BB2"/>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2">
    <w:nsid w:val="75E0858A"/>
    <w:multiLevelType w:val="hybridMultilevel"/>
    <w:lvl w:ilvl="0">
      <w:lvlJc w:val="left"/>
      <w:lvlText w:val="(%1)"/>
      <w:numFmt w:val="decimal"/>
      <w:start w:val="2"/>
    </w:lvl>
    <w:lvl w:ilvl="1">
      <w:lvlJc w:val="left"/>
      <w:lvlText w:val="(%2)"/>
      <w:numFmt w:val="lowerRoman"/>
      <w:start w:val="1"/>
    </w:lvl>
  </w:abstractNum>
  <w:abstractNum w:abstractNumId="43">
    <w:nsid w:val="57A61A29"/>
    <w:multiLevelType w:val="hybridMultilevel"/>
    <w:lvl w:ilvl="0">
      <w:lvlJc w:val="left"/>
      <w:lvlText w:val="%1"/>
      <w:numFmt w:val="lowerLetter"/>
      <w:start w:val="1"/>
    </w:lvl>
    <w:lvl w:ilvl="1">
      <w:lvlJc w:val="left"/>
      <w:lvlText w:val="(%2)"/>
      <w:numFmt w:val="lowerRoman"/>
      <w:start w:val="4"/>
    </w:lvl>
  </w:abstractNum>
  <w:abstractNum w:abstractNumId="44">
    <w:nsid w:val="5399C654"/>
    <w:multiLevelType w:val="hybridMultilevel"/>
    <w:lvl w:ilvl="0">
      <w:lvlJc w:val="left"/>
      <w:lvlText w:val="(%1)"/>
      <w:numFmt w:val="lowerLetter"/>
      <w:start w:val="2"/>
    </w:lvl>
    <w:lvl w:ilvl="1">
      <w:lvlJc w:val="left"/>
      <w:lvlText w:val="%2"/>
      <w:numFmt w:val="lowerRoman"/>
      <w:start w:val="1"/>
    </w:lvl>
  </w:abstractNum>
  <w:abstractNum w:abstractNumId="45">
    <w:nsid w:val="20EE1348"/>
    <w:multiLevelType w:val="hybridMultilevel"/>
    <w:lvl w:ilvl="0">
      <w:lvlJc w:val="left"/>
      <w:lvlText w:val="(%1)"/>
      <w:numFmt w:val="lowerLetter"/>
      <w:start w:val="1"/>
    </w:lvl>
  </w:abstractNum>
  <w:abstractNum w:abstractNumId="46">
    <w:nsid w:val="4427069A"/>
    <w:multiLevelType w:val="hybridMultilevel"/>
    <w:lvl w:ilvl="0">
      <w:lvlJc w:val="left"/>
      <w:lvlText w:val="(%1)"/>
      <w:numFmt w:val="decimal"/>
      <w:start w:val="1"/>
    </w:lvl>
  </w:abstractNum>
  <w:abstractNum w:abstractNumId="47">
    <w:nsid w:val="B37E80A"/>
    <w:multiLevelType w:val="hybridMultilevel"/>
    <w:lvl w:ilvl="0">
      <w:lvlJc w:val="left"/>
      <w:lvlText w:val="(%1)"/>
      <w:numFmt w:val="decimal"/>
      <w:start w:val="1"/>
    </w:lvl>
  </w:abstractNum>
  <w:abstractNum w:abstractNumId="48">
    <w:nsid w:val="2157F6BC"/>
    <w:multiLevelType w:val="hybridMultilevel"/>
    <w:lvl w:ilvl="0">
      <w:lvlJc w:val="left"/>
      <w:lvlText w:val="(%1)"/>
      <w:numFmt w:val="decimal"/>
      <w:start w:val="1"/>
    </w:lvl>
  </w:abstractNum>
  <w:abstractNum w:abstractNumId="49">
    <w:nsid w:val="704E1DD5"/>
    <w:multiLevelType w:val="hybridMultilevel"/>
    <w:lvl w:ilvl="0">
      <w:lvlJc w:val="left"/>
      <w:lvlText w:val="(%1)"/>
      <w:numFmt w:val="decimal"/>
      <w:start w:val="1"/>
    </w:lvl>
  </w:abstractNum>
  <w:abstractNum w:abstractNumId="50">
    <w:nsid w:val="57D2F10E"/>
    <w:multiLevelType w:val="hybridMultilevel"/>
    <w:lvl w:ilvl="0">
      <w:lvlJc w:val="left"/>
      <w:lvlText w:val="(%1)"/>
      <w:numFmt w:val="decimal"/>
      <w:start w:val="5"/>
    </w:lvl>
  </w:abstractNum>
  <w:abstractNum w:abstractNumId="51">
    <w:nsid w:val="BFFAE18"/>
    <w:multiLevelType w:val="hybridMultilevel"/>
    <w:lvl w:ilvl="0">
      <w:lvlJc w:val="left"/>
      <w:lvlText w:val="(%1)"/>
      <w:numFmt w:val="lowerLetter"/>
      <w:start w:val="1"/>
    </w:lvl>
  </w:abstractNum>
  <w:abstractNum w:abstractNumId="52">
    <w:nsid w:val="E3E47A8"/>
    <w:multiLevelType w:val="hybridMultilevel"/>
    <w:lvl w:ilvl="0">
      <w:lvlJc w:val="left"/>
      <w:lvlText w:val="(%1)"/>
      <w:numFmt w:val="decimal"/>
      <w:start w:val="1"/>
    </w:lvl>
  </w:abstractNum>
  <w:abstractNum w:abstractNumId="53">
    <w:nsid w:val="2E48F044"/>
    <w:multiLevelType w:val="hybridMultilevel"/>
    <w:lvl w:ilvl="0">
      <w:lvlJc w:val="left"/>
      <w:lvlText w:val="(%1)"/>
      <w:numFmt w:val="lowerLetter"/>
      <w:start w:val="1"/>
    </w:lvl>
  </w:abstractNum>
  <w:abstractNum w:abstractNumId="54">
    <w:nsid w:val="49D0FEAC"/>
    <w:multiLevelType w:val="hybridMultilevel"/>
    <w:lvl w:ilvl="0">
      <w:lvlJc w:val="left"/>
      <w:lvlText w:val="(%1)"/>
      <w:numFmt w:val="lowerLetter"/>
      <w:start w:val="1"/>
    </w:lvl>
  </w:abstractNum>
  <w:abstractNum w:abstractNumId="55">
    <w:nsid w:val="4BEE5A5B"/>
    <w:multiLevelType w:val="hybridMultilevel"/>
    <w:lvl w:ilvl="0">
      <w:lvlJc w:val="left"/>
      <w:lvlText w:val="(%1)"/>
      <w:numFmt w:val="lowerLetter"/>
      <w:start w:val="6"/>
    </w:lvl>
  </w:abstractNum>
  <w:abstractNum w:abstractNumId="56">
    <w:nsid w:val="5551B9F3"/>
    <w:multiLevelType w:val="hybridMultilevel"/>
    <w:lvl w:ilvl="0">
      <w:lvlJc w:val="left"/>
      <w:lvlText w:val="(%1)"/>
      <w:numFmt w:val="lowerLetter"/>
      <w:start w:val="1"/>
    </w:lvl>
  </w:abstractNum>
  <w:abstractNum w:abstractNumId="57">
    <w:nsid w:val="24F6AB8E"/>
    <w:multiLevelType w:val="hybridMultilevel"/>
    <w:lvl w:ilvl="0">
      <w:lvlJc w:val="left"/>
      <w:lvlText w:val="(%1)"/>
      <w:numFmt w:val="decimal"/>
      <w:start w:val="1"/>
    </w:lvl>
  </w:abstractNum>
  <w:abstractNum w:abstractNumId="58">
    <w:nsid w:val="634C574C"/>
    <w:multiLevelType w:val="hybridMultilevel"/>
    <w:lvl w:ilvl="0">
      <w:lvlJc w:val="left"/>
      <w:lvlText w:val="(%1)"/>
      <w:numFmt w:val="decimal"/>
      <w:start w:val="11"/>
    </w:lvl>
  </w:abstractNum>
  <w:abstractNum w:abstractNumId="59">
    <w:nsid w:val="24E99DD7"/>
    <w:multiLevelType w:val="hybridMultilevel"/>
    <w:lvl w:ilvl="0">
      <w:lvlJc w:val="left"/>
      <w:lvlText w:val="(%1)"/>
      <w:numFmt w:val="lowerLetter"/>
      <w:start w:val="1"/>
    </w:lvl>
  </w:abstractNum>
  <w:abstractNum w:abstractNumId="60">
    <w:nsid w:val="2A31B62D"/>
    <w:multiLevelType w:val="hybridMultilevel"/>
    <w:lvl w:ilvl="0">
      <w:lvlJc w:val="left"/>
      <w:lvlText w:val="(%1)"/>
      <w:numFmt w:val="decimal"/>
      <w:start w:val="1"/>
    </w:lvl>
  </w:abstractNum>
  <w:abstractNum w:abstractNumId="61">
    <w:nsid w:val="1849C29B"/>
    <w:multiLevelType w:val="hybridMultilevel"/>
    <w:lvl w:ilvl="0">
      <w:lvlJc w:val="left"/>
      <w:lvlText w:val="(%1)"/>
      <w:numFmt w:val="lowerLetter"/>
      <w:start w:val="1"/>
    </w:lvl>
  </w:abstractNum>
  <w:abstractNum w:abstractNumId="62">
    <w:nsid w:val="7DFF9D09"/>
    <w:multiLevelType w:val="hybridMultilevel"/>
    <w:lvl w:ilvl="0">
      <w:lvlJc w:val="left"/>
      <w:lvlText w:val="%1"/>
      <w:numFmt w:val="lowerLetter"/>
      <w:start w:val="1"/>
    </w:lvl>
    <w:lvl w:ilvl="1">
      <w:lvlJc w:val="left"/>
      <w:lvlText w:val="(%2)"/>
      <w:numFmt w:val="lowerLetter"/>
      <w:start w:val="1"/>
    </w:lvl>
  </w:abstractNum>
  <w:abstractNum w:abstractNumId="63">
    <w:nsid w:val="754342"/>
    <w:multiLevelType w:val="hybridMultilevel"/>
    <w:lvl w:ilvl="0">
      <w:lvlJc w:val="left"/>
      <w:lvlText w:val="(%1)"/>
      <w:numFmt w:val="lowerLetter"/>
      <w:start w:val="35"/>
    </w:lvl>
    <w:lvl w:ilvl="1">
      <w:lvlJc w:val="left"/>
      <w:lvlText w:val="%2"/>
      <w:numFmt w:val="lowerLetter"/>
      <w:start w:val="1"/>
    </w:lvl>
  </w:abstractNum>
  <w:abstractNum w:abstractNumId="64">
    <w:nsid w:val="69E7F3E5"/>
    <w:multiLevelType w:val="hybridMultilevel"/>
    <w:lvl w:ilvl="0">
      <w:lvlJc w:val="left"/>
      <w:lvlText w:val="%1"/>
      <w:numFmt w:val="upperLetter"/>
      <w:start w:val="1"/>
    </w:lvl>
    <w:lvl w:ilvl="1">
      <w:lvlJc w:val="left"/>
      <w:lvlText w:val="(%2)"/>
      <w:numFmt w:val="lowerLetter"/>
      <w:start w:val="2"/>
    </w:lvl>
  </w:abstractNum>
  <w:abstractNum w:abstractNumId="65">
    <w:nsid w:val="2A6DE806"/>
    <w:multiLevelType w:val="hybridMultilevel"/>
    <w:lvl w:ilvl="0">
      <w:lvlJc w:val="left"/>
      <w:lvlText w:val="(%1)"/>
      <w:numFmt w:val="lowerLetter"/>
      <w:start w:val="1"/>
    </w:lvl>
  </w:abstractNum>
  <w:abstractNum w:abstractNumId="66">
    <w:nsid w:val="1816F8C4"/>
    <w:multiLevelType w:val="hybridMultilevel"/>
    <w:lvl w:ilvl="0">
      <w:lvlJc w:val="left"/>
      <w:lvlText w:val="(%1)"/>
      <w:numFmt w:val="lowerLetter"/>
      <w:start w:val="2"/>
    </w:lvl>
  </w:abstractNum>
  <w:abstractNum w:abstractNumId="67">
    <w:nsid w:val="37DF2233"/>
    <w:multiLevelType w:val="hybridMultilevel"/>
    <w:lvl w:ilvl="0">
      <w:lvlJc w:val="left"/>
      <w:lvlText w:val="(%1)"/>
      <w:numFmt w:val="decimal"/>
      <w:start w:val="1"/>
    </w:lvl>
  </w:abstractNum>
  <w:abstractNum w:abstractNumId="68">
    <w:nsid w:val="7AB49DAF"/>
    <w:multiLevelType w:val="hybridMultilevel"/>
    <w:lvl w:ilvl="0">
      <w:lvlJc w:val="left"/>
      <w:lvlText w:val="(%1)"/>
      <w:numFmt w:val="decimal"/>
      <w:start w:val="8"/>
    </w:lvl>
  </w:abstractNum>
  <w:abstractNum w:abstractNumId="69">
    <w:nsid w:val="759F82CD"/>
    <w:multiLevelType w:val="hybridMultilevel"/>
    <w:lvl w:ilvl="0">
      <w:lvlJc w:val="left"/>
      <w:lvlText w:val="(%1)"/>
      <w:numFmt w:val="lowerLetter"/>
      <w:start w:val="1"/>
    </w:lvl>
  </w:abstractNum>
  <w:abstractNum w:abstractNumId="70">
    <w:nsid w:val="61E74EA3"/>
    <w:multiLevelType w:val="hybridMultilevel"/>
    <w:lvl w:ilvl="0">
      <w:lvlJc w:val="left"/>
      <w:lvlText w:val="(%1)"/>
      <w:numFmt w:val="lowerRoman"/>
      <w:start w:val="1"/>
    </w:lvl>
  </w:abstractNum>
  <w:abstractNum w:abstractNumId="71">
    <w:nsid w:val="597B4D84"/>
    <w:multiLevelType w:val="hybridMultilevel"/>
    <w:lvl w:ilvl="0">
      <w:lvlJc w:val="left"/>
      <w:lvlText w:val="(%1)"/>
      <w:numFmt w:val="lowerRoman"/>
      <w:start w:val="1"/>
    </w:lvl>
  </w:abstractNum>
  <w:abstractNum w:abstractNumId="72">
    <w:nsid w:val="F819E7F"/>
    <w:multiLevelType w:val="hybridMultilevel"/>
    <w:lvl w:ilvl="0">
      <w:lvlJc w:val="left"/>
      <w:lvlText w:val="(%1)"/>
      <w:numFmt w:val="lowerLetter"/>
      <w:start w:val="7"/>
    </w:lvl>
  </w:abstractNum>
  <w:abstractNum w:abstractNumId="73">
    <w:nsid w:val="57C7D42D"/>
    <w:multiLevelType w:val="hybridMultilevel"/>
    <w:lvl w:ilvl="0">
      <w:lvlJc w:val="left"/>
      <w:lvlText w:val="(%1)"/>
      <w:numFmt w:val="lowerLetter"/>
      <w:start w:val="1"/>
    </w:lvl>
  </w:abstractNum>
  <w:abstractNum w:abstractNumId="74">
    <w:nsid w:val="312167AD"/>
    <w:multiLevelType w:val="hybridMultilevel"/>
    <w:lvl w:ilvl="0">
      <w:lvlJc w:val="left"/>
      <w:lvlText w:val="(%1)"/>
      <w:numFmt w:val="lowerLetter"/>
      <w:start w:val="1"/>
    </w:lvl>
  </w:abstractNum>
  <w:abstractNum w:abstractNumId="75">
    <w:nsid w:val="631B64D4"/>
    <w:multiLevelType w:val="hybridMultilevel"/>
    <w:lvl w:ilvl="0">
      <w:lvlJc w:val="left"/>
      <w:lvlText w:val="(%1)"/>
      <w:numFmt w:val="lowerLetter"/>
      <w:start w:val="1"/>
    </w:lvl>
  </w:abstractNum>
  <w:abstractNum w:abstractNumId="76">
    <w:nsid w:val="78B5E776"/>
    <w:multiLevelType w:val="hybridMultilevel"/>
    <w:lvl w:ilvl="0">
      <w:lvlJc w:val="left"/>
      <w:lvlText w:val="(%1)"/>
      <w:numFmt w:val="lowerLetter"/>
      <w:start w:val="1"/>
    </w:lvl>
  </w:abstractNum>
  <w:abstractNum w:abstractNumId="77">
    <w:nsid w:val="75486E47"/>
    <w:multiLevelType w:val="hybridMultilevel"/>
    <w:lvl w:ilvl="0">
      <w:lvlJc w:val="left"/>
      <w:lvlText w:val="(%1)"/>
      <w:numFmt w:val="decimal"/>
      <w:start w:val="1"/>
    </w:lvl>
  </w:abstractNum>
  <w:abstractNum w:abstractNumId="78">
    <w:nsid w:val="6E534CDE"/>
    <w:multiLevelType w:val="hybridMultilevel"/>
    <w:lvl w:ilvl="0">
      <w:lvlJc w:val="left"/>
      <w:lvlText w:val="(%1)"/>
      <w:numFmt w:val="lowerLetter"/>
      <w:start w:val="3"/>
    </w:lvl>
  </w:abstractNum>
  <w:abstractNum w:abstractNumId="79">
    <w:nsid w:val="1A0DDE32"/>
    <w:multiLevelType w:val="hybridMultilevel"/>
    <w:lvl w:ilvl="0">
      <w:lvlJc w:val="left"/>
      <w:lvlText w:val="(%1)"/>
      <w:numFmt w:val="decimal"/>
      <w:start w:val="1"/>
    </w:lvl>
  </w:abstractNum>
  <w:abstractNum w:abstractNumId="80">
    <w:nsid w:val="65968C1C"/>
    <w:multiLevelType w:val="hybridMultilevel"/>
    <w:lvl w:ilvl="0">
      <w:lvlJc w:val="left"/>
      <w:lvlText w:val="(%1)"/>
      <w:numFmt w:val="lowerLetter"/>
      <w:start w:val="4"/>
    </w:lvl>
  </w:abstractNum>
  <w:abstractNum w:abstractNumId="81">
    <w:nsid w:val="46263DEC"/>
    <w:multiLevelType w:val="hybridMultilevel"/>
    <w:lvl w:ilvl="0">
      <w:lvlJc w:val="left"/>
      <w:lvlText w:val="(%1)"/>
      <w:numFmt w:val="lowerLetter"/>
      <w:start w:val="1"/>
    </w:lvl>
  </w:abstractNum>
  <w:abstractNum w:abstractNumId="82">
    <w:nsid w:val="260D8C4A"/>
    <w:multiLevelType w:val="hybridMultilevel"/>
    <w:lvl w:ilvl="0">
      <w:lvlJc w:val="left"/>
      <w:lvlText w:val="(%1)"/>
      <w:numFmt w:val="lowerLetter"/>
      <w:start w:val="5"/>
    </w:lvl>
  </w:abstractNum>
  <w:abstractNum w:abstractNumId="83">
    <w:nsid w:val="73D4D3C4"/>
    <w:multiLevelType w:val="hybridMultilevel"/>
    <w:lvl w:ilvl="0">
      <w:lvlJc w:val="left"/>
      <w:lvlText w:val="(%1)"/>
      <w:numFmt w:val="lowerLetter"/>
      <w:start w:val="1"/>
    </w:lvl>
  </w:abstractNum>
  <w:abstractNum w:abstractNumId="84">
    <w:nsid w:val="746F2E30"/>
    <w:multiLevelType w:val="hybridMultilevel"/>
    <w:lvl w:ilvl="0">
      <w:lvlJc w:val="left"/>
      <w:lvlText w:val="(%1)"/>
      <w:numFmt w:val="decimal"/>
      <w:start w:val="1"/>
    </w:lvl>
  </w:abstractNum>
  <w:abstractNum w:abstractNumId="85">
    <w:nsid w:val="6FDE8AF6"/>
    <w:multiLevelType w:val="hybridMultilevel"/>
    <w:lvl w:ilvl="0">
      <w:lvlJc w:val="left"/>
      <w:lvlText w:val="(%1)"/>
      <w:numFmt w:val="lowerLetter"/>
      <w:start w:val="5"/>
    </w:lvl>
  </w:abstractNum>
  <w:abstractNum w:abstractNumId="86">
    <w:nsid w:val="3FC32E20"/>
    <w:multiLevelType w:val="hybridMultilevel"/>
    <w:lvl w:ilvl="0">
      <w:lvlJc w:val="left"/>
      <w:lvlText w:val="(%1)"/>
      <w:numFmt w:val="decimal"/>
      <w:start w:val="3"/>
    </w:lvl>
  </w:abstractNum>
  <w:abstractNum w:abstractNumId="87">
    <w:nsid w:val="49C0E823"/>
    <w:multiLevelType w:val="hybridMultilevel"/>
    <w:lvl w:ilvl="0">
      <w:lvlJc w:val="left"/>
      <w:lvlText w:val="(%1)"/>
      <w:numFmt w:val="lowerLetter"/>
      <w:start w:val="1"/>
    </w:lvl>
  </w:abstractNum>
  <w:abstractNum w:abstractNumId="88">
    <w:nsid w:val="14D53685"/>
    <w:multiLevelType w:val="hybridMultilevel"/>
    <w:lvl w:ilvl="0">
      <w:lvlJc w:val="left"/>
      <w:lvlText w:val="(%1)"/>
      <w:numFmt w:val="decimal"/>
      <w:start w:val="1"/>
    </w:lvl>
  </w:abstractNum>
  <w:abstractNum w:abstractNumId="89">
    <w:nsid w:val="230F856C"/>
    <w:multiLevelType w:val="hybridMultilevel"/>
    <w:lvl w:ilvl="0">
      <w:lvlJc w:val="left"/>
      <w:lvlText w:val="(%1)"/>
      <w:numFmt w:val="decimal"/>
      <w:start w:val="2"/>
    </w:lvl>
  </w:abstractNum>
  <w:abstractNum w:abstractNumId="90">
    <w:nsid w:val="6EAA85FB"/>
    <w:multiLevelType w:val="hybridMultilevel"/>
    <w:lvl w:ilvl="0">
      <w:lvlJc w:val="left"/>
      <w:lvlText w:val="(%1)"/>
      <w:numFmt w:val="decimal"/>
      <w:start w:val="5"/>
    </w:lvl>
  </w:abstractNum>
  <w:abstractNum w:abstractNumId="91">
    <w:nsid w:val="3F06ECB2"/>
    <w:multiLevelType w:val="hybridMultilevel"/>
    <w:lvl w:ilvl="0">
      <w:lvlJc w:val="left"/>
      <w:lvlText w:val="(%1)"/>
      <w:numFmt w:val="lowerLetter"/>
      <w:start w:val="1"/>
    </w:lvl>
  </w:abstractNum>
  <w:abstractNum w:abstractNumId="92">
    <w:nsid w:val="3B594807"/>
    <w:multiLevelType w:val="hybridMultilevel"/>
    <w:lvl w:ilvl="0">
      <w:lvlJc w:val="left"/>
      <w:lvlText w:val="(%1)"/>
      <w:numFmt w:val="lowerLetter"/>
      <w:start w:val="1"/>
    </w:lvl>
  </w:abstractNum>
  <w:abstractNum w:abstractNumId="93">
    <w:nsid w:val="6CAA2304"/>
    <w:multiLevelType w:val="hybridMultilevel"/>
    <w:lvl w:ilvl="0">
      <w:lvlJc w:val="left"/>
      <w:lvlText w:val="(%1)"/>
      <w:numFmt w:val="lowerLetter"/>
      <w:start w:val="2"/>
    </w:lvl>
  </w:abstractNum>
  <w:abstractNum w:abstractNumId="94">
    <w:nsid w:val="3F7C2FF4"/>
    <w:multiLevelType w:val="hybridMultilevel"/>
    <w:lvl w:ilvl="0">
      <w:lvlJc w:val="left"/>
      <w:lvlText w:val="(%1)"/>
      <w:numFmt w:val="lowerLetter"/>
      <w:start w:val="1"/>
    </w:lvl>
  </w:abstractNum>
  <w:abstractNum w:abstractNumId="95">
    <w:nsid w:val="25413BEC"/>
    <w:multiLevelType w:val="hybridMultilevel"/>
    <w:lvl w:ilvl="0">
      <w:lvlJc w:val="left"/>
      <w:lvlText w:val="(%1)"/>
      <w:numFmt w:val="lowerLetter"/>
      <w:start w:val="7"/>
    </w:lvl>
  </w:abstractNum>
  <w:abstractNum w:abstractNumId="96">
    <w:nsid w:val="17180B0B"/>
    <w:multiLevelType w:val="hybridMultilevel"/>
    <w:lvl w:ilvl="0">
      <w:lvlJc w:val="left"/>
      <w:lvlText w:val="(%1)"/>
      <w:numFmt w:val="lowerLetter"/>
      <w:start w:val="1"/>
    </w:lvl>
  </w:abstractNum>
  <w:abstractNum w:abstractNumId="97">
    <w:nsid w:val="579328B9"/>
    <w:multiLevelType w:val="hybridMultilevel"/>
    <w:lvl w:ilvl="0">
      <w:lvlJc w:val="left"/>
      <w:lvlText w:val="(%1)"/>
      <w:numFmt w:val="lowerLetter"/>
      <w:start w:val="1"/>
    </w:lvl>
  </w:abstractNum>
  <w:abstractNum w:abstractNumId="98">
    <w:nsid w:val="5D205E20"/>
    <w:multiLevelType w:val="hybridMultilevel"/>
    <w:lvl w:ilvl="0">
      <w:lvlJc w:val="left"/>
      <w:lvlText w:val="(%1)"/>
      <w:numFmt w:val="lowerLetter"/>
      <w:start w:val="1"/>
    </w:lvl>
  </w:abstractNum>
  <w:abstractNum w:abstractNumId="99">
    <w:nsid w:val="11CCA8BA"/>
    <w:multiLevelType w:val="hybridMultilevel"/>
    <w:lvl w:ilvl="0">
      <w:lvlJc w:val="left"/>
      <w:lvlText w:val="(%1)"/>
      <w:numFmt w:val="lowerRoman"/>
      <w:start w:val="1"/>
    </w:lvl>
  </w:abstractNum>
  <w:abstractNum w:abstractNumId="100">
    <w:nsid w:val="4D32AB86"/>
    <w:multiLevelType w:val="hybridMultilevel"/>
    <w:lvl w:ilvl="0">
      <w:lvlJc w:val="left"/>
      <w:lvlText w:val="%1"/>
      <w:numFmt w:val="lowerLetter"/>
      <w:start w:val="1"/>
    </w:lvl>
    <w:lvl w:ilvl="1">
      <w:lvlJc w:val="left"/>
      <w:lvlText w:val="(%2)"/>
      <w:numFmt w:val="lowerLetter"/>
      <w:start w:val="2"/>
    </w:lvl>
  </w:abstractNum>
  <w:abstractNum w:abstractNumId="101">
    <w:nsid w:val="3F07ACC3"/>
    <w:multiLevelType w:val="hybridMultilevel"/>
    <w:lvl w:ilvl="0">
      <w:lvlJc w:val="left"/>
      <w:lvlText w:val="(%1)"/>
      <w:numFmt w:val="lowerLetter"/>
      <w:start w:val="3"/>
    </w:lvl>
    <w:lvl w:ilvl="1">
      <w:lvlJc w:val="left"/>
      <w:lvlText w:val="%2"/>
      <w:numFmt w:val="lowerLetter"/>
      <w:start w:val="1"/>
    </w:lvl>
  </w:abstractNum>
  <w:abstractNum w:abstractNumId="102">
    <w:nsid w:val="6B47F63E"/>
    <w:multiLevelType w:val="hybridMultilevel"/>
    <w:lvl w:ilvl="0">
      <w:lvlJc w:val="left"/>
      <w:lvlText w:val="(%1)"/>
      <w:numFmt w:val="lowerLetter"/>
      <w:start w:val="5"/>
    </w:lvl>
  </w:abstractNum>
  <w:abstractNum w:abstractNumId="103">
    <w:nsid w:val="5CB44A05"/>
    <w:multiLevelType w:val="hybridMultilevel"/>
    <w:lvl w:ilvl="0">
      <w:lvlJc w:val="left"/>
      <w:lvlText w:val="(%1)"/>
      <w:numFmt w:val="decimal"/>
      <w:start w:val="1"/>
    </w:lvl>
  </w:abstractNum>
  <w:abstractNum w:abstractNumId="104">
    <w:nsid w:val="16CF80F1"/>
    <w:multiLevelType w:val="hybridMultilevel"/>
    <w:lvl w:ilvl="0">
      <w:lvlJc w:val="left"/>
      <w:lvlText w:val="(%1)"/>
      <w:numFmt w:val="lowerLetter"/>
      <w:start w:val="1"/>
    </w:lvl>
  </w:abstractNum>
  <w:abstractNum w:abstractNumId="105">
    <w:nsid w:val="1C695DEC"/>
    <w:multiLevelType w:val="hybridMultilevel"/>
    <w:lvl w:ilvl="0">
      <w:lvlJc w:val="left"/>
      <w:lvlText w:val="(%1)"/>
      <w:numFmt w:val="lowerLetter"/>
      <w:start w:val="4"/>
    </w:lvl>
  </w:abstractNum>
  <w:abstractNum w:abstractNumId="106">
    <w:nsid w:val="3FCFAED9"/>
    <w:multiLevelType w:val="hybridMultilevel"/>
    <w:lvl w:ilvl="0">
      <w:lvlJc w:val="left"/>
      <w:lvlText w:val="(%1)"/>
      <w:numFmt w:val="decimal"/>
      <w:start w:val="1"/>
    </w:lvl>
  </w:abstractNum>
  <w:abstractNum w:abstractNumId="107">
    <w:nsid w:val="F856867"/>
    <w:multiLevelType w:val="hybridMultilevel"/>
    <w:lvl w:ilvl="0">
      <w:lvlJc w:val="left"/>
      <w:lvlText w:val="(%1)"/>
      <w:numFmt w:val="lowerLetter"/>
      <w:start w:val="2"/>
    </w:lvl>
  </w:abstractNum>
  <w:abstractNum w:abstractNumId="108">
    <w:nsid w:val="11B1CC33"/>
    <w:multiLevelType w:val="hybridMultilevel"/>
    <w:lvl w:ilvl="0">
      <w:lvlJc w:val="left"/>
      <w:lvlText w:val="(%1)"/>
      <w:numFmt w:val="decimal"/>
      <w:start w:val="1"/>
    </w:lvl>
  </w:abstractNum>
  <w:abstractNum w:abstractNumId="109">
    <w:nsid w:val="2E22FBB7"/>
    <w:multiLevelType w:val="hybridMultilevel"/>
    <w:lvl w:ilvl="0">
      <w:lvlJc w:val="left"/>
      <w:lvlText w:val="(%1)"/>
      <w:numFmt w:val="lowerLetter"/>
      <w:start w:val="1"/>
    </w:lvl>
  </w:abstractNum>
  <w:abstractNum w:abstractNumId="110">
    <w:nsid w:val="29934699"/>
    <w:multiLevelType w:val="hybridMultilevel"/>
    <w:lvl w:ilvl="0">
      <w:lvlJc w:val="left"/>
      <w:lvlText w:val="(%1)"/>
      <w:numFmt w:val="decimal"/>
      <w:start w:val="1"/>
    </w:lvl>
  </w:abstractNum>
  <w:abstractNum w:abstractNumId="111">
    <w:nsid w:val="77485850"/>
    <w:multiLevelType w:val="hybridMultilevel"/>
    <w:lvl w:ilvl="0">
      <w:lvlJc w:val="left"/>
      <w:lvlText w:val="(%1)"/>
      <w:numFmt w:val="decimal"/>
      <w:start w:val="1"/>
    </w:lvl>
  </w:abstractNum>
  <w:abstractNum w:abstractNumId="112">
    <w:nsid w:val="744939A3"/>
    <w:multiLevelType w:val="hybridMultilevel"/>
    <w:lvl w:ilvl="0">
      <w:lvlJc w:val="left"/>
      <w:lvlText w:val="(%1)"/>
      <w:numFmt w:val="decimal"/>
      <w:start w:val="1"/>
    </w:lvl>
  </w:abstractNum>
  <w:abstractNum w:abstractNumId="113">
    <w:nsid w:val="4FA0D2E3"/>
    <w:multiLevelType w:val="hybridMultilevel"/>
    <w:lvl w:ilvl="0">
      <w:lvlJc w:val="left"/>
      <w:lvlText w:val="(%1)"/>
      <w:numFmt w:val="decimal"/>
      <w:start w:val="1"/>
    </w:lvl>
  </w:abstractNum>
  <w:abstractNum w:abstractNumId="114">
    <w:nsid w:val="6B1D2C14"/>
    <w:multiLevelType w:val="hybridMultilevel"/>
    <w:lvl w:ilvl="0">
      <w:lvlJc w:val="left"/>
      <w:lvlText w:val="(%1)"/>
      <w:numFmt w:val="decimal"/>
      <w:start w:val="2"/>
    </w:lvl>
  </w:abstractNum>
  <w:abstractNum w:abstractNumId="115">
    <w:nsid w:val="68B867D3"/>
    <w:multiLevelType w:val="hybridMultilevel"/>
    <w:lvl w:ilvl="0">
      <w:lvlJc w:val="left"/>
      <w:lvlText w:val="(%1)"/>
      <w:numFmt w:val="lowerLetter"/>
      <w:start w:val="1"/>
    </w:lvl>
  </w:abstractNum>
  <w:abstractNum w:abstractNumId="116">
    <w:nsid w:val="3F7F5DD9"/>
    <w:multiLevelType w:val="hybridMultilevel"/>
    <w:lvl w:ilvl="0">
      <w:lvlJc w:val="left"/>
      <w:lvlText w:val="(%1)"/>
      <w:numFmt w:val="lowerRoman"/>
      <w:start w:val="1"/>
    </w:lvl>
  </w:abstractNum>
  <w:abstractNum w:abstractNumId="117">
    <w:nsid w:val="2AE05A34"/>
    <w:multiLevelType w:val="hybridMultilevel"/>
    <w:lvl w:ilvl="0">
      <w:lvlJc w:val="left"/>
      <w:lvlText w:val="(%1)"/>
      <w:numFmt w:val="decimal"/>
      <w:start w:val="1"/>
    </w:lvl>
  </w:abstractNum>
  <w:abstractNum w:abstractNumId="118">
    <w:nsid w:val="32794FF7"/>
    <w:multiLevelType w:val="hybridMultilevel"/>
    <w:lvl w:ilvl="0">
      <w:lvlJc w:val="left"/>
      <w:lvlText w:val="(%1)"/>
      <w:numFmt w:val="lowerLetter"/>
      <w:start w:val="1"/>
    </w:lvl>
  </w:abstractNum>
  <w:abstractNum w:abstractNumId="119">
    <w:nsid w:val="5454945E"/>
    <w:multiLevelType w:val="hybridMultilevel"/>
    <w:lvl w:ilvl="0">
      <w:lvlJc w:val="left"/>
      <w:lvlText w:val="(%1)"/>
      <w:numFmt w:val="lowerLetter"/>
      <w:start w:val="1"/>
    </w:lvl>
  </w:abstractNum>
  <w:abstractNum w:abstractNumId="120">
    <w:nsid w:val="4DEFDFA0"/>
    <w:multiLevelType w:val="hybridMultilevel"/>
    <w:lvl w:ilvl="0">
      <w:lvlJc w:val="left"/>
      <w:lvlText w:val="(%1)"/>
      <w:numFmt w:val="lowerLetter"/>
      <w:start w:val="6"/>
    </w:lvl>
  </w:abstractNum>
  <w:abstractNum w:abstractNumId="121">
    <w:nsid w:val="2123D5F2"/>
    <w:multiLevelType w:val="hybridMultilevel"/>
    <w:lvl w:ilvl="0">
      <w:lvlJc w:val="left"/>
      <w:lvlText w:val="(%1)"/>
      <w:numFmt w:val="lowerLetter"/>
      <w:start w:val="1"/>
    </w:lvl>
  </w:abstractNum>
  <w:abstractNum w:abstractNumId="122">
    <w:nsid w:val="135B8110"/>
    <w:multiLevelType w:val="hybridMultilevel"/>
    <w:lvl w:ilvl="0">
      <w:lvlJc w:val="left"/>
      <w:lvlText w:val="(%1)"/>
      <w:numFmt w:val="decimal"/>
      <w:start w:val="1"/>
    </w:lvl>
  </w:abstractNum>
  <w:abstractNum w:abstractNumId="123">
    <w:nsid w:val="94927A8"/>
    <w:multiLevelType w:val="hybridMultilevel"/>
    <w:lvl w:ilvl="0">
      <w:lvlJc w:val="left"/>
      <w:lvlText w:val="(%1)"/>
      <w:numFmt w:val="decimal"/>
      <w:start w:val="12"/>
    </w:lvl>
  </w:abstractNum>
  <w:abstractNum w:abstractNumId="124">
    <w:nsid w:val="DCDF8F6"/>
    <w:multiLevelType w:val="hybridMultilevel"/>
    <w:lvl w:ilvl="0">
      <w:lvlJc w:val="left"/>
      <w:lvlText w:val="(%1)"/>
      <w:numFmt w:val="lowerLetter"/>
      <w:start w:val="1"/>
    </w:lvl>
  </w:abstractNum>
  <w:abstractNum w:abstractNumId="125">
    <w:nsid w:val="52D7B105"/>
    <w:multiLevelType w:val="hybridMultilevel"/>
    <w:lvl w:ilvl="0">
      <w:lvlJc w:val="left"/>
      <w:lvlText w:val="(%1)"/>
      <w:numFmt w:val="decimal"/>
      <w:start w:val="1"/>
    </w:lvl>
  </w:abstractNum>
  <w:abstractNum w:abstractNumId="126">
    <w:nsid w:val="2E8A6394"/>
    <w:multiLevelType w:val="hybridMultilevel"/>
    <w:lvl w:ilvl="0">
      <w:lvlJc w:val="left"/>
      <w:lvlText w:val="(%1)"/>
      <w:numFmt w:val="lowerLetter"/>
      <w:start w:val="1"/>
    </w:lvl>
  </w:abstractNum>
  <w:abstractNum w:abstractNumId="127">
    <w:nsid w:val="24E60401"/>
    <w:multiLevelType w:val="hybridMultilevel"/>
    <w:lvl w:ilvl="0">
      <w:lvlJc w:val="left"/>
      <w:lvlText w:val="%1"/>
      <w:numFmt w:val="lowerLetter"/>
      <w:start w:val="1"/>
    </w:lvl>
    <w:lvl w:ilvl="1">
      <w:lvlJc w:val="left"/>
      <w:lvlText w:val="(%2)"/>
      <w:numFmt w:val="lowerLetter"/>
      <w:start w:val="1"/>
    </w:lvl>
  </w:abstractNum>
  <w:abstractNum w:abstractNumId="128">
    <w:nsid w:val="2A6AD9BE"/>
    <w:multiLevelType w:val="hybridMultilevel"/>
    <w:lvl w:ilvl="0">
      <w:lvlJc w:val="left"/>
      <w:lvlText w:val="(%1)"/>
      <w:numFmt w:val="lowerLetter"/>
      <w:start w:val="35"/>
    </w:lvl>
    <w:lvl w:ilvl="1">
      <w:lvlJc w:val="left"/>
      <w:lvlText w:val="%2"/>
      <w:numFmt w:val="lowerLetter"/>
      <w:start w:val="1"/>
    </w:lvl>
  </w:abstractNum>
  <w:abstractNum w:abstractNumId="129">
    <w:nsid w:val="BAAC1B4"/>
    <w:multiLevelType w:val="hybridMultilevel"/>
    <w:lvl w:ilvl="0">
      <w:lvlJc w:val="left"/>
      <w:lvlText w:val="%1"/>
      <w:numFmt w:val="upperLetter"/>
      <w:start w:val="1"/>
    </w:lvl>
    <w:lvl w:ilvl="1">
      <w:lvlJc w:val="left"/>
      <w:lvlText w:val="(%2)"/>
      <w:numFmt w:val="lowerLetter"/>
      <w:start w:val="2"/>
    </w:lvl>
  </w:abstractNum>
  <w:abstractNum w:abstractNumId="130">
    <w:nsid w:val="36B2ACBC"/>
    <w:multiLevelType w:val="hybridMultilevel"/>
    <w:lvl w:ilvl="0">
      <w:lvlJc w:val="left"/>
      <w:lvlText w:val="(%1)"/>
      <w:numFmt w:val="lowerLetter"/>
      <w:start w:val="1"/>
    </w:lvl>
  </w:abstractNum>
  <w:abstractNum w:abstractNumId="131">
    <w:nsid w:val="779D8544"/>
    <w:multiLevelType w:val="hybridMultilevel"/>
    <w:lvl w:ilvl="0">
      <w:lvlJc w:val="left"/>
      <w:lvlText w:val="(%1)"/>
      <w:numFmt w:val="lowerLetter"/>
      <w:start w:val="2"/>
    </w:lvl>
  </w:abstractNum>
  <w:abstractNum w:abstractNumId="132">
    <w:nsid w:val="4AB26E78"/>
    <w:multiLevelType w:val="hybridMultilevel"/>
    <w:lvl w:ilvl="0">
      <w:lvlJc w:val="left"/>
      <w:lvlText w:val="(%1)"/>
      <w:numFmt w:val="decimal"/>
      <w:start w:val="1"/>
    </w:lvl>
  </w:abstractNum>
  <w:abstractNum w:abstractNumId="133">
    <w:nsid w:val="21FAA2FA"/>
    <w:multiLevelType w:val="hybridMultilevel"/>
    <w:lvl w:ilvl="0">
      <w:lvlJc w:val="left"/>
      <w:lvlText w:val="(%1)"/>
      <w:numFmt w:val="lowerLetter"/>
      <w:start w:val="1"/>
    </w:lvl>
  </w:abstractNum>
  <w:abstractNum w:abstractNumId="134">
    <w:nsid w:val="5451CF49"/>
    <w:multiLevelType w:val="hybridMultilevel"/>
    <w:lvl w:ilvl="0">
      <w:lvlJc w:val="left"/>
      <w:lvlText w:val="(%1)"/>
      <w:numFmt w:val="lowerLetter"/>
      <w:start w:val="2"/>
    </w:lvl>
  </w:abstractNum>
  <w:abstractNum w:abstractNumId="135">
    <w:nsid w:val="6181EF69"/>
    <w:multiLevelType w:val="hybridMultilevel"/>
    <w:lvl w:ilvl="0">
      <w:lvlJc w:val="left"/>
      <w:lvlText w:val="(%1)"/>
      <w:numFmt w:val="lowerRoman"/>
      <w:start w:val="1"/>
    </w:lvl>
  </w:abstractNum>
  <w:abstractNum w:abstractNumId="136">
    <w:nsid w:val="3E6400E6"/>
    <w:multiLevelType w:val="hybridMultilevel"/>
    <w:lvl w:ilvl="0">
      <w:lvlJc w:val="left"/>
      <w:lvlText w:val="(%1)"/>
      <w:numFmt w:val="lowerRoman"/>
      <w:start w:val="1"/>
    </w:lvl>
  </w:abstractNum>
  <w:abstractNum w:abstractNumId="137">
    <w:nsid w:val="14217E23"/>
    <w:multiLevelType w:val="hybridMultilevel"/>
    <w:lvl w:ilvl="0">
      <w:lvlJc w:val="left"/>
      <w:lvlText w:val="(%1)"/>
      <w:numFmt w:val="lowerLetter"/>
      <w:start w:val="7"/>
    </w:lvl>
  </w:abstractNum>
  <w:abstractNum w:abstractNumId="138">
    <w:nsid w:val="710757D0"/>
    <w:multiLevelType w:val="hybridMultilevel"/>
    <w:lvl w:ilvl="0">
      <w:lvlJc w:val="left"/>
      <w:lvlText w:val="(%1)"/>
      <w:numFmt w:val="lowerLetter"/>
      <w:start w:val="1"/>
    </w:lvl>
  </w:abstractNum>
  <w:abstractNum w:abstractNumId="139">
    <w:nsid w:val="5015CD1A"/>
    <w:multiLevelType w:val="hybridMultilevel"/>
    <w:lvl w:ilvl="0">
      <w:lvlJc w:val="left"/>
      <w:lvlText w:val="(%1)"/>
      <w:numFmt w:val="lowerLetter"/>
      <w:start w:val="1"/>
    </w:lvl>
  </w:abstractNum>
  <w:abstractNum w:abstractNumId="140">
    <w:nsid w:val="424479DA"/>
    <w:multiLevelType w:val="hybridMultilevel"/>
    <w:lvl w:ilvl="0">
      <w:lvlJc w:val="left"/>
      <w:lvlText w:val="(%1)"/>
      <w:numFmt w:val="lowerLetter"/>
      <w:start w:val="1"/>
    </w:lvl>
  </w:abstractNum>
  <w:abstractNum w:abstractNumId="141">
    <w:nsid w:val="1A9A9E69"/>
    <w:multiLevelType w:val="hybridMultilevel"/>
    <w:lvl w:ilvl="0">
      <w:lvlJc w:val="left"/>
      <w:lvlText w:val="(%1)"/>
      <w:numFmt w:val="lowerLetter"/>
      <w:start w:val="1"/>
    </w:lvl>
  </w:abstractNum>
  <w:abstractNum w:abstractNumId="142">
    <w:nsid w:val="475E256A"/>
    <w:multiLevelType w:val="hybridMultilevel"/>
    <w:lvl w:ilvl="0">
      <w:lvlJc w:val="left"/>
      <w:lvlText w:val="(%1)"/>
      <w:numFmt w:val="decimal"/>
      <w:start w:val="1"/>
    </w:lvl>
  </w:abstractNum>
  <w:abstractNum w:abstractNumId="143">
    <w:nsid w:val="368DB37E"/>
    <w:multiLevelType w:val="hybridMultilevel"/>
    <w:lvl w:ilvl="0">
      <w:lvlJc w:val="left"/>
      <w:lvlText w:val="(%1)"/>
      <w:numFmt w:val="lowerLetter"/>
      <w:start w:val="3"/>
    </w:lvl>
  </w:abstractNum>
  <w:abstractNum w:abstractNumId="144">
    <w:nsid w:val="6A3B714C"/>
    <w:multiLevelType w:val="hybridMultilevel"/>
    <w:lvl w:ilvl="0">
      <w:lvlJc w:val="left"/>
      <w:lvlText w:val="(%1)"/>
      <w:numFmt w:val="decimal"/>
      <w:start w:val="1"/>
    </w:lvl>
  </w:abstractNum>
  <w:abstractNum w:abstractNumId="145">
    <w:nsid w:val="327B517E"/>
    <w:multiLevelType w:val="hybridMultilevel"/>
    <w:lvl w:ilvl="0">
      <w:lvlJc w:val="left"/>
      <w:lvlText w:val="(%1)"/>
      <w:numFmt w:val="lowerLetter"/>
      <w:start w:val="4"/>
    </w:lvl>
  </w:abstractNum>
  <w:abstractNum w:abstractNumId="146">
    <w:nsid w:val="1F461B51"/>
    <w:multiLevelType w:val="hybridMultilevel"/>
    <w:lvl w:ilvl="0">
      <w:lvlJc w:val="left"/>
      <w:lvlText w:val="(%1)"/>
      <w:numFmt w:val="lowerLetter"/>
      <w:start w:val="1"/>
    </w:lvl>
  </w:abstractNum>
  <w:abstractNum w:abstractNumId="147">
    <w:nsid w:val="29BACF25"/>
    <w:multiLevelType w:val="hybridMultilevel"/>
    <w:lvl w:ilvl="0">
      <w:lvlJc w:val="left"/>
      <w:lvlText w:val="(%1)"/>
      <w:numFmt w:val="lowerLetter"/>
      <w:start w:val="5"/>
    </w:lvl>
  </w:abstractNum>
  <w:abstractNum w:abstractNumId="148">
    <w:nsid w:val="5D5BABB3"/>
    <w:multiLevelType w:val="hybridMultilevel"/>
    <w:lvl w:ilvl="0">
      <w:lvlJc w:val="left"/>
      <w:lvlText w:val="(%1)"/>
      <w:numFmt w:val="lowerLetter"/>
      <w:start w:val="17"/>
    </w:lvl>
  </w:abstractNum>
  <w:abstractNum w:abstractNumId="149">
    <w:nsid w:val="51BF6B48"/>
    <w:multiLevelType w:val="hybridMultilevel"/>
    <w:lvl w:ilvl="0">
      <w:lvlJc w:val="left"/>
      <w:lvlText w:val="(%1)"/>
      <w:numFmt w:val="lowerLetter"/>
      <w:start w:val="1"/>
    </w:lvl>
  </w:abstractNum>
  <w:abstractNum w:abstractNumId="150">
    <w:nsid w:val="7E0F6384"/>
    <w:multiLevelType w:val="hybridMultilevel"/>
    <w:lvl w:ilvl="0">
      <w:lvlJc w:val="left"/>
      <w:lvlText w:val="(%1)"/>
      <w:numFmt w:val="decimal"/>
      <w:start w:val="1"/>
    </w:lvl>
  </w:abstractNum>
  <w:abstractNum w:abstractNumId="151">
    <w:nsid w:val="2B4B8B53"/>
    <w:multiLevelType w:val="hybridMultilevel"/>
    <w:lvl w:ilvl="0">
      <w:lvlJc w:val="left"/>
      <w:lvlText w:val="(%1)"/>
      <w:numFmt w:val="decimal"/>
      <w:start w:val="3"/>
    </w:lvl>
  </w:abstractNum>
  <w:abstractNum w:abstractNumId="152">
    <w:nsid w:val="72E3413A"/>
    <w:multiLevelType w:val="hybridMultilevel"/>
    <w:lvl w:ilvl="0">
      <w:lvlJc w:val="left"/>
      <w:lvlText w:val="(%1)"/>
      <w:numFmt w:val="lowerLetter"/>
      <w:start w:val="5"/>
    </w:lvl>
  </w:abstractNum>
  <w:abstractNum w:abstractNumId="153">
    <w:nsid w:val="116AE494"/>
    <w:multiLevelType w:val="hybridMultilevel"/>
    <w:lvl w:ilvl="0">
      <w:lvlJc w:val="left"/>
      <w:lvlText w:val="(%1)"/>
      <w:numFmt w:val="lowerLetter"/>
      <w:start w:val="1"/>
    </w:lvl>
  </w:abstractNum>
  <w:abstractNum w:abstractNumId="154">
    <w:nsid w:val="3494B2FB"/>
    <w:multiLevelType w:val="hybridMultilevel"/>
    <w:lvl w:ilvl="0">
      <w:lvlJc w:val="left"/>
      <w:lvlText w:val="(%1)"/>
      <w:numFmt w:val="lowerLetter"/>
      <w:start w:val="2"/>
    </w:lvl>
  </w:abstractNum>
  <w:abstractNum w:abstractNumId="155">
    <w:nsid w:val="B13A31"/>
    <w:multiLevelType w:val="hybridMultilevel"/>
    <w:lvl w:ilvl="0">
      <w:lvlJc w:val="left"/>
      <w:lvlText w:val="(%1)"/>
      <w:numFmt w:val="decimal"/>
      <w:start w:val="1"/>
    </w:lvl>
  </w:abstractNum>
  <w:abstractNum w:abstractNumId="156">
    <w:nsid w:val="64429599"/>
    <w:multiLevelType w:val="hybridMultilevel"/>
    <w:lvl w:ilvl="0">
      <w:lvlJc w:val="left"/>
      <w:lvlText w:val="(%1)"/>
      <w:numFmt w:val="decimal"/>
      <w:start w:val="5"/>
    </w:lvl>
  </w:abstractNum>
  <w:abstractNum w:abstractNumId="157">
    <w:nsid w:val="631F1690"/>
    <w:multiLevelType w:val="hybridMultilevel"/>
    <w:lvl w:ilvl="0">
      <w:lvlJc w:val="left"/>
      <w:lvlText w:val="(%1)"/>
      <w:numFmt w:val="lowerLetter"/>
      <w:start w:val="1"/>
    </w:lvl>
  </w:abstractNum>
  <w:abstractNum w:abstractNumId="158">
    <w:nsid w:val="25973E32"/>
    <w:multiLevelType w:val="hybridMultilevel"/>
    <w:lvl w:ilvl="0">
      <w:lvlJc w:val="left"/>
      <w:lvlText w:val="(%1)"/>
      <w:numFmt w:val="lowerLetter"/>
      <w:start w:val="1"/>
    </w:lvl>
  </w:abstractNum>
  <w:abstractNum w:abstractNumId="159">
    <w:nsid w:val="EAD6F57"/>
    <w:multiLevelType w:val="hybridMultilevel"/>
    <w:lvl w:ilvl="0">
      <w:lvlJc w:val="left"/>
      <w:lvlText w:val="(%1)"/>
      <w:numFmt w:val="lowerLetter"/>
      <w:start w:val="1"/>
    </w:lvl>
  </w:abstractNum>
  <w:abstractNum w:abstractNumId="160">
    <w:nsid w:val="6EC9D844"/>
    <w:multiLevelType w:val="hybridMultilevel"/>
    <w:lvl w:ilvl="0">
      <w:lvlJc w:val="left"/>
      <w:lvlText w:val="(%1)"/>
      <w:numFmt w:val="lowerLetter"/>
      <w:start w:val="4"/>
    </w:lvl>
  </w:abstractNum>
  <w:abstractNum w:abstractNumId="161">
    <w:nsid w:val="5C49EAEE"/>
    <w:multiLevelType w:val="hybridMultilevel"/>
    <w:lvl w:ilvl="0">
      <w:lvlJc w:val="left"/>
      <w:lvlText w:val="(%1)"/>
      <w:numFmt w:val="lowerLetter"/>
      <w:start w:val="1"/>
    </w:lvl>
  </w:abstractNum>
  <w:abstractNum w:abstractNumId="162">
    <w:nsid w:val="64AF49B"/>
    <w:multiLevelType w:val="hybridMultilevel"/>
    <w:lvl w:ilvl="0">
      <w:lvlJc w:val="left"/>
      <w:lvlText w:val="(%1)"/>
      <w:numFmt w:val="lowerLetter"/>
      <w:start w:val="9"/>
    </w:lvl>
  </w:abstractNum>
  <w:abstractNum w:abstractNumId="163">
    <w:nsid w:val="397C46BC"/>
    <w:multiLevelType w:val="hybridMultilevel"/>
    <w:lvl w:ilvl="0">
      <w:lvlJc w:val="left"/>
      <w:lvlText w:val="(%1)"/>
      <w:numFmt w:val="lowerLetter"/>
      <w:start w:val="1"/>
    </w:lvl>
  </w:abstractNum>
  <w:abstractNum w:abstractNumId="164">
    <w:nsid w:val="7E448DE9"/>
    <w:multiLevelType w:val="hybridMultilevel"/>
    <w:lvl w:ilvl="0">
      <w:lvlJc w:val="left"/>
      <w:lvlText w:val="(%1)"/>
      <w:numFmt w:val="lowerLetter"/>
      <w:start w:val="3"/>
    </w:lvl>
  </w:abstractNum>
  <w:abstractNum w:abstractNumId="165">
    <w:nsid w:val="5A9CC3E5"/>
    <w:multiLevelType w:val="hybridMultilevel"/>
    <w:lvl w:ilvl="0">
      <w:lvlJc w:val="left"/>
      <w:lvlText w:val="(%1)"/>
      <w:numFmt w:val="lowerLetter"/>
      <w:start w:val="1"/>
    </w:lvl>
  </w:abstractNum>
  <w:abstractNum w:abstractNumId="166">
    <w:nsid w:val="1AFE3625"/>
    <w:multiLevelType w:val="hybridMultilevel"/>
    <w:lvl w:ilvl="0">
      <w:lvlJc w:val="left"/>
      <w:lvlText w:val="(%1)"/>
      <w:numFmt w:val="lowerRoman"/>
      <w:start w:val="1"/>
    </w:lvl>
  </w:abstractNum>
  <w:abstractNum w:abstractNumId="167">
    <w:nsid w:val="3CA88ECF"/>
    <w:multiLevelType w:val="hybridMultilevel"/>
    <w:lvl w:ilvl="0">
      <w:lvlJc w:val="left"/>
      <w:lvlText w:val="%1"/>
      <w:numFmt w:val="lowerLetter"/>
      <w:start w:val="1"/>
    </w:lvl>
    <w:lvl w:ilvl="1">
      <w:lvlJc w:val="left"/>
      <w:lvlText w:val="(%2)"/>
      <w:numFmt w:val="lowerLetter"/>
      <w:start w:val="2"/>
    </w:lvl>
  </w:abstractNum>
  <w:abstractNum w:abstractNumId="168">
    <w:nsid w:val="6EBE4208"/>
    <w:multiLevelType w:val="hybridMultilevel"/>
    <w:lvl w:ilvl="0">
      <w:lvlJc w:val="left"/>
      <w:lvlText w:val="(%1)"/>
      <w:numFmt w:val="lowerLetter"/>
      <w:start w:val="3"/>
    </w:lvl>
    <w:lvl w:ilvl="1">
      <w:lvlJc w:val="left"/>
      <w:lvlText w:val="%2"/>
      <w:numFmt w:val="lowerLetter"/>
      <w:start w:val="1"/>
    </w:lvl>
  </w:abstractNum>
  <w:abstractNum w:abstractNumId="169">
    <w:nsid w:val="C058DF5"/>
    <w:multiLevelType w:val="hybridMultilevel"/>
    <w:lvl w:ilvl="0">
      <w:lvlJc w:val="left"/>
      <w:lvlText w:val="(%1)"/>
      <w:numFmt w:val="lowerLetter"/>
      <w:start w:val="5"/>
    </w:lvl>
  </w:abstractNum>
  <w:abstractNum w:abstractNumId="170">
    <w:nsid w:val="CBE5BE9"/>
    <w:multiLevelType w:val="hybridMultilevel"/>
    <w:lvl w:ilvl="0">
      <w:lvlJc w:val="left"/>
      <w:lvlText w:val="(%1)"/>
      <w:numFmt w:val="decimal"/>
      <w:start w:val="1"/>
    </w:lvl>
  </w:abstractNum>
  <w:abstractNum w:abstractNumId="171">
    <w:nsid w:val="3102BBE2"/>
    <w:multiLevelType w:val="hybridMultilevel"/>
    <w:lvl w:ilvl="0">
      <w:lvlJc w:val="left"/>
      <w:lvlText w:val="(%1)"/>
      <w:numFmt w:val="lowerLetter"/>
      <w:start w:val="1"/>
    </w:lvl>
  </w:abstractNum>
  <w:abstractNum w:abstractNumId="172">
    <w:nsid w:val="26A02C5E"/>
    <w:multiLevelType w:val="hybridMultilevel"/>
    <w:lvl w:ilvl="0">
      <w:lvlJc w:val="left"/>
      <w:lvlText w:val="(%1)"/>
      <w:numFmt w:val="lowerLetter"/>
      <w:start w:val="3"/>
    </w:lvl>
  </w:abstractNum>
  <w:abstractNum w:abstractNumId="173">
    <w:nsid w:val="541C8153"/>
    <w:multiLevelType w:val="hybridMultilevel"/>
    <w:lvl w:ilvl="0">
      <w:lvlJc w:val="left"/>
      <w:lvlText w:val="(%1)"/>
      <w:numFmt w:val="decimal"/>
      <w:start w:val="1"/>
    </w:lvl>
  </w:abstractNum>
  <w:abstractNum w:abstractNumId="174">
    <w:nsid w:val="67906F60"/>
    <w:multiLevelType w:val="hybridMultilevel"/>
    <w:lvl w:ilvl="0">
      <w:lvlJc w:val="left"/>
      <w:lvlText w:val="(%1)"/>
      <w:numFmt w:val="lowerLetter"/>
      <w:start w:val="2"/>
    </w:lvl>
  </w:abstractNum>
  <w:abstractNum w:abstractNumId="175">
    <w:nsid w:val="10DB9DAA"/>
    <w:multiLevelType w:val="hybridMultilevel"/>
    <w:lvl w:ilvl="0">
      <w:lvlJc w:val="left"/>
      <w:lvlText w:val="(%1)"/>
      <w:numFmt w:val="lowerLetter"/>
      <w:start w:val="5"/>
    </w:lvl>
  </w:abstractNum>
  <w:abstractNum w:abstractNumId="176">
    <w:nsid w:val="697D2D2"/>
    <w:multiLevelType w:val="hybridMultilevel"/>
    <w:lvl w:ilvl="0">
      <w:lvlJc w:val="left"/>
      <w:lvlText w:val="(%1)"/>
      <w:numFmt w:val="lowerLetter"/>
      <w:start w:val="1"/>
    </w:lvl>
  </w:abstractNum>
  <w:abstractNum w:abstractNumId="177">
    <w:nsid w:val="6D68AB2"/>
    <w:multiLevelType w:val="hybridMultilevel"/>
    <w:lvl w:ilvl="0">
      <w:lvlJc w:val="left"/>
      <w:lvlText w:val="(%1)"/>
      <w:numFmt w:val="lowerLetter"/>
      <w:start w:val="3"/>
    </w:lvl>
  </w:abstractNum>
  <w:abstractNum w:abstractNumId="178">
    <w:nsid w:val="3A966CD0"/>
    <w:multiLevelType w:val="hybridMultilevel"/>
    <w:lvl w:ilvl="0">
      <w:lvlJc w:val="left"/>
      <w:lvlText w:val="(%1)"/>
      <w:numFmt w:val="decimal"/>
      <w:start w:val="1"/>
    </w:lvl>
  </w:abstractNum>
  <w:abstractNum w:abstractNumId="179">
    <w:nsid w:val="63F37E85"/>
    <w:multiLevelType w:val="hybridMultilevel"/>
    <w:lvl w:ilvl="0">
      <w:lvlJc w:val="left"/>
      <w:lvlText w:val="(%1)"/>
      <w:numFmt w:val="lowerRoman"/>
      <w:start w:val="5"/>
    </w:lvl>
  </w:abstractNum>
  <w:abstractNum w:abstractNumId="180">
    <w:nsid w:val="5895F5FA"/>
    <w:multiLevelType w:val="hybridMultilevel"/>
    <w:lvl w:ilvl="0">
      <w:lvlJc w:val="left"/>
      <w:lvlText w:val="(%1)"/>
      <w:numFmt w:val="lowerLetter"/>
      <w:start w:val="1"/>
    </w:lvl>
  </w:abstractNum>
  <w:abstractNum w:abstractNumId="181">
    <w:nsid w:val="38A5D054"/>
    <w:multiLevelType w:val="hybridMultilevel"/>
    <w:lvl w:ilvl="0">
      <w:lvlJc w:val="left"/>
      <w:lvlText w:val="%1."/>
      <w:numFmt w:val="decimal"/>
      <w:start w:val="1"/>
    </w:lvl>
  </w:abstractNum>
  <w:abstractNum w:abstractNumId="182">
    <w:nsid w:val="F3F09D8"/>
    <w:multiLevelType w:val="hybridMultilevel"/>
    <w:lvl w:ilvl="0">
      <w:lvlJc w:val="left"/>
      <w:lvlText w:val="%1."/>
      <w:numFmt w:val="decimal"/>
      <w:start w:val="4"/>
    </w:lvl>
  </w:abstractNum>
  <w:abstractNum w:abstractNumId="183">
    <w:nsid w:val="4B793735"/>
    <w:multiLevelType w:val="hybridMultilevel"/>
    <w:lvl w:ilvl="0">
      <w:lvlJc w:val="left"/>
      <w:lvlText w:val="%1"/>
      <w:numFmt w:val="lowerRoman"/>
      <w:start w:val="1"/>
    </w:lvl>
    <w:lvl w:ilvl="1">
      <w:lvlJc w:val="left"/>
      <w:lvlText w:val="%2."/>
      <w:numFmt w:val="decimal"/>
      <w:start w:val="7"/>
    </w:lvl>
  </w:abstractNum>
  <w:abstractNum w:abstractNumId="184">
    <w:nsid w:val="4A10B4E8"/>
    <w:multiLevelType w:val="hybridMultilevel"/>
    <w:lvl w:ilvl="0">
      <w:lvlJc w:val="left"/>
      <w:lvlText w:val="(%1)"/>
      <w:numFmt w:val="lowerRoman"/>
      <w:start w:val="2"/>
    </w:lvl>
    <w:lvl w:ilvl="1">
      <w:lvlJc w:val="left"/>
      <w:lvlText w:val="%2."/>
      <w:numFmt w:val="decimal"/>
      <w:start w:val="8"/>
    </w:lvl>
  </w:abstractNum>
  <w:abstractNum w:abstractNumId="185">
    <w:nsid w:val="43D3BCD4"/>
    <w:multiLevelType w:val="hybridMultilevel"/>
    <w:lvl w:ilvl="0">
      <w:lvlJc w:val="left"/>
      <w:lvlText w:val="(%1)"/>
      <w:numFmt w:val="lowerLetter"/>
      <w:start w:val="2"/>
    </w:lvl>
  </w:abstractNum>
  <w:abstractNum w:abstractNumId="186">
    <w:nsid w:val="4C2A7166"/>
    <w:multiLevelType w:val="hybridMultilevel"/>
    <w:lvl w:ilvl="0">
      <w:lvlJc w:val="left"/>
      <w:lvlText w:val="(%1)"/>
      <w:numFmt w:val="lowerRoman"/>
      <w:start w:val="1"/>
    </w:lvl>
  </w:abstractNum>
  <w:abstractNum w:abstractNumId="187">
    <w:nsid w:val="2E534A82"/>
    <w:multiLevelType w:val="hybridMultilevel"/>
    <w:lvl w:ilvl="0">
      <w:lvlJc w:val="left"/>
      <w:lvlText w:val="%1."/>
      <w:numFmt w:val="decimal"/>
      <w:start w:val="1"/>
    </w:lvl>
  </w:abstractNum>
  <w:abstractNum w:abstractNumId="188">
    <w:nsid w:val="26F2D364"/>
    <w:multiLevelType w:val="hybridMultilevel"/>
    <w:lvl w:ilvl="0">
      <w:lvlJc w:val="left"/>
      <w:lvlText w:val="%1."/>
      <w:numFmt w:val="decimal"/>
      <w:start w:val="1"/>
    </w:lvl>
  </w:abstractNum>
  <w:abstractNum w:abstractNumId="189">
    <w:nsid w:val="71C1AF98"/>
    <w:multiLevelType w:val="hybridMultilevel"/>
    <w:lvl w:ilvl="0">
      <w:lvlJc w:val="left"/>
      <w:lvlText w:val="%1."/>
      <w:numFmt w:val="decimal"/>
      <w:start w:val="2"/>
    </w:lvl>
  </w:abstractNum>
  <w:abstractNum w:abstractNumId="190">
    <w:nsid w:val="3D00B9D9"/>
    <w:multiLevelType w:val="hybridMultilevel"/>
    <w:lvl w:ilvl="0">
      <w:lvlJc w:val="left"/>
      <w:lvlText w:val=" "/>
      <w:numFmt w:val="bullet"/>
      <w:start w:val="1"/>
    </w:lvl>
  </w:abstractNum>
  <w:abstractNum w:abstractNumId="191">
    <w:nsid w:val="15BCABA8"/>
    <w:multiLevelType w:val="hybridMultilevel"/>
    <w:lvl w:ilvl="0">
      <w:lvlJc w:val="left"/>
      <w:lvlText w:val="%1."/>
      <w:numFmt w:val="upperLetter"/>
      <w:start w:val="1"/>
    </w:lvl>
  </w:abstractNum>
  <w:abstractNum w:abstractNumId="192">
    <w:nsid w:val="4E0B9A87"/>
    <w:multiLevelType w:val="hybridMultilevel"/>
    <w:lvl w:ilvl="0">
      <w:lvlJc w:val="left"/>
      <w:lvlText w:val="%1."/>
      <w:numFmt w:val="upperLetter"/>
      <w:start w:val="4"/>
    </w:lvl>
  </w:abstractNum>
  <w:abstractNum w:abstractNumId="193">
    <w:nsid w:val="434BAE75"/>
    <w:multiLevelType w:val="hybridMultilevel"/>
    <w:lvl w:ilvl="0">
      <w:lvlJc w:val="left"/>
      <w:lvlText w:val="%1."/>
      <w:numFmt w:val="upperLetter"/>
      <w:start w:val="1"/>
    </w:lvl>
  </w:abstractNum>
  <w:abstractNum w:abstractNumId="194">
    <w:nsid w:val="4F38F265"/>
    <w:multiLevelType w:val="hybridMultilevel"/>
    <w:lvl w:ilvl="0">
      <w:lvlJc w:val="left"/>
      <w:lvlText w:val="(%1)"/>
      <w:numFmt w:val="lowerLetter"/>
      <w:start w:val="3"/>
    </w:lvl>
  </w:abstractNum>
  <w:abstractNum w:abstractNumId="195">
    <w:nsid w:val="4C502870"/>
    <w:multiLevelType w:val="hybridMultilevel"/>
    <w:lvl w:ilvl="0">
      <w:lvlJc w:val="left"/>
      <w:lvlText w:val="(%1)"/>
      <w:numFmt w:val="lowerRoman"/>
      <w:start w:val="1"/>
    </w:lvl>
  </w:abstractNum>
  <w:abstractNum w:abstractNumId="196">
    <w:nsid w:val="1DE8725A"/>
    <w:multiLevelType w:val="hybridMultilevel"/>
    <w:lvl w:ilvl="0">
      <w:lvlJc w:val="left"/>
      <w:lvlText w:val="(%1)"/>
      <w:numFmt w:val="lowerLetter"/>
      <w:start w:val="2"/>
    </w:lvl>
  </w:abstractNum>
  <w:abstractNum w:abstractNumId="197">
    <w:nsid w:val="6A37288A"/>
    <w:multiLevelType w:val="hybridMultilevel"/>
    <w:lvl w:ilvl="0">
      <w:lvlJc w:val="left"/>
      <w:lvlText w:val="☐"/>
      <w:numFmt w:val="bullet"/>
      <w:start w:val="1"/>
    </w:lvl>
  </w:abstractNum>
  <w:abstractNum w:abstractNumId="198">
    <w:nsid w:val="8F8B73F"/>
    <w:multiLevelType w:val="hybridMultilevel"/>
    <w:lvl w:ilvl="0">
      <w:lvlJc w:val="left"/>
      <w:lvlText w:val="(%1)"/>
      <w:numFmt w:val="lowerLetter"/>
      <w:start w:val="1"/>
    </w:lvl>
  </w:abstractNum>
  <w:abstractNum w:abstractNumId="199">
    <w:nsid w:val="CA6B462"/>
    <w:multiLevelType w:val="hybridMultilevel"/>
    <w:lvl w:ilvl="0">
      <w:lvlJc w:val="left"/>
      <w:lvlText w:val="(%1)"/>
      <w:numFmt w:val="lowerLetter"/>
      <w:start w:val="2"/>
    </w:lvl>
  </w:abstractNum>
  <w:abstractNum w:abstractNumId="200">
    <w:nsid w:val="763CB680"/>
    <w:multiLevelType w:val="hybridMultilevel"/>
    <w:lvl w:ilvl="0">
      <w:lvlJc w:val="left"/>
      <w:lvlText w:val="%1."/>
      <w:numFmt w:val="decimal"/>
      <w:start w:val="1"/>
    </w:lvl>
  </w:abstractNum>
  <w:abstractNum w:abstractNumId="201">
    <w:nsid w:val="15B71329"/>
    <w:multiLevelType w:val="hybridMultilevel"/>
    <w:lvl w:ilvl="0">
      <w:lvlJc w:val="left"/>
      <w:lvlText w:val="%1."/>
      <w:numFmt w:val="decimal"/>
      <w:start w:val="6"/>
    </w:lvl>
  </w:abstractNum>
  <w:abstractNum w:abstractNumId="202">
    <w:nsid w:val="3DA97044"/>
    <w:multiLevelType w:val="hybridMultilevel"/>
    <w:lvl w:ilvl="0">
      <w:lvlJc w:val="left"/>
      <w:lvlText w:val="(%1)"/>
      <w:numFmt w:val="lowerLetter"/>
      <w:start w:val="2"/>
    </w:lvl>
  </w:abstractNum>
  <w:abstractNum w:abstractNumId="203">
    <w:nsid w:val="1CDCE2DE"/>
    <w:multiLevelType w:val="hybridMultilevel"/>
    <w:lvl w:ilvl="0">
      <w:lvlJc w:val="left"/>
      <w:lvlText w:val="(%1)"/>
      <w:numFmt w:val="lowerLetter"/>
      <w:start w:val="1"/>
    </w:lvl>
  </w:abstractNum>
  <w:abstractNum w:abstractNumId="204">
    <w:nsid w:val="69D3947C"/>
    <w:multiLevelType w:val="hybridMultilevel"/>
    <w:lvl w:ilvl="0">
      <w:lvlJc w:val="left"/>
      <w:lvlText w:val="(%1)"/>
      <w:numFmt w:val="lowerLetter"/>
      <w:start w:val="1"/>
    </w:lvl>
    <w:lvl w:ilvl="1">
      <w:lvlJc w:val="left"/>
      <w:lvlText w:val="(%2)"/>
      <w:numFmt w:val="lowerRoman"/>
      <w:start w:val="1"/>
    </w:lvl>
  </w:abstractNum>
  <w:abstractNum w:abstractNumId="205">
    <w:nsid w:val="2539DFA5"/>
    <w:multiLevelType w:val="hybridMultilevel"/>
    <w:lvl w:ilvl="0">
      <w:lvlJc w:val="left"/>
      <w:lvlText w:val="(%1)"/>
      <w:numFmt w:val="lowerLetter"/>
      <w:start w:val="1"/>
    </w:lvl>
  </w:abstractNum>
  <w:abstractNum w:abstractNumId="206">
    <w:nsid w:val="2DB88089"/>
    <w:multiLevelType w:val="hybridMultilevel"/>
    <w:lvl w:ilvl="0">
      <w:lvlJc w:val="left"/>
      <w:lvlText w:val="(%1)"/>
      <w:numFmt w:val="lowerLetter"/>
      <w:start w:val="4"/>
    </w:lvl>
  </w:abstractNum>
  <w:abstractNum w:abstractNumId="207">
    <w:nsid w:val="706B674E"/>
    <w:multiLevelType w:val="hybridMultilevel"/>
    <w:lvl w:ilvl="0">
      <w:lvlJc w:val="left"/>
      <w:lvlText w:val="(%1)"/>
      <w:numFmt w:val="lowerLetter"/>
      <w:start w:val="1"/>
    </w:lvl>
  </w:abstractNum>
  <w:abstractNum w:abstractNumId="208">
    <w:nsid w:val="2C106A57"/>
    <w:multiLevelType w:val="hybridMultilevel"/>
    <w:lvl w:ilvl="0">
      <w:lvlJc w:val="left"/>
      <w:lvlText w:val="(%1)"/>
      <w:numFmt w:val="lowerLetter"/>
      <w:start w:val="4"/>
    </w:lvl>
  </w:abstractNum>
  <w:abstractNum w:abstractNumId="209">
    <w:nsid w:val="684EED59"/>
    <w:multiLevelType w:val="hybridMultilevel"/>
    <w:lvl w:ilvl="0">
      <w:lvlJc w:val="left"/>
      <w:lvlText w:val="(%1)"/>
      <w:numFmt w:val="lowerLetter"/>
      <w:start w:val="2"/>
    </w:lvl>
  </w:abstractNum>
  <w:abstractNum w:abstractNumId="210">
    <w:nsid w:val="545EE5D3"/>
    <w:multiLevelType w:val="hybridMultilevel"/>
    <w:lvl w:ilvl="0">
      <w:lvlJc w:val="left"/>
      <w:lvlText w:val="(%1)"/>
      <w:numFmt w:val="lowerLetter"/>
      <w:start w:val="7"/>
    </w:lvl>
  </w:abstractNum>
  <w:abstractNum w:abstractNumId="211">
    <w:nsid w:val="4A66051"/>
    <w:multiLevelType w:val="hybridMultilevel"/>
    <w:lvl w:ilvl="0">
      <w:lvlJc w:val="left"/>
      <w:lvlText w:val="(%1)"/>
      <w:numFmt w:val="lowerLetter"/>
      <w:start w:val="13"/>
    </w:lvl>
  </w:abstractNum>
  <w:abstractNum w:abstractNumId="212">
    <w:nsid w:val="20F4BDAD"/>
    <w:multiLevelType w:val="hybridMultilevel"/>
    <w:lvl w:ilvl="0">
      <w:lvlJc w:val="left"/>
      <w:lvlText w:val="1"/>
      <w:numFmt w:val="bullet"/>
      <w:start w:val="1"/>
    </w:lvl>
  </w:abstractNum>
  <w:abstractNum w:abstractNumId="213">
    <w:nsid w:val="639DEFAC"/>
    <w:multiLevelType w:val="hybridMultilevel"/>
    <w:lvl w:ilvl="0">
      <w:lvlJc w:val="left"/>
      <w:lvlText w:val="2"/>
      <w:numFmt w:val="bullet"/>
      <w:start w:val="1"/>
    </w:lvl>
  </w:abstractNum>
  <w:abstractNum w:abstractNumId="214">
    <w:nsid w:val="501F9786"/>
    <w:multiLevelType w:val="hybridMultilevel"/>
    <w:lvl w:ilvl="0">
      <w:lvlJc w:val="left"/>
      <w:lvlText w:val="3"/>
      <w:numFmt w:val="bullet"/>
      <w:start w:val="1"/>
    </w:lvl>
  </w:abstractNum>
  <w:abstractNum w:abstractNumId="215">
    <w:nsid w:val="6B057295"/>
    <w:multiLevelType w:val="hybridMultilevel"/>
    <w:lvl w:ilvl="0">
      <w:lvlJc w:val="left"/>
      <w:lvlText w:val="4"/>
      <w:numFmt w:val="bullet"/>
      <w:start w:val="1"/>
    </w:lvl>
  </w:abstractNum>
  <w:abstractNum w:abstractNumId="216">
    <w:nsid w:val="2771AC80"/>
    <w:multiLevelType w:val="hybridMultilevel"/>
    <w:lvl w:ilvl="0">
      <w:lvlJc w:val="left"/>
      <w:lvlText w:val="5"/>
      <w:numFmt w:val="bullet"/>
      <w:start w:val="1"/>
    </w:lvl>
  </w:abstractNum>
  <w:abstractNum w:abstractNumId="217">
    <w:nsid w:val="1C4A08EC"/>
    <w:multiLevelType w:val="hybridMultilevel"/>
    <w:lvl w:ilvl="0">
      <w:lvlJc w:val="left"/>
      <w:lvlText w:val="6"/>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70" Type="http://schemas.openxmlformats.org/officeDocument/2006/relationships/image" Target="media/image54.png"/><Relationship Id="rId71" Type="http://schemas.openxmlformats.org/officeDocument/2006/relationships/image" Target="media/image55.png"/><Relationship Id="rId72" Type="http://schemas.openxmlformats.org/officeDocument/2006/relationships/image" Target="media/image56.png"/><Relationship Id="rId73" Type="http://schemas.openxmlformats.org/officeDocument/2006/relationships/image" Target="media/image57.png"/><Relationship Id="rId74" Type="http://schemas.openxmlformats.org/officeDocument/2006/relationships/image" Target="media/image58.png"/><Relationship Id="rId75" Type="http://schemas.openxmlformats.org/officeDocument/2006/relationships/image" Target="media/image59.png"/><Relationship Id="rId76" Type="http://schemas.openxmlformats.org/officeDocument/2006/relationships/image" Target="media/image60.png"/><Relationship Id="rId77" Type="http://schemas.openxmlformats.org/officeDocument/2006/relationships/image" Target="media/image61.png"/><Relationship Id="rId78" Type="http://schemas.openxmlformats.org/officeDocument/2006/relationships/image" Target="media/image62.png"/><Relationship Id="rId79" Type="http://schemas.openxmlformats.org/officeDocument/2006/relationships/image" Target="media/image63.png"/><Relationship Id="rId80" Type="http://schemas.openxmlformats.org/officeDocument/2006/relationships/image" Target="media/image64.png"/><Relationship Id="rId81" Type="http://schemas.openxmlformats.org/officeDocument/2006/relationships/image" Target="media/image65.png"/><Relationship Id="rId82" Type="http://schemas.openxmlformats.org/officeDocument/2006/relationships/image" Target="media/image66.png"/><Relationship Id="rId83" Type="http://schemas.openxmlformats.org/officeDocument/2006/relationships/image" Target="media/image67.png"/><Relationship Id="rId84" Type="http://schemas.openxmlformats.org/officeDocument/2006/relationships/image" Target="media/image68.png"/><Relationship Id="rId93" Type="http://schemas.openxmlformats.org/officeDocument/2006/relationships/image" Target="media/image69.png"/><Relationship Id="rId94" Type="http://schemas.openxmlformats.org/officeDocument/2006/relationships/image" Target="media/image70.png"/><Relationship Id="rId95" Type="http://schemas.openxmlformats.org/officeDocument/2006/relationships/image" Target="media/image71.png"/><Relationship Id="rId96" Type="http://schemas.openxmlformats.org/officeDocument/2006/relationships/image" Target="media/image72.png"/><Relationship Id="rId97" Type="http://schemas.openxmlformats.org/officeDocument/2006/relationships/image" Target="media/image73.png"/><Relationship Id="rId98" Type="http://schemas.openxmlformats.org/officeDocument/2006/relationships/image" Target="media/image74.png"/><Relationship Id="rId99" Type="http://schemas.openxmlformats.org/officeDocument/2006/relationships/image" Target="media/image75.png"/><Relationship Id="rId100" Type="http://schemas.openxmlformats.org/officeDocument/2006/relationships/image" Target="media/image76.png"/><Relationship Id="rId101" Type="http://schemas.openxmlformats.org/officeDocument/2006/relationships/image" Target="media/image77.png"/><Relationship Id="rId102" Type="http://schemas.openxmlformats.org/officeDocument/2006/relationships/image" Target="media/image78.png"/><Relationship Id="rId103" Type="http://schemas.openxmlformats.org/officeDocument/2006/relationships/image" Target="media/image79.png"/><Relationship Id="rId104" Type="http://schemas.openxmlformats.org/officeDocument/2006/relationships/image" Target="media/image80.png"/><Relationship Id="rId105" Type="http://schemas.openxmlformats.org/officeDocument/2006/relationships/image" Target="media/image81.png"/><Relationship Id="rId106" Type="http://schemas.openxmlformats.org/officeDocument/2006/relationships/image" Target="media/image82.png"/><Relationship Id="rId107" Type="http://schemas.openxmlformats.org/officeDocument/2006/relationships/image" Target="media/image83.png"/><Relationship Id="rId108" Type="http://schemas.openxmlformats.org/officeDocument/2006/relationships/image" Target="media/image84.png"/><Relationship Id="rId109" Type="http://schemas.openxmlformats.org/officeDocument/2006/relationships/image" Target="media/image85.png"/><Relationship Id="rId110" Type="http://schemas.openxmlformats.org/officeDocument/2006/relationships/image" Target="media/image86.png"/><Relationship Id="rId111" Type="http://schemas.openxmlformats.org/officeDocument/2006/relationships/image" Target="media/image87.png"/><Relationship Id="rId112" Type="http://schemas.openxmlformats.org/officeDocument/2006/relationships/image" Target="media/image88.png"/><Relationship Id="rId113" Type="http://schemas.openxmlformats.org/officeDocument/2006/relationships/image" Target="media/image89.png"/><Relationship Id="rId114" Type="http://schemas.openxmlformats.org/officeDocument/2006/relationships/image" Target="media/image90.png"/><Relationship Id="rId115" Type="http://schemas.openxmlformats.org/officeDocument/2006/relationships/image" Target="media/image91.png"/><Relationship Id="rId116" Type="http://schemas.openxmlformats.org/officeDocument/2006/relationships/image" Target="media/image92.png"/><Relationship Id="rId117" Type="http://schemas.openxmlformats.org/officeDocument/2006/relationships/image" Target="media/image93.png"/><Relationship Id="rId118" Type="http://schemas.openxmlformats.org/officeDocument/2006/relationships/image" Target="media/image94.png"/><Relationship Id="rId119" Type="http://schemas.openxmlformats.org/officeDocument/2006/relationships/image" Target="media/image95.png"/><Relationship Id="rId120" Type="http://schemas.openxmlformats.org/officeDocument/2006/relationships/image" Target="media/image96.png"/><Relationship Id="rId121" Type="http://schemas.openxmlformats.org/officeDocument/2006/relationships/image" Target="media/image97.png"/><Relationship Id="rId122" Type="http://schemas.openxmlformats.org/officeDocument/2006/relationships/image" Target="media/image98.png"/><Relationship Id="rId123" Type="http://schemas.openxmlformats.org/officeDocument/2006/relationships/image" Target="media/image99.png"/><Relationship Id="rId124" Type="http://schemas.openxmlformats.org/officeDocument/2006/relationships/image" Target="media/image100.png"/><Relationship Id="rId125" Type="http://schemas.openxmlformats.org/officeDocument/2006/relationships/image" Target="media/image101.png"/><Relationship Id="rId126" Type="http://schemas.openxmlformats.org/officeDocument/2006/relationships/image" Target="media/image102.png"/><Relationship Id="rId127" Type="http://schemas.openxmlformats.org/officeDocument/2006/relationships/image" Target="media/image103.png"/><Relationship Id="rId128" Type="http://schemas.openxmlformats.org/officeDocument/2006/relationships/image" Target="media/image104.png"/><Relationship Id="rId129" Type="http://schemas.openxmlformats.org/officeDocument/2006/relationships/image" Target="media/image105.png"/><Relationship Id="rId130" Type="http://schemas.openxmlformats.org/officeDocument/2006/relationships/image" Target="media/image106.png"/><Relationship Id="rId131" Type="http://schemas.openxmlformats.org/officeDocument/2006/relationships/image" Target="media/image107.png"/><Relationship Id="rId132" Type="http://schemas.openxmlformats.org/officeDocument/2006/relationships/image" Target="media/image108.png"/><Relationship Id="rId133" Type="http://schemas.openxmlformats.org/officeDocument/2006/relationships/image" Target="media/image109.png"/><Relationship Id="rId134" Type="http://schemas.openxmlformats.org/officeDocument/2006/relationships/image" Target="media/image110.png"/><Relationship Id="rId135" Type="http://schemas.openxmlformats.org/officeDocument/2006/relationships/image" Target="media/image111.png"/><Relationship Id="rId136" Type="http://schemas.openxmlformats.org/officeDocument/2006/relationships/image" Target="media/image112.png"/><Relationship Id="rId137" Type="http://schemas.openxmlformats.org/officeDocument/2006/relationships/image" Target="media/image113.png"/><Relationship Id="rId138" Type="http://schemas.openxmlformats.org/officeDocument/2006/relationships/image" Target="media/image114.png"/><Relationship Id="rId139" Type="http://schemas.openxmlformats.org/officeDocument/2006/relationships/image" Target="media/image115.png"/><Relationship Id="rId140" Type="http://schemas.openxmlformats.org/officeDocument/2006/relationships/image" Target="media/image116.png"/><Relationship Id="rId141" Type="http://schemas.openxmlformats.org/officeDocument/2006/relationships/image" Target="media/image117.png"/><Relationship Id="rId142" Type="http://schemas.openxmlformats.org/officeDocument/2006/relationships/image" Target="media/image118.png"/><Relationship Id="rId143" Type="http://schemas.openxmlformats.org/officeDocument/2006/relationships/image" Target="media/image119.png"/><Relationship Id="rId144" Type="http://schemas.openxmlformats.org/officeDocument/2006/relationships/image" Target="media/image120.png"/><Relationship Id="rId145" Type="http://schemas.openxmlformats.org/officeDocument/2006/relationships/image" Target="media/image121.png"/><Relationship Id="rId146" Type="http://schemas.openxmlformats.org/officeDocument/2006/relationships/image" Target="media/image122.png"/><Relationship Id="rId147" Type="http://schemas.openxmlformats.org/officeDocument/2006/relationships/image" Target="media/image123.png"/><Relationship Id="rId148" Type="http://schemas.openxmlformats.org/officeDocument/2006/relationships/image" Target="media/image124.png"/><Relationship Id="rId149" Type="http://schemas.openxmlformats.org/officeDocument/2006/relationships/image" Target="media/image125.png"/><Relationship Id="rId150" Type="http://schemas.openxmlformats.org/officeDocument/2006/relationships/image" Target="media/image126.png"/><Relationship Id="rId151" Type="http://schemas.openxmlformats.org/officeDocument/2006/relationships/image" Target="media/image127.png"/><Relationship Id="rId152" Type="http://schemas.openxmlformats.org/officeDocument/2006/relationships/image" Target="media/image128.png"/><Relationship Id="rId153" Type="http://schemas.openxmlformats.org/officeDocument/2006/relationships/image" Target="media/image129.png"/><Relationship Id="rId154" Type="http://schemas.openxmlformats.org/officeDocument/2006/relationships/image" Target="media/image130.png"/><Relationship Id="rId155" Type="http://schemas.openxmlformats.org/officeDocument/2006/relationships/image" Target="media/image131.png"/><Relationship Id="rId156" Type="http://schemas.openxmlformats.org/officeDocument/2006/relationships/image" Target="media/image132.png"/><Relationship Id="rId157" Type="http://schemas.openxmlformats.org/officeDocument/2006/relationships/image" Target="media/image133.png"/><Relationship Id="rId158" Type="http://schemas.openxmlformats.org/officeDocument/2006/relationships/image" Target="media/image134.png"/><Relationship Id="rId159" Type="http://schemas.openxmlformats.org/officeDocument/2006/relationships/image" Target="media/image135.png"/><Relationship Id="rId160" Type="http://schemas.openxmlformats.org/officeDocument/2006/relationships/image" Target="media/image136.png"/><Relationship Id="rId161" Type="http://schemas.openxmlformats.org/officeDocument/2006/relationships/image" Target="media/image137.png"/><Relationship Id="rId162" Type="http://schemas.openxmlformats.org/officeDocument/2006/relationships/image" Target="media/image138.png"/><Relationship Id="rId163" Type="http://schemas.openxmlformats.org/officeDocument/2006/relationships/image" Target="media/image139.png"/><Relationship Id="rId164" Type="http://schemas.openxmlformats.org/officeDocument/2006/relationships/image" Target="media/image140.png"/><Relationship Id="rId165" Type="http://schemas.openxmlformats.org/officeDocument/2006/relationships/image" Target="media/image141.png"/><Relationship Id="rId166" Type="http://schemas.openxmlformats.org/officeDocument/2006/relationships/image" Target="media/image142.png"/><Relationship Id="rId167" Type="http://schemas.openxmlformats.org/officeDocument/2006/relationships/image" Target="media/image143.png"/><Relationship Id="rId168" Type="http://schemas.openxmlformats.org/officeDocument/2006/relationships/image" Target="media/image144.png"/><Relationship Id="rId169" Type="http://schemas.openxmlformats.org/officeDocument/2006/relationships/image" Target="media/image145.png"/><Relationship Id="rId170" Type="http://schemas.openxmlformats.org/officeDocument/2006/relationships/image" Target="media/image146.png"/><Relationship Id="rId171" Type="http://schemas.openxmlformats.org/officeDocument/2006/relationships/image" Target="media/image147.png"/><Relationship Id="rId172" Type="http://schemas.openxmlformats.org/officeDocument/2006/relationships/image" Target="media/image148.png"/><Relationship Id="rId173" Type="http://schemas.openxmlformats.org/officeDocument/2006/relationships/image" Target="media/image149.png"/><Relationship Id="rId174" Type="http://schemas.openxmlformats.org/officeDocument/2006/relationships/image" Target="media/image150.png"/><Relationship Id="rId175" Type="http://schemas.openxmlformats.org/officeDocument/2006/relationships/image" Target="media/image151.png"/><Relationship Id="rId176" Type="http://schemas.openxmlformats.org/officeDocument/2006/relationships/image" Target="media/image152.png"/><Relationship Id="rId177" Type="http://schemas.openxmlformats.org/officeDocument/2006/relationships/image" Target="media/image153.png"/><Relationship Id="rId178" Type="http://schemas.openxmlformats.org/officeDocument/2006/relationships/image" Target="media/image154.png"/><Relationship Id="rId179" Type="http://schemas.openxmlformats.org/officeDocument/2006/relationships/image" Target="media/image155.png"/><Relationship Id="rId180" Type="http://schemas.openxmlformats.org/officeDocument/2006/relationships/image" Target="media/image156.png"/><Relationship Id="rId181" Type="http://schemas.openxmlformats.org/officeDocument/2006/relationships/image" Target="media/image157.png"/><Relationship Id="rId182" Type="http://schemas.openxmlformats.org/officeDocument/2006/relationships/image" Target="media/image158.png"/><Relationship Id="rId183" Type="http://schemas.openxmlformats.org/officeDocument/2006/relationships/image" Target="media/image159.png"/><Relationship Id="rId184" Type="http://schemas.openxmlformats.org/officeDocument/2006/relationships/image" Target="media/image160.png"/><Relationship Id="rId185" Type="http://schemas.openxmlformats.org/officeDocument/2006/relationships/image" Target="media/image161.png"/><Relationship Id="rId186" Type="http://schemas.openxmlformats.org/officeDocument/2006/relationships/image" Target="media/image162.png"/><Relationship Id="rId187" Type="http://schemas.openxmlformats.org/officeDocument/2006/relationships/image" Target="media/image163.png"/><Relationship Id="rId188" Type="http://schemas.openxmlformats.org/officeDocument/2006/relationships/image" Target="media/image164.png"/><Relationship Id="rId189" Type="http://schemas.openxmlformats.org/officeDocument/2006/relationships/image" Target="media/image165.png"/><Relationship Id="rId190" Type="http://schemas.openxmlformats.org/officeDocument/2006/relationships/image" Target="media/image166.png"/><Relationship Id="rId191" Type="http://schemas.openxmlformats.org/officeDocument/2006/relationships/image" Target="media/image167.png"/><Relationship Id="rId192" Type="http://schemas.openxmlformats.org/officeDocument/2006/relationships/image" Target="media/image168.png"/><Relationship Id="rId193" Type="http://schemas.openxmlformats.org/officeDocument/2006/relationships/image" Target="media/image169.png"/><Relationship Id="rId194" Type="http://schemas.openxmlformats.org/officeDocument/2006/relationships/image" Target="media/image170.png"/><Relationship Id="rId195" Type="http://schemas.openxmlformats.org/officeDocument/2006/relationships/image" Target="media/image171.png"/><Relationship Id="rId196" Type="http://schemas.openxmlformats.org/officeDocument/2006/relationships/image" Target="media/image172.png"/><Relationship Id="rId197" Type="http://schemas.openxmlformats.org/officeDocument/2006/relationships/image" Target="media/image173.png"/><Relationship Id="rId198" Type="http://schemas.openxmlformats.org/officeDocument/2006/relationships/image" Target="media/image174.png"/><Relationship Id="rId199" Type="http://schemas.openxmlformats.org/officeDocument/2006/relationships/image" Target="media/image175.png"/><Relationship Id="rId200" Type="http://schemas.openxmlformats.org/officeDocument/2006/relationships/image" Target="media/image176.png"/><Relationship Id="rId201" Type="http://schemas.openxmlformats.org/officeDocument/2006/relationships/image" Target="media/image177.png"/><Relationship Id="rId202" Type="http://schemas.openxmlformats.org/officeDocument/2006/relationships/image" Target="media/image178.png"/><Relationship Id="rId203" Type="http://schemas.openxmlformats.org/officeDocument/2006/relationships/image" Target="media/image179.png"/><Relationship Id="rId204" Type="http://schemas.openxmlformats.org/officeDocument/2006/relationships/image" Target="media/image180.png"/><Relationship Id="rId205" Type="http://schemas.openxmlformats.org/officeDocument/2006/relationships/image" Target="media/image181.png"/><Relationship Id="rId206" Type="http://schemas.openxmlformats.org/officeDocument/2006/relationships/image" Target="media/image182.png"/><Relationship Id="rId207" Type="http://schemas.openxmlformats.org/officeDocument/2006/relationships/image" Target="media/image183.png"/><Relationship Id="rId208" Type="http://schemas.openxmlformats.org/officeDocument/2006/relationships/image" Target="media/image184.png"/><Relationship Id="rId209" Type="http://schemas.openxmlformats.org/officeDocument/2006/relationships/image" Target="media/image185.png"/><Relationship Id="rId210" Type="http://schemas.openxmlformats.org/officeDocument/2006/relationships/image" Target="media/image186.png"/><Relationship Id="rId211" Type="http://schemas.openxmlformats.org/officeDocument/2006/relationships/image" Target="media/image187.png"/><Relationship Id="rId212" Type="http://schemas.openxmlformats.org/officeDocument/2006/relationships/image" Target="media/image188.png"/><Relationship Id="rId213" Type="http://schemas.openxmlformats.org/officeDocument/2006/relationships/image" Target="media/image189.png"/><Relationship Id="rId214" Type="http://schemas.openxmlformats.org/officeDocument/2006/relationships/image" Target="media/image190.png"/><Relationship Id="rId215" Type="http://schemas.openxmlformats.org/officeDocument/2006/relationships/image" Target="media/image191.png"/><Relationship Id="rId216" Type="http://schemas.openxmlformats.org/officeDocument/2006/relationships/image" Target="media/image192.png"/><Relationship Id="rId217" Type="http://schemas.openxmlformats.org/officeDocument/2006/relationships/image" Target="media/image193.png"/><Relationship Id="rId218" Type="http://schemas.openxmlformats.org/officeDocument/2006/relationships/image" Target="media/image194.png"/><Relationship Id="rId219" Type="http://schemas.openxmlformats.org/officeDocument/2006/relationships/image" Target="media/image195.png"/><Relationship Id="rId220" Type="http://schemas.openxmlformats.org/officeDocument/2006/relationships/image" Target="media/image196.png"/><Relationship Id="rId221" Type="http://schemas.openxmlformats.org/officeDocument/2006/relationships/image" Target="media/image197.png"/><Relationship Id="rId222" Type="http://schemas.openxmlformats.org/officeDocument/2006/relationships/image" Target="media/image198.png"/><Relationship Id="rId223" Type="http://schemas.openxmlformats.org/officeDocument/2006/relationships/image" Target="media/image199.png"/><Relationship Id="rId224" Type="http://schemas.openxmlformats.org/officeDocument/2006/relationships/image" Target="media/image200.png"/><Relationship Id="rId225" Type="http://schemas.openxmlformats.org/officeDocument/2006/relationships/image" Target="media/image201.png"/><Relationship Id="rId226" Type="http://schemas.openxmlformats.org/officeDocument/2006/relationships/image" Target="media/image202.png"/><Relationship Id="rId227" Type="http://schemas.openxmlformats.org/officeDocument/2006/relationships/image" Target="media/image203.png"/><Relationship Id="rId228" Type="http://schemas.openxmlformats.org/officeDocument/2006/relationships/image" Target="media/image204.png"/><Relationship Id="rId229" Type="http://schemas.openxmlformats.org/officeDocument/2006/relationships/image" Target="media/image205.png"/><Relationship Id="rId230" Type="http://schemas.openxmlformats.org/officeDocument/2006/relationships/image" Target="media/image206.png"/><Relationship Id="rId231" Type="http://schemas.openxmlformats.org/officeDocument/2006/relationships/image" Target="media/image207.png"/><Relationship Id="rId232" Type="http://schemas.openxmlformats.org/officeDocument/2006/relationships/image" Target="media/image208.png"/><Relationship Id="rId233" Type="http://schemas.openxmlformats.org/officeDocument/2006/relationships/image" Target="media/image209.png"/><Relationship Id="rId234" Type="http://schemas.openxmlformats.org/officeDocument/2006/relationships/image" Target="media/image210.png"/><Relationship Id="rId235" Type="http://schemas.openxmlformats.org/officeDocument/2006/relationships/image" Target="media/image211.png"/><Relationship Id="rId236" Type="http://schemas.openxmlformats.org/officeDocument/2006/relationships/image" Target="media/image212.png"/><Relationship Id="rId237" Type="http://schemas.openxmlformats.org/officeDocument/2006/relationships/image" Target="media/image213.png"/><Relationship Id="rId238" Type="http://schemas.openxmlformats.org/officeDocument/2006/relationships/image" Target="media/image214.png"/><Relationship Id="rId239" Type="http://schemas.openxmlformats.org/officeDocument/2006/relationships/image" Target="media/image215.png"/><Relationship Id="rId240" Type="http://schemas.openxmlformats.org/officeDocument/2006/relationships/image" Target="media/image216.png"/><Relationship Id="rId241" Type="http://schemas.openxmlformats.org/officeDocument/2006/relationships/image" Target="media/image217.png"/><Relationship Id="rId242" Type="http://schemas.openxmlformats.org/officeDocument/2006/relationships/image" Target="media/image218.png"/><Relationship Id="rId243" Type="http://schemas.openxmlformats.org/officeDocument/2006/relationships/image" Target="media/image219.png"/><Relationship Id="rId244" Type="http://schemas.openxmlformats.org/officeDocument/2006/relationships/image" Target="media/image220.png"/><Relationship Id="rId245" Type="http://schemas.openxmlformats.org/officeDocument/2006/relationships/image" Target="media/image221.png"/><Relationship Id="rId246" Type="http://schemas.openxmlformats.org/officeDocument/2006/relationships/image" Target="media/image222.png"/><Relationship Id="rId247" Type="http://schemas.openxmlformats.org/officeDocument/2006/relationships/image" Target="media/image223.png"/><Relationship Id="rId248" Type="http://schemas.openxmlformats.org/officeDocument/2006/relationships/image" Target="media/image224.png"/><Relationship Id="rId249" Type="http://schemas.openxmlformats.org/officeDocument/2006/relationships/image" Target="media/image225.png"/><Relationship Id="rId250" Type="http://schemas.openxmlformats.org/officeDocument/2006/relationships/image" Target="media/image226.png"/><Relationship Id="rId251" Type="http://schemas.openxmlformats.org/officeDocument/2006/relationships/image" Target="media/image227.png"/><Relationship Id="rId252" Type="http://schemas.openxmlformats.org/officeDocument/2006/relationships/image" Target="media/image228.png"/><Relationship Id="rId253" Type="http://schemas.openxmlformats.org/officeDocument/2006/relationships/image" Target="media/image229.png"/><Relationship Id="rId254" Type="http://schemas.openxmlformats.org/officeDocument/2006/relationships/image" Target="media/image230.png"/><Relationship Id="rId255" Type="http://schemas.openxmlformats.org/officeDocument/2006/relationships/image" Target="media/image231.png"/><Relationship Id="rId256" Type="http://schemas.openxmlformats.org/officeDocument/2006/relationships/image" Target="media/image232.png"/><Relationship Id="rId257" Type="http://schemas.openxmlformats.org/officeDocument/2006/relationships/image" Target="media/image233.png"/><Relationship Id="rId258" Type="http://schemas.openxmlformats.org/officeDocument/2006/relationships/image" Target="media/image234.png"/><Relationship Id="rId259" Type="http://schemas.openxmlformats.org/officeDocument/2006/relationships/image" Target="media/image235.png"/><Relationship Id="rId260" Type="http://schemas.openxmlformats.org/officeDocument/2006/relationships/image" Target="media/image236.png"/><Relationship Id="rId261" Type="http://schemas.openxmlformats.org/officeDocument/2006/relationships/image" Target="media/image237.png"/><Relationship Id="rId262" Type="http://schemas.openxmlformats.org/officeDocument/2006/relationships/image" Target="media/image238.png"/><Relationship Id="rId263" Type="http://schemas.openxmlformats.org/officeDocument/2006/relationships/image" Target="media/image239.png"/><Relationship Id="rId264" Type="http://schemas.openxmlformats.org/officeDocument/2006/relationships/image" Target="media/image240.png"/><Relationship Id="rId265" Type="http://schemas.openxmlformats.org/officeDocument/2006/relationships/image" Target="media/image241.png"/><Relationship Id="rId266" Type="http://schemas.openxmlformats.org/officeDocument/2006/relationships/image" Target="media/image242.png"/><Relationship Id="rId267" Type="http://schemas.openxmlformats.org/officeDocument/2006/relationships/image" Target="media/image243.png"/><Relationship Id="rId268" Type="http://schemas.openxmlformats.org/officeDocument/2006/relationships/image" Target="media/image244.png"/><Relationship Id="rId269" Type="http://schemas.openxmlformats.org/officeDocument/2006/relationships/image" Target="media/image245.png"/><Relationship Id="rId270" Type="http://schemas.openxmlformats.org/officeDocument/2006/relationships/image" Target="media/image246.png"/><Relationship Id="rId271" Type="http://schemas.openxmlformats.org/officeDocument/2006/relationships/image" Target="media/image247.png"/><Relationship Id="rId272" Type="http://schemas.openxmlformats.org/officeDocument/2006/relationships/image" Target="media/image248.png"/><Relationship Id="rId273" Type="http://schemas.openxmlformats.org/officeDocument/2006/relationships/image" Target="media/image249.png"/><Relationship Id="rId274" Type="http://schemas.openxmlformats.org/officeDocument/2006/relationships/image" Target="media/image250.png"/><Relationship Id="rId275" Type="http://schemas.openxmlformats.org/officeDocument/2006/relationships/image" Target="media/image251.png"/><Relationship Id="rId276" Type="http://schemas.openxmlformats.org/officeDocument/2006/relationships/image" Target="media/image252.png"/><Relationship Id="rId277" Type="http://schemas.openxmlformats.org/officeDocument/2006/relationships/image" Target="media/image253.png"/><Relationship Id="rId278" Type="http://schemas.openxmlformats.org/officeDocument/2006/relationships/image" Target="media/image254.png"/><Relationship Id="rId279" Type="http://schemas.openxmlformats.org/officeDocument/2006/relationships/image" Target="media/image255.png"/><Relationship Id="rId280" Type="http://schemas.openxmlformats.org/officeDocument/2006/relationships/image" Target="media/image256.png"/><Relationship Id="rId281" Type="http://schemas.openxmlformats.org/officeDocument/2006/relationships/image" Target="media/image257.png"/><Relationship Id="rId282" Type="http://schemas.openxmlformats.org/officeDocument/2006/relationships/image" Target="media/image258.png"/><Relationship Id="rId283" Type="http://schemas.openxmlformats.org/officeDocument/2006/relationships/image" Target="media/image259.png"/><Relationship Id="rId284" Type="http://schemas.openxmlformats.org/officeDocument/2006/relationships/image" Target="media/image260.png"/><Relationship Id="rId285" Type="http://schemas.openxmlformats.org/officeDocument/2006/relationships/image" Target="media/image261.png"/><Relationship Id="rId286" Type="http://schemas.openxmlformats.org/officeDocument/2006/relationships/image" Target="media/image262.png"/><Relationship Id="rId287" Type="http://schemas.openxmlformats.org/officeDocument/2006/relationships/image" Target="media/image263.png"/><Relationship Id="rId288" Type="http://schemas.openxmlformats.org/officeDocument/2006/relationships/image" Target="media/image264.png"/><Relationship Id="rId289" Type="http://schemas.openxmlformats.org/officeDocument/2006/relationships/image" Target="media/image265.png"/><Relationship Id="rId290" Type="http://schemas.openxmlformats.org/officeDocument/2006/relationships/image" Target="media/image266.png"/><Relationship Id="rId291" Type="http://schemas.openxmlformats.org/officeDocument/2006/relationships/image" Target="media/image267.png"/><Relationship Id="rId292" Type="http://schemas.openxmlformats.org/officeDocument/2006/relationships/image" Target="media/image268.png"/><Relationship Id="rId293" Type="http://schemas.openxmlformats.org/officeDocument/2006/relationships/image" Target="media/image269.png"/><Relationship Id="rId294" Type="http://schemas.openxmlformats.org/officeDocument/2006/relationships/image" Target="media/image270.png"/><Relationship Id="rId295" Type="http://schemas.openxmlformats.org/officeDocument/2006/relationships/image" Target="media/image271.png"/><Relationship Id="rId296" Type="http://schemas.openxmlformats.org/officeDocument/2006/relationships/image" Target="media/image272.png"/><Relationship Id="rId297" Type="http://schemas.openxmlformats.org/officeDocument/2006/relationships/image" Target="media/image273.png"/><Relationship Id="rId298" Type="http://schemas.openxmlformats.org/officeDocument/2006/relationships/image" Target="media/image274.png"/><Relationship Id="rId299" Type="http://schemas.openxmlformats.org/officeDocument/2006/relationships/image" Target="media/image275.png"/><Relationship Id="rId300" Type="http://schemas.openxmlformats.org/officeDocument/2006/relationships/image" Target="media/image276.png"/><Relationship Id="rId301" Type="http://schemas.openxmlformats.org/officeDocument/2006/relationships/image" Target="media/image277.png"/><Relationship Id="rId302" Type="http://schemas.openxmlformats.org/officeDocument/2006/relationships/image" Target="media/image278.png"/><Relationship Id="rId303" Type="http://schemas.openxmlformats.org/officeDocument/2006/relationships/image" Target="media/image279.png"/><Relationship Id="rId304" Type="http://schemas.openxmlformats.org/officeDocument/2006/relationships/image" Target="media/image280.png"/><Relationship Id="rId305" Type="http://schemas.openxmlformats.org/officeDocument/2006/relationships/image" Target="media/image281.png"/><Relationship Id="rId306" Type="http://schemas.openxmlformats.org/officeDocument/2006/relationships/image" Target="media/image282.png"/><Relationship Id="rId307" Type="http://schemas.openxmlformats.org/officeDocument/2006/relationships/image" Target="media/image283.png"/><Relationship Id="rId308" Type="http://schemas.openxmlformats.org/officeDocument/2006/relationships/image" Target="media/image284.png"/><Relationship Id="rId309" Type="http://schemas.openxmlformats.org/officeDocument/2006/relationships/image" Target="media/image285.png"/><Relationship Id="rId310" Type="http://schemas.openxmlformats.org/officeDocument/2006/relationships/image" Target="media/image286.png"/><Relationship Id="rId311" Type="http://schemas.openxmlformats.org/officeDocument/2006/relationships/image" Target="media/image287.png"/><Relationship Id="rId312" Type="http://schemas.openxmlformats.org/officeDocument/2006/relationships/image" Target="media/image288.png"/><Relationship Id="rId313" Type="http://schemas.openxmlformats.org/officeDocument/2006/relationships/image" Target="media/image289.png"/><Relationship Id="rId314" Type="http://schemas.openxmlformats.org/officeDocument/2006/relationships/image" Target="media/image290.png"/><Relationship Id="rId315" Type="http://schemas.openxmlformats.org/officeDocument/2006/relationships/image" Target="media/image291.png"/><Relationship Id="rId316" Type="http://schemas.openxmlformats.org/officeDocument/2006/relationships/image" Target="media/image292.png"/><Relationship Id="rId317" Type="http://schemas.openxmlformats.org/officeDocument/2006/relationships/image" Target="media/image293.png"/><Relationship Id="rId318" Type="http://schemas.openxmlformats.org/officeDocument/2006/relationships/image" Target="media/image294.png"/><Relationship Id="rId319" Type="http://schemas.openxmlformats.org/officeDocument/2006/relationships/image" Target="media/image295.png"/><Relationship Id="rId320" Type="http://schemas.openxmlformats.org/officeDocument/2006/relationships/image" Target="media/image296.png"/><Relationship Id="rId321" Type="http://schemas.openxmlformats.org/officeDocument/2006/relationships/image" Target="media/image297.png"/><Relationship Id="rId322" Type="http://schemas.openxmlformats.org/officeDocument/2006/relationships/image" Target="media/image298.png"/><Relationship Id="rId323" Type="http://schemas.openxmlformats.org/officeDocument/2006/relationships/image" Target="media/image299.png"/><Relationship Id="rId324" Type="http://schemas.openxmlformats.org/officeDocument/2006/relationships/image" Target="media/image300.png"/><Relationship Id="rId325" Type="http://schemas.openxmlformats.org/officeDocument/2006/relationships/image" Target="media/image301.png"/><Relationship Id="rId326" Type="http://schemas.openxmlformats.org/officeDocument/2006/relationships/image" Target="media/image302.png"/><Relationship Id="rId327" Type="http://schemas.openxmlformats.org/officeDocument/2006/relationships/image" Target="media/image303.png"/><Relationship Id="rId328" Type="http://schemas.openxmlformats.org/officeDocument/2006/relationships/image" Target="media/image304.png"/><Relationship Id="rId329" Type="http://schemas.openxmlformats.org/officeDocument/2006/relationships/image" Target="media/image305.png"/><Relationship Id="rId330" Type="http://schemas.openxmlformats.org/officeDocument/2006/relationships/image" Target="media/image306.png"/><Relationship Id="rId331" Type="http://schemas.openxmlformats.org/officeDocument/2006/relationships/image" Target="media/image307.png"/><Relationship Id="rId332" Type="http://schemas.openxmlformats.org/officeDocument/2006/relationships/image" Target="media/image308.png"/><Relationship Id="rId333" Type="http://schemas.openxmlformats.org/officeDocument/2006/relationships/image" Target="media/image309.png"/><Relationship Id="rId334" Type="http://schemas.openxmlformats.org/officeDocument/2006/relationships/image" Target="media/image310.png"/><Relationship Id="rId335" Type="http://schemas.openxmlformats.org/officeDocument/2006/relationships/image" Target="media/image311.png"/><Relationship Id="rId336" Type="http://schemas.openxmlformats.org/officeDocument/2006/relationships/image" Target="media/image312.png"/><Relationship Id="rId337" Type="http://schemas.openxmlformats.org/officeDocument/2006/relationships/image" Target="media/image313.png"/><Relationship Id="rId338" Type="http://schemas.openxmlformats.org/officeDocument/2006/relationships/image" Target="media/image314.png"/><Relationship Id="rId339" Type="http://schemas.openxmlformats.org/officeDocument/2006/relationships/image" Target="media/image315.png"/><Relationship Id="rId340" Type="http://schemas.openxmlformats.org/officeDocument/2006/relationships/image" Target="media/image316.png"/><Relationship Id="rId341" Type="http://schemas.openxmlformats.org/officeDocument/2006/relationships/image" Target="media/image317.png"/><Relationship Id="rId342" Type="http://schemas.openxmlformats.org/officeDocument/2006/relationships/image" Target="media/image318.png"/><Relationship Id="rId343" Type="http://schemas.openxmlformats.org/officeDocument/2006/relationships/image" Target="media/image319.png"/><Relationship Id="rId344" Type="http://schemas.openxmlformats.org/officeDocument/2006/relationships/image" Target="media/image320.png"/><Relationship Id="rId345" Type="http://schemas.openxmlformats.org/officeDocument/2006/relationships/image" Target="media/image321.png"/><Relationship Id="rId346" Type="http://schemas.openxmlformats.org/officeDocument/2006/relationships/image" Target="media/image322.png"/><Relationship Id="rId347" Type="http://schemas.openxmlformats.org/officeDocument/2006/relationships/image" Target="media/image323.png"/><Relationship Id="rId348" Type="http://schemas.openxmlformats.org/officeDocument/2006/relationships/image" Target="media/image324.png"/><Relationship Id="rId349" Type="http://schemas.openxmlformats.org/officeDocument/2006/relationships/image" Target="media/image325.png"/><Relationship Id="rId350" Type="http://schemas.openxmlformats.org/officeDocument/2006/relationships/image" Target="media/image326.png"/><Relationship Id="rId351" Type="http://schemas.openxmlformats.org/officeDocument/2006/relationships/image" Target="media/image327.png"/><Relationship Id="rId352" Type="http://schemas.openxmlformats.org/officeDocument/2006/relationships/image" Target="media/image328.png"/><Relationship Id="rId353" Type="http://schemas.openxmlformats.org/officeDocument/2006/relationships/image" Target="media/image329.png"/><Relationship Id="rId354" Type="http://schemas.openxmlformats.org/officeDocument/2006/relationships/image" Target="media/image330.jpeg"/><Relationship Id="rId355" Type="http://schemas.openxmlformats.org/officeDocument/2006/relationships/image" Target="media/image331.png"/><Relationship Id="rId356" Type="http://schemas.openxmlformats.org/officeDocument/2006/relationships/image" Target="media/image332.png"/><Relationship Id="rId357" Type="http://schemas.openxmlformats.org/officeDocument/2006/relationships/image" Target="media/image333.png"/><Relationship Id="rId358" Type="http://schemas.openxmlformats.org/officeDocument/2006/relationships/image" Target="media/image334.png"/><Relationship Id="rId359" Type="http://schemas.openxmlformats.org/officeDocument/2006/relationships/image" Target="media/image335.png"/><Relationship Id="rId360" Type="http://schemas.openxmlformats.org/officeDocument/2006/relationships/image" Target="media/image336.png"/><Relationship Id="rId361" Type="http://schemas.openxmlformats.org/officeDocument/2006/relationships/image" Target="media/image337.jpeg"/><Relationship Id="rId362" Type="http://schemas.openxmlformats.org/officeDocument/2006/relationships/image" Target="media/image338.png"/><Relationship Id="rId363" Type="http://schemas.openxmlformats.org/officeDocument/2006/relationships/image" Target="media/image339.jpeg"/><Relationship Id="rId364" Type="http://schemas.openxmlformats.org/officeDocument/2006/relationships/image" Target="media/image340.png"/><Relationship Id="rId365" Type="http://schemas.openxmlformats.org/officeDocument/2006/relationships/image" Target="media/image341.jpeg"/><Relationship Id="rId366" Type="http://schemas.openxmlformats.org/officeDocument/2006/relationships/image" Target="media/image342.jpeg"/><Relationship Id="rId367" Type="http://schemas.openxmlformats.org/officeDocument/2006/relationships/image" Target="media/image343.jpeg"/><Relationship Id="rId368" Type="http://schemas.openxmlformats.org/officeDocument/2006/relationships/image" Target="media/image344.png"/><Relationship Id="rId369" Type="http://schemas.openxmlformats.org/officeDocument/2006/relationships/image" Target="media/image345.jpeg"/><Relationship Id="rId370" Type="http://schemas.openxmlformats.org/officeDocument/2006/relationships/image" Target="media/image346.png"/><Relationship Id="rId371" Type="http://schemas.openxmlformats.org/officeDocument/2006/relationships/image" Target="media/image347.jpeg"/><Relationship Id="rId372" Type="http://schemas.openxmlformats.org/officeDocument/2006/relationships/image" Target="media/image348.png"/><Relationship Id="rId373" Type="http://schemas.openxmlformats.org/officeDocument/2006/relationships/image" Target="media/image349.jpeg"/><Relationship Id="rId374" Type="http://schemas.openxmlformats.org/officeDocument/2006/relationships/image" Target="media/image350.jpeg"/><Relationship Id="rId375" Type="http://schemas.openxmlformats.org/officeDocument/2006/relationships/image" Target="media/image351.png"/><Relationship Id="rId376" Type="http://schemas.openxmlformats.org/officeDocument/2006/relationships/image" Target="media/image352.png"/><Relationship Id="rId377" Type="http://schemas.openxmlformats.org/officeDocument/2006/relationships/image" Target="media/image353.jpeg"/><Relationship Id="rId378" Type="http://schemas.openxmlformats.org/officeDocument/2006/relationships/image" Target="media/image354.png"/><Relationship Id="rId379" Type="http://schemas.openxmlformats.org/officeDocument/2006/relationships/image" Target="media/image355.jpeg"/><Relationship Id="rId380" Type="http://schemas.openxmlformats.org/officeDocument/2006/relationships/image" Target="media/image356.png"/><Relationship Id="rId381" Type="http://schemas.openxmlformats.org/officeDocument/2006/relationships/image" Target="media/image357.jpeg"/><Relationship Id="rId382" Type="http://schemas.openxmlformats.org/officeDocument/2006/relationships/image" Target="media/image358.png"/><Relationship Id="rId383" Type="http://schemas.openxmlformats.org/officeDocument/2006/relationships/image" Target="media/image359.jpeg"/><Relationship Id="rId384" Type="http://schemas.openxmlformats.org/officeDocument/2006/relationships/image" Target="media/image360.png"/><Relationship Id="rId385" Type="http://schemas.openxmlformats.org/officeDocument/2006/relationships/image" Target="media/image361.jpeg"/><Relationship Id="rId386" Type="http://schemas.openxmlformats.org/officeDocument/2006/relationships/image" Target="media/image362.png"/><Relationship Id="rId387" Type="http://schemas.openxmlformats.org/officeDocument/2006/relationships/image" Target="media/image363.jpeg"/><Relationship Id="rId388" Type="http://schemas.openxmlformats.org/officeDocument/2006/relationships/image" Target="media/image364.png"/><Relationship Id="rId389" Type="http://schemas.openxmlformats.org/officeDocument/2006/relationships/image" Target="media/image365.png"/><Relationship Id="rId390" Type="http://schemas.openxmlformats.org/officeDocument/2006/relationships/image" Target="media/image366.png"/><Relationship Id="rId391" Type="http://schemas.openxmlformats.org/officeDocument/2006/relationships/image" Target="media/image367.png"/><Relationship Id="rId392" Type="http://schemas.openxmlformats.org/officeDocument/2006/relationships/image" Target="media/image368.png"/><Relationship Id="rId393" Type="http://schemas.openxmlformats.org/officeDocument/2006/relationships/image" Target="media/image369.png"/><Relationship Id="rId394" Type="http://schemas.openxmlformats.org/officeDocument/2006/relationships/image" Target="media/image370.png"/><Relationship Id="rId395" Type="http://schemas.openxmlformats.org/officeDocument/2006/relationships/image" Target="media/image371.png"/><Relationship Id="rId396" Type="http://schemas.openxmlformats.org/officeDocument/2006/relationships/image" Target="media/image372.png"/><Relationship Id="rId397" Type="http://schemas.openxmlformats.org/officeDocument/2006/relationships/image" Target="media/image373.png"/><Relationship Id="rId398" Type="http://schemas.openxmlformats.org/officeDocument/2006/relationships/image" Target="media/image374.png"/><Relationship Id="rId399" Type="http://schemas.openxmlformats.org/officeDocument/2006/relationships/image" Target="media/image375.png"/><Relationship Id="rId400" Type="http://schemas.openxmlformats.org/officeDocument/2006/relationships/image" Target="media/image376.png"/><Relationship Id="rId401" Type="http://schemas.openxmlformats.org/officeDocument/2006/relationships/image" Target="media/image377.png"/><Relationship Id="rId402" Type="http://schemas.openxmlformats.org/officeDocument/2006/relationships/image" Target="media/image378.png"/><Relationship Id="rId403" Type="http://schemas.openxmlformats.org/officeDocument/2006/relationships/image" Target="media/image379.png"/><Relationship Id="rId404" Type="http://schemas.openxmlformats.org/officeDocument/2006/relationships/image" Target="media/image380.png"/><Relationship Id="rId405" Type="http://schemas.openxmlformats.org/officeDocument/2006/relationships/image" Target="media/image381.jpeg"/><Relationship Id="rId406" Type="http://schemas.openxmlformats.org/officeDocument/2006/relationships/image" Target="media/image382.png"/><Relationship Id="rId407" Type="http://schemas.openxmlformats.org/officeDocument/2006/relationships/image" Target="media/image383.png"/><Relationship Id="rId408" Type="http://schemas.openxmlformats.org/officeDocument/2006/relationships/image" Target="media/image384.png"/><Relationship Id="rId409" Type="http://schemas.openxmlformats.org/officeDocument/2006/relationships/image" Target="media/image385.png"/><Relationship Id="rId410" Type="http://schemas.openxmlformats.org/officeDocument/2006/relationships/image" Target="media/image386.png"/><Relationship Id="rId411" Type="http://schemas.openxmlformats.org/officeDocument/2006/relationships/image" Target="media/image387.png"/><Relationship Id="rId412" Type="http://schemas.openxmlformats.org/officeDocument/2006/relationships/image" Target="media/image388.jpeg"/><Relationship Id="rId413" Type="http://schemas.openxmlformats.org/officeDocument/2006/relationships/image" Target="media/image389.png"/><Relationship Id="rId414" Type="http://schemas.openxmlformats.org/officeDocument/2006/relationships/image" Target="media/image390.png"/><Relationship Id="rId415" Type="http://schemas.openxmlformats.org/officeDocument/2006/relationships/image" Target="media/image391.jpeg"/><Relationship Id="rId416" Type="http://schemas.openxmlformats.org/officeDocument/2006/relationships/image" Target="media/image392.png"/><Relationship Id="rId417" Type="http://schemas.openxmlformats.org/officeDocument/2006/relationships/image" Target="media/image393.png"/><Relationship Id="rId418" Type="http://schemas.openxmlformats.org/officeDocument/2006/relationships/image" Target="media/image394.png"/><Relationship Id="rId419" Type="http://schemas.openxmlformats.org/officeDocument/2006/relationships/image" Target="media/image395.png"/><Relationship Id="rId420" Type="http://schemas.openxmlformats.org/officeDocument/2006/relationships/image" Target="media/image396.png"/><Relationship Id="rId421" Type="http://schemas.openxmlformats.org/officeDocument/2006/relationships/image" Target="media/image397.png"/><Relationship Id="rId422" Type="http://schemas.openxmlformats.org/officeDocument/2006/relationships/image" Target="media/image398.png"/><Relationship Id="rId423" Type="http://schemas.openxmlformats.org/officeDocument/2006/relationships/image" Target="media/image399.png"/><Relationship Id="rId424" Type="http://schemas.openxmlformats.org/officeDocument/2006/relationships/image" Target="media/image400.png"/><Relationship Id="rId425" Type="http://schemas.openxmlformats.org/officeDocument/2006/relationships/image" Target="media/image401.png"/><Relationship Id="rId426" Type="http://schemas.openxmlformats.org/officeDocument/2006/relationships/image" Target="media/image402.png"/><Relationship Id="rId427" Type="http://schemas.openxmlformats.org/officeDocument/2006/relationships/image" Target="media/image403.png"/><Relationship Id="rId428" Type="http://schemas.openxmlformats.org/officeDocument/2006/relationships/image" Target="media/image404.png"/><Relationship Id="rId429" Type="http://schemas.openxmlformats.org/officeDocument/2006/relationships/image" Target="media/image405.png"/><Relationship Id="rId430" Type="http://schemas.openxmlformats.org/officeDocument/2006/relationships/image" Target="media/image406.png"/><Relationship Id="rId431" Type="http://schemas.openxmlformats.org/officeDocument/2006/relationships/image" Target="media/image407.png"/><Relationship Id="rId432" Type="http://schemas.openxmlformats.org/officeDocument/2006/relationships/image" Target="media/image408.png"/><Relationship Id="rId433" Type="http://schemas.openxmlformats.org/officeDocument/2006/relationships/image" Target="media/image409.png"/><Relationship Id="rId434" Type="http://schemas.openxmlformats.org/officeDocument/2006/relationships/image" Target="media/image410.png"/><Relationship Id="rId435" Type="http://schemas.openxmlformats.org/officeDocument/2006/relationships/image" Target="media/image411.png"/><Relationship Id="rId436" Type="http://schemas.openxmlformats.org/officeDocument/2006/relationships/image" Target="media/image412.png"/><Relationship Id="rId437" Type="http://schemas.openxmlformats.org/officeDocument/2006/relationships/image" Target="media/image413.png"/><Relationship Id="rId438" Type="http://schemas.openxmlformats.org/officeDocument/2006/relationships/image" Target="media/image414.png"/><Relationship Id="rId439" Type="http://schemas.openxmlformats.org/officeDocument/2006/relationships/image" Target="media/image415.png"/><Relationship Id="rId440" Type="http://schemas.openxmlformats.org/officeDocument/2006/relationships/image" Target="media/image416.png"/><Relationship Id="rId441" Type="http://schemas.openxmlformats.org/officeDocument/2006/relationships/image" Target="media/image417.png"/><Relationship Id="rId442" Type="http://schemas.openxmlformats.org/officeDocument/2006/relationships/image" Target="media/image418.png"/><Relationship Id="rId443" Type="http://schemas.openxmlformats.org/officeDocument/2006/relationships/image" Target="media/image419.png"/><Relationship Id="rId444" Type="http://schemas.openxmlformats.org/officeDocument/2006/relationships/image" Target="media/image420.png"/><Relationship Id="rId445" Type="http://schemas.openxmlformats.org/officeDocument/2006/relationships/image" Target="media/image421.png"/><Relationship Id="rId446" Type="http://schemas.openxmlformats.org/officeDocument/2006/relationships/image" Target="media/image422.png"/><Relationship Id="rId447" Type="http://schemas.openxmlformats.org/officeDocument/2006/relationships/image" Target="media/image423.png"/><Relationship Id="rId448" Type="http://schemas.openxmlformats.org/officeDocument/2006/relationships/image" Target="media/image424.png"/><Relationship Id="rId449" Type="http://schemas.openxmlformats.org/officeDocument/2006/relationships/image" Target="media/image425.png"/><Relationship Id="rId450" Type="http://schemas.openxmlformats.org/officeDocument/2006/relationships/image" Target="media/image426.png"/><Relationship Id="rId451" Type="http://schemas.openxmlformats.org/officeDocument/2006/relationships/image" Target="media/image427.png"/><Relationship Id="rId452" Type="http://schemas.openxmlformats.org/officeDocument/2006/relationships/image" Target="media/image428.png"/><Relationship Id="rId453" Type="http://schemas.openxmlformats.org/officeDocument/2006/relationships/image" Target="media/image429.png"/><Relationship Id="rId454" Type="http://schemas.openxmlformats.org/officeDocument/2006/relationships/image" Target="media/image430.png"/><Relationship Id="rId455" Type="http://schemas.openxmlformats.org/officeDocument/2006/relationships/image" Target="media/image431.png"/><Relationship Id="rId456" Type="http://schemas.openxmlformats.org/officeDocument/2006/relationships/image" Target="media/image432.png"/><Relationship Id="rId457" Type="http://schemas.openxmlformats.org/officeDocument/2006/relationships/image" Target="media/image433.png"/><Relationship Id="rId458" Type="http://schemas.openxmlformats.org/officeDocument/2006/relationships/image" Target="media/image434.png"/><Relationship Id="rId459" Type="http://schemas.openxmlformats.org/officeDocument/2006/relationships/image" Target="media/image435.png"/><Relationship Id="rId460" Type="http://schemas.openxmlformats.org/officeDocument/2006/relationships/image" Target="media/image436.png"/><Relationship Id="rId54" Type="http://schemas.openxmlformats.org/officeDocument/2006/relationships/hyperlink" Target="http://www.sec.gov/ix?doc=/Archives/edgar/data/923796/000119312526071747/geo-20251231.htm" TargetMode="External"/><Relationship Id="rId55" Type="http://schemas.openxmlformats.org/officeDocument/2006/relationships/hyperlink" Target="http://www.sec.gov/ix?doc=/Archives/edgar/data/923796/000119312526116014/d923546ddef14a.htm" TargetMode="External"/><Relationship Id="rId56" Type="http://schemas.openxmlformats.org/officeDocument/2006/relationships/hyperlink" Target="http://www.sec.gov/ix?doc=/Archives/edgar/data/923796/000119312526211821/geo-20260331.htm" TargetMode="External"/><Relationship Id="rId57" Type="http://schemas.openxmlformats.org/officeDocument/2006/relationships/hyperlink" Target="http://www.sec.gov/ix?doc=/Archives/edgar/data/923796/000119312526337932/geo-20260630.htm" TargetMode="External"/><Relationship Id="rId58" Type="http://schemas.openxmlformats.org/officeDocument/2006/relationships/hyperlink" Target="http://www.sec.gov/ix?doc=/Archives/edgar/data/923796/000119312526413085/d212275d8k.htm" TargetMode="External"/><Relationship Id="rId59" Type="http://schemas.openxmlformats.org/officeDocument/2006/relationships/hyperlink" Target="http://www.sec.gov/ix?doc=/Archives/edgar/data/923796/000119312526417979/d246793d8k.htm" TargetMode="External"/><Relationship Id="rId60" Type="http://schemas.openxmlformats.org/officeDocument/2006/relationships/hyperlink" Target="http://www.sec.gov/Archives/edgar/data/923796/000119312514254491/d750635d8k12b.htm" TargetMode="External"/><Relationship Id="rId61" Type="http://schemas.openxmlformats.org/officeDocument/2006/relationships/hyperlink" Target="http://www.sec.gov/Archives/edgar/data/923796/000095017023004713/geo-ex4_14.htm" TargetMode="External"/><Relationship Id="rId62" Type="http://schemas.openxmlformats.org/officeDocument/2006/relationships/hyperlink" Target="http://www.sec.gov/ix?doc=/Archives/edgar/data/923796/000095017023004713/geo-20221231.htm" TargetMode="External"/><Relationship Id="rId85" Type="http://schemas.openxmlformats.org/officeDocument/2006/relationships/hyperlink" Target="http://www.sec.gov/Archives/edgar/data/923796/000119312514254491/d750635dex32.htm" TargetMode="External"/><Relationship Id="rId86" Type="http://schemas.openxmlformats.org/officeDocument/2006/relationships/hyperlink" Target="http://www.sec.gov/Archives/edgar/data/923796/000119312524135357/d784973dex31.htm" TargetMode="External"/><Relationship Id="rId87" Type="http://schemas.openxmlformats.org/officeDocument/2006/relationships/hyperlink" Target="http://www.sec.gov/Archives/edgar/data/0000923796/000119312521195250/d192125dex31.htm" TargetMode="External"/><Relationship Id="rId88" Type="http://schemas.openxmlformats.org/officeDocument/2006/relationships/hyperlink" Target="http://www.sec.gov/Archives/edgar/data/0000923796/000119312522019826/d305099dex31.htm" TargetMode="External"/><Relationship Id="rId89" Type="http://schemas.openxmlformats.org/officeDocument/2006/relationships/hyperlink" Target="http://www.sec.gov/Archives/edgar/data/923796/000119312522045923/d106900dex31.htm" TargetMode="External"/><Relationship Id="rId90" Type="http://schemas.openxmlformats.org/officeDocument/2006/relationships/hyperlink" Target="http://www.sec.gov/Archives/edgar/data/923796/000119312522313783/d398856dex31.htm" TargetMode="External"/><Relationship Id="rId91" Type="http://schemas.openxmlformats.org/officeDocument/2006/relationships/hyperlink" Target="http://www.sec.gov/Archives/edgar/data/923796/000119312524037639/d763000dex31.htm" TargetMode="External"/><Relationship Id="rId92" Type="http://schemas.openxmlformats.org/officeDocument/2006/relationships/hyperlink" Target="http://www.sec.gov/Archives/edgar/data/923796/000119312524163412/d855800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2026-10-30T16:53:22Z</dcterms:created>
  <dcterms:modified xsi:type="dcterms:W3CDTF">2026-10-30T16:53:22Z</dcterms:modified>
</cp:coreProperties>
</file>