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ind w:left="520" w:right="300" w:hanging="512"/>
        <w:spacing w:after="0" w:line="235" w:lineRule="auto"/>
        <w:tabs>
          <w:tab w:leader="none" w:pos="443"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20" w:right="300" w:hanging="512"/>
        <w:spacing w:after="0" w:line="235" w:lineRule="auto"/>
        <w:tabs>
          <w:tab w:leader="none" w:pos="443"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 to_______</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1-14260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GEO Group, Inc.</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tbl>
      <w:tblPr>
        <w:tblLayout w:type="fixed"/>
        <w:tblInd w:w="1580" w:type="dxa"/>
        <w:tblCellMar>
          <w:top w:w="0" w:type="dxa"/>
          <w:left w:w="0" w:type="dxa"/>
          <w:bottom w:w="0" w:type="dxa"/>
          <w:right w:w="0" w:type="dxa"/>
        </w:tblCellMar>
      </w:tblPr>
      <w:tr>
        <w:trPr>
          <w:trHeight w:val="20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Florida</w:t>
            </w:r>
          </w:p>
        </w:tc>
        <w:tc>
          <w:tcPr>
            <w:tcW w:w="5080" w:type="dxa"/>
            <w:vAlign w:val="bottom"/>
          </w:tcPr>
          <w:p>
            <w:pPr>
              <w:jc w:val="right"/>
              <w:ind w:right="61"/>
              <w:spacing w:after="0"/>
              <w:rPr>
                <w:sz w:val="20"/>
                <w:szCs w:val="20"/>
                <w:color w:val="auto"/>
              </w:rPr>
            </w:pPr>
            <w:r>
              <w:rPr>
                <w:rFonts w:ascii="Arial" w:cs="Arial" w:eastAsia="Arial" w:hAnsi="Arial"/>
                <w:sz w:val="18"/>
                <w:szCs w:val="18"/>
                <w:b w:val="1"/>
                <w:bCs w:val="1"/>
                <w:color w:val="auto"/>
              </w:rPr>
              <w:t>65-0043078</w:t>
            </w:r>
          </w:p>
        </w:tc>
        <w:tc>
          <w:tcPr>
            <w:tcW w:w="0" w:type="dxa"/>
            <w:vAlign w:val="bottom"/>
          </w:tcPr>
          <w:p>
            <w:pPr>
              <w:spacing w:after="0"/>
              <w:rPr>
                <w:sz w:val="1"/>
                <w:szCs w:val="1"/>
                <w:color w:val="auto"/>
              </w:rPr>
            </w:pPr>
          </w:p>
        </w:tc>
      </w:tr>
      <w:tr>
        <w:trPr>
          <w:trHeight w:val="144"/>
        </w:trPr>
        <w:tc>
          <w:tcPr>
            <w:tcW w:w="2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61"/>
              <w:spacing w:after="0" w:line="145"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3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4955 Technology Way</w:t>
            </w:r>
          </w:p>
        </w:tc>
        <w:tc>
          <w:tcPr>
            <w:tcW w:w="508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33431</w:t>
            </w:r>
          </w:p>
        </w:tc>
        <w:tc>
          <w:tcPr>
            <w:tcW w:w="0" w:type="dxa"/>
            <w:vAlign w:val="bottom"/>
          </w:tcPr>
          <w:p>
            <w:pPr>
              <w:spacing w:after="0"/>
              <w:rPr>
                <w:sz w:val="1"/>
                <w:szCs w:val="1"/>
                <w:color w:val="auto"/>
              </w:rPr>
            </w:pPr>
          </w:p>
        </w:tc>
      </w:tr>
      <w:tr>
        <w:trPr>
          <w:trHeight w:val="180"/>
        </w:trPr>
        <w:tc>
          <w:tcPr>
            <w:tcW w:w="24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1"/>
              </w:rPr>
              <w:t>Boca Raton, Florida</w:t>
            </w:r>
          </w:p>
        </w:tc>
        <w:tc>
          <w:tcPr>
            <w:tcW w:w="5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54"/>
        </w:trPr>
        <w:tc>
          <w:tcPr>
            <w:tcW w:w="2400" w:type="dxa"/>
            <w:vAlign w:val="bottom"/>
          </w:tcPr>
          <w:p>
            <w:pPr>
              <w:spacing w:after="0"/>
              <w:rPr>
                <w:sz w:val="24"/>
                <w:szCs w:val="24"/>
                <w:color w:val="auto"/>
              </w:rPr>
            </w:pPr>
          </w:p>
        </w:tc>
        <w:tc>
          <w:tcPr>
            <w:tcW w:w="508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(561) 893-0101</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080" w:type="dxa"/>
            <w:vAlign w:val="bottom"/>
          </w:tcPr>
          <w:p>
            <w:pPr>
              <w:jc w:val="center"/>
              <w:ind w:right="1721"/>
              <w:spacing w:after="0" w:line="149"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1"/>
              <w:spacing w:after="0"/>
              <w:rPr>
                <w:sz w:val="20"/>
                <w:szCs w:val="20"/>
                <w:color w:val="auto"/>
              </w:rPr>
            </w:pPr>
            <w:r>
              <w:rPr>
                <w:rFonts w:ascii="Arial" w:cs="Arial" w:eastAsia="Arial" w:hAnsi="Arial"/>
                <w:sz w:val="14"/>
                <w:szCs w:val="14"/>
                <w:b w:val="1"/>
                <w:bCs w:val="1"/>
                <w:color w:val="auto"/>
                <w:w w:val="99"/>
              </w:rPr>
              <w:t>N/A</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526"/>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58"/>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GEO</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48" w:lineRule="exact"/>
        <w:rPr>
          <w:sz w:val="24"/>
          <w:szCs w:val="24"/>
          <w:color w:val="auto"/>
        </w:rPr>
      </w:pPr>
    </w:p>
    <w:p>
      <w:pPr>
        <w:ind w:right="30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120"/>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2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0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ind w:right="1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60"/>
        <w:spacing w:after="0" w:line="24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2, 2022, the registrant had 124,090,459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8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540" w:type="dxa"/>
            <w:vAlign w:val="bottom"/>
            <w:gridSpan w:val="2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404040"/>
              </w:rPr>
              <w:t>3</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9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3</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820" w:type="dxa"/>
            <w:vAlign w:val="bottom"/>
            <w:tcBorders>
              <w:top w:val="single" w:sz="8" w:color="0000FF"/>
            </w:tcBorders>
            <w:gridSpan w:val="11"/>
          </w:tcPr>
          <w:p>
            <w:pPr>
              <w:spacing w:after="0" w:line="182" w:lineRule="exact"/>
              <w:rPr>
                <w:rFonts w:ascii="Arial" w:cs="Arial" w:eastAsia="Arial" w:hAnsi="Arial"/>
                <w:sz w:val="18"/>
                <w:szCs w:val="18"/>
                <w:color w:val="0000FF"/>
                <w:w w:val="93"/>
              </w:rPr>
            </w:pPr>
            <w:hyperlink w:anchor="page3">
              <w:r>
                <w:rPr>
                  <w:rFonts w:ascii="Arial" w:cs="Arial" w:eastAsia="Arial" w:hAnsi="Arial"/>
                  <w:sz w:val="18"/>
                  <w:szCs w:val="18"/>
                  <w:color w:val="0000FF"/>
                  <w:w w:val="93"/>
                </w:rPr>
                <w:t>CONSOLIDATED STATEMENTS OF</w:t>
              </w:r>
            </w:hyperlink>
          </w:p>
        </w:tc>
        <w:tc>
          <w:tcPr>
            <w:tcW w:w="7720" w:type="dxa"/>
            <w:vAlign w:val="bottom"/>
            <w:gridSpan w:val="13"/>
          </w:tcPr>
          <w:p>
            <w:pPr>
              <w:ind w:left="60"/>
              <w:spacing w:after="0" w:line="182" w:lineRule="exact"/>
              <w:rPr>
                <w:rFonts w:ascii="Arial" w:cs="Arial" w:eastAsia="Arial" w:hAnsi="Arial"/>
                <w:sz w:val="18"/>
                <w:szCs w:val="18"/>
                <w:color w:val="0000FF"/>
                <w:w w:val="96"/>
              </w:rPr>
            </w:pPr>
            <w:hyperlink w:anchor="page3">
              <w:r>
                <w:rPr>
                  <w:rFonts w:ascii="Arial" w:cs="Arial" w:eastAsia="Arial" w:hAnsi="Arial"/>
                  <w:sz w:val="18"/>
                  <w:szCs w:val="18"/>
                  <w:color w:val="0000FF"/>
                  <w:w w:val="96"/>
                </w:rPr>
                <w:t>OPERATIONS (UNAUDITED) FOR THE THREE AND SIX MONTHS ENDED JUNE 30, 2022 AND</w:t>
              </w:r>
            </w:hyperlink>
          </w:p>
        </w:tc>
        <w:tc>
          <w:tcPr>
            <w:tcW w:w="680" w:type="dxa"/>
            <w:vAlign w:val="bottom"/>
            <w:vMerge w:val="restart"/>
          </w:tcPr>
          <w:p>
            <w:pPr>
              <w:jc w:val="right"/>
              <w:spacing w:after="0"/>
              <w:rPr>
                <w:sz w:val="20"/>
                <w:szCs w:val="20"/>
                <w:color w:val="auto"/>
              </w:rPr>
            </w:pPr>
            <w:r>
              <w:rPr>
                <w:rFonts w:ascii="Arial" w:cs="Arial" w:eastAsia="Arial" w:hAnsi="Arial"/>
                <w:sz w:val="18"/>
                <w:szCs w:val="18"/>
                <w:color w:val="404040"/>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0000EE"/>
            </w:tcBorders>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tcBorders>
              <w:bottom w:val="single" w:sz="8" w:color="0000FF"/>
            </w:tcBorders>
            <w:gridSpan w:val="24"/>
          </w:tcPr>
          <w:p>
            <w:pPr>
              <w:spacing w:after="0" w:line="182" w:lineRule="exact"/>
              <w:rPr>
                <w:rFonts w:ascii="Arial" w:cs="Arial" w:eastAsia="Arial" w:hAnsi="Arial"/>
                <w:sz w:val="18"/>
                <w:szCs w:val="18"/>
                <w:color w:val="0000FF"/>
                <w:w w:val="96"/>
              </w:rPr>
            </w:pPr>
            <w:hyperlink w:anchor="page4">
              <w:r>
                <w:rPr>
                  <w:rFonts w:ascii="Arial" w:cs="Arial" w:eastAsia="Arial" w:hAnsi="Arial"/>
                  <w:sz w:val="18"/>
                  <w:szCs w:val="18"/>
                  <w:color w:val="0000FF"/>
                  <w:w w:val="96"/>
                </w:rPr>
                <w:t>CONSOLIDATED STATEMENTS OF COMPREHENSIVE INCOME (UNAUDITED) FOR THE THREE AND SIX MONTHS ENDED JUNE</w:t>
              </w:r>
            </w:hyperlink>
          </w:p>
        </w:tc>
        <w:tc>
          <w:tcPr>
            <w:tcW w:w="680" w:type="dxa"/>
            <w:vAlign w:val="bottom"/>
            <w:vMerge w:val="restart"/>
          </w:tcPr>
          <w:p>
            <w:pPr>
              <w:jc w:val="right"/>
              <w:spacing w:after="0"/>
              <w:rPr>
                <w:sz w:val="20"/>
                <w:szCs w:val="20"/>
                <w:color w:val="auto"/>
              </w:rPr>
            </w:pPr>
            <w:r>
              <w:rPr>
                <w:rFonts w:ascii="Arial" w:cs="Arial" w:eastAsia="Arial" w:hAnsi="Arial"/>
                <w:sz w:val="18"/>
                <w:szCs w:val="18"/>
                <w:color w:val="404040"/>
              </w:rPr>
              <w:t>4</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00EE"/>
            </w:tcBorders>
          </w:tcPr>
          <w:p>
            <w:pPr>
              <w:spacing w:after="0"/>
              <w:rPr>
                <w:sz w:val="13"/>
                <w:szCs w:val="13"/>
                <w:color w:val="auto"/>
              </w:rPr>
            </w:pPr>
          </w:p>
        </w:tc>
        <w:tc>
          <w:tcPr>
            <w:tcW w:w="148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30, 2022 AND 2021</w:t>
              </w:r>
            </w:hyperlink>
          </w:p>
        </w:tc>
        <w:tc>
          <w:tcPr>
            <w:tcW w:w="20" w:type="dxa"/>
            <w:vAlign w:val="bottom"/>
            <w:tcBorders>
              <w:bottom w:val="single" w:sz="8" w:color="0000EE"/>
            </w:tcBorders>
          </w:tcPr>
          <w:p>
            <w:pPr>
              <w:spacing w:after="0"/>
              <w:rPr>
                <w:sz w:val="13"/>
                <w:szCs w:val="13"/>
                <w:color w:val="auto"/>
              </w:rPr>
            </w:pPr>
          </w:p>
        </w:tc>
        <w:tc>
          <w:tcPr>
            <w:tcW w:w="9040" w:type="dxa"/>
            <w:vAlign w:val="bottom"/>
            <w:gridSpan w:val="19"/>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150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CONSOLIDATED</w:t>
              </w:r>
            </w:hyperlink>
          </w:p>
        </w:tc>
        <w:tc>
          <w:tcPr>
            <w:tcW w:w="6540" w:type="dxa"/>
            <w:vAlign w:val="bottom"/>
            <w:tcBorders>
              <w:bottom w:val="single" w:sz="8" w:color="0000FF"/>
            </w:tcBorders>
            <w:gridSpan w:val="15"/>
          </w:tcPr>
          <w:p>
            <w:pPr>
              <w:spacing w:after="0" w:line="182" w:lineRule="exact"/>
              <w:rPr>
                <w:rFonts w:ascii="Arial" w:cs="Arial" w:eastAsia="Arial" w:hAnsi="Arial"/>
                <w:sz w:val="18"/>
                <w:szCs w:val="18"/>
                <w:color w:val="0000FF"/>
                <w:w w:val="93"/>
              </w:rPr>
            </w:pPr>
            <w:hyperlink w:anchor="page5">
              <w:r>
                <w:rPr>
                  <w:rFonts w:ascii="Arial" w:cs="Arial" w:eastAsia="Arial" w:hAnsi="Arial"/>
                  <w:sz w:val="18"/>
                  <w:szCs w:val="18"/>
                  <w:color w:val="0000FF"/>
                  <w:w w:val="93"/>
                </w:rPr>
                <w:t>BALANCE SHEETS AS OF JUNE 30, 2022 (UNAUDITED) AND DECEMBER 31, 2021</w:t>
              </w:r>
            </w:hyperlink>
          </w:p>
        </w:tc>
        <w:tc>
          <w:tcPr>
            <w:tcW w:w="250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gridSpan w:val="24"/>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(UNAUDITED) FOR THE SIX MONTHS ENDED JUNE 30, 2022 AND 202</w:t>
              </w:r>
            </w:hyperlink>
            <w:r>
              <w:rPr>
                <w:rFonts w:ascii="Arial" w:cs="Arial" w:eastAsia="Arial" w:hAnsi="Arial"/>
                <w:sz w:val="18"/>
                <w:szCs w:val="18"/>
                <w:color w:val="0000FF"/>
              </w:rPr>
              <w:t>1</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55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6"/>
              </w:rPr>
            </w:pPr>
            <w:hyperlink w:anchor="page7">
              <w:r>
                <w:rPr>
                  <w:rFonts w:ascii="Arial" w:cs="Arial" w:eastAsia="Arial" w:hAnsi="Arial"/>
                  <w:sz w:val="18"/>
                  <w:szCs w:val="18"/>
                  <w:color w:val="0000FF"/>
                  <w:w w:val="96"/>
                </w:rPr>
                <w:t>NOTES TO UNAUDITED CONSOLIDATED FINANCIAL STATEMENTS</w:t>
              </w:r>
            </w:hyperlink>
          </w:p>
        </w:tc>
        <w:tc>
          <w:tcPr>
            <w:tcW w:w="20" w:type="dxa"/>
            <w:vAlign w:val="bottom"/>
            <w:tcBorders>
              <w:top w:val="single" w:sz="8" w:color="0000FF"/>
              <w:bottom w:val="single" w:sz="8" w:color="0000EE"/>
            </w:tcBorders>
          </w:tcPr>
          <w:p>
            <w:pPr>
              <w:spacing w:after="0"/>
              <w:rPr>
                <w:sz w:val="15"/>
                <w:szCs w:val="15"/>
                <w:color w:val="auto"/>
              </w:rPr>
            </w:pPr>
          </w:p>
        </w:tc>
        <w:tc>
          <w:tcPr>
            <w:tcW w:w="4120" w:type="dxa"/>
            <w:vAlign w:val="bottom"/>
            <w:tcBorders>
              <w:top w:val="single" w:sz="8" w:color="0000FF"/>
            </w:tcBorders>
            <w:gridSpan w:val="5"/>
          </w:tcPr>
          <w:p>
            <w:pPr>
              <w:spacing w:after="0"/>
              <w:rPr>
                <w:sz w:val="15"/>
                <w:szCs w:val="15"/>
                <w:color w:val="auto"/>
              </w:rPr>
            </w:pPr>
          </w:p>
        </w:tc>
        <w:tc>
          <w:tcPr>
            <w:tcW w:w="82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gridSpan w:val="24"/>
          </w:tcPr>
          <w:p>
            <w:pPr>
              <w:spacing w:after="0" w:line="182" w:lineRule="exact"/>
              <w:rPr>
                <w:rFonts w:ascii="Arial" w:cs="Arial" w:eastAsia="Arial" w:hAnsi="Arial"/>
                <w:sz w:val="18"/>
                <w:szCs w:val="18"/>
                <w:color w:val="0000FF"/>
              </w:rPr>
            </w:pPr>
            <w:hyperlink w:anchor="page31">
              <w:r>
                <w:rPr>
                  <w:rFonts w:ascii="Arial" w:cs="Arial" w:eastAsia="Arial" w:hAnsi="Arial"/>
                  <w:sz w:val="18"/>
                  <w:szCs w:val="18"/>
                  <w:color w:val="0000FF"/>
                </w:rPr>
                <w:t>ITEM 2. MANAGEMENT’S DISCUSSION AND ANALYSIS OF FINANCIAL CONDITION AND RESULTS OF OPERATIONS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31</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958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ITEM 3. QUANTITATIVE AND QUALITATIVE DISCLOSURES ABOUT MARKET RISK</w:t>
              </w:r>
            </w:hyperlink>
          </w:p>
        </w:tc>
        <w:tc>
          <w:tcPr>
            <w:tcW w:w="96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8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ITEM 4. CONTROLS AND PROCEDURES</w:t>
              </w:r>
            </w:hyperlink>
          </w:p>
        </w:tc>
        <w:tc>
          <w:tcPr>
            <w:tcW w:w="3740" w:type="dxa"/>
            <w:vAlign w:val="bottom"/>
            <w:gridSpan w:val="5"/>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32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56">
              <w:r>
                <w:rPr>
                  <w:rFonts w:ascii="Arial" w:cs="Arial" w:eastAsia="Arial" w:hAnsi="Arial"/>
                  <w:sz w:val="18"/>
                  <w:szCs w:val="18"/>
                  <w:color w:val="0000FF"/>
                </w:rPr>
                <w:t>PART II - OTHER INFORMATION</w:t>
              </w:r>
            </w:hyperlink>
          </w:p>
        </w:tc>
        <w:tc>
          <w:tcPr>
            <w:tcW w:w="600" w:type="dxa"/>
            <w:vAlign w:val="bottom"/>
          </w:tcPr>
          <w:p>
            <w:pPr>
              <w:spacing w:after="0"/>
              <w:rPr>
                <w:sz w:val="15"/>
                <w:szCs w:val="15"/>
                <w:color w:val="auto"/>
              </w:rPr>
            </w:pPr>
          </w:p>
        </w:tc>
        <w:tc>
          <w:tcPr>
            <w:tcW w:w="2880" w:type="dxa"/>
            <w:vAlign w:val="bottom"/>
            <w:gridSpan w:val="3"/>
          </w:tcPr>
          <w:p>
            <w:pPr>
              <w:spacing w:after="0"/>
              <w:rPr>
                <w:sz w:val="15"/>
                <w:szCs w:val="15"/>
                <w:color w:val="auto"/>
              </w:rPr>
            </w:pPr>
          </w:p>
        </w:tc>
        <w:tc>
          <w:tcPr>
            <w:tcW w:w="380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640" w:type="dxa"/>
            <w:vAlign w:val="bottom"/>
            <w:tcBorders>
              <w:top w:val="single" w:sz="8" w:color="0000FF"/>
            </w:tcBorders>
            <w:gridSpan w:val="10"/>
          </w:tcPr>
          <w:p>
            <w:pPr>
              <w:spacing w:after="0" w:line="182" w:lineRule="exact"/>
              <w:rPr>
                <w:rFonts w:ascii="Arial" w:cs="Arial" w:eastAsia="Arial" w:hAnsi="Arial"/>
                <w:sz w:val="18"/>
                <w:szCs w:val="18"/>
                <w:color w:val="0000FF"/>
                <w:w w:val="99"/>
              </w:rPr>
            </w:pPr>
            <w:hyperlink w:anchor="page56">
              <w:r>
                <w:rPr>
                  <w:rFonts w:ascii="Arial" w:cs="Arial" w:eastAsia="Arial" w:hAnsi="Arial"/>
                  <w:sz w:val="18"/>
                  <w:szCs w:val="18"/>
                  <w:color w:val="0000FF"/>
                  <w:w w:val="99"/>
                </w:rPr>
                <w:t>ITEM 1. LEGAL PROCEEDINGS</w:t>
              </w:r>
            </w:hyperlink>
          </w:p>
        </w:tc>
        <w:tc>
          <w:tcPr>
            <w:tcW w:w="460" w:type="dxa"/>
            <w:vAlign w:val="bottom"/>
            <w:gridSpan w:val="3"/>
          </w:tcPr>
          <w:p>
            <w:pPr>
              <w:spacing w:after="0"/>
              <w:rPr>
                <w:sz w:val="15"/>
                <w:szCs w:val="15"/>
                <w:color w:val="auto"/>
              </w:rPr>
            </w:pPr>
          </w:p>
        </w:tc>
        <w:tc>
          <w:tcPr>
            <w:tcW w:w="760" w:type="dxa"/>
            <w:vAlign w:val="bottom"/>
            <w:gridSpan w:val="2"/>
          </w:tcPr>
          <w:p>
            <w:pPr>
              <w:spacing w:after="0"/>
              <w:rPr>
                <w:sz w:val="15"/>
                <w:szCs w:val="15"/>
                <w:color w:val="auto"/>
              </w:rPr>
            </w:pPr>
          </w:p>
        </w:tc>
        <w:tc>
          <w:tcPr>
            <w:tcW w:w="2880" w:type="dxa"/>
            <w:vAlign w:val="bottom"/>
            <w:gridSpan w:val="3"/>
          </w:tcPr>
          <w:p>
            <w:pPr>
              <w:spacing w:after="0"/>
              <w:rPr>
                <w:sz w:val="15"/>
                <w:szCs w:val="15"/>
                <w:color w:val="auto"/>
              </w:rPr>
            </w:pPr>
          </w:p>
        </w:tc>
        <w:tc>
          <w:tcPr>
            <w:tcW w:w="380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54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ITEM 1A. RISK FACTORS</w:t>
              </w:r>
            </w:hyperlink>
          </w:p>
        </w:tc>
        <w:tc>
          <w:tcPr>
            <w:tcW w:w="20" w:type="dxa"/>
            <w:vAlign w:val="bottom"/>
          </w:tcPr>
          <w:p>
            <w:pPr>
              <w:spacing w:after="0"/>
              <w:rPr>
                <w:sz w:val="15"/>
                <w:szCs w:val="15"/>
                <w:color w:val="auto"/>
              </w:rPr>
            </w:pPr>
          </w:p>
        </w:tc>
        <w:tc>
          <w:tcPr>
            <w:tcW w:w="540" w:type="dxa"/>
            <w:vAlign w:val="bottom"/>
            <w:gridSpan w:val="4"/>
          </w:tcPr>
          <w:p>
            <w:pPr>
              <w:spacing w:after="0"/>
              <w:rPr>
                <w:sz w:val="15"/>
                <w:szCs w:val="15"/>
                <w:color w:val="auto"/>
              </w:rPr>
            </w:pPr>
          </w:p>
        </w:tc>
        <w:tc>
          <w:tcPr>
            <w:tcW w:w="760" w:type="dxa"/>
            <w:vAlign w:val="bottom"/>
            <w:gridSpan w:val="2"/>
          </w:tcPr>
          <w:p>
            <w:pPr>
              <w:spacing w:after="0"/>
              <w:rPr>
                <w:sz w:val="15"/>
                <w:szCs w:val="15"/>
                <w:color w:val="auto"/>
              </w:rPr>
            </w:pPr>
          </w:p>
        </w:tc>
        <w:tc>
          <w:tcPr>
            <w:tcW w:w="2880" w:type="dxa"/>
            <w:vAlign w:val="bottom"/>
            <w:gridSpan w:val="3"/>
          </w:tcPr>
          <w:p>
            <w:pPr>
              <w:spacing w:after="0"/>
              <w:rPr>
                <w:sz w:val="15"/>
                <w:szCs w:val="15"/>
                <w:color w:val="auto"/>
              </w:rPr>
            </w:pPr>
          </w:p>
        </w:tc>
        <w:tc>
          <w:tcPr>
            <w:tcW w:w="380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040" w:type="dxa"/>
            <w:vAlign w:val="bottom"/>
            <w:tcBorders>
              <w:top w:val="single" w:sz="8" w:color="0000FF"/>
            </w:tcBorders>
            <w:gridSpan w:val="7"/>
          </w:tcPr>
          <w:p>
            <w:pPr>
              <w:spacing w:after="0" w:line="182" w:lineRule="exact"/>
              <w:rPr>
                <w:rFonts w:ascii="Arial" w:cs="Arial" w:eastAsia="Arial" w:hAnsi="Arial"/>
                <w:sz w:val="18"/>
                <w:szCs w:val="18"/>
                <w:color w:val="0000FF"/>
                <w:w w:val="95"/>
              </w:rPr>
            </w:pPr>
            <w:hyperlink w:anchor="page59">
              <w:r>
                <w:rPr>
                  <w:rFonts w:ascii="Arial" w:cs="Arial" w:eastAsia="Arial" w:hAnsi="Arial"/>
                  <w:sz w:val="18"/>
                  <w:szCs w:val="18"/>
                  <w:color w:val="0000FF"/>
                  <w:w w:val="95"/>
                </w:rPr>
                <w:t>ITEM 2. UNREGISTERED</w:t>
              </w:r>
            </w:hyperlink>
          </w:p>
        </w:tc>
        <w:tc>
          <w:tcPr>
            <w:tcW w:w="8500" w:type="dxa"/>
            <w:vAlign w:val="bottom"/>
            <w:gridSpan w:val="17"/>
          </w:tcPr>
          <w:p>
            <w:pPr>
              <w:ind w:left="40"/>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SALES OF EQUITY SECURITIES AND USE OF PROCEEDS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ITEM 3. DEFAULTS UPON SENIOR SECURITIES</w:t>
              </w:r>
            </w:hyperlink>
          </w:p>
        </w:tc>
        <w:tc>
          <w:tcPr>
            <w:tcW w:w="380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38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ITEM 4. MINE SAFETY DISCLOSURES</w:t>
              </w:r>
            </w:hyperlink>
          </w:p>
        </w:tc>
        <w:tc>
          <w:tcPr>
            <w:tcW w:w="6680" w:type="dxa"/>
            <w:vAlign w:val="bottom"/>
            <w:gridSpan w:val="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31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ITEM 5. OTHER INFORMATION</w:t>
              </w:r>
            </w:hyperlink>
          </w:p>
        </w:tc>
        <w:tc>
          <w:tcPr>
            <w:tcW w:w="7440" w:type="dxa"/>
            <w:vAlign w:val="bottom"/>
            <w:gridSpan w:val="11"/>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59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5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ITEM 6. EXHIBITS</w:t>
              </w:r>
            </w:hyperlink>
          </w:p>
        </w:tc>
        <w:tc>
          <w:tcPr>
            <w:tcW w:w="7980" w:type="dxa"/>
            <w:vAlign w:val="bottom"/>
            <w:gridSpan w:val="15"/>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404040"/>
              </w:rPr>
              <w:t>60</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5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9020" w:type="dxa"/>
            <w:vAlign w:val="bottom"/>
            <w:gridSpan w:val="18"/>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5640" w:type="dxa"/>
            <w:vAlign w:val="bottom"/>
            <w:gridSpan w:val="15"/>
          </w:tcPr>
          <w:p>
            <w:pPr>
              <w:jc w:val="right"/>
              <w:ind w:right="1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jc w:val="center"/>
        <w:spacing w:after="0" w:line="235" w:lineRule="auto"/>
        <w:rPr>
          <w:sz w:val="20"/>
          <w:szCs w:val="20"/>
          <w:color w:val="auto"/>
        </w:rPr>
      </w:pPr>
      <w:r>
        <w:rPr>
          <w:rFonts w:ascii="Arial" w:cs="Arial" w:eastAsia="Arial" w:hAnsi="Arial"/>
          <w:sz w:val="18"/>
          <w:szCs w:val="18"/>
          <w:b w:val="1"/>
          <w:bCs w:val="1"/>
          <w:color w:val="auto"/>
        </w:rPr>
        <w:t>FOR THE THREE AND SIX MONTHS ENDED</w:t>
      </w:r>
    </w:p>
    <w:p>
      <w:pPr>
        <w:jc w:val="center"/>
        <w:spacing w:after="0" w:line="235" w:lineRule="auto"/>
        <w:rPr>
          <w:sz w:val="20"/>
          <w:szCs w:val="20"/>
          <w:color w:val="auto"/>
        </w:rPr>
      </w:pPr>
      <w:r>
        <w:rPr>
          <w:rFonts w:ascii="Arial" w:cs="Arial" w:eastAsia="Arial" w:hAnsi="Arial"/>
          <w:sz w:val="18"/>
          <w:szCs w:val="18"/>
          <w:b w:val="1"/>
          <w:bCs w:val="1"/>
          <w:color w:val="auto"/>
        </w:rPr>
        <w:t>JUNE 30, 2022 AND 2021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June 30, 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588,177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565,419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1,139,362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1,141,796</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411,791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405,009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796,952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833,160</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32,016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33,306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67,954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67,423</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49,296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54,688</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97,856</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103,167</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95,074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72,416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176,600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138,046</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5,985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11,190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12,187</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(33,225 )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(32,053 )</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(64,846 )</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(63,897 )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Gain on extinguishment of debt</w:t>
            </w:r>
          </w:p>
        </w:tc>
        <w:tc>
          <w:tcPr>
            <w:tcW w:w="14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Gain (loss) on dispositions of real estate</w:t>
            </w: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3,680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(2,950 )</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3,053</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 and equity in earnings of affiliates</w:t>
            </w:r>
          </w:p>
        </w:tc>
        <w:tc>
          <w:tcPr>
            <w:tcW w:w="140" w:type="dxa"/>
            <w:vAlign w:val="bottom"/>
          </w:tcPr>
          <w:p>
            <w:pPr>
              <w:spacing w:after="0"/>
              <w:rPr>
                <w:sz w:val="17"/>
                <w:szCs w:val="17"/>
                <w:color w:val="auto"/>
              </w:rPr>
            </w:pP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71,091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45,052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125,997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101,408</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18,898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5,063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36,860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12,999</w:t>
            </w:r>
          </w:p>
        </w:tc>
        <w:tc>
          <w:tcPr>
            <w:tcW w:w="0" w:type="dxa"/>
            <w:vAlign w:val="bottom"/>
          </w:tcPr>
          <w:p>
            <w:pPr>
              <w:spacing w:after="0"/>
              <w:rPr>
                <w:sz w:val="1"/>
                <w:szCs w:val="1"/>
                <w:color w:val="auto"/>
              </w:rPr>
            </w:pPr>
          </w:p>
        </w:tc>
      </w:tr>
      <w:tr>
        <w:trPr>
          <w:trHeight w:val="162"/>
        </w:trPr>
        <w:tc>
          <w:tcPr>
            <w:tcW w:w="5780" w:type="dxa"/>
            <w:vAlign w:val="bottom"/>
          </w:tcPr>
          <w:p>
            <w:pPr>
              <w:ind w:left="20"/>
              <w:spacing w:after="0" w:line="162" w:lineRule="exact"/>
              <w:rPr>
                <w:sz w:val="20"/>
                <w:szCs w:val="20"/>
                <w:color w:val="auto"/>
              </w:rPr>
            </w:pPr>
            <w:r>
              <w:rPr>
                <w:rFonts w:ascii="Arial" w:cs="Arial" w:eastAsia="Arial" w:hAnsi="Arial"/>
                <w:sz w:val="18"/>
                <w:szCs w:val="18"/>
                <w:color w:val="auto"/>
              </w:rPr>
              <w:t>Equity in earnings of affiliates, net of income tax provision of</w:t>
            </w:r>
          </w:p>
        </w:tc>
        <w:tc>
          <w:tcPr>
            <w:tcW w:w="140" w:type="dxa"/>
            <w:vAlign w:val="bottom"/>
          </w:tcPr>
          <w:p>
            <w:pPr>
              <w:spacing w:after="0"/>
              <w:rPr>
                <w:sz w:val="14"/>
                <w:szCs w:val="1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2,715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03"/>
        </w:trPr>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$163, $291, $275 and $631 respectively</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53,673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41,931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91,852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92,416</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attributable to The GEO Group, Inc.</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53,727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41,959</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91,946</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92,504</w:t>
            </w: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4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121,119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120,426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120,918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120,225</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121,881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120,470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121,650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120,431</w:t>
            </w:r>
          </w:p>
        </w:tc>
        <w:tc>
          <w:tcPr>
            <w:tcW w:w="0" w:type="dxa"/>
            <w:vAlign w:val="bottom"/>
          </w:tcPr>
          <w:p>
            <w:pPr>
              <w:spacing w:after="0"/>
              <w:rPr>
                <w:sz w:val="1"/>
                <w:szCs w:val="1"/>
                <w:color w:val="auto"/>
              </w:rPr>
            </w:pPr>
          </w:p>
        </w:tc>
      </w:tr>
      <w:tr>
        <w:trPr>
          <w:trHeight w:val="162"/>
        </w:trPr>
        <w:tc>
          <w:tcPr>
            <w:tcW w:w="5780" w:type="dxa"/>
            <w:vAlign w:val="bottom"/>
          </w:tcPr>
          <w:p>
            <w:pPr>
              <w:ind w:left="200"/>
              <w:spacing w:after="0" w:line="162" w:lineRule="exact"/>
              <w:rPr>
                <w:sz w:val="20"/>
                <w:szCs w:val="20"/>
                <w:color w:val="auto"/>
              </w:rPr>
            </w:pPr>
            <w:r>
              <w:rPr>
                <w:rFonts w:ascii="Arial" w:cs="Arial" w:eastAsia="Arial" w:hAnsi="Arial"/>
                <w:sz w:val="18"/>
                <w:szCs w:val="18"/>
                <w:color w:val="auto"/>
              </w:rPr>
              <w:t>Net income per common share attributable to The GEO Group,</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Inc.:</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00"/>
              <w:spacing w:after="0" w:line="162" w:lineRule="exact"/>
              <w:rPr>
                <w:sz w:val="20"/>
                <w:szCs w:val="20"/>
                <w:color w:val="auto"/>
              </w:rPr>
            </w:pPr>
            <w:r>
              <w:rPr>
                <w:rFonts w:ascii="Arial" w:cs="Arial" w:eastAsia="Arial" w:hAnsi="Arial"/>
                <w:sz w:val="18"/>
                <w:szCs w:val="18"/>
                <w:color w:val="auto"/>
              </w:rPr>
              <w:t>Net income per common share attributable to The GEO Group,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0.37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0.29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0.63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176"/>
        </w:trPr>
        <w:tc>
          <w:tcPr>
            <w:tcW w:w="5780" w:type="dxa"/>
            <w:vAlign w:val="bottom"/>
          </w:tcPr>
          <w:p>
            <w:pPr>
              <w:ind w:left="340"/>
              <w:spacing w:after="0" w:line="156" w:lineRule="exact"/>
              <w:rPr>
                <w:sz w:val="20"/>
                <w:szCs w:val="20"/>
                <w:color w:val="auto"/>
              </w:rPr>
            </w:pPr>
            <w:r>
              <w:rPr>
                <w:rFonts w:ascii="Arial" w:cs="Arial" w:eastAsia="Arial" w:hAnsi="Arial"/>
                <w:sz w:val="18"/>
                <w:szCs w:val="18"/>
                <w:color w:val="auto"/>
              </w:rPr>
              <w:t>Inc. - basic</w:t>
            </w: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00"/>
              <w:spacing w:after="0" w:line="162" w:lineRule="exact"/>
              <w:rPr>
                <w:sz w:val="20"/>
                <w:szCs w:val="20"/>
                <w:color w:val="auto"/>
              </w:rPr>
            </w:pPr>
            <w:r>
              <w:rPr>
                <w:rFonts w:ascii="Arial" w:cs="Arial" w:eastAsia="Arial" w:hAnsi="Arial"/>
                <w:sz w:val="18"/>
                <w:szCs w:val="18"/>
                <w:color w:val="auto"/>
              </w:rPr>
              <w:t>Net income per common share attributable to The GEO Group,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0.37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0.29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0.63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175"/>
        </w:trPr>
        <w:tc>
          <w:tcPr>
            <w:tcW w:w="5780" w:type="dxa"/>
            <w:vAlign w:val="bottom"/>
          </w:tcPr>
          <w:p>
            <w:pPr>
              <w:ind w:left="340"/>
              <w:spacing w:after="0" w:line="156" w:lineRule="exact"/>
              <w:rPr>
                <w:sz w:val="20"/>
                <w:szCs w:val="20"/>
                <w:color w:val="auto"/>
              </w:rPr>
            </w:pPr>
            <w:r>
              <w:rPr>
                <w:rFonts w:ascii="Arial" w:cs="Arial" w:eastAsia="Arial" w:hAnsi="Arial"/>
                <w:sz w:val="18"/>
                <w:szCs w:val="18"/>
                <w:color w:val="auto"/>
              </w:rPr>
              <w:t>Inc. - diluted</w:t>
            </w: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Dividends declared per share</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-2567940</wp:posOffset>
            </wp:positionV>
            <wp:extent cx="8572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-2567940</wp:posOffset>
            </wp:positionV>
            <wp:extent cx="857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-2567940</wp:posOffset>
            </wp:positionV>
            <wp:extent cx="857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-1671320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-1653540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-1671320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-1653540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-1671320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-1653540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jc w:val="center"/>
        <w:spacing w:after="0" w:line="235" w:lineRule="auto"/>
        <w:rPr>
          <w:sz w:val="20"/>
          <w:szCs w:val="20"/>
          <w:color w:val="auto"/>
        </w:rPr>
      </w:pPr>
      <w:r>
        <w:rPr>
          <w:rFonts w:ascii="Arial" w:cs="Arial" w:eastAsia="Arial" w:hAnsi="Arial"/>
          <w:sz w:val="18"/>
          <w:szCs w:val="18"/>
          <w:b w:val="1"/>
          <w:bCs w:val="1"/>
          <w:color w:val="auto"/>
        </w:rPr>
        <w:t>FOR THE THREE AND SIX MONTHS ENDED</w:t>
      </w:r>
    </w:p>
    <w:p>
      <w:pPr>
        <w:jc w:val="center"/>
        <w:spacing w:after="0" w:line="235" w:lineRule="auto"/>
        <w:rPr>
          <w:sz w:val="20"/>
          <w:szCs w:val="20"/>
          <w:color w:val="auto"/>
        </w:rPr>
      </w:pPr>
      <w:r>
        <w:rPr>
          <w:rFonts w:ascii="Arial" w:cs="Arial" w:eastAsia="Arial" w:hAnsi="Arial"/>
          <w:sz w:val="18"/>
          <w:szCs w:val="18"/>
          <w:b w:val="1"/>
          <w:bCs w:val="1"/>
          <w:color w:val="auto"/>
        </w:rPr>
        <w:t>JUNE 30, 2022 AND 2021</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4"/>
              </w:rPr>
              <w:t>June 30, 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53,673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41,931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91,852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92,416</w:t>
            </w: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(9,826 )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(9,401 )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5"/>
              </w:rPr>
              <w:t>Change in marketable securities, net of tax provision (benefit) of $94, $0,</w:t>
            </w:r>
          </w:p>
        </w:tc>
        <w:tc>
          <w:tcPr>
            <w:tcW w:w="12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(353 )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(758 )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 and $0</w:t>
            </w:r>
          </w:p>
        </w:tc>
        <w:tc>
          <w:tcPr>
            <w:tcW w:w="12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00"/>
              <w:spacing w:after="0" w:line="162" w:lineRule="exact"/>
              <w:rPr>
                <w:sz w:val="20"/>
                <w:szCs w:val="20"/>
                <w:color w:val="auto"/>
              </w:rPr>
            </w:pPr>
            <w:r>
              <w:rPr>
                <w:rFonts w:ascii="Arial" w:cs="Arial" w:eastAsia="Arial" w:hAnsi="Arial"/>
                <w:sz w:val="18"/>
                <w:szCs w:val="18"/>
                <w:color w:val="auto"/>
              </w:rPr>
              <w:t>Pension liability adjustment, net of tax provision</w:t>
            </w:r>
          </w:p>
        </w:tc>
        <w:tc>
          <w:tcPr>
            <w:tcW w:w="120" w:type="dxa"/>
            <w:vAlign w:val="bottom"/>
          </w:tcPr>
          <w:p>
            <w:pPr>
              <w:spacing w:after="0"/>
              <w:rPr>
                <w:sz w:val="14"/>
                <w:szCs w:val="14"/>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of $23, $42, $45 and $83, respectively</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Change in fair value of derivative instrument</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classified as cash flow hedge, net of tax (benefit) provision of</w:t>
            </w: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1,910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(1,165 )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4,374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$508, $(310), $1,163 and $474, respectively</w:t>
            </w: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(8,184 )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(1,024 )</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(5,615 )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45,489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40,907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86,237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93,868</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Comprehensive loss attributable to noncontrolling interests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 attributable to The GEO Group, Inc.</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45,520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40,937</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86,323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93,961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-561975</wp:posOffset>
            </wp:positionV>
            <wp:extent cx="939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-561975</wp:posOffset>
            </wp:positionV>
            <wp:extent cx="857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-561975</wp:posOffset>
            </wp:positionV>
            <wp:extent cx="857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93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JUNE 30, 2022 AND 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5"/>
              </w:rPr>
              <w:t>December 31, 2021</w:t>
            </w: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55"/>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3"/>
        </w:trPr>
        <w:tc>
          <w:tcPr>
            <w:tcW w:w="7680" w:type="dxa"/>
            <w:vAlign w:val="bottom"/>
            <w:shd w:val="clear" w:color="auto" w:fill="CFF0FC"/>
          </w:tcPr>
          <w:p>
            <w:pPr>
              <w:ind w:left="344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Assets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587,861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506,491</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Restricted cash and cash equivalents</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21,134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20,161</w:t>
            </w:r>
          </w:p>
        </w:tc>
      </w:tr>
      <w:tr>
        <w:trPr>
          <w:trHeight w:val="158"/>
        </w:trPr>
        <w:tc>
          <w:tcPr>
            <w:tcW w:w="768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Accounts receivable, less allowance for doubtful accounts of $1,275 and $1,155,</w:t>
            </w:r>
          </w:p>
        </w:tc>
        <w:tc>
          <w:tcPr>
            <w:tcW w:w="2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respectively</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371,851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365,573</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Contract receivable, current portion</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7,246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6,507</w:t>
            </w: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35,321</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45,176</w:t>
            </w:r>
          </w:p>
        </w:tc>
      </w:tr>
      <w:tr>
        <w:trPr>
          <w:trHeight w:val="196"/>
        </w:trPr>
        <w:tc>
          <w:tcPr>
            <w:tcW w:w="7680" w:type="dxa"/>
            <w:vAlign w:val="bottom"/>
          </w:tcPr>
          <w:p>
            <w:pPr>
              <w:ind w:left="3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1,023,413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943,908</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Restricted Cash and Investments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81,392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76,158</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2,007,636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2,037,845</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Assets Held for Sale</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2,570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7,877</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Contract Receivable</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344,151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367,071</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Operating Lease Right-of-Use Assets, Net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105,972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112,187</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Goodwill</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755,203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755,225</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Intangible Assets, Net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154,978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166,124</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Other Non-Current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80,008</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71,013</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Total Assets</w:t>
            </w: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4,555,323</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4,537,408</w:t>
            </w:r>
          </w:p>
        </w:tc>
      </w:tr>
      <w:tr>
        <w:trPr>
          <w:trHeight w:val="165"/>
        </w:trPr>
        <w:tc>
          <w:tcPr>
            <w:tcW w:w="7680" w:type="dxa"/>
            <w:vAlign w:val="bottom"/>
          </w:tcPr>
          <w:p>
            <w:pPr>
              <w:ind w:left="1900"/>
              <w:spacing w:after="0" w:line="165" w:lineRule="exact"/>
              <w:rPr>
                <w:sz w:val="20"/>
                <w:szCs w:val="20"/>
                <w:color w:val="auto"/>
              </w:rPr>
            </w:pPr>
            <w:r>
              <w:rPr>
                <w:rFonts w:ascii="Arial" w:cs="Arial" w:eastAsia="Arial" w:hAnsi="Arial"/>
                <w:sz w:val="17"/>
                <w:szCs w:val="17"/>
                <w:b w:val="1"/>
                <w:bCs w:val="1"/>
                <w:color w:val="auto"/>
              </w:rPr>
              <w:t>LIABILITIES AND SHAREHOLDERS’ EQUITY</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Liabilities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5"/>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79,569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64,073</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Accrued payroll and related taxes</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66,956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67,210</w:t>
            </w: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196,916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200,712</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Operating lease liabilities, current portion</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28,125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28,279</w:t>
            </w: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Current portion of finance lease liabilities, long-term debt and non-recourse debt</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17,639</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18,568</w:t>
            </w:r>
          </w:p>
        </w:tc>
      </w:tr>
      <w:tr>
        <w:trPr>
          <w:trHeight w:val="196"/>
        </w:trPr>
        <w:tc>
          <w:tcPr>
            <w:tcW w:w="7680" w:type="dxa"/>
            <w:vAlign w:val="bottom"/>
          </w:tcPr>
          <w:p>
            <w:pPr>
              <w:ind w:left="3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389,205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378,842</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Deferred Income Tax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80,768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80,768</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Other Non-Current Liabilities</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77,936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87,073</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Operating Lease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83,522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89,917</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Finance Lease Liabilities</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1,632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1,977</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Long-Term Debt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2,574,061</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2,625,959</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Non-Recourse Debt</w:t>
            </w:r>
          </w:p>
        </w:tc>
        <w:tc>
          <w:tcPr>
            <w:tcW w:w="240" w:type="dxa"/>
            <w:vAlign w:val="bottom"/>
          </w:tcPr>
          <w:p>
            <w:pPr>
              <w:spacing w:after="0"/>
              <w:rPr>
                <w:sz w:val="17"/>
                <w:szCs w:val="17"/>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278,367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297,856</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i w:val="1"/>
                <w:iCs w:val="1"/>
                <w:color w:val="auto"/>
              </w:rPr>
              <w:t xml:space="preserve">Commitments, Contingencies and Other Matters </w:t>
            </w:r>
            <w:r>
              <w:rPr>
                <w:rFonts w:ascii="Arial" w:cs="Arial" w:eastAsia="Arial" w:hAnsi="Arial"/>
                <w:sz w:val="17"/>
                <w:szCs w:val="17"/>
                <w:color w:val="auto"/>
              </w:rPr>
              <w:t>(Note 11)</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Shareholders’ Equity</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58"/>
        </w:trPr>
        <w:tc>
          <w:tcPr>
            <w:tcW w:w="768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Preferred stock, $0.01 par value, 30,000,000 shares authorized,</w:t>
            </w:r>
          </w:p>
        </w:tc>
        <w:tc>
          <w:tcPr>
            <w:tcW w:w="2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none issued or outstanding</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158"/>
        </w:trPr>
        <w:tc>
          <w:tcPr>
            <w:tcW w:w="7680" w:type="dxa"/>
            <w:vAlign w:val="bottom"/>
          </w:tcPr>
          <w:p>
            <w:pPr>
              <w:ind w:left="200"/>
              <w:spacing w:after="0" w:line="158" w:lineRule="exact"/>
              <w:rPr>
                <w:sz w:val="20"/>
                <w:szCs w:val="20"/>
                <w:color w:val="auto"/>
              </w:rPr>
            </w:pPr>
            <w:r>
              <w:rPr>
                <w:rFonts w:ascii="Arial" w:cs="Arial" w:eastAsia="Arial" w:hAnsi="Arial"/>
                <w:sz w:val="17"/>
                <w:szCs w:val="17"/>
                <w:color w:val="auto"/>
              </w:rPr>
              <w:t>Common stock, $0.01 par value, 187,500,000 shares authorized,</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5"/>
        </w:trPr>
        <w:tc>
          <w:tcPr>
            <w:tcW w:w="7680" w:type="dxa"/>
            <w:vAlign w:val="bottom"/>
          </w:tcPr>
          <w:p>
            <w:pPr>
              <w:ind w:left="320"/>
              <w:spacing w:after="0" w:line="176" w:lineRule="exact"/>
              <w:rPr>
                <w:sz w:val="20"/>
                <w:szCs w:val="20"/>
                <w:color w:val="auto"/>
              </w:rPr>
            </w:pPr>
            <w:r>
              <w:rPr>
                <w:rFonts w:ascii="Arial" w:cs="Arial" w:eastAsia="Arial" w:hAnsi="Arial"/>
                <w:sz w:val="17"/>
                <w:szCs w:val="17"/>
                <w:color w:val="auto"/>
              </w:rPr>
              <w:t>128,854,432 and 127,323,762 issued and 124,002,060</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8"/>
        </w:trPr>
        <w:tc>
          <w:tcPr>
            <w:tcW w:w="7680" w:type="dxa"/>
            <w:vAlign w:val="bottom"/>
          </w:tcPr>
          <w:p>
            <w:pPr>
              <w:ind w:left="200"/>
              <w:spacing w:after="0"/>
              <w:rPr>
                <w:sz w:val="20"/>
                <w:szCs w:val="20"/>
                <w:color w:val="auto"/>
              </w:rPr>
            </w:pPr>
            <w:r>
              <w:rPr>
                <w:rFonts w:ascii="Arial" w:cs="Arial" w:eastAsia="Arial" w:hAnsi="Arial"/>
                <w:sz w:val="17"/>
                <w:szCs w:val="17"/>
                <w:color w:val="auto"/>
              </w:rPr>
              <w:t>and 122,471,390 outstanding, respectively</w:t>
            </w:r>
          </w:p>
        </w:tc>
        <w:tc>
          <w:tcPr>
            <w:tcW w:w="240" w:type="dxa"/>
            <w:vAlign w:val="bottom"/>
          </w:tcPr>
          <w:p>
            <w:pPr>
              <w:spacing w:after="0"/>
              <w:rPr>
                <w:sz w:val="18"/>
                <w:szCs w:val="18"/>
                <w:color w:val="auto"/>
              </w:rPr>
            </w:pP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1,289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1,273</w:t>
            </w:r>
          </w:p>
        </w:tc>
      </w:tr>
      <w:tr>
        <w:trPr>
          <w:trHeight w:val="205"/>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1,284,867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1,276,213</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Distributions in excess of earnings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(84,105 )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(175,960 )</w:t>
            </w: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(25,839 )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(20,216 )</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Treasury stock, 4,852,372 shares, at cost, respectively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(105,099 )</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(105,099 )</w:t>
            </w:r>
          </w:p>
        </w:tc>
      </w:tr>
      <w:tr>
        <w:trPr>
          <w:trHeight w:val="196"/>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Total shareholders’ equity attributable to The GEO Group, Inc.</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1,071,113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976,211</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Noncontrolling interests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(1,281 )</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(1,195 )</w:t>
            </w:r>
          </w:p>
        </w:tc>
      </w:tr>
      <w:tr>
        <w:trPr>
          <w:trHeight w:val="19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Total shareholders’ equity</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1,069,832</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975,016</w:t>
            </w:r>
          </w:p>
        </w:tc>
      </w:tr>
      <w:tr>
        <w:trPr>
          <w:trHeight w:val="196"/>
        </w:trPr>
        <w:tc>
          <w:tcPr>
            <w:tcW w:w="7680" w:type="dxa"/>
            <w:vAlign w:val="bottom"/>
          </w:tcPr>
          <w:p>
            <w:pPr>
              <w:ind w:left="200"/>
              <w:spacing w:after="0"/>
              <w:rPr>
                <w:sz w:val="20"/>
                <w:szCs w:val="20"/>
                <w:color w:val="auto"/>
              </w:rPr>
            </w:pPr>
            <w:r>
              <w:rPr>
                <w:rFonts w:ascii="Arial" w:cs="Arial" w:eastAsia="Arial" w:hAnsi="Arial"/>
                <w:sz w:val="17"/>
                <w:szCs w:val="17"/>
                <w:color w:val="auto"/>
              </w:rPr>
              <w:t>Total Liabilities and Shareholders’ Equity</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55"/>
              <w:spacing w:after="0"/>
              <w:rPr>
                <w:sz w:val="20"/>
                <w:szCs w:val="20"/>
                <w:color w:val="auto"/>
              </w:rPr>
            </w:pPr>
            <w:r>
              <w:rPr>
                <w:rFonts w:ascii="Arial" w:cs="Arial" w:eastAsia="Arial" w:hAnsi="Arial"/>
                <w:sz w:val="17"/>
                <w:szCs w:val="17"/>
                <w:color w:val="auto"/>
              </w:rPr>
              <w:t>4,555,323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5"/>
              <w:spacing w:after="0"/>
              <w:rPr>
                <w:sz w:val="20"/>
                <w:szCs w:val="20"/>
                <w:color w:val="auto"/>
              </w:rPr>
            </w:pPr>
            <w:r>
              <w:rPr>
                <w:rFonts w:ascii="Arial" w:cs="Arial" w:eastAsia="Arial" w:hAnsi="Arial"/>
                <w:sz w:val="17"/>
                <w:szCs w:val="17"/>
                <w:color w:val="auto"/>
              </w:rPr>
              <w:t>4,537,408</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-5080000</wp:posOffset>
            </wp:positionV>
            <wp:extent cx="1028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-3771265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-3754120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-2842260</wp:posOffset>
            </wp:positionV>
            <wp:extent cx="1028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1028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jc w:val="center"/>
        <w:spacing w:after="0" w:line="235" w:lineRule="auto"/>
        <w:rPr>
          <w:sz w:val="20"/>
          <w:szCs w:val="20"/>
          <w:color w:val="auto"/>
        </w:rPr>
      </w:pPr>
      <w:r>
        <w:rPr>
          <w:rFonts w:ascii="Arial" w:cs="Arial" w:eastAsia="Arial" w:hAnsi="Arial"/>
          <w:sz w:val="18"/>
          <w:szCs w:val="18"/>
          <w:b w:val="1"/>
          <w:bCs w:val="1"/>
          <w:color w:val="auto"/>
        </w:rPr>
        <w:t>FOR THE SIX MONTHS ENDED</w:t>
      </w:r>
    </w:p>
    <w:p>
      <w:pPr>
        <w:jc w:val="center"/>
        <w:spacing w:after="0" w:line="235" w:lineRule="auto"/>
        <w:rPr>
          <w:sz w:val="20"/>
          <w:szCs w:val="20"/>
          <w:color w:val="auto"/>
        </w:rPr>
      </w:pPr>
      <w:r>
        <w:rPr>
          <w:rFonts w:ascii="Arial" w:cs="Arial" w:eastAsia="Arial" w:hAnsi="Arial"/>
          <w:sz w:val="18"/>
          <w:szCs w:val="18"/>
          <w:b w:val="1"/>
          <w:bCs w:val="1"/>
          <w:color w:val="auto"/>
        </w:rPr>
        <w:t>JUNE 30, 2022 AND 2021</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2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91,852</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92,416</w:t>
            </w:r>
          </w:p>
        </w:tc>
        <w:tc>
          <w:tcPr>
            <w:tcW w:w="0" w:type="dxa"/>
            <w:vAlign w:val="bottom"/>
          </w:tcPr>
          <w:p>
            <w:pPr>
              <w:spacing w:after="0"/>
              <w:rPr>
                <w:sz w:val="1"/>
                <w:szCs w:val="1"/>
                <w:color w:val="auto"/>
              </w:rPr>
            </w:pPr>
          </w:p>
        </w:tc>
      </w:tr>
      <w:tr>
        <w:trPr>
          <w:trHeight w:val="17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 attributable to noncontrolling interests</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94</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9"/>
        </w:trPr>
        <w:tc>
          <w:tcPr>
            <w:tcW w:w="7660" w:type="dxa"/>
            <w:vAlign w:val="bottom"/>
          </w:tcPr>
          <w:p>
            <w:pPr>
              <w:ind w:left="200"/>
              <w:spacing w:after="0"/>
              <w:rPr>
                <w:sz w:val="20"/>
                <w:szCs w:val="20"/>
                <w:color w:val="auto"/>
              </w:rPr>
            </w:pPr>
            <w:r>
              <w:rPr>
                <w:rFonts w:ascii="Arial" w:cs="Arial" w:eastAsia="Arial" w:hAnsi="Arial"/>
                <w:sz w:val="14"/>
                <w:szCs w:val="14"/>
                <w:color w:val="auto"/>
              </w:rPr>
              <w:t>Net income attributable to The GEO Group, Inc.</w:t>
            </w:r>
          </w:p>
        </w:tc>
        <w:tc>
          <w:tcPr>
            <w:tcW w:w="24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91,946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92,504</w:t>
            </w:r>
          </w:p>
        </w:tc>
        <w:tc>
          <w:tcPr>
            <w:tcW w:w="0" w:type="dxa"/>
            <w:vAlign w:val="bottom"/>
          </w:tcPr>
          <w:p>
            <w:pPr>
              <w:spacing w:after="0"/>
              <w:rPr>
                <w:sz w:val="1"/>
                <w:szCs w:val="1"/>
                <w:color w:val="auto"/>
              </w:rPr>
            </w:pPr>
          </w:p>
        </w:tc>
      </w:tr>
      <w:tr>
        <w:trPr>
          <w:trHeight w:val="143"/>
        </w:trPr>
        <w:tc>
          <w:tcPr>
            <w:tcW w:w="76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Adjustments to reconcile net income attributable to The GEO Group, Inc. to net cash</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provided by operating activities: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67,954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67,423</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9,869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11,426</w:t>
            </w:r>
          </w:p>
        </w:tc>
        <w:tc>
          <w:tcPr>
            <w:tcW w:w="0" w:type="dxa"/>
            <w:vAlign w:val="bottom"/>
          </w:tcPr>
          <w:p>
            <w:pPr>
              <w:spacing w:after="0"/>
              <w:rPr>
                <w:sz w:val="1"/>
                <w:szCs w:val="1"/>
                <w:color w:val="auto"/>
              </w:rPr>
            </w:pP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Gain on extinguishment of debt</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(4,693 )</w:t>
            </w:r>
          </w:p>
        </w:tc>
        <w:tc>
          <w:tcPr>
            <w:tcW w:w="0" w:type="dxa"/>
            <w:vAlign w:val="bottom"/>
          </w:tcPr>
          <w:p>
            <w:pPr>
              <w:spacing w:after="0"/>
              <w:rPr>
                <w:sz w:val="1"/>
                <w:szCs w:val="1"/>
                <w:color w:val="auto"/>
              </w:rPr>
            </w:pPr>
          </w:p>
        </w:tc>
      </w:tr>
      <w:tr>
        <w:trPr>
          <w:trHeight w:val="143"/>
        </w:trPr>
        <w:tc>
          <w:tcPr>
            <w:tcW w:w="76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Amortization of debt issuance costs, discount and/or premium and other non-cash</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3,755</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4"/>
                <w:szCs w:val="14"/>
                <w:color w:val="auto"/>
              </w:rPr>
              <w:t>Provision for doubtful accounts</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Equity in earnings of affiliates, net of tax</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(2,715 )</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(4,007 )</w:t>
            </w:r>
          </w:p>
        </w:tc>
        <w:tc>
          <w:tcPr>
            <w:tcW w:w="0" w:type="dxa"/>
            <w:vAlign w:val="bottom"/>
          </w:tcPr>
          <w:p>
            <w:pPr>
              <w:spacing w:after="0"/>
              <w:rPr>
                <w:sz w:val="1"/>
                <w:szCs w:val="1"/>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4"/>
                <w:szCs w:val="14"/>
                <w:color w:val="auto"/>
              </w:rPr>
              <w:t>Dividends received from unconsolidated joint ventures</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2,441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4,185</w:t>
            </w: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sale/disposal of property and equipment, net</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1,847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4,329</w:t>
            </w:r>
          </w:p>
        </w:tc>
        <w:tc>
          <w:tcPr>
            <w:tcW w:w="0" w:type="dxa"/>
            <w:vAlign w:val="bottom"/>
          </w:tcPr>
          <w:p>
            <w:pPr>
              <w:spacing w:after="0"/>
              <w:rPr>
                <w:sz w:val="1"/>
                <w:szCs w:val="1"/>
                <w:color w:val="auto"/>
              </w:rPr>
            </w:pP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Gain on assets held for sale</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(3,053 )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on disposition of real estate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(10,379 )</w:t>
            </w:r>
          </w:p>
        </w:tc>
        <w:tc>
          <w:tcPr>
            <w:tcW w:w="0" w:type="dxa"/>
            <w:vAlign w:val="bottom"/>
          </w:tcPr>
          <w:p>
            <w:pPr>
              <w:spacing w:after="0"/>
              <w:rPr>
                <w:sz w:val="1"/>
                <w:szCs w:val="1"/>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of acquisitions: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accounts receivable, prepaid expenses and other assets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2,690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53,025</w:t>
            </w:r>
          </w:p>
        </w:tc>
        <w:tc>
          <w:tcPr>
            <w:tcW w:w="0" w:type="dxa"/>
            <w:vAlign w:val="bottom"/>
          </w:tcPr>
          <w:p>
            <w:pPr>
              <w:spacing w:after="0"/>
              <w:rPr>
                <w:sz w:val="1"/>
                <w:szCs w:val="1"/>
                <w:color w:val="auto"/>
              </w:rPr>
            </w:pP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Changes in contract receivable</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3,288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3,236</w:t>
            </w:r>
          </w:p>
        </w:tc>
        <w:tc>
          <w:tcPr>
            <w:tcW w:w="0" w:type="dxa"/>
            <w:vAlign w:val="bottom"/>
          </w:tcPr>
          <w:p>
            <w:pPr>
              <w:spacing w:after="0"/>
              <w:rPr>
                <w:sz w:val="1"/>
                <w:szCs w:val="1"/>
                <w:color w:val="auto"/>
              </w:rPr>
            </w:pPr>
          </w:p>
        </w:tc>
      </w:tr>
      <w:tr>
        <w:trPr>
          <w:trHeight w:val="176"/>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(6,119 )</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(15,074 )</w:t>
            </w:r>
          </w:p>
        </w:tc>
        <w:tc>
          <w:tcPr>
            <w:tcW w:w="0" w:type="dxa"/>
            <w:vAlign w:val="bottom"/>
          </w:tcPr>
          <w:p>
            <w:pPr>
              <w:spacing w:after="0"/>
              <w:rPr>
                <w:sz w:val="1"/>
                <w:szCs w:val="1"/>
                <w:color w:val="auto"/>
              </w:rPr>
            </w:pPr>
          </w:p>
        </w:tc>
      </w:tr>
      <w:tr>
        <w:trPr>
          <w:trHeight w:val="169"/>
        </w:trPr>
        <w:tc>
          <w:tcPr>
            <w:tcW w:w="7660" w:type="dxa"/>
            <w:vAlign w:val="bottom"/>
          </w:tcPr>
          <w:p>
            <w:pPr>
              <w:ind w:left="20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171,979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205,561</w:t>
            </w:r>
          </w:p>
        </w:tc>
        <w:tc>
          <w:tcPr>
            <w:tcW w:w="0" w:type="dxa"/>
            <w:vAlign w:val="bottom"/>
          </w:tcPr>
          <w:p>
            <w:pPr>
              <w:spacing w:after="0"/>
              <w:rPr>
                <w:sz w:val="1"/>
                <w:szCs w:val="1"/>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Investing Activities: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Insurance proceeds - damaged property</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Proceeds from sales of real estate</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13,240</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assets held for sale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15,812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Change in restricted investments</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(5,552 )</w:t>
            </w:r>
          </w:p>
        </w:tc>
        <w:tc>
          <w:tcPr>
            <w:tcW w:w="0" w:type="dxa"/>
            <w:vAlign w:val="bottom"/>
          </w:tcPr>
          <w:p>
            <w:pPr>
              <w:spacing w:after="0"/>
              <w:rPr>
                <w:sz w:val="1"/>
                <w:szCs w:val="1"/>
                <w:color w:val="auto"/>
              </w:rPr>
            </w:pPr>
          </w:p>
        </w:tc>
      </w:tr>
      <w:tr>
        <w:trPr>
          <w:trHeight w:val="175"/>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Capital expenditures</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(36,060 )</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(44,347 )</w:t>
            </w:r>
          </w:p>
        </w:tc>
        <w:tc>
          <w:tcPr>
            <w:tcW w:w="0" w:type="dxa"/>
            <w:vAlign w:val="bottom"/>
          </w:tcPr>
          <w:p>
            <w:pPr>
              <w:spacing w:after="0"/>
              <w:rPr>
                <w:sz w:val="1"/>
                <w:szCs w:val="1"/>
                <w:color w:val="auto"/>
              </w:rPr>
            </w:pPr>
          </w:p>
        </w:tc>
      </w:tr>
      <w:tr>
        <w:trPr>
          <w:trHeight w:val="169"/>
        </w:trPr>
        <w:tc>
          <w:tcPr>
            <w:tcW w:w="7660" w:type="dxa"/>
            <w:vAlign w:val="bottom"/>
          </w:tcPr>
          <w:p>
            <w:pPr>
              <w:ind w:left="20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(19,316 )</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(32,337 )</w:t>
            </w:r>
          </w:p>
        </w:tc>
        <w:tc>
          <w:tcPr>
            <w:tcW w:w="0" w:type="dxa"/>
            <w:vAlign w:val="bottom"/>
          </w:tcPr>
          <w:p>
            <w:pPr>
              <w:spacing w:after="0"/>
              <w:rPr>
                <w:sz w:val="1"/>
                <w:szCs w:val="1"/>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Financing Activities: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Proceeds from long-term debt</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435,000</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(54,318 )</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(356,831 )</w:t>
            </w: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Payments on non-recourse debt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(4,343 )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(3,797 )</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Taxes paid related to net share settlements of equity awards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(1,302 )</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(2,002 )</w:t>
            </w: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Proceeds from issuance of common stock in connection with ESPP</w:t>
            </w:r>
          </w:p>
        </w:tc>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(9,587 )</w:t>
            </w:r>
          </w:p>
        </w:tc>
        <w:tc>
          <w:tcPr>
            <w:tcW w:w="0" w:type="dxa"/>
            <w:vAlign w:val="bottom"/>
          </w:tcPr>
          <w:p>
            <w:pPr>
              <w:spacing w:after="0"/>
              <w:rPr>
                <w:sz w:val="1"/>
                <w:szCs w:val="1"/>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Cash dividends paid</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(30,487 )</w:t>
            </w:r>
          </w:p>
        </w:tc>
        <w:tc>
          <w:tcPr>
            <w:tcW w:w="0" w:type="dxa"/>
            <w:vAlign w:val="bottom"/>
          </w:tcPr>
          <w:p>
            <w:pPr>
              <w:spacing w:after="0"/>
              <w:rPr>
                <w:sz w:val="1"/>
                <w:szCs w:val="1"/>
                <w:color w:val="auto"/>
              </w:rPr>
            </w:pPr>
          </w:p>
        </w:tc>
      </w:tr>
      <w:tr>
        <w:trPr>
          <w:trHeight w:val="169"/>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(59,860 )</w:t>
            </w:r>
          </w:p>
        </w:tc>
        <w:tc>
          <w:tcPr>
            <w:tcW w:w="1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32,476</w:t>
            </w:r>
          </w:p>
        </w:tc>
        <w:tc>
          <w:tcPr>
            <w:tcW w:w="0" w:type="dxa"/>
            <w:vAlign w:val="bottom"/>
          </w:tcPr>
          <w:p>
            <w:pPr>
              <w:spacing w:after="0"/>
              <w:rPr>
                <w:sz w:val="1"/>
                <w:szCs w:val="1"/>
                <w:color w:val="auto"/>
              </w:rPr>
            </w:pPr>
          </w:p>
        </w:tc>
      </w:tr>
      <w:tr>
        <w:trPr>
          <w:trHeight w:val="137"/>
        </w:trPr>
        <w:tc>
          <w:tcPr>
            <w:tcW w:w="7660" w:type="dxa"/>
            <w:vAlign w:val="bottom"/>
          </w:tcPr>
          <w:p>
            <w:pPr>
              <w:ind w:left="20"/>
              <w:spacing w:after="0" w:line="137"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4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(4,331 )</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(449 )</w:t>
            </w:r>
          </w:p>
        </w:tc>
        <w:tc>
          <w:tcPr>
            <w:tcW w:w="0" w:type="dxa"/>
            <w:vAlign w:val="bottom"/>
          </w:tcPr>
          <w:p>
            <w:pPr>
              <w:spacing w:after="0"/>
              <w:rPr>
                <w:sz w:val="1"/>
                <w:szCs w:val="1"/>
                <w:color w:val="auto"/>
              </w:rPr>
            </w:pPr>
          </w:p>
        </w:tc>
      </w:tr>
      <w:tr>
        <w:trPr>
          <w:trHeight w:val="167"/>
        </w:trPr>
        <w:tc>
          <w:tcPr>
            <w:tcW w:w="7660" w:type="dxa"/>
            <w:vAlign w:val="bottom"/>
          </w:tcPr>
          <w:p>
            <w:pPr>
              <w:ind w:left="120"/>
              <w:spacing w:after="0"/>
              <w:rPr>
                <w:sz w:val="20"/>
                <w:szCs w:val="20"/>
                <w:color w:val="auto"/>
              </w:rPr>
            </w:pPr>
            <w:r>
              <w:rPr>
                <w:rFonts w:ascii="Arial" w:cs="Arial" w:eastAsia="Arial" w:hAnsi="Arial"/>
                <w:sz w:val="14"/>
                <w:szCs w:val="14"/>
                <w:color w:val="auto"/>
              </w:rPr>
              <w:t>and Cash Equivalents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6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Net Increase in Cash, Cash Equivalents and Restricted Cash</w:t>
            </w:r>
          </w:p>
        </w:tc>
        <w:tc>
          <w:tcPr>
            <w:tcW w:w="24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Cash Equivalents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88,472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205,251</w:t>
            </w:r>
          </w:p>
        </w:tc>
        <w:tc>
          <w:tcPr>
            <w:tcW w:w="0" w:type="dxa"/>
            <w:vAlign w:val="bottom"/>
          </w:tcPr>
          <w:p>
            <w:pPr>
              <w:spacing w:after="0"/>
              <w:rPr>
                <w:sz w:val="1"/>
                <w:szCs w:val="1"/>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and Cash Equivalents, beginning of period</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548,322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311,853</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and Cash Equivalents, end of period</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636,794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517,104</w:t>
            </w:r>
          </w:p>
        </w:tc>
        <w:tc>
          <w:tcPr>
            <w:tcW w:w="0" w:type="dxa"/>
            <w:vAlign w:val="bottom"/>
          </w:tcPr>
          <w:p>
            <w:pPr>
              <w:spacing w:after="0"/>
              <w:rPr>
                <w:sz w:val="1"/>
                <w:szCs w:val="1"/>
                <w:color w:val="auto"/>
              </w:rPr>
            </w:pPr>
          </w:p>
        </w:tc>
      </w:tr>
      <w:tr>
        <w:trPr>
          <w:trHeight w:val="156"/>
        </w:trPr>
        <w:tc>
          <w:tcPr>
            <w:tcW w:w="7660" w:type="dxa"/>
            <w:vAlign w:val="bottom"/>
          </w:tcPr>
          <w:p>
            <w:pPr>
              <w:ind w:left="200"/>
              <w:spacing w:after="0" w:line="156" w:lineRule="exact"/>
              <w:rPr>
                <w:sz w:val="20"/>
                <w:szCs w:val="20"/>
                <w:color w:val="auto"/>
              </w:rPr>
            </w:pPr>
            <w:r>
              <w:rPr>
                <w:rFonts w:ascii="Arial" w:cs="Arial" w:eastAsia="Arial" w:hAnsi="Arial"/>
                <w:sz w:val="14"/>
                <w:szCs w:val="14"/>
                <w:color w:val="auto"/>
              </w:rPr>
              <w:t>Supplemental Disclosures:</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Right-of-use assets obtained from operating lease liabilities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4,284</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Equipment obtained from finance lease liabilities</w:t>
            </w:r>
          </w:p>
        </w:tc>
        <w:tc>
          <w:tcPr>
            <w:tcW w:w="240" w:type="dxa"/>
            <w:vAlign w:val="bottom"/>
            <w:tcBorders>
              <w:top w:val="single" w:sz="8" w:color="auto"/>
              <w:bottom w:val="single" w:sz="8" w:color="auto"/>
            </w:tcBorders>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56"/>
        </w:trPr>
        <w:tc>
          <w:tcPr>
            <w:tcW w:w="7660" w:type="dxa"/>
            <w:vAlign w:val="bottom"/>
          </w:tcPr>
          <w:p>
            <w:pPr>
              <w:ind w:left="200"/>
              <w:spacing w:after="0" w:line="156" w:lineRule="exact"/>
              <w:rPr>
                <w:sz w:val="20"/>
                <w:szCs w:val="20"/>
                <w:color w:val="auto"/>
              </w:rPr>
            </w:pPr>
            <w:r>
              <w:rPr>
                <w:rFonts w:ascii="Arial" w:cs="Arial" w:eastAsia="Arial" w:hAnsi="Arial"/>
                <w:sz w:val="14"/>
                <w:szCs w:val="14"/>
                <w:color w:val="auto"/>
              </w:rPr>
              <w:t>Dividends paid in treasury shares</w:t>
            </w:r>
          </w:p>
        </w:tc>
        <w:tc>
          <w:tcPr>
            <w:tcW w:w="240" w:type="dxa"/>
            <w:vAlign w:val="bottom"/>
            <w:tcBorders>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Capital expenditures in accounts payable and accrued expenses</w:t>
            </w:r>
          </w:p>
        </w:tc>
        <w:tc>
          <w:tcPr>
            <w:tcW w:w="240" w:type="dxa"/>
            <w:vAlign w:val="bottom"/>
            <w:tcBorders>
              <w:top w:val="single" w:sz="8" w:color="auto"/>
              <w:bottom w:val="single" w:sz="8" w:color="auto"/>
            </w:tcBorders>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6,429</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6,163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-5474335</wp:posOffset>
            </wp:positionV>
            <wp:extent cx="1111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-3493770</wp:posOffset>
            </wp:positionV>
            <wp:extent cx="1111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-2585085</wp:posOffset>
            </wp:positionV>
            <wp:extent cx="1111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-1445260</wp:posOffset>
            </wp:positionV>
            <wp:extent cx="1111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-796290</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-779145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-299720</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-281940</wp:posOffset>
            </wp:positionV>
            <wp:extent cx="111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THE GEO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GEO Group, Inc., a Florida corporation, and subsidiaries (the “Company” or “GEO”) specializes in the ownership, leasing and management of secure facilities, processing centers and community reentry centers in the United States, Australia and South Africa. The Company owns, leases and operates a broad range of facilities including maximum, medium and minimum security facilities, processing centers, as well as community-based reentry facilities and offers an expanded delivery of rehabilitation services under its 'GEO Continuum of Care' platform. The 'GEO Continuum of Care' program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individuals as contracted domestically and in the United Kingdom through its joint venture GEO Amey PECS Ltd. (“GEOAmey”). At June 30, 2022, the Company’s worldwide operations include the management and/or ownership of approximately 82,000 beds at 102 facilities, including idle facilities, and also include the provision of community supervision services for more than 400,000 individuals on average, including nearly 200,000 through an array of technology products including radio frequency, GPS, and alcohol monitoring devices.</w:t>
      </w:r>
    </w:p>
    <w:p>
      <w:pPr>
        <w:spacing w:after="0" w:line="2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GEO operated as a real estate investment trust ("REIT") from January 1, 2013 through December 31, 2020. As a REIT, the Company provided services and conducted other business activities through taxable REIT subsidiaries ("TRSs"). A TRS is a subsidiary of a REIT that is subject to applicable corporate income tax rates and certain qualification requirements. The Company's use of TRSs permitted GEO to engage in certain business activities in which the REIT could not engage directly, so long as those activities were conducted in entities that elected to be treated as TRSs under the Internal Revenue Code of 1986, as amended (the “Code”), and enabled GEO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150"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December 2, 2021, the Company announced that its board of directors (“Board”) unanimously approved a plan to terminate the Company's REIT status and become a taxable C Corporation, effective for the year ended December 31, 2021. As a result, the Company is no longer required to operate under REIT rules, including the requirement to distribute at least 90% of REIT taxable income to its shareholders, which provides the Company with greater flexibility to use its free cash flow. Effective January 1, 2021, the Company was subject to federal and state income taxes on its taxable income at applicable tax rates and was no longer entitled to a tax deduction for dividends paid. The Company operated as a REIT for the 2020 tax year, and existing REIT requirements and limitations, including those established by the Company’s organizational documents, remained in place until December 31, 2020. In connection with terminating the Company’s REIT status, the Board also voted unanimously to discontinue the Company's quarterly dividend in late 2021.</w:t>
      </w:r>
    </w:p>
    <w:p>
      <w:pPr>
        <w:spacing w:after="0" w:line="14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Company's unaudited consolidated financial statements included in this Quarterly Report on Form 10-Q have been prepared in accordance with accounting principles generally accepted in the United States (“GAAP”) and the instructions to Form 10-Q and consequently do not include all disclosures required by Form 10-K. The accounting policies followed for quarterly financial reporting are the same as those disclosed in the Notes to Consolidated Financial Statements included in the Company’s Annual Report on Form 10-K filed with the Securities and Exchange Commission on February 28, 2022 for the year ended December 31, 2021. The accompanying December 31, 2021 consolidated balance sheet has been derived from those audited financial statements. Additional information may be obtained by referring to the Company’s Form 10-K for the year ended December 31, 2021. In the opinion of management, all adjustments (consisting only of normal recurring items) necessary for a fair presentation of the financial information for the interim periods reported in this Quarterly Report on Form 10-Q have been made. Results of operations for the six months ended June 30, 2022 are not necessarily indicative of the results for the entire year ending December 31, 2022, or for any other future interim or annual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Order</w:t>
      </w:r>
    </w:p>
    <w:p>
      <w:pPr>
        <w:spacing w:after="0" w:line="12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On January 26, 2021, President Biden signed an executive order directing the United States Attorney General not to renew Department of Justice (“DOJ”) contracts with privately operated criminal detention facilities, as consistent with applicable law. Two agencies of the DOJ, the Federal Bureau of Prisons (“BOP”) and the U.S. Marshals Service (“USMS”), utilize GEO’s support services. The BOP houses inmates who have been convicted of federal crimes, and the USMS is generally responsible for detainees who are awaiting trial or sentencing in U.S. federal courts. As of June 30, 2022, GEO has three company-owned/company-leased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facilities under direct contracts with USMS, which have current contract option periods that expire between February 28, 2023 and September 30, 2023.</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The Company has been closely monitoring the impact of the COVID-19 pandemic on all aspects of its business and geographies, including how it will impact those entrusted to its care and governmental partners. The Company has incurred disruptions from the COVID-19 pandemic but, it is unable to predict the overall future impact that the COVID-19 pandemic will have on its financial condition, results of operations and cash flows due to numerous uncertainties related to the pandemic.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OTHER INTANGIBLE ASSETS</w:t>
      </w:r>
    </w:p>
    <w:p>
      <w:pPr>
        <w:spacing w:after="0" w:line="1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from January 1, 2022 to June 30, 2022 are as follows (in thousands):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January 1,</w:t>
            </w:r>
          </w:p>
        </w:tc>
        <w:tc>
          <w:tcPr>
            <w:tcW w:w="120" w:type="dxa"/>
            <w:vAlign w:val="bottom"/>
          </w:tcPr>
          <w:p>
            <w:pPr>
              <w:spacing w:after="0"/>
              <w:rPr>
                <w:sz w:val="14"/>
                <w:szCs w:val="14"/>
                <w:color w:val="auto"/>
              </w:rPr>
            </w:pPr>
          </w:p>
        </w:tc>
        <w:tc>
          <w:tcPr>
            <w:tcW w:w="134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w w:val="99"/>
              </w:rPr>
              <w:t>Foreign Currency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Secure Services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316,366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316,366</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Electronic Monitoring and Supervision Services</w:t>
            </w:r>
          </w:p>
        </w:tc>
        <w:tc>
          <w:tcPr>
            <w:tcW w:w="160" w:type="dxa"/>
            <w:vAlign w:val="bottom"/>
          </w:tcPr>
          <w:p>
            <w:pPr>
              <w:spacing w:after="0"/>
              <w:rPr>
                <w:sz w:val="17"/>
                <w:szCs w:val="17"/>
                <w:color w:val="auto"/>
              </w:rPr>
            </w:pPr>
          </w:p>
        </w:tc>
        <w:tc>
          <w:tcPr>
            <w:tcW w:w="10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289,570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289,570</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Reentry Services</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148,873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148,873</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International Services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416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(22 )</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Goodwill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755,225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755,203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760"/>
        <w:spacing w:after="0" w:line="324" w:lineRule="auto"/>
        <w:rPr>
          <w:sz w:val="20"/>
          <w:szCs w:val="20"/>
          <w:color w:val="auto"/>
        </w:rPr>
      </w:pPr>
      <w:r>
        <w:rPr>
          <w:rFonts w:ascii="Arial" w:cs="Arial" w:eastAsia="Arial" w:hAnsi="Arial"/>
          <w:sz w:val="16"/>
          <w:szCs w:val="16"/>
          <w:color w:val="auto"/>
        </w:rPr>
        <w:t>The Company has also recorded other finite and indefinite-lived intangible assets as a result of its various business combinations. The Company's intangible assets include facility management contracts, covenants not to compete, trade names and technology,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14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2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Facility management contracts</w:t>
            </w:r>
          </w:p>
        </w:tc>
        <w:tc>
          <w:tcPr>
            <w:tcW w:w="1140" w:type="dxa"/>
            <w:vAlign w:val="bottom"/>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308,358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(199,691 )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58"/>
              <w:spacing w:after="0" w:line="196" w:lineRule="exact"/>
              <w:rPr>
                <w:sz w:val="20"/>
                <w:szCs w:val="20"/>
                <w:color w:val="auto"/>
              </w:rPr>
            </w:pPr>
            <w:r>
              <w:rPr>
                <w:rFonts w:ascii="Arial" w:cs="Arial" w:eastAsia="Arial" w:hAnsi="Arial"/>
                <w:sz w:val="18"/>
                <w:szCs w:val="18"/>
                <w:color w:val="auto"/>
              </w:rPr>
              <w:t>108,667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8"/>
              <w:spacing w:after="0" w:line="196" w:lineRule="exact"/>
              <w:rPr>
                <w:sz w:val="20"/>
                <w:szCs w:val="20"/>
                <w:color w:val="auto"/>
              </w:rPr>
            </w:pPr>
            <w:r>
              <w:rPr>
                <w:rFonts w:ascii="Arial" w:cs="Arial" w:eastAsia="Arial" w:hAnsi="Arial"/>
                <w:sz w:val="18"/>
                <w:szCs w:val="18"/>
                <w:color w:val="auto"/>
              </w:rPr>
              <w:t>308,369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(189,163 )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119,206</w:t>
            </w: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Technology</w:t>
            </w:r>
          </w:p>
        </w:tc>
        <w:tc>
          <w:tcPr>
            <w:tcW w:w="1140" w:type="dxa"/>
            <w:vAlign w:val="bottom"/>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59"/>
              <w:spacing w:after="0" w:line="202" w:lineRule="exact"/>
              <w:rPr>
                <w:sz w:val="20"/>
                <w:szCs w:val="20"/>
                <w:color w:val="auto"/>
              </w:rPr>
            </w:pPr>
            <w:r>
              <w:rPr>
                <w:rFonts w:ascii="Arial" w:cs="Arial" w:eastAsia="Arial" w:hAnsi="Arial"/>
                <w:sz w:val="18"/>
                <w:szCs w:val="18"/>
                <w:color w:val="auto"/>
              </w:rPr>
              <w:t>33,700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(32,589 )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33,700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(31,982 )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names</w:t>
            </w:r>
          </w:p>
        </w:tc>
        <w:tc>
          <w:tcPr>
            <w:tcW w:w="1140" w:type="dxa"/>
            <w:vAlign w:val="bottom"/>
            <w:tcBorders>
              <w:bottom w:val="single" w:sz="8" w:color="CFF0FC"/>
            </w:tcBorders>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Indefinite</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45,200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45,200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45,200</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45,200</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line="196" w:lineRule="exact"/>
              <w:rPr>
                <w:sz w:val="20"/>
                <w:szCs w:val="20"/>
                <w:color w:val="auto"/>
              </w:rPr>
            </w:pPr>
            <w:r>
              <w:rPr>
                <w:rFonts w:ascii="Arial" w:cs="Arial" w:eastAsia="Arial" w:hAnsi="Arial"/>
                <w:sz w:val="18"/>
                <w:szCs w:val="18"/>
                <w:color w:val="auto"/>
              </w:rPr>
              <w:t>Total acquired intangible assets</w:t>
            </w:r>
          </w:p>
        </w:tc>
        <w:tc>
          <w:tcPr>
            <w:tcW w:w="11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9"/>
              <w:spacing w:after="0" w:line="196" w:lineRule="exact"/>
              <w:rPr>
                <w:sz w:val="20"/>
                <w:szCs w:val="20"/>
                <w:color w:val="auto"/>
              </w:rPr>
            </w:pPr>
            <w:r>
              <w:rPr>
                <w:rFonts w:ascii="Arial" w:cs="Arial" w:eastAsia="Arial" w:hAnsi="Arial"/>
                <w:sz w:val="18"/>
                <w:szCs w:val="18"/>
                <w:color w:val="auto"/>
              </w:rPr>
              <w:t>387,258</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(232,280 )</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8"/>
              <w:spacing w:after="0" w:line="196" w:lineRule="exact"/>
              <w:rPr>
                <w:sz w:val="20"/>
                <w:szCs w:val="20"/>
                <w:color w:val="auto"/>
              </w:rPr>
            </w:pPr>
            <w:r>
              <w:rPr>
                <w:rFonts w:ascii="Arial" w:cs="Arial" w:eastAsia="Arial" w:hAnsi="Arial"/>
                <w:sz w:val="18"/>
                <w:szCs w:val="18"/>
                <w:color w:val="auto"/>
              </w:rPr>
              <w:t>154,978</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line="196" w:lineRule="exact"/>
              <w:rPr>
                <w:sz w:val="20"/>
                <w:szCs w:val="20"/>
                <w:color w:val="auto"/>
              </w:rPr>
            </w:pPr>
            <w:r>
              <w:rPr>
                <w:rFonts w:ascii="Arial" w:cs="Arial" w:eastAsia="Arial" w:hAnsi="Arial"/>
                <w:sz w:val="18"/>
                <w:szCs w:val="18"/>
                <w:color w:val="auto"/>
              </w:rPr>
              <w:t>387,269</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(221,145 )</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166,124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-159385</wp:posOffset>
            </wp:positionV>
            <wp:extent cx="768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-159385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-159385</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-159385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-159385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Amortization expense was $11.1 million and $10.2 million for the six months ended June 30, 2022 and 2021, respectively. Amortization expense was primarily related to the U.S. Secure Services and GEO Care segments' amortization of acquired facility management contracts. As of June 30, 2022, the weighted average period before the next contract renewal or extension for the acquired facility management contracts was approximately 3.1 years.</w:t>
      </w:r>
    </w:p>
    <w:p>
      <w:pPr>
        <w:spacing w:after="0" w:line="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Estimated amortization expense related to the Company's finite-lived intangible assets for the remainder of 2022 through 2026 and thereafter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Expense</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Remainder of 2022</w:t>
            </w:r>
          </w:p>
        </w:tc>
        <w:tc>
          <w:tcPr>
            <w:tcW w:w="2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6,900</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3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11,813</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9,315</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3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9,263</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7,170</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3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65,317</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2360" w:type="dxa"/>
            <w:vAlign w:val="bottom"/>
            <w:tcBorders>
              <w:bottom w:val="single" w:sz="8" w:color="CFF0FC"/>
            </w:tcBorders>
            <w:shd w:val="clear" w:color="auto" w:fill="CFF0FC"/>
          </w:tcPr>
          <w:p>
            <w:pPr>
              <w:spacing w:after="0"/>
              <w:rPr>
                <w:sz w:val="20"/>
                <w:szCs w:val="20"/>
                <w:color w:val="auto"/>
              </w:rPr>
            </w:pPr>
          </w:p>
        </w:tc>
        <w:tc>
          <w:tcPr>
            <w:tcW w:w="310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109,778</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80" w:type="dxa"/>
            <w:vAlign w:val="bottom"/>
          </w:tcPr>
          <w:p>
            <w:pPr>
              <w:jc w:val="right"/>
              <w:ind w:right="18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FINANCIAL INSTRUMENTS</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tables provide a summary of the Company’s significant financial assets and liabilities carried at fair value and measured on a recurring basis as of June 30, 2022 and December 31,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7"/>
          </w:tcPr>
          <w:p>
            <w:pPr>
              <w:jc w:val="right"/>
              <w:ind w:right="798"/>
              <w:spacing w:after="0"/>
              <w:rPr>
                <w:sz w:val="20"/>
                <w:szCs w:val="20"/>
                <w:color w:val="auto"/>
              </w:rPr>
            </w:pPr>
            <w:r>
              <w:rPr>
                <w:rFonts w:ascii="Arial" w:cs="Arial" w:eastAsia="Arial" w:hAnsi="Arial"/>
                <w:sz w:val="14"/>
                <w:szCs w:val="14"/>
                <w:b w:val="1"/>
                <w:bCs w:val="1"/>
                <w:color w:val="auto"/>
              </w:rPr>
              <w:t>Fair Value Measurements at June 30, 2022</w:t>
            </w: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Carrying Value at</w:t>
            </w:r>
          </w:p>
        </w:tc>
        <w:tc>
          <w:tcPr>
            <w:tcW w:w="1280" w:type="dxa"/>
            <w:vAlign w:val="bottom"/>
            <w:gridSpan w:val="2"/>
            <w:vMerge w:val="restart"/>
          </w:tcPr>
          <w:p>
            <w:pPr>
              <w:jc w:val="center"/>
              <w:ind w:right="18"/>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Restricted investment: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Rabbi Trust</w:t>
            </w: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36,800</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36,800</w:t>
            </w:r>
          </w:p>
        </w:tc>
        <w:tc>
          <w:tcPr>
            <w:tcW w:w="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Marketable equity and fixed income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16,793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16,793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Interest rate swap derivatives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2,342</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2,342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7"/>
          </w:tcPr>
          <w:p>
            <w:pPr>
              <w:jc w:val="right"/>
              <w:ind w:right="638"/>
              <w:spacing w:after="0"/>
              <w:rPr>
                <w:sz w:val="20"/>
                <w:szCs w:val="20"/>
                <w:color w:val="auto"/>
              </w:rPr>
            </w:pPr>
            <w:r>
              <w:rPr>
                <w:rFonts w:ascii="Arial" w:cs="Arial" w:eastAsia="Arial" w:hAnsi="Arial"/>
                <w:sz w:val="14"/>
                <w:szCs w:val="14"/>
                <w:b w:val="1"/>
                <w:bCs w:val="1"/>
                <w:color w:val="auto"/>
              </w:rPr>
              <w:t>Fair Value Measurements at December 31, 2021</w:t>
            </w: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Carrying Value at</w:t>
            </w:r>
          </w:p>
        </w:tc>
        <w:tc>
          <w:tcPr>
            <w:tcW w:w="1280" w:type="dxa"/>
            <w:vAlign w:val="bottom"/>
            <w:gridSpan w:val="2"/>
            <w:vMerge w:val="restart"/>
          </w:tcPr>
          <w:p>
            <w:pPr>
              <w:jc w:val="center"/>
              <w:ind w:right="18"/>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Restricted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Rabbi Trust</w:t>
            </w: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42,937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42,937</w:t>
            </w:r>
          </w:p>
        </w:tc>
        <w:tc>
          <w:tcPr>
            <w:tcW w:w="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Marketable equity and fixed income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11,551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11,551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Fixed income securities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1,927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1,927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rate swap derivatives</w:t>
            </w: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3,195</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3,195</w:t>
            </w:r>
          </w:p>
        </w:tc>
        <w:tc>
          <w:tcPr>
            <w:tcW w:w="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Company’s Level 2 financial instruments included in the tables above as of June 30, 2022 and December 31, 2021 consist of interest rate swap derivative assets/liabilities held by GEO, investments in equity and fixed income mutual funds held in the Company’s captive insurance subsidiary, Florina, the Company's rabbi trust established for a GEO employee and employer contributions to The GEO Group, Inc. Non-qualified Deferred Compensation Plan and an investment in Canadian dollar denominated fixed income securities.</w:t>
      </w:r>
    </w:p>
    <w:p>
      <w:pPr>
        <w:spacing w:after="0" w:line="13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interest rate swap derivative assets/liabilities are valued using a discounted cash flow model based on projected borrowing rates. The Company's restricted investment in the rabbi trust is invested in Company-owned life insurance policies which are recorded at their cash surrender values. These investments are valued based on the underlying investments held in the policies' separate accounts. The underlying assets are equity and fixed income pooled funds. The Canadian dollar denominated securities, which are not actively traded, were valued using quoted rates for these and similar securities. The marketable equity and fixed income securities are valued using quoted rates. The Company no longer has an investment in Canadian dollar denominated securities as of June 30,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FAIR VALUE OF ASSETS AND LIABILITIES</w:t>
      </w:r>
    </w:p>
    <w:p>
      <w:pPr>
        <w:spacing w:after="0" w:line="8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Company’s consolidated balance sheets reflect certain financial assets and liabilities at carrying value. The carrying value of certain debt instruments, if applicable, is net of unamortized discount. The following tables present the carrying values of those financial instruments and the estimated corresponding fair values at June 30, 2022 and December 31,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5"/>
          </w:tcPr>
          <w:p>
            <w:pPr>
              <w:jc w:val="center"/>
              <w:ind w:right="152"/>
              <w:spacing w:after="0"/>
              <w:rPr>
                <w:sz w:val="20"/>
                <w:szCs w:val="20"/>
                <w:color w:val="auto"/>
              </w:rPr>
            </w:pPr>
            <w:r>
              <w:rPr>
                <w:rFonts w:ascii="Arial" w:cs="Arial" w:eastAsia="Arial" w:hAnsi="Arial"/>
                <w:sz w:val="14"/>
                <w:szCs w:val="14"/>
                <w:b w:val="1"/>
                <w:bCs w:val="1"/>
                <w:color w:val="auto"/>
                <w:w w:val="92"/>
              </w:rPr>
              <w:t>Estimated Fair Value Measurements at June 30, 2022</w:t>
            </w: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Carrying Value as</w:t>
            </w:r>
          </w:p>
        </w:tc>
        <w:tc>
          <w:tcPr>
            <w:tcW w:w="140" w:type="dxa"/>
            <w:vAlign w:val="bottom"/>
          </w:tcPr>
          <w:p>
            <w:pPr>
              <w:spacing w:after="0"/>
              <w:rPr>
                <w:sz w:val="11"/>
                <w:szCs w:val="11"/>
                <w:color w:val="auto"/>
              </w:rPr>
            </w:pPr>
          </w:p>
        </w:tc>
        <w:tc>
          <w:tcPr>
            <w:tcW w:w="9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8"/>
              </w:rPr>
              <w:t>Total Fair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 June 30,</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587,861</w:t>
            </w: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587,861</w:t>
            </w:r>
          </w:p>
        </w:tc>
        <w:tc>
          <w:tcPr>
            <w:tcW w:w="2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8"/>
              </w:rPr>
              <w:t>587,861</w:t>
            </w:r>
          </w:p>
        </w:tc>
        <w:tc>
          <w:tcPr>
            <w:tcW w:w="3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48,933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48,933</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48,933</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Borrowings under senior credit facility</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1,493,000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1,388,720</w:t>
            </w:r>
          </w:p>
        </w:tc>
        <w:tc>
          <w:tcPr>
            <w:tcW w:w="260" w:type="dxa"/>
            <w:vAlign w:val="bottom"/>
            <w:gridSpan w:val="4"/>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1,388,720</w:t>
            </w:r>
          </w:p>
        </w:tc>
        <w:tc>
          <w:tcPr>
            <w:tcW w:w="280" w:type="dxa"/>
            <w:vAlign w:val="bottom"/>
            <w:gridSpan w:val="4"/>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tcPr>
          <w:p>
            <w:pPr>
              <w:ind w:left="380"/>
              <w:spacing w:after="0" w:line="202" w:lineRule="exact"/>
              <w:rPr>
                <w:sz w:val="20"/>
                <w:szCs w:val="20"/>
                <w:color w:val="auto"/>
              </w:rPr>
            </w:pPr>
            <w:r>
              <w:rPr>
                <w:rFonts w:ascii="Arial" w:cs="Arial" w:eastAsia="Arial" w:hAnsi="Arial"/>
                <w:sz w:val="18"/>
                <w:szCs w:val="18"/>
                <w:color w:val="auto"/>
              </w:rPr>
              <w:t>5.125% Senior Notes due 2023</w:t>
            </w:r>
          </w:p>
        </w:tc>
        <w:tc>
          <w:tcPr>
            <w:tcW w:w="120" w:type="dxa"/>
            <w:vAlign w:val="bottom"/>
          </w:tcPr>
          <w:p>
            <w:pPr>
              <w:spacing w:after="0"/>
              <w:rPr>
                <w:sz w:val="17"/>
                <w:szCs w:val="17"/>
                <w:color w:val="auto"/>
              </w:rPr>
            </w:pPr>
          </w:p>
        </w:tc>
        <w:tc>
          <w:tcPr>
            <w:tcW w:w="13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259,275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246,595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246,595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5.875% Senior Notes due 2024</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225,293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202,766</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202,766</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380"/>
              <w:spacing w:after="0" w:line="202" w:lineRule="exact"/>
              <w:rPr>
                <w:sz w:val="20"/>
                <w:szCs w:val="20"/>
                <w:color w:val="auto"/>
              </w:rPr>
            </w:pPr>
            <w:r>
              <w:rPr>
                <w:rFonts w:ascii="Arial" w:cs="Arial" w:eastAsia="Arial" w:hAnsi="Arial"/>
                <w:sz w:val="18"/>
                <w:szCs w:val="18"/>
                <w:color w:val="auto"/>
              </w:rPr>
              <w:t>6.00% Senior Notes due 2026</w:t>
            </w:r>
          </w:p>
        </w:tc>
        <w:tc>
          <w:tcPr>
            <w:tcW w:w="120" w:type="dxa"/>
            <w:vAlign w:val="bottom"/>
          </w:tcPr>
          <w:p>
            <w:pPr>
              <w:spacing w:after="0"/>
              <w:rPr>
                <w:sz w:val="17"/>
                <w:szCs w:val="17"/>
                <w:color w:val="auto"/>
              </w:rPr>
            </w:pPr>
          </w:p>
        </w:tc>
        <w:tc>
          <w:tcPr>
            <w:tcW w:w="13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285,724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285,724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6.50% Exchangeable Senior Notes due 2026</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222,609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222,609</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Non-recourse debt</w:t>
            </w:r>
          </w:p>
        </w:tc>
        <w:tc>
          <w:tcPr>
            <w:tcW w:w="120" w:type="dxa"/>
            <w:vAlign w:val="bottom"/>
          </w:tcPr>
          <w:p>
            <w:pPr>
              <w:spacing w:after="0"/>
              <w:rPr>
                <w:sz w:val="20"/>
                <w:szCs w:val="20"/>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290,150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290,150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290,150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5"/>
          </w:tcPr>
          <w:p>
            <w:pPr>
              <w:jc w:val="center"/>
              <w:ind w:right="172"/>
              <w:spacing w:after="0"/>
              <w:rPr>
                <w:sz w:val="20"/>
                <w:szCs w:val="20"/>
                <w:color w:val="auto"/>
              </w:rPr>
            </w:pPr>
            <w:r>
              <w:rPr>
                <w:rFonts w:ascii="Arial" w:cs="Arial" w:eastAsia="Arial" w:hAnsi="Arial"/>
                <w:sz w:val="14"/>
                <w:szCs w:val="14"/>
                <w:b w:val="1"/>
                <w:bCs w:val="1"/>
                <w:color w:val="auto"/>
                <w:w w:val="93"/>
              </w:rPr>
              <w:t>Estimated Fair Value Measurements at December 31, 2021</w:t>
            </w: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Carrying Value as</w:t>
            </w:r>
          </w:p>
        </w:tc>
        <w:tc>
          <w:tcPr>
            <w:tcW w:w="140" w:type="dxa"/>
            <w:vAlign w:val="bottom"/>
          </w:tcPr>
          <w:p>
            <w:pPr>
              <w:spacing w:after="0"/>
              <w:rPr>
                <w:sz w:val="11"/>
                <w:szCs w:val="11"/>
                <w:color w:val="auto"/>
              </w:rPr>
            </w:pPr>
          </w:p>
        </w:tc>
        <w:tc>
          <w:tcPr>
            <w:tcW w:w="9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8"/>
              </w:rPr>
              <w:t>Total Fair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506,491</w:t>
            </w: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506,491</w:t>
            </w:r>
          </w:p>
        </w:tc>
        <w:tc>
          <w:tcPr>
            <w:tcW w:w="2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506,491</w:t>
            </w:r>
          </w:p>
        </w:tc>
        <w:tc>
          <w:tcPr>
            <w:tcW w:w="3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41,831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41,831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41,831</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Borrowings under senior credit facility</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1,546,895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1,448,280</w:t>
            </w:r>
          </w:p>
        </w:tc>
        <w:tc>
          <w:tcPr>
            <w:tcW w:w="260" w:type="dxa"/>
            <w:vAlign w:val="bottom"/>
            <w:gridSpan w:val="4"/>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1,448,280</w:t>
            </w:r>
          </w:p>
        </w:tc>
        <w:tc>
          <w:tcPr>
            <w:tcW w:w="280" w:type="dxa"/>
            <w:vAlign w:val="bottom"/>
            <w:gridSpan w:val="4"/>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380"/>
              <w:spacing w:after="0" w:line="202" w:lineRule="exact"/>
              <w:rPr>
                <w:sz w:val="20"/>
                <w:szCs w:val="20"/>
                <w:color w:val="auto"/>
              </w:rPr>
            </w:pPr>
            <w:r>
              <w:rPr>
                <w:rFonts w:ascii="Arial" w:cs="Arial" w:eastAsia="Arial" w:hAnsi="Arial"/>
                <w:sz w:val="18"/>
                <w:szCs w:val="18"/>
                <w:color w:val="auto"/>
              </w:rPr>
              <w:t>5.125% Senior Notes due 2023</w:t>
            </w:r>
          </w:p>
        </w:tc>
        <w:tc>
          <w:tcPr>
            <w:tcW w:w="120" w:type="dxa"/>
            <w:vAlign w:val="bottom"/>
          </w:tcPr>
          <w:p>
            <w:pPr>
              <w:spacing w:after="0"/>
              <w:rPr>
                <w:sz w:val="17"/>
                <w:szCs w:val="17"/>
                <w:color w:val="auto"/>
              </w:rPr>
            </w:pPr>
          </w:p>
        </w:tc>
        <w:tc>
          <w:tcPr>
            <w:tcW w:w="13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259,275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248,479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248,479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5.875% Senior Notes due 2024</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225,293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199,522</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199,522</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380"/>
              <w:spacing w:after="0" w:line="202" w:lineRule="exact"/>
              <w:rPr>
                <w:sz w:val="20"/>
                <w:szCs w:val="20"/>
                <w:color w:val="auto"/>
              </w:rPr>
            </w:pPr>
            <w:r>
              <w:rPr>
                <w:rFonts w:ascii="Arial" w:cs="Arial" w:eastAsia="Arial" w:hAnsi="Arial"/>
                <w:sz w:val="18"/>
                <w:szCs w:val="18"/>
                <w:color w:val="auto"/>
              </w:rPr>
              <w:t>6.00% Senior Notes due 2026</w:t>
            </w:r>
          </w:p>
        </w:tc>
        <w:tc>
          <w:tcPr>
            <w:tcW w:w="120" w:type="dxa"/>
            <w:vAlign w:val="bottom"/>
          </w:tcPr>
          <w:p>
            <w:pPr>
              <w:spacing w:after="0"/>
              <w:rPr>
                <w:sz w:val="17"/>
                <w:szCs w:val="17"/>
                <w:color w:val="auto"/>
              </w:rPr>
            </w:pPr>
          </w:p>
        </w:tc>
        <w:tc>
          <w:tcPr>
            <w:tcW w:w="13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283,691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283,691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6.50% Exchangeable Senior Notes due 2026</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248,211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248,211</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Non-recourse debt</w:t>
            </w:r>
          </w:p>
        </w:tc>
        <w:tc>
          <w:tcPr>
            <w:tcW w:w="120" w:type="dxa"/>
            <w:vAlign w:val="bottom"/>
          </w:tcPr>
          <w:p>
            <w:pPr>
              <w:spacing w:after="0"/>
              <w:rPr>
                <w:sz w:val="20"/>
                <w:szCs w:val="20"/>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310,108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310,108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310,108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fair values of the Company’s cash and cash equivalents, and restricted cash and investments approximates the carrying values of these assets at June 30, 2022 and December 31, 2021. Restricted cash consists of money market funds, bank deposits, commercial paper and time deposits used for asset replacement funds and other funds contractually required to be maintained at the Company's Australian subsidiary. The fair value of the money market funds and bank deposits is based on quoted market prices (Level 1).</w:t>
      </w:r>
    </w:p>
    <w:p>
      <w:pPr>
        <w:spacing w:after="0" w:line="1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fair values of the Company's 5.875% senior unsecured notes due 2022 ("5.875% Senior Notes due 2022"), 5.875% senior unsecured notes due 2024 ("5.875% Senior Notes due 2024"), 6.00% senior unsecured notes due 2026 (“6.00% Senior Notes”), the 5.125% senior unsecured notes due 2023 ("5.125% Senior Notes") and the 6.50% exchangeable senior unsecured notes due 2026 (“Convertible Notes” or “6.50% Exchangeable Notes due 2026”) are based on published financial data for these instruments. On February 24, 2021, the Company completed a private offering of $230 million aggregate principal amount of 6.50% Exchangeable Notes due 2026. The Company used the net proceeds from this offering to fund the redemption of the then outstanding amount of the Company’s 5.875% Senior Notes due 2022. Refer to Note 10 – Debt for further information. The fair values of the Company's non-recourse debt related to the Company’s Australian subsidiary are estimated based on market prices of similar instruments. The fair value of borrowings under the senior credit facility is based on an estimate of trading value considering the Company’s borrowing rate, the undrawn spread and similar instruments.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RESTRICTED CASH AND CASH EQUIVALENTS</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reported on the consolidated balance sheets that sum to the total of the same such amounts shown in the consolidated statements of cash flows:</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Restricted cash and cash equivalents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Restricted cash and investments - non-current</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Less Restricted investments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4445</wp:posOffset>
            </wp:positionV>
            <wp:extent cx="498919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89195" cy="240030"/>
                    </a:xfrm>
                    <a:prstGeom prst="rect">
                      <a:avLst/>
                    </a:prstGeom>
                    <a:noFill/>
                  </pic:spPr>
                </pic:pic>
              </a:graphicData>
            </a:graphic>
          </wp:anchor>
        </w:drawing>
      </w:r>
    </w:p>
    <w:p>
      <w:pPr>
        <w:ind w:left="1840" w:right="580" w:hanging="134"/>
        <w:spacing w:after="0" w:line="270" w:lineRule="auto"/>
        <w:rPr>
          <w:sz w:val="20"/>
          <w:szCs w:val="20"/>
          <w:color w:val="auto"/>
        </w:rPr>
      </w:pPr>
      <w:r>
        <w:rPr>
          <w:rFonts w:ascii="Arial" w:cs="Arial" w:eastAsia="Arial" w:hAnsi="Arial"/>
          <w:sz w:val="16"/>
          <w:szCs w:val="16"/>
          <w:color w:val="auto"/>
        </w:rPr>
        <w:t>Total cash, cash equivalents and restricted cash and cash equivalents shown in the statement of cash flows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587,861</w:t>
      </w:r>
    </w:p>
    <w:p>
      <w:pPr>
        <w:spacing w:after="0" w:line="9" w:lineRule="exact"/>
        <w:rPr>
          <w:rFonts w:ascii="Arial" w:cs="Arial" w:eastAsia="Arial" w:hAnsi="Arial"/>
          <w:sz w:val="18"/>
          <w:szCs w:val="18"/>
          <w:color w:val="auto"/>
        </w:rPr>
      </w:pPr>
    </w:p>
    <w:p>
      <w:pPr>
        <w:ind w:left="620"/>
        <w:spacing w:after="0" w:line="234" w:lineRule="auto"/>
        <w:rPr>
          <w:rFonts w:ascii="Arial" w:cs="Arial" w:eastAsia="Arial" w:hAnsi="Arial"/>
          <w:sz w:val="18"/>
          <w:szCs w:val="18"/>
          <w:color w:val="auto"/>
        </w:rPr>
      </w:pPr>
      <w:r>
        <w:rPr>
          <w:rFonts w:ascii="Arial" w:cs="Arial" w:eastAsia="Arial" w:hAnsi="Arial"/>
          <w:sz w:val="18"/>
          <w:szCs w:val="18"/>
          <w:color w:val="auto"/>
        </w:rPr>
        <w:t>21,134</w:t>
      </w:r>
    </w:p>
    <w:p>
      <w:pPr>
        <w:ind w:left="620"/>
        <w:spacing w:after="0" w:line="234" w:lineRule="auto"/>
        <w:rPr>
          <w:rFonts w:ascii="Arial" w:cs="Arial" w:eastAsia="Arial" w:hAnsi="Arial"/>
          <w:sz w:val="18"/>
          <w:szCs w:val="18"/>
          <w:color w:val="auto"/>
        </w:rPr>
      </w:pPr>
      <w:r>
        <w:rPr>
          <w:rFonts w:ascii="Arial" w:cs="Arial" w:eastAsia="Arial" w:hAnsi="Arial"/>
          <w:sz w:val="18"/>
          <w:szCs w:val="18"/>
          <w:color w:val="auto"/>
        </w:rPr>
        <w:t>81,392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(53,593 )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8"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636,794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751"/>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1751"/>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wp:posOffset>
            </wp:positionV>
            <wp:extent cx="7454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489" w:hanging="489"/>
        <w:spacing w:after="0"/>
        <w:tabs>
          <w:tab w:leader="none" w:pos="489" w:val="left"/>
        </w:tabs>
        <w:numPr>
          <w:ilvl w:val="0"/>
          <w:numId w:val="5"/>
        </w:numPr>
        <w:rPr>
          <w:rFonts w:ascii="Arial" w:cs="Arial" w:eastAsia="Arial" w:hAnsi="Arial"/>
          <w:sz w:val="18"/>
          <w:szCs w:val="18"/>
          <w:color w:val="auto"/>
        </w:rPr>
      </w:pPr>
      <w:r>
        <w:rPr>
          <w:rFonts w:ascii="Arial" w:cs="Arial" w:eastAsia="Arial" w:hAnsi="Arial"/>
          <w:sz w:val="18"/>
          <w:szCs w:val="18"/>
          <w:color w:val="auto"/>
        </w:rPr>
        <w:t>483,048</w:t>
      </w:r>
    </w:p>
    <w:p>
      <w:pPr>
        <w:spacing w:after="0" w:line="9" w:lineRule="exact"/>
        <w:rPr>
          <w:rFonts w:ascii="Arial" w:cs="Arial" w:eastAsia="Arial" w:hAnsi="Arial"/>
          <w:sz w:val="18"/>
          <w:szCs w:val="18"/>
          <w:color w:val="auto"/>
        </w:rPr>
      </w:pPr>
    </w:p>
    <w:p>
      <w:pPr>
        <w:ind w:left="589"/>
        <w:spacing w:after="0" w:line="234" w:lineRule="auto"/>
        <w:rPr>
          <w:rFonts w:ascii="Arial" w:cs="Arial" w:eastAsia="Arial" w:hAnsi="Arial"/>
          <w:sz w:val="18"/>
          <w:szCs w:val="18"/>
          <w:color w:val="auto"/>
        </w:rPr>
      </w:pPr>
      <w:r>
        <w:rPr>
          <w:rFonts w:ascii="Arial" w:cs="Arial" w:eastAsia="Arial" w:hAnsi="Arial"/>
          <w:sz w:val="18"/>
          <w:szCs w:val="18"/>
          <w:color w:val="auto"/>
        </w:rPr>
        <w:t>29,892</w:t>
      </w:r>
    </w:p>
    <w:p>
      <w:pPr>
        <w:ind w:left="589"/>
        <w:spacing w:after="0" w:line="234" w:lineRule="auto"/>
        <w:rPr>
          <w:rFonts w:ascii="Arial" w:cs="Arial" w:eastAsia="Arial" w:hAnsi="Arial"/>
          <w:sz w:val="18"/>
          <w:szCs w:val="18"/>
          <w:color w:val="auto"/>
        </w:rPr>
      </w:pPr>
      <w:r>
        <w:rPr>
          <w:rFonts w:ascii="Arial" w:cs="Arial" w:eastAsia="Arial" w:hAnsi="Arial"/>
          <w:sz w:val="18"/>
          <w:szCs w:val="18"/>
          <w:color w:val="auto"/>
        </w:rPr>
        <w:t>45,465</w:t>
      </w:r>
    </w:p>
    <w:p>
      <w:pPr>
        <w:spacing w:after="0" w:line="1"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(41,301 )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wp:posOffset>
            </wp:positionV>
            <wp:extent cx="7454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108" w:lineRule="exact"/>
        <w:rPr>
          <w:sz w:val="20"/>
          <w:szCs w:val="20"/>
          <w:color w:val="auto"/>
        </w:rPr>
      </w:pPr>
    </w:p>
    <w:p>
      <w:pPr>
        <w:ind w:left="489" w:hanging="489"/>
        <w:spacing w:after="0"/>
        <w:tabs>
          <w:tab w:leader="none" w:pos="489" w:val="left"/>
        </w:tabs>
        <w:numPr>
          <w:ilvl w:val="0"/>
          <w:numId w:val="6"/>
        </w:numPr>
        <w:rPr>
          <w:rFonts w:ascii="Arial" w:cs="Arial" w:eastAsia="Arial" w:hAnsi="Arial"/>
          <w:sz w:val="18"/>
          <w:szCs w:val="18"/>
          <w:color w:val="auto"/>
        </w:rPr>
      </w:pPr>
      <w:r>
        <w:rPr>
          <w:rFonts w:ascii="Arial" w:cs="Arial" w:eastAsia="Arial" w:hAnsi="Arial"/>
          <w:sz w:val="18"/>
          <w:szCs w:val="18"/>
          <w:color w:val="auto"/>
        </w:rPr>
        <w:t>517,104</w:t>
      </w:r>
    </w:p>
    <w:p>
      <w:pPr>
        <w:spacing w:after="0" w:line="238" w:lineRule="exact"/>
        <w:rPr>
          <w:sz w:val="20"/>
          <w:szCs w:val="20"/>
          <w:color w:val="auto"/>
        </w:rPr>
      </w:pPr>
    </w:p>
    <w:p>
      <w:pPr>
        <w:sectPr>
          <w:pgSz w:w="11900" w:h="16838" w:orient="portrait"/>
          <w:cols w:equalWidth="0" w:num="3">
            <w:col w:w="6340" w:space="720"/>
            <w:col w:w="1200" w:space="131"/>
            <w:col w:w="2849"/>
          </w:cols>
          <w:pgMar w:left="320" w:top="324" w:right="339" w:bottom="1440" w:gutter="0" w:footer="0" w:header="0"/>
          <w:type w:val="continuous"/>
        </w:sectPr>
      </w:pPr>
    </w:p>
    <w:p>
      <w:pPr>
        <w:ind w:right="140"/>
        <w:spacing w:after="0" w:line="274" w:lineRule="auto"/>
        <w:rPr>
          <w:sz w:val="20"/>
          <w:szCs w:val="20"/>
          <w:color w:val="auto"/>
        </w:rPr>
      </w:pPr>
      <w:r>
        <w:rPr>
          <w:rFonts w:ascii="Arial" w:cs="Arial" w:eastAsia="Arial" w:hAnsi="Arial"/>
          <w:sz w:val="16"/>
          <w:szCs w:val="16"/>
          <w:color w:val="auto"/>
        </w:rPr>
        <w:t>Amounts included in restricted cash and cash equivalents are attributable to certain contractual cash restriction requirements at the Company's wholly owned Australian subsidiary related to non-recourse debt and asset replacement funds contractually required to be maintained and other guarantees. Restricted investments - non-current (included in Restricted Cash and Investments in the accompanying consolidated balance sheets) consists of the Company's rabbi trust established for an employee and employer contributions to The GEO Group, Inc. Non-qualified Deferred Compensation Plan, investments in equity and fixed income mutual funds held in the Company’s captive insurance subsidiary, Florina, and certain contractual cash requirements at the Company’s wholly-owned Australian subsidiary related to certain performance guarantees at its Ravenhall facility. The rabbi trust and the investments held in Florina are not considered to be restricted cash equivalents. Refer to Note 3 -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6.SHAREHOLDERS’ EQUITY</w:t>
      </w:r>
    </w:p>
    <w:p>
      <w:pPr>
        <w:spacing w:after="0" w:line="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tables present the changes in shareholders’ equity that are attributable to the Company’s shareholders and to noncontrolling interests for the three and six months ended June 30, 2022 and 2021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center"/>
              <w:ind w:right="123"/>
              <w:spacing w:after="0"/>
              <w:rPr>
                <w:sz w:val="20"/>
                <w:szCs w:val="20"/>
                <w:color w:val="auto"/>
              </w:rPr>
            </w:pPr>
            <w:r>
              <w:rPr>
                <w:rFonts w:ascii="Arial" w:cs="Arial" w:eastAsia="Arial" w:hAnsi="Arial"/>
                <w:sz w:val="11"/>
                <w:szCs w:val="11"/>
                <w:b w:val="1"/>
                <w:bCs w:val="1"/>
                <w:color w:val="auto"/>
                <w:w w:val="91"/>
              </w:rPr>
              <w:t>Distributions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9"/>
              </w:rPr>
              <w:t>Accumulated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center"/>
              <w:ind w:right="14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gridSpan w:val="7"/>
            <w:vMerge w:val="restart"/>
          </w:tcPr>
          <w:p>
            <w:pPr>
              <w:ind w:left="500"/>
              <w:spacing w:after="0"/>
              <w:rPr>
                <w:sz w:val="20"/>
                <w:szCs w:val="20"/>
                <w:color w:val="auto"/>
              </w:rPr>
            </w:pPr>
            <w:r>
              <w:rPr>
                <w:rFonts w:ascii="Arial" w:cs="Arial" w:eastAsia="Arial" w:hAnsi="Arial"/>
                <w:sz w:val="11"/>
                <w:szCs w:val="11"/>
                <w:b w:val="1"/>
                <w:bCs w:val="1"/>
                <w:color w:val="auto"/>
              </w:rPr>
              <w:t>Common shares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jc w:val="center"/>
              <w:ind w:right="340"/>
              <w:spacing w:after="0" w:line="108" w:lineRule="exact"/>
              <w:rPr>
                <w:sz w:val="20"/>
                <w:szCs w:val="20"/>
                <w:color w:val="auto"/>
              </w:rPr>
            </w:pPr>
            <w:r>
              <w:rPr>
                <w:rFonts w:ascii="Arial" w:cs="Arial" w:eastAsia="Arial" w:hAnsi="Arial"/>
                <w:sz w:val="11"/>
                <w:szCs w:val="11"/>
                <w:b w:val="1"/>
                <w:bCs w:val="1"/>
                <w:color w:val="auto"/>
                <w:w w:val="95"/>
              </w:rPr>
              <w:t>Other</w:t>
            </w:r>
          </w:p>
        </w:tc>
        <w:tc>
          <w:tcPr>
            <w:tcW w:w="1840" w:type="dxa"/>
            <w:vAlign w:val="bottom"/>
            <w:gridSpan w:val="6"/>
            <w:vMerge w:val="restart"/>
          </w:tcPr>
          <w:p>
            <w:pPr>
              <w:jc w:val="right"/>
              <w:ind w:right="660"/>
              <w:spacing w:after="0"/>
              <w:rPr>
                <w:sz w:val="20"/>
                <w:szCs w:val="20"/>
                <w:color w:val="auto"/>
              </w:rPr>
            </w:pPr>
            <w:r>
              <w:rPr>
                <w:rFonts w:ascii="Arial" w:cs="Arial" w:eastAsia="Arial" w:hAnsi="Arial"/>
                <w:sz w:val="11"/>
                <w:szCs w:val="11"/>
                <w:b w:val="1"/>
                <w:bCs w:val="1"/>
                <w:color w:val="auto"/>
              </w:rPr>
              <w:t>Treasury shares</w:t>
            </w:r>
          </w:p>
        </w:tc>
        <w:tc>
          <w:tcPr>
            <w:tcW w:w="80" w:type="dxa"/>
            <w:vAlign w:val="bottom"/>
          </w:tcPr>
          <w:p>
            <w:pPr>
              <w:spacing w:after="0"/>
              <w:rPr>
                <w:sz w:val="9"/>
                <w:szCs w:val="9"/>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23"/>
              <w:spacing w:after="0"/>
              <w:rPr>
                <w:sz w:val="20"/>
                <w:szCs w:val="20"/>
                <w:color w:val="auto"/>
              </w:rPr>
            </w:pPr>
            <w:r>
              <w:rPr>
                <w:rFonts w:ascii="Arial" w:cs="Arial" w:eastAsia="Arial" w:hAnsi="Arial"/>
                <w:sz w:val="11"/>
                <w:szCs w:val="11"/>
                <w:b w:val="1"/>
                <w:bCs w:val="1"/>
                <w:color w:val="auto"/>
                <w:w w:val="84"/>
              </w:rPr>
              <w:t>in Excess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87"/>
              </w:rPr>
              <w:t>Comprehensive</w:t>
            </w:r>
          </w:p>
        </w:tc>
        <w:tc>
          <w:tcPr>
            <w:tcW w:w="18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42"/>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23"/>
              <w:spacing w:after="0" w:line="121"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77"/>
              </w:rPr>
              <w:t>Loss</w:t>
            </w:r>
          </w:p>
        </w:tc>
        <w:tc>
          <w:tcPr>
            <w:tcW w:w="840" w:type="dxa"/>
            <w:vAlign w:val="bottom"/>
            <w:tcBorders>
              <w:top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2"/>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Interests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22"/>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09"/>
        </w:trPr>
        <w:tc>
          <w:tcPr>
            <w:tcW w:w="1960" w:type="dxa"/>
            <w:vAlign w:val="bottom"/>
            <w:gridSpan w:val="2"/>
            <w:shd w:val="clear" w:color="auto" w:fill="CFF0FC"/>
          </w:tcPr>
          <w:p>
            <w:pPr>
              <w:ind w:left="20"/>
              <w:spacing w:after="0" w:line="109" w:lineRule="exact"/>
              <w:rPr>
                <w:sz w:val="20"/>
                <w:szCs w:val="20"/>
                <w:color w:val="auto"/>
              </w:rPr>
            </w:pPr>
            <w:r>
              <w:rPr>
                <w:rFonts w:ascii="Arial" w:cs="Arial" w:eastAsia="Arial" w:hAnsi="Arial"/>
                <w:sz w:val="12"/>
                <w:szCs w:val="12"/>
                <w:b w:val="1"/>
                <w:bCs w:val="1"/>
                <w:i w:val="1"/>
                <w:iCs w:val="1"/>
                <w:color w:val="auto"/>
              </w:rPr>
              <w:t>For the Three Months Ended</w:t>
            </w: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i w:val="1"/>
                <w:iCs w:val="1"/>
                <w:color w:val="auto"/>
              </w:rPr>
              <w:t>June 30, 2022</w:t>
            </w: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March 31, 2022</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124,011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1,289</w:t>
            </w:r>
          </w:p>
        </w:tc>
        <w:tc>
          <w:tcPr>
            <w:tcW w:w="20" w:type="dxa"/>
            <w:vAlign w:val="bottom"/>
          </w:tcPr>
          <w:p>
            <w:pPr>
              <w:spacing w:after="0"/>
              <w:rPr>
                <w:sz w:val="12"/>
                <w:szCs w:val="12"/>
                <w:color w:val="auto"/>
              </w:rPr>
            </w:pP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1,281,268</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(137,741 )</w:t>
            </w:r>
          </w:p>
        </w:tc>
        <w:tc>
          <w:tcPr>
            <w:tcW w:w="240" w:type="dxa"/>
            <w:vAlign w:val="bottom"/>
            <w:gridSpan w:val="4"/>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(17,632 )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4,852</w:t>
            </w:r>
          </w:p>
        </w:tc>
        <w:tc>
          <w:tcPr>
            <w:tcW w:w="2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(105,099 )</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(1,250 )</w:t>
            </w:r>
          </w:p>
        </w:tc>
        <w:tc>
          <w:tcPr>
            <w:tcW w:w="4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1,020,835</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Stock-based compensation</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expense</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3,556</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3,556</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Restricted stock granted</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Restricted stock canceled</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(14 )</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Other adjustment</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(91 )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(91 )</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Shares withheld for net</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2"/>
                <w:szCs w:val="12"/>
                <w:color w:val="auto"/>
              </w:rPr>
              <w:t>settlements of share-</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based awards [1]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(3 )</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(17 )</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(17 )</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Issuance of common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stock - ESPP</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52"/>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Net income (loss)</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53,727</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(54 )</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53,673</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Other comprehensive income</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(8,207 )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22"/>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color w:val="auto"/>
              </w:rPr>
              <w:t>(8,184 )</w:t>
            </w:r>
          </w:p>
        </w:tc>
        <w:tc>
          <w:tcPr>
            <w:tcW w:w="0" w:type="dxa"/>
            <w:vAlign w:val="bottom"/>
          </w:tcPr>
          <w:p>
            <w:pPr>
              <w:spacing w:after="0"/>
              <w:rPr>
                <w:sz w:val="1"/>
                <w:szCs w:val="1"/>
                <w:color w:val="auto"/>
              </w:rPr>
            </w:pPr>
          </w:p>
        </w:tc>
      </w:tr>
      <w:tr>
        <w:trPr>
          <w:trHeight w:val="14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(loss)</w:t>
            </w: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2022</w:t>
            </w:r>
          </w:p>
        </w:tc>
        <w:tc>
          <w:tcPr>
            <w:tcW w:w="8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124,003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rPr>
              <w:t>1,289</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2"/>
                <w:szCs w:val="12"/>
                <w:color w:val="auto"/>
              </w:rPr>
              <w:t>1,284,867</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2"/>
                <w:szCs w:val="12"/>
                <w:color w:val="auto"/>
              </w:rPr>
              <w:t>(84,105 )</w:t>
            </w: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(25,839 )</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rPr>
              <w:t>4,852</w:t>
            </w:r>
          </w:p>
        </w:tc>
        <w:tc>
          <w:tcPr>
            <w:tcW w:w="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(105,099 )</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(1,281 )</w:t>
            </w:r>
          </w:p>
        </w:tc>
        <w:tc>
          <w:tcPr>
            <w:tcW w:w="40" w:type="dxa"/>
            <w:vAlign w:val="bottom"/>
            <w:tcBorders>
              <w:top w:val="single" w:sz="8" w:color="auto"/>
              <w:bottom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rPr>
              <w:t>1,069,832</w:t>
            </w:r>
          </w:p>
        </w:tc>
        <w:tc>
          <w:tcPr>
            <w:tcW w:w="0" w:type="dxa"/>
            <w:vAlign w:val="bottom"/>
          </w:tcPr>
          <w:p>
            <w:pPr>
              <w:spacing w:after="0"/>
              <w:rPr>
                <w:sz w:val="1"/>
                <w:szCs w:val="1"/>
                <w:color w:val="auto"/>
              </w:rPr>
            </w:pPr>
          </w:p>
        </w:tc>
      </w:tr>
      <w:tr>
        <w:trPr>
          <w:trHeight w:val="291"/>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vMerge w:val="restart"/>
          </w:tcPr>
          <w:p>
            <w:pPr>
              <w:jc w:val="center"/>
              <w:ind w:right="103"/>
              <w:spacing w:after="0"/>
              <w:rPr>
                <w:sz w:val="20"/>
                <w:szCs w:val="20"/>
                <w:color w:val="auto"/>
              </w:rPr>
            </w:pPr>
            <w:r>
              <w:rPr>
                <w:rFonts w:ascii="Arial" w:cs="Arial" w:eastAsia="Arial" w:hAnsi="Arial"/>
                <w:sz w:val="11"/>
                <w:szCs w:val="11"/>
                <w:b w:val="1"/>
                <w:bCs w:val="1"/>
                <w:color w:val="auto"/>
                <w:w w:val="88"/>
              </w:rPr>
              <w:t>Distributions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vMerge w:val="restart"/>
          </w:tcPr>
          <w:p>
            <w:pPr>
              <w:jc w:val="center"/>
              <w:ind w:right="18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Common shares</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5"/>
              </w:rPr>
              <w:t>Other</w:t>
            </w:r>
          </w:p>
        </w:tc>
        <w:tc>
          <w:tcPr>
            <w:tcW w:w="1840" w:type="dxa"/>
            <w:vAlign w:val="bottom"/>
            <w:gridSpan w:val="6"/>
            <w:vMerge w:val="restart"/>
          </w:tcPr>
          <w:p>
            <w:pPr>
              <w:jc w:val="right"/>
              <w:ind w:right="620"/>
              <w:spacing w:after="0"/>
              <w:rPr>
                <w:sz w:val="20"/>
                <w:szCs w:val="20"/>
                <w:color w:val="auto"/>
              </w:rPr>
            </w:pPr>
            <w:r>
              <w:rPr>
                <w:rFonts w:ascii="Arial" w:cs="Arial" w:eastAsia="Arial" w:hAnsi="Arial"/>
                <w:sz w:val="11"/>
                <w:szCs w:val="11"/>
                <w:b w:val="1"/>
                <w:bCs w:val="1"/>
                <w:color w:val="auto"/>
              </w:rPr>
              <w:t>Treasury shares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Noncontrolling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83"/>
              <w:spacing w:after="0"/>
              <w:rPr>
                <w:sz w:val="20"/>
                <w:szCs w:val="20"/>
                <w:color w:val="auto"/>
              </w:rPr>
            </w:pPr>
            <w:r>
              <w:rPr>
                <w:rFonts w:ascii="Arial" w:cs="Arial" w:eastAsia="Arial" w:hAnsi="Arial"/>
                <w:sz w:val="11"/>
                <w:szCs w:val="11"/>
                <w:b w:val="1"/>
                <w:bCs w:val="1"/>
                <w:color w:val="auto"/>
                <w:w w:val="84"/>
              </w:rPr>
              <w:t>in Excess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7"/>
              </w:rPr>
              <w:t>Comprehensive</w:t>
            </w:r>
          </w:p>
        </w:tc>
        <w:tc>
          <w:tcPr>
            <w:tcW w:w="18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center"/>
              <w:ind w:right="102"/>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w w:val="97"/>
              </w:rPr>
              <w:t>Shares</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302"/>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83"/>
              <w:spacing w:after="0" w:line="121"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77"/>
              </w:rPr>
              <w:t>Loss</w:t>
            </w: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82"/>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7"/>
              </w:rPr>
              <w:t>Interests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62"/>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b w:val="1"/>
                <w:bCs w:val="1"/>
                <w:i w:val="1"/>
                <w:iCs w:val="1"/>
                <w:color w:val="auto"/>
              </w:rPr>
              <w:t>For the Three Months Ended</w:t>
            </w:r>
          </w:p>
        </w:tc>
        <w:tc>
          <w:tcPr>
            <w:tcW w:w="16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i w:val="1"/>
                <w:iCs w:val="1"/>
                <w:color w:val="auto"/>
              </w:rPr>
              <w:t>June 30, 2021</w:t>
            </w: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March 31, 2021</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122,303</w:t>
            </w:r>
          </w:p>
        </w:tc>
        <w:tc>
          <w:tcPr>
            <w:tcW w:w="10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1,272</w:t>
            </w:r>
          </w:p>
        </w:tc>
        <w:tc>
          <w:tcPr>
            <w:tcW w:w="20" w:type="dxa"/>
            <w:vAlign w:val="bottom"/>
          </w:tcPr>
          <w:p>
            <w:pPr>
              <w:spacing w:after="0"/>
              <w:rPr>
                <w:sz w:val="12"/>
                <w:szCs w:val="12"/>
                <w:color w:val="auto"/>
              </w:rPr>
            </w:pPr>
          </w:p>
        </w:tc>
        <w:tc>
          <w:tcPr>
            <w:tcW w:w="24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1,268,027</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(202,834 )</w:t>
            </w:r>
          </w:p>
        </w:tc>
        <w:tc>
          <w:tcPr>
            <w:tcW w:w="2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(20,110 )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4,852</w:t>
            </w:r>
          </w:p>
        </w:tc>
        <w:tc>
          <w:tcPr>
            <w:tcW w:w="220" w:type="dxa"/>
            <w:vAlign w:val="bottom"/>
            <w:gridSpan w:val="3"/>
          </w:tcPr>
          <w:p>
            <w:pPr>
              <w:jc w:val="right"/>
              <w:ind w:right="13"/>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(105,099 )</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(1,083 )</w:t>
            </w:r>
          </w:p>
        </w:tc>
        <w:tc>
          <w:tcPr>
            <w:tcW w:w="4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940,173</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Stock-based compensation</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expense</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4,023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4,023</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Restricted stock granted</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(2 )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Restricted stock canceled</w:t>
            </w: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(93 )</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(1 )</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1</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Shares withheld for net</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ind w:left="100"/>
              <w:spacing w:after="0" w:line="122" w:lineRule="exact"/>
              <w:rPr>
                <w:sz w:val="20"/>
                <w:szCs w:val="20"/>
                <w:color w:val="auto"/>
              </w:rPr>
            </w:pPr>
            <w:r>
              <w:rPr>
                <w:rFonts w:ascii="Arial" w:cs="Arial" w:eastAsia="Arial" w:hAnsi="Arial"/>
                <w:sz w:val="12"/>
                <w:szCs w:val="12"/>
                <w:color w:val="auto"/>
              </w:rPr>
              <w:t>settlements of share-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based awards [1]</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(12 )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19"/>
        </w:trPr>
        <w:tc>
          <w:tcPr>
            <w:tcW w:w="1960" w:type="dxa"/>
            <w:vAlign w:val="bottom"/>
            <w:gridSpan w:val="2"/>
            <w:shd w:val="clear" w:color="auto" w:fill="CFF0FC"/>
          </w:tcPr>
          <w:p>
            <w:pPr>
              <w:ind w:left="20"/>
              <w:spacing w:after="0" w:line="119" w:lineRule="exact"/>
              <w:rPr>
                <w:sz w:val="20"/>
                <w:szCs w:val="20"/>
                <w:color w:val="auto"/>
              </w:rPr>
            </w:pPr>
            <w:r>
              <w:rPr>
                <w:rFonts w:ascii="Arial" w:cs="Arial" w:eastAsia="Arial" w:hAnsi="Arial"/>
                <w:sz w:val="12"/>
                <w:szCs w:val="12"/>
                <w:color w:val="auto"/>
              </w:rPr>
              <w:t>Issuance of common</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stock - ESPP</w:t>
            </w:r>
          </w:p>
        </w:tc>
        <w:tc>
          <w:tcPr>
            <w:tcW w:w="74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65</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41,959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41,931</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Other comprehensive income</w:t>
            </w:r>
          </w:p>
        </w:tc>
        <w:tc>
          <w:tcPr>
            <w:tcW w:w="740" w:type="dxa"/>
            <w:vAlign w:val="bottom"/>
            <w:vMerge w:val="restart"/>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3"/>
              <w:spacing w:after="0"/>
              <w:rPr>
                <w:sz w:val="20"/>
                <w:szCs w:val="20"/>
                <w:color w:val="auto"/>
              </w:rPr>
            </w:pPr>
            <w:r>
              <w:rPr>
                <w:rFonts w:ascii="Arial" w:cs="Arial" w:eastAsia="Arial" w:hAnsi="Arial"/>
                <w:sz w:val="12"/>
                <w:szCs w:val="12"/>
                <w:color w:val="auto"/>
              </w:rPr>
              <w:t>(1,022 )</w:t>
            </w: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(2 )</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2"/>
              <w:spacing w:after="0"/>
              <w:rPr>
                <w:sz w:val="20"/>
                <w:szCs w:val="20"/>
                <w:color w:val="auto"/>
              </w:rPr>
            </w:pPr>
            <w:r>
              <w:rPr>
                <w:rFonts w:ascii="Arial" w:cs="Arial" w:eastAsia="Arial" w:hAnsi="Arial"/>
                <w:sz w:val="12"/>
                <w:szCs w:val="12"/>
                <w:color w:val="auto"/>
              </w:rPr>
              <w:t>(1,024 )</w:t>
            </w:r>
          </w:p>
        </w:tc>
        <w:tc>
          <w:tcPr>
            <w:tcW w:w="0" w:type="dxa"/>
            <w:vAlign w:val="bottom"/>
          </w:tcPr>
          <w:p>
            <w:pPr>
              <w:spacing w:after="0"/>
              <w:rPr>
                <w:sz w:val="1"/>
                <w:szCs w:val="1"/>
                <w:color w:val="auto"/>
              </w:rPr>
            </w:pPr>
          </w:p>
        </w:tc>
      </w:tr>
      <w:tr>
        <w:trPr>
          <w:trHeight w:val="141"/>
        </w:trPr>
        <w:tc>
          <w:tcPr>
            <w:tcW w:w="1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2"/>
                <w:szCs w:val="12"/>
                <w:color w:val="auto"/>
              </w:rPr>
              <w:t>(loss)</w:t>
            </w: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gridSpan w:val="2"/>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June 30, 2021</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122,409</w:t>
            </w:r>
          </w:p>
        </w:tc>
        <w:tc>
          <w:tcPr>
            <w:tcW w:w="10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1,273</w:t>
            </w:r>
          </w:p>
        </w:tc>
        <w:tc>
          <w:tcPr>
            <w:tcW w:w="20" w:type="dxa"/>
            <w:vAlign w:val="bottom"/>
          </w:tcPr>
          <w:p>
            <w:pPr>
              <w:spacing w:after="0"/>
              <w:rPr>
                <w:sz w:val="12"/>
                <w:szCs w:val="12"/>
                <w:color w:val="auto"/>
              </w:rPr>
            </w:pPr>
          </w:p>
        </w:tc>
        <w:tc>
          <w:tcPr>
            <w:tcW w:w="24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1,272,014</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(160,875 )</w:t>
            </w:r>
          </w:p>
        </w:tc>
        <w:tc>
          <w:tcPr>
            <w:tcW w:w="2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(21,132 )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4,852</w:t>
            </w:r>
          </w:p>
        </w:tc>
        <w:tc>
          <w:tcPr>
            <w:tcW w:w="220" w:type="dxa"/>
            <w:vAlign w:val="bottom"/>
            <w:gridSpan w:val="3"/>
          </w:tcPr>
          <w:p>
            <w:pPr>
              <w:jc w:val="right"/>
              <w:ind w:right="13"/>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(105,099 )</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(1,113 )</w:t>
            </w:r>
          </w:p>
        </w:tc>
        <w:tc>
          <w:tcPr>
            <w:tcW w:w="4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985,068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-1910715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-1893570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-1910715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-1893570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-1910715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-1893570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-1910715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-1893570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-1910715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-1893570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-1910715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-1893570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-1910715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-1893570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-1910715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-1893570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-125095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-125095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-125095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-125095</wp:posOffset>
            </wp:positionV>
            <wp:extent cx="6032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-125095</wp:posOffset>
            </wp:positionV>
            <wp:extent cx="603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-125095</wp:posOffset>
            </wp:positionV>
            <wp:extent cx="6032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-125095</wp:posOffset>
            </wp:positionV>
            <wp:extent cx="596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-125095</wp:posOffset>
            </wp:positionV>
            <wp:extent cx="6032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1"/>
              </w:rPr>
              <w:t>Distributions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1"/>
                <w:szCs w:val="11"/>
                <w:b w:val="1"/>
                <w:bCs w:val="1"/>
                <w:color w:val="auto"/>
                <w:w w:val="89"/>
              </w:rPr>
              <w:t>Accumulated</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right="12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Common shares</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tcPr>
          <w:p>
            <w:pPr>
              <w:jc w:val="center"/>
              <w:ind w:right="300"/>
              <w:spacing w:after="0" w:line="108" w:lineRule="exact"/>
              <w:rPr>
                <w:sz w:val="20"/>
                <w:szCs w:val="20"/>
                <w:color w:val="auto"/>
              </w:rPr>
            </w:pPr>
            <w:r>
              <w:rPr>
                <w:rFonts w:ascii="Arial" w:cs="Arial" w:eastAsia="Arial" w:hAnsi="Arial"/>
                <w:sz w:val="11"/>
                <w:szCs w:val="11"/>
                <w:b w:val="1"/>
                <w:bCs w:val="1"/>
                <w:color w:val="auto"/>
                <w:w w:val="88"/>
              </w:rPr>
              <w:t>Other</w:t>
            </w:r>
          </w:p>
        </w:tc>
        <w:tc>
          <w:tcPr>
            <w:tcW w:w="1800" w:type="dxa"/>
            <w:vAlign w:val="bottom"/>
            <w:gridSpan w:val="7"/>
            <w:vMerge w:val="restart"/>
          </w:tcPr>
          <w:p>
            <w:pPr>
              <w:jc w:val="right"/>
              <w:ind w:right="580"/>
              <w:spacing w:after="0"/>
              <w:rPr>
                <w:sz w:val="20"/>
                <w:szCs w:val="20"/>
                <w:color w:val="auto"/>
              </w:rPr>
            </w:pPr>
            <w:r>
              <w:rPr>
                <w:rFonts w:ascii="Arial" w:cs="Arial" w:eastAsia="Arial" w:hAnsi="Arial"/>
                <w:sz w:val="11"/>
                <w:szCs w:val="11"/>
                <w:b w:val="1"/>
                <w:bCs w:val="1"/>
                <w:color w:val="auto"/>
              </w:rPr>
              <w:t>Treasury shares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ind w:right="142"/>
              <w:spacing w:after="0"/>
              <w:rPr>
                <w:sz w:val="20"/>
                <w:szCs w:val="20"/>
                <w:color w:val="auto"/>
              </w:rPr>
            </w:pPr>
            <w:r>
              <w:rPr>
                <w:rFonts w:ascii="Arial" w:cs="Arial" w:eastAsia="Arial" w:hAnsi="Arial"/>
                <w:sz w:val="11"/>
                <w:szCs w:val="11"/>
                <w:b w:val="1"/>
                <w:bCs w:val="1"/>
                <w:color w:val="auto"/>
                <w:w w:val="89"/>
              </w:rPr>
              <w:t>Noncontrolling</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5"/>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in Excess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1"/>
                <w:szCs w:val="11"/>
                <w:b w:val="1"/>
                <w:bCs w:val="1"/>
                <w:color w:val="auto"/>
                <w:w w:val="84"/>
              </w:rPr>
              <w:t>Comprehensive</w:t>
            </w:r>
          </w:p>
        </w:tc>
        <w:tc>
          <w:tcPr>
            <w:tcW w:w="1800" w:type="dxa"/>
            <w:vAlign w:val="bottom"/>
            <w:tcBorders>
              <w:bottom w:val="single" w:sz="8" w:color="auto"/>
            </w:tcBorders>
            <w:gridSpan w:val="7"/>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22"/>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97"/>
              </w:rPr>
              <w:t>Shares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302"/>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20"/>
              <w:spacing w:after="0" w:line="121"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ind w:right="300"/>
              <w:spacing w:after="0" w:line="121" w:lineRule="exact"/>
              <w:rPr>
                <w:sz w:val="20"/>
                <w:szCs w:val="20"/>
                <w:color w:val="auto"/>
              </w:rPr>
            </w:pPr>
            <w:r>
              <w:rPr>
                <w:rFonts w:ascii="Arial" w:cs="Arial" w:eastAsia="Arial" w:hAnsi="Arial"/>
                <w:sz w:val="11"/>
                <w:szCs w:val="11"/>
                <w:b w:val="1"/>
                <w:bCs w:val="1"/>
                <w:color w:val="auto"/>
                <w:w w:val="85"/>
              </w:rPr>
              <w:t>Loss</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02"/>
              <w:spacing w:after="0" w:line="121" w:lineRule="exact"/>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42"/>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b w:val="1"/>
                <w:bCs w:val="1"/>
                <w:i w:val="1"/>
                <w:iCs w:val="1"/>
                <w:color w:val="auto"/>
              </w:rPr>
              <w:t>For the Six Months Ended</w:t>
            </w:r>
          </w:p>
        </w:tc>
        <w:tc>
          <w:tcPr>
            <w:tcW w:w="16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i w:val="1"/>
                <w:iCs w:val="1"/>
                <w:color w:val="auto"/>
              </w:rPr>
              <w:t>June 30, 2022</w:t>
            </w: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Balance January 1, 2022</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122,472</w:t>
            </w:r>
          </w:p>
        </w:tc>
        <w:tc>
          <w:tcPr>
            <w:tcW w:w="10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1,273</w:t>
            </w:r>
          </w:p>
        </w:tc>
        <w:tc>
          <w:tcPr>
            <w:tcW w:w="260" w:type="dxa"/>
            <w:vAlign w:val="bottom"/>
            <w:gridSpan w:val="4"/>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1,276,213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(175,960 )</w:t>
            </w:r>
          </w:p>
        </w:tc>
        <w:tc>
          <w:tcPr>
            <w:tcW w:w="6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(20,216 )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4,852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(105,099 )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(1,195 )</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975,016</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Stock-based compensation</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expense</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9,869</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9,869</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Restricted stock granted</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1,786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Restricted stock canceled</w:t>
            </w: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(40 )</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Other adjustment</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(91 )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(91 )</w:t>
            </w:r>
          </w:p>
        </w:tc>
        <w:tc>
          <w:tcPr>
            <w:tcW w:w="0" w:type="dxa"/>
            <w:vAlign w:val="bottom"/>
          </w:tcPr>
          <w:p>
            <w:pPr>
              <w:spacing w:after="0"/>
              <w:rPr>
                <w:sz w:val="1"/>
                <w:szCs w:val="1"/>
                <w:color w:val="auto"/>
              </w:rPr>
            </w:pPr>
          </w:p>
        </w:tc>
      </w:tr>
      <w:tr>
        <w:trPr>
          <w:trHeight w:val="116"/>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Shares withheld for net</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2"/>
                <w:szCs w:val="12"/>
                <w:color w:val="auto"/>
              </w:rPr>
              <w:t>settlements of share-</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based awards [1]</w:t>
            </w: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(229 )</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(2 )</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(1,300 )</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(1,302 )</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Issuance of common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stock - ESPP</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2"/>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Net income (loss)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91,946</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(94 )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91,852</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Other comprehensive income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(5,623 )</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auto"/>
              </w:rPr>
              <w:t>(5,615 )</w:t>
            </w:r>
          </w:p>
        </w:tc>
        <w:tc>
          <w:tcPr>
            <w:tcW w:w="0" w:type="dxa"/>
            <w:vAlign w:val="bottom"/>
          </w:tcPr>
          <w:p>
            <w:pPr>
              <w:spacing w:after="0"/>
              <w:rPr>
                <w:sz w:val="1"/>
                <w:szCs w:val="1"/>
                <w:color w:val="auto"/>
              </w:rPr>
            </w:pPr>
          </w:p>
        </w:tc>
      </w:tr>
      <w:tr>
        <w:trPr>
          <w:trHeight w:val="14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(loss)</w:t>
            </w: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2022</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2"/>
                <w:szCs w:val="12"/>
                <w:color w:val="auto"/>
              </w:rPr>
              <w:t>124,003</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rPr>
              <w:t>1,289</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rPr>
              <w:t>1,284,867</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(84,105 )</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(25,839 )</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2"/>
                <w:szCs w:val="12"/>
                <w:color w:val="auto"/>
              </w:rPr>
              <w:t>4,852</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(105,099 )</w:t>
            </w:r>
          </w:p>
        </w:tc>
        <w:tc>
          <w:tcPr>
            <w:tcW w:w="4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rPr>
              <w:t>(1,281 )</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rPr>
              <w:t>1,069,832</w:t>
            </w:r>
          </w:p>
        </w:tc>
        <w:tc>
          <w:tcPr>
            <w:tcW w:w="0" w:type="dxa"/>
            <w:vAlign w:val="bottom"/>
          </w:tcPr>
          <w:p>
            <w:pPr>
              <w:spacing w:after="0"/>
              <w:rPr>
                <w:sz w:val="1"/>
                <w:szCs w:val="1"/>
                <w:color w:val="auto"/>
              </w:rPr>
            </w:pPr>
          </w:p>
        </w:tc>
      </w:tr>
      <w:tr>
        <w:trPr>
          <w:trHeight w:val="291"/>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0"/>
              </w:rPr>
              <w:t>Earnings in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w w:val="89"/>
              </w:rPr>
              <w:t>Accumulated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vMerge w:val="restart"/>
          </w:tcPr>
          <w:p>
            <w:pPr>
              <w:jc w:val="center"/>
              <w:ind w:right="12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gridSpan w:val="6"/>
            <w:vMerge w:val="restart"/>
          </w:tcPr>
          <w:p>
            <w:pPr>
              <w:jc w:val="right"/>
              <w:ind w:right="522"/>
              <w:spacing w:after="0"/>
              <w:rPr>
                <w:sz w:val="20"/>
                <w:szCs w:val="20"/>
                <w:color w:val="auto"/>
              </w:rPr>
            </w:pPr>
            <w:r>
              <w:rPr>
                <w:rFonts w:ascii="Arial" w:cs="Arial" w:eastAsia="Arial" w:hAnsi="Arial"/>
                <w:sz w:val="11"/>
                <w:szCs w:val="11"/>
                <w:b w:val="1"/>
                <w:bCs w:val="1"/>
                <w:color w:val="auto"/>
              </w:rPr>
              <w:t>Common shares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tcPr>
          <w:p>
            <w:pPr>
              <w:jc w:val="center"/>
              <w:ind w:right="360"/>
              <w:spacing w:after="0" w:line="108" w:lineRule="exact"/>
              <w:rPr>
                <w:sz w:val="20"/>
                <w:szCs w:val="20"/>
                <w:color w:val="auto"/>
              </w:rPr>
            </w:pPr>
            <w:r>
              <w:rPr>
                <w:rFonts w:ascii="Arial" w:cs="Arial" w:eastAsia="Arial" w:hAnsi="Arial"/>
                <w:sz w:val="11"/>
                <w:szCs w:val="11"/>
                <w:b w:val="1"/>
                <w:bCs w:val="1"/>
                <w:color w:val="auto"/>
                <w:w w:val="95"/>
              </w:rPr>
              <w:t>Other</w:t>
            </w:r>
          </w:p>
        </w:tc>
        <w:tc>
          <w:tcPr>
            <w:tcW w:w="1800" w:type="dxa"/>
            <w:vAlign w:val="bottom"/>
            <w:gridSpan w:val="7"/>
            <w:vMerge w:val="restart"/>
          </w:tcPr>
          <w:p>
            <w:pPr>
              <w:jc w:val="right"/>
              <w:ind w:right="660"/>
              <w:spacing w:after="0"/>
              <w:rPr>
                <w:sz w:val="20"/>
                <w:szCs w:val="20"/>
                <w:color w:val="auto"/>
              </w:rPr>
            </w:pPr>
            <w:r>
              <w:rPr>
                <w:rFonts w:ascii="Arial" w:cs="Arial" w:eastAsia="Arial" w:hAnsi="Arial"/>
                <w:sz w:val="11"/>
                <w:szCs w:val="11"/>
                <w:b w:val="1"/>
                <w:bCs w:val="1"/>
                <w:color w:val="auto"/>
              </w:rPr>
              <w:t>Treasury shares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right"/>
              <w:ind w:right="222"/>
              <w:spacing w:after="0"/>
              <w:rPr>
                <w:sz w:val="20"/>
                <w:szCs w:val="20"/>
                <w:color w:val="auto"/>
              </w:rPr>
            </w:pPr>
            <w:r>
              <w:rPr>
                <w:rFonts w:ascii="Arial" w:cs="Arial" w:eastAsia="Arial" w:hAnsi="Arial"/>
                <w:sz w:val="11"/>
                <w:szCs w:val="11"/>
                <w:b w:val="1"/>
                <w:bCs w:val="1"/>
                <w:color w:val="auto"/>
                <w:w w:val="89"/>
              </w:rPr>
              <w:t>Noncontrolling</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6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Excess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w w:val="87"/>
              </w:rPr>
              <w:t>Comprehensive</w:t>
            </w:r>
          </w:p>
        </w:tc>
        <w:tc>
          <w:tcPr>
            <w:tcW w:w="180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22"/>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02"/>
              <w:spacing w:after="0"/>
              <w:rPr>
                <w:sz w:val="20"/>
                <w:szCs w:val="20"/>
                <w:color w:val="auto"/>
              </w:rPr>
            </w:pPr>
            <w:r>
              <w:rPr>
                <w:rFonts w:ascii="Arial" w:cs="Arial" w:eastAsia="Arial" w:hAnsi="Arial"/>
                <w:sz w:val="11"/>
                <w:szCs w:val="11"/>
                <w:b w:val="1"/>
                <w:bCs w:val="1"/>
                <w:color w:val="auto"/>
                <w:w w:val="91"/>
              </w:rPr>
              <w:t>Amount</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8"/>
              </w:rPr>
              <w:t>Distributions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77"/>
              </w:rPr>
              <w:t>Loss</w:t>
            </w: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02"/>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62"/>
              <w:spacing w:after="0" w:line="121" w:lineRule="exact"/>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22"/>
              <w:spacing w:after="0" w:line="121"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9"/>
        </w:trPr>
        <w:tc>
          <w:tcPr>
            <w:tcW w:w="1960" w:type="dxa"/>
            <w:vAlign w:val="bottom"/>
            <w:gridSpan w:val="2"/>
            <w:shd w:val="clear" w:color="auto" w:fill="CFF0FC"/>
          </w:tcPr>
          <w:p>
            <w:pPr>
              <w:ind w:left="20"/>
              <w:spacing w:after="0" w:line="109" w:lineRule="exact"/>
              <w:rPr>
                <w:sz w:val="20"/>
                <w:szCs w:val="20"/>
                <w:color w:val="auto"/>
              </w:rPr>
            </w:pPr>
            <w:r>
              <w:rPr>
                <w:rFonts w:ascii="Arial" w:cs="Arial" w:eastAsia="Arial" w:hAnsi="Arial"/>
                <w:sz w:val="12"/>
                <w:szCs w:val="12"/>
                <w:b w:val="1"/>
                <w:bCs w:val="1"/>
                <w:i w:val="1"/>
                <w:iCs w:val="1"/>
                <w:color w:val="auto"/>
              </w:rPr>
              <w:t>For the Six Months Ended</w:t>
            </w: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i w:val="1"/>
                <w:iCs w:val="1"/>
                <w:color w:val="auto"/>
              </w:rPr>
              <w:t>June 30, 2021</w:t>
            </w: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January 1, 2021</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121,318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1,262</w:t>
            </w:r>
          </w:p>
        </w:tc>
        <w:tc>
          <w:tcPr>
            <w:tcW w:w="260" w:type="dxa"/>
            <w:vAlign w:val="bottom"/>
            <w:gridSpan w:val="4"/>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1,262,267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(222,892 )</w:t>
            </w:r>
          </w:p>
        </w:tc>
        <w:tc>
          <w:tcPr>
            <w:tcW w:w="60" w:type="dxa"/>
            <w:vAlign w:val="bottom"/>
          </w:tcPr>
          <w:p>
            <w:pPr>
              <w:spacing w:after="0"/>
              <w:rPr>
                <w:sz w:val="12"/>
                <w:szCs w:val="12"/>
                <w:color w:val="auto"/>
              </w:rPr>
            </w:pPr>
          </w:p>
        </w:tc>
        <w:tc>
          <w:tcPr>
            <w:tcW w:w="180" w:type="dxa"/>
            <w:vAlign w:val="bottom"/>
            <w:gridSpan w:val="3"/>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(22,589 )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4,835</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(104,946 )</w:t>
            </w:r>
          </w:p>
        </w:tc>
        <w:tc>
          <w:tcPr>
            <w:tcW w:w="100" w:type="dxa"/>
            <w:vAlign w:val="bottom"/>
          </w:tcPr>
          <w:p>
            <w:pPr>
              <w:spacing w:after="0"/>
              <w:rPr>
                <w:sz w:val="12"/>
                <w:szCs w:val="12"/>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(1,020 )</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912,082</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Proceeds from exercise</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of stock options</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Stock-based compensation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expense</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11,426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11,426</w:t>
            </w:r>
          </w:p>
        </w:tc>
        <w:tc>
          <w:tcPr>
            <w:tcW w:w="0" w:type="dxa"/>
            <w:vAlign w:val="bottom"/>
          </w:tcPr>
          <w:p>
            <w:pPr>
              <w:spacing w:after="0"/>
              <w:rPr>
                <w:sz w:val="1"/>
                <w:szCs w:val="1"/>
                <w:color w:val="auto"/>
              </w:rPr>
            </w:pPr>
          </w:p>
        </w:tc>
      </w:tr>
      <w:tr>
        <w:trPr>
          <w:trHeight w:val="152"/>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Restricted stock granted</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1,448</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14</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(14 )</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Restricted stock canceled</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(111 )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Dividends paid</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(30,487 )</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(30,487 )</w:t>
            </w:r>
          </w:p>
        </w:tc>
        <w:tc>
          <w:tcPr>
            <w:tcW w:w="0" w:type="dxa"/>
            <w:vAlign w:val="bottom"/>
          </w:tcPr>
          <w:p>
            <w:pPr>
              <w:spacing w:after="0"/>
              <w:rPr>
                <w:sz w:val="1"/>
                <w:szCs w:val="1"/>
                <w:color w:val="auto"/>
              </w:rPr>
            </w:pPr>
          </w:p>
        </w:tc>
      </w:tr>
      <w:tr>
        <w:trPr>
          <w:trHeight w:val="115"/>
        </w:trPr>
        <w:tc>
          <w:tcPr>
            <w:tcW w:w="196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Shares withheld for net</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ind w:left="100"/>
              <w:spacing w:after="0" w:line="122" w:lineRule="exact"/>
              <w:rPr>
                <w:sz w:val="20"/>
                <w:szCs w:val="20"/>
                <w:color w:val="auto"/>
              </w:rPr>
            </w:pPr>
            <w:r>
              <w:rPr>
                <w:rFonts w:ascii="Arial" w:cs="Arial" w:eastAsia="Arial" w:hAnsi="Arial"/>
                <w:sz w:val="12"/>
                <w:szCs w:val="12"/>
                <w:color w:val="auto"/>
              </w:rPr>
              <w:t>settlements of share-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960" w:type="dxa"/>
            <w:vAlign w:val="bottom"/>
            <w:gridSpan w:val="2"/>
          </w:tcPr>
          <w:p>
            <w:pPr>
              <w:ind w:left="100"/>
              <w:spacing w:after="0"/>
              <w:rPr>
                <w:sz w:val="20"/>
                <w:szCs w:val="20"/>
                <w:color w:val="auto"/>
              </w:rPr>
            </w:pPr>
            <w:r>
              <w:rPr>
                <w:rFonts w:ascii="Arial" w:cs="Arial" w:eastAsia="Arial" w:hAnsi="Arial"/>
                <w:sz w:val="12"/>
                <w:szCs w:val="12"/>
                <w:color w:val="auto"/>
              </w:rPr>
              <w:t>based awards [1]</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(256 )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(1,999 )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(2,002 )</w:t>
            </w:r>
          </w:p>
        </w:tc>
        <w:tc>
          <w:tcPr>
            <w:tcW w:w="0" w:type="dxa"/>
            <w:vAlign w:val="bottom"/>
          </w:tcPr>
          <w:p>
            <w:pPr>
              <w:spacing w:after="0"/>
              <w:rPr>
                <w:sz w:val="1"/>
                <w:szCs w:val="1"/>
                <w:color w:val="auto"/>
              </w:rPr>
            </w:pPr>
          </w:p>
        </w:tc>
      </w:tr>
      <w:tr>
        <w:trPr>
          <w:trHeight w:val="119"/>
        </w:trPr>
        <w:tc>
          <w:tcPr>
            <w:tcW w:w="1960" w:type="dxa"/>
            <w:vAlign w:val="bottom"/>
            <w:gridSpan w:val="2"/>
            <w:shd w:val="clear" w:color="auto" w:fill="CFF0FC"/>
          </w:tcPr>
          <w:p>
            <w:pPr>
              <w:ind w:left="20"/>
              <w:spacing w:after="0" w:line="119" w:lineRule="exact"/>
              <w:rPr>
                <w:sz w:val="20"/>
                <w:szCs w:val="20"/>
                <w:color w:val="auto"/>
              </w:rPr>
            </w:pPr>
            <w:r>
              <w:rPr>
                <w:rFonts w:ascii="Arial" w:cs="Arial" w:eastAsia="Arial" w:hAnsi="Arial"/>
                <w:sz w:val="12"/>
                <w:szCs w:val="12"/>
                <w:color w:val="auto"/>
              </w:rPr>
              <w:t>Issuance of common</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stock - ESPP</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27</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Purchase of treasury shares</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(17 )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(153 )</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(153 )</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w w:val="96"/>
              </w:rPr>
              <w:t>Other adjustment to additional paid-in</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capital</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4"/>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48"/>
        </w:trPr>
        <w:tc>
          <w:tcPr>
            <w:tcW w:w="196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92,504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(88 )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92,416</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FF0FC"/>
          </w:tcPr>
          <w:p>
            <w:pPr>
              <w:ind w:left="20"/>
              <w:spacing w:after="0" w:line="115" w:lineRule="exact"/>
              <w:rPr>
                <w:sz w:val="20"/>
                <w:szCs w:val="20"/>
                <w:color w:val="auto"/>
              </w:rPr>
            </w:pPr>
            <w:r>
              <w:rPr>
                <w:rFonts w:ascii="Arial" w:cs="Arial" w:eastAsia="Arial" w:hAnsi="Arial"/>
                <w:sz w:val="12"/>
                <w:szCs w:val="12"/>
                <w:color w:val="auto"/>
              </w:rPr>
              <w:t>Other comprehensive</w:t>
            </w:r>
          </w:p>
        </w:tc>
        <w:tc>
          <w:tcPr>
            <w:tcW w:w="8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ind w:right="63"/>
              <w:spacing w:after="0"/>
              <w:rPr>
                <w:sz w:val="20"/>
                <w:szCs w:val="20"/>
                <w:color w:val="auto"/>
              </w:rPr>
            </w:pPr>
            <w:r>
              <w:rPr>
                <w:rFonts w:ascii="Arial" w:cs="Arial" w:eastAsia="Arial" w:hAnsi="Arial"/>
                <w:sz w:val="12"/>
                <w:szCs w:val="12"/>
                <w:color w:val="auto"/>
              </w:rPr>
              <w:t>1,457</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2"/>
              <w:spacing w:after="0"/>
              <w:rPr>
                <w:sz w:val="20"/>
                <w:szCs w:val="20"/>
                <w:color w:val="auto"/>
              </w:rPr>
            </w:pPr>
            <w:r>
              <w:rPr>
                <w:rFonts w:ascii="Arial" w:cs="Arial" w:eastAsia="Arial" w:hAnsi="Arial"/>
                <w:sz w:val="12"/>
                <w:szCs w:val="12"/>
                <w:color w:val="auto"/>
              </w:rPr>
              <w:t>(5 )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62"/>
              <w:spacing w:after="0"/>
              <w:rPr>
                <w:sz w:val="20"/>
                <w:szCs w:val="20"/>
                <w:color w:val="auto"/>
              </w:rPr>
            </w:pPr>
            <w:r>
              <w:rPr>
                <w:rFonts w:ascii="Arial" w:cs="Arial" w:eastAsia="Arial" w:hAnsi="Arial"/>
                <w:sz w:val="12"/>
                <w:szCs w:val="12"/>
                <w:color w:val="auto"/>
              </w:rPr>
              <w:t>1,452</w:t>
            </w:r>
          </w:p>
        </w:tc>
        <w:tc>
          <w:tcPr>
            <w:tcW w:w="0" w:type="dxa"/>
            <w:vAlign w:val="bottom"/>
          </w:tcPr>
          <w:p>
            <w:pPr>
              <w:spacing w:after="0"/>
              <w:rPr>
                <w:sz w:val="1"/>
                <w:szCs w:val="1"/>
                <w:color w:val="auto"/>
              </w:rPr>
            </w:pPr>
          </w:p>
        </w:tc>
      </w:tr>
      <w:tr>
        <w:trPr>
          <w:trHeight w:val="141"/>
        </w:trPr>
        <w:tc>
          <w:tcPr>
            <w:tcW w:w="19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2"/>
                <w:szCs w:val="12"/>
                <w:color w:val="auto"/>
              </w:rPr>
              <w:t>income (loss)</w:t>
            </w:r>
          </w:p>
        </w:tc>
        <w:tc>
          <w:tcPr>
            <w:tcW w:w="840" w:type="dxa"/>
            <w:vAlign w:val="bottom"/>
            <w:tcBorders>
              <w:bottom w:val="single" w:sz="8" w:color="auto"/>
            </w:tcBorders>
            <w:gridSpan w:val="2"/>
            <w:vMerge w:val="continue"/>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gridSpan w:val="2"/>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60" w:type="dxa"/>
            <w:vAlign w:val="bottom"/>
            <w:tcBorders>
              <w:bottom w:val="single" w:sz="8" w:color="CFF0FC"/>
            </w:tcBorders>
            <w:vMerge w:val="continue"/>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June 30, 2021</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122,409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1,273</w:t>
            </w:r>
          </w:p>
        </w:tc>
        <w:tc>
          <w:tcPr>
            <w:tcW w:w="260" w:type="dxa"/>
            <w:vAlign w:val="bottom"/>
            <w:gridSpan w:val="4"/>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1,272,014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(160,875 )</w:t>
            </w:r>
          </w:p>
        </w:tc>
        <w:tc>
          <w:tcPr>
            <w:tcW w:w="60" w:type="dxa"/>
            <w:vAlign w:val="bottom"/>
          </w:tcPr>
          <w:p>
            <w:pPr>
              <w:spacing w:after="0"/>
              <w:rPr>
                <w:sz w:val="12"/>
                <w:szCs w:val="12"/>
                <w:color w:val="auto"/>
              </w:rPr>
            </w:pPr>
          </w:p>
        </w:tc>
        <w:tc>
          <w:tcPr>
            <w:tcW w:w="180" w:type="dxa"/>
            <w:vAlign w:val="bottom"/>
            <w:gridSpan w:val="3"/>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(21,132 )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4,852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(105,099 )</w:t>
            </w:r>
          </w:p>
        </w:tc>
        <w:tc>
          <w:tcPr>
            <w:tcW w:w="100" w:type="dxa"/>
            <w:vAlign w:val="bottom"/>
          </w:tcPr>
          <w:p>
            <w:pPr>
              <w:spacing w:after="0"/>
              <w:rPr>
                <w:sz w:val="12"/>
                <w:szCs w:val="12"/>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(1,113 )</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985,068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-2442210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-2425065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-2442210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-2425065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-2442210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-2425065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-2442210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-2425065</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-2442210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-2425065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-2442210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-2425065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-2442210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-2425065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-2442210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-2425065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-125095</wp:posOffset>
            </wp:positionV>
            <wp:extent cx="768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-125095</wp:posOffset>
            </wp:positionV>
            <wp:extent cx="768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-125095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-125095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-125095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-125095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-125095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-125095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20" w:firstLine="8"/>
        <w:spacing w:after="0" w:line="23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three and six months ended June 30, 2022 and 2021, the Company withheld shares through net share settlements to satisfy statutory tax withholding requirements upon vesting of shares of restricted stock held by employees.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Automatic Shelf Registration on Form S-3</w:t>
      </w:r>
    </w:p>
    <w:p>
      <w:pPr>
        <w:spacing w:after="0" w:line="10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On October 30, 2020,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13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On June 28, 2021, in connection with the shelf registration, the Company filed with the SEC a prospectus supplement related to the offer and sale from time to time of the Company’s common stock at an aggregate offering price of up to $300 million through sales agents. Sales of shares of the Company’s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six months ended June 30, 2022 or the year ended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77" w:lineRule="exact"/>
        <w:rPr>
          <w:sz w:val="20"/>
          <w:szCs w:val="20"/>
          <w:color w:val="auto"/>
        </w:rPr>
      </w:pPr>
    </w:p>
    <w:p>
      <w:pPr>
        <w:jc w:val="both"/>
        <w:ind w:right="620"/>
        <w:spacing w:after="0" w:line="248" w:lineRule="auto"/>
        <w:rPr>
          <w:sz w:val="20"/>
          <w:szCs w:val="20"/>
          <w:color w:val="auto"/>
        </w:rPr>
      </w:pPr>
      <w:r>
        <w:rPr>
          <w:rFonts w:ascii="Arial" w:cs="Arial" w:eastAsia="Arial" w:hAnsi="Arial"/>
          <w:sz w:val="18"/>
          <w:szCs w:val="18"/>
          <w:color w:val="auto"/>
        </w:rPr>
        <w:t>Comprehensive income (loss) represents the change in shareholders' equity from transactions and other events and circumstances arising from non-shareholder sources. The Company's total comprehensive income (loss) is comprised of net income attributable to GEO, net income attributable to noncontrolling interests, foreign currency translation adjustments that arise from consolidating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ind w:right="240"/>
        <w:spacing w:after="0" w:line="261" w:lineRule="auto"/>
        <w:rPr>
          <w:sz w:val="20"/>
          <w:szCs w:val="20"/>
          <w:color w:val="auto"/>
        </w:rPr>
      </w:pPr>
      <w:r>
        <w:rPr>
          <w:rFonts w:ascii="Arial" w:cs="Arial" w:eastAsia="Arial" w:hAnsi="Arial"/>
          <w:sz w:val="18"/>
          <w:szCs w:val="18"/>
          <w:color w:val="auto"/>
        </w:rPr>
        <w:t>foreign operations that do not impact cash flows, net unrealized gains and/or losses on derivative instruments, marketable securities and pension liability adjustments within shareholders' equity and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attributable to GEO within shareholders' equity are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12"/>
          </w:tcPr>
          <w:p>
            <w:pPr>
              <w:jc w:val="right"/>
              <w:ind w:right="617"/>
              <w:spacing w:after="0"/>
              <w:rPr>
                <w:sz w:val="20"/>
                <w:szCs w:val="20"/>
                <w:color w:val="auto"/>
              </w:rPr>
            </w:pPr>
            <w:r>
              <w:rPr>
                <w:rFonts w:ascii="Arial" w:cs="Arial" w:eastAsia="Arial" w:hAnsi="Arial"/>
                <w:sz w:val="14"/>
                <w:szCs w:val="14"/>
                <w:b w:val="1"/>
                <w:bCs w:val="1"/>
                <w:color w:val="auto"/>
              </w:rPr>
              <w:t>Six Months Ended June 30, 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82"/>
              <w:spacing w:after="0" w:line="133"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2"/>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 fair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marketable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60" w:type="dxa"/>
            <w:vAlign w:val="bottom"/>
            <w:gridSpan w:val="3"/>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 net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adjustments,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060" w:type="dxa"/>
            <w:vAlign w:val="bottom"/>
            <w:tcBorders>
              <w:bottom w:val="single" w:sz="8" w:color="auto"/>
            </w:tcBorders>
            <w:gridSpan w:val="3"/>
          </w:tcPr>
          <w:p>
            <w:pPr>
              <w:jc w:val="center"/>
              <w:ind w:right="42"/>
              <w:spacing w:after="0"/>
              <w:rPr>
                <w:sz w:val="20"/>
                <w:szCs w:val="20"/>
                <w:color w:val="auto"/>
              </w:rPr>
            </w:pPr>
            <w:r>
              <w:rPr>
                <w:rFonts w:ascii="Arial" w:cs="Arial" w:eastAsia="Arial" w:hAnsi="Arial"/>
                <w:sz w:val="14"/>
                <w:szCs w:val="14"/>
                <w:b w:val="1"/>
                <w:bCs w:val="1"/>
                <w:color w:val="auto"/>
                <w:w w:val="93"/>
              </w:rPr>
              <w:t>net of tax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net of tax</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of tax</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net of tax</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January 1, 2022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(12,461 )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(2,524 )</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(5,238 )</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7"/>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(20,216 )</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Current-period other comprehensive income (loss)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(9,409 )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4,374</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(758 )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(5,623 )</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June 30, 2022</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(21,870 )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1,850</w:t>
            </w:r>
          </w:p>
        </w:tc>
        <w:tc>
          <w:tcPr>
            <w:tcW w:w="6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(751 )</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(5,068 )</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67"/>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(25,839 )</w:t>
            </w:r>
          </w:p>
        </w:tc>
        <w:tc>
          <w:tcPr>
            <w:tcW w:w="0" w:type="dxa"/>
            <w:vAlign w:val="bottom"/>
          </w:tcPr>
          <w:p>
            <w:pPr>
              <w:spacing w:after="0"/>
              <w:rPr>
                <w:sz w:val="1"/>
                <w:szCs w:val="1"/>
                <w:color w:val="auto"/>
              </w:rPr>
            </w:pPr>
          </w:p>
        </w:tc>
      </w:tr>
      <w:tr>
        <w:trPr>
          <w:trHeight w:val="552"/>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10"/>
          </w:tcPr>
          <w:p>
            <w:pPr>
              <w:jc w:val="right"/>
              <w:ind w:right="297"/>
              <w:spacing w:after="0"/>
              <w:rPr>
                <w:sz w:val="20"/>
                <w:szCs w:val="20"/>
                <w:color w:val="auto"/>
              </w:rPr>
            </w:pPr>
            <w:r>
              <w:rPr>
                <w:rFonts w:ascii="Arial" w:cs="Arial" w:eastAsia="Arial" w:hAnsi="Arial"/>
                <w:sz w:val="14"/>
                <w:szCs w:val="14"/>
                <w:b w:val="1"/>
                <w:bCs w:val="1"/>
                <w:color w:val="auto"/>
                <w:w w:val="92"/>
              </w:rPr>
              <w:t>Six Months Ended June 30, 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2"/>
              </w:rPr>
              <w:t>Foreign currency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 fair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84"/>
              </w:rPr>
              <w:t>Pension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value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adjustments,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adjustments,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net of tax (1)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net of tax</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net of tax</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January 1, 2021</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22"/>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(9,207 )</w:t>
            </w:r>
          </w:p>
        </w:tc>
        <w:tc>
          <w:tcPr>
            <w:tcW w:w="60" w:type="dxa"/>
            <w:vAlign w:val="bottom"/>
            <w:shd w:val="clear" w:color="auto" w:fill="CFF0FC"/>
          </w:tcPr>
          <w:p>
            <w:pPr>
              <w:spacing w:after="0"/>
              <w:rPr>
                <w:sz w:val="17"/>
                <w:szCs w:val="17"/>
                <w:color w:val="auto"/>
              </w:rPr>
            </w:pPr>
          </w:p>
        </w:tc>
        <w:tc>
          <w:tcPr>
            <w:tcW w:w="60" w:type="dxa"/>
            <w:vAlign w:val="bottom"/>
            <w:gridSpan w:val="2"/>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(4,752 )</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(8,630 )</w:t>
            </w:r>
          </w:p>
        </w:tc>
        <w:tc>
          <w:tcPr>
            <w:tcW w:w="120" w:type="dxa"/>
            <w:vAlign w:val="bottom"/>
            <w:gridSpan w:val="2"/>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(22,589 )</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Current-period other comprehensive income (loss)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(636 )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1,782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June 30, 2021</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22"/>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(9,843 )</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(4,441 )</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(6,848 )</w:t>
            </w: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-1430655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-1414145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-1430655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-1414145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-1430655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-1414145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-1430655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-1414145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760" w:hanging="378"/>
        <w:spacing w:after="0"/>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foreign currency translation related to noncontrolling interests was not significant at June 30, 2022 or 2021.</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Board adopted The GEO Group, Inc. Amended and Restated 2018 Stock Incentive Plan (the "2018 Amended and Restated Plan"), which was approved by the Company's shareholders on April 28, 2021. The 2018 Amended and Restated Plan supersedes the previous 2018 Stock Incentive Plan. As of the date the 2018 Amended and Restated Plan was approved by the Company’s shareholders’, it provided for a reserve of an additional 16,800,000 shares of common stock that may be issued pursuant to awards granted under the 2018 Amended and Restated Plan. The Company filed a Form S-8 registration statement related to the 2018 Amended and Restated Plan on June 15,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uses a Black-Scholes option valuation model to estimate the fair value of each time-based or performance-based option awarded. For options granted during the six months ended June 30, 2022, the fair value was estimated using the following assumptions: (i) volatility of 48.03%; (ii) expected term of 5 years and (iii) risk free interest rate of 1.56%;. A summary of the activity of stock option awards issued and outstanding under Company plans was as follows for the six months ended June 30,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Wtd. Avg.</w:t>
            </w:r>
          </w:p>
        </w:tc>
        <w:tc>
          <w:tcPr>
            <w:tcW w:w="12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Wtd. Avg.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9"/>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jc w:val="right"/>
              <w:ind w:right="17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 outstanding at January 1, 2022</w:t>
            </w:r>
          </w:p>
        </w:tc>
        <w:tc>
          <w:tcPr>
            <w:tcW w:w="1880" w:type="dxa"/>
            <w:vAlign w:val="bottom"/>
            <w:gridSpan w:val="2"/>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1,847</w:t>
            </w:r>
          </w:p>
        </w:tc>
        <w:tc>
          <w:tcPr>
            <w:tcW w:w="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19.92</w:t>
            </w:r>
          </w:p>
        </w:tc>
        <w:tc>
          <w:tcPr>
            <w:tcW w:w="12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6.23</w:t>
            </w: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73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Options granted</w:t>
            </w:r>
          </w:p>
        </w:tc>
        <w:tc>
          <w:tcPr>
            <w:tcW w:w="1880" w:type="dxa"/>
            <w:vAlign w:val="bottom"/>
            <w:gridSpan w:val="2"/>
          </w:tcPr>
          <w:p>
            <w:pPr>
              <w:jc w:val="right"/>
              <w:ind w:right="37"/>
              <w:spacing w:after="0" w:line="202" w:lineRule="exact"/>
              <w:rPr>
                <w:sz w:val="20"/>
                <w:szCs w:val="20"/>
                <w:color w:val="auto"/>
              </w:rPr>
            </w:pPr>
            <w:r>
              <w:rPr>
                <w:rFonts w:ascii="Arial" w:cs="Arial" w:eastAsia="Arial" w:hAnsi="Arial"/>
                <w:sz w:val="18"/>
                <w:szCs w:val="18"/>
                <w:color w:val="auto"/>
              </w:rPr>
              <w:t>342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5.76</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Options exercised</w:t>
            </w:r>
          </w:p>
        </w:tc>
        <w:tc>
          <w:tcPr>
            <w:tcW w:w="6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Options forfeited/canceled/expired</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16.19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Options outstanding at June 30, 2022</w:t>
            </w:r>
          </w:p>
        </w:tc>
        <w:tc>
          <w:tcPr>
            <w:tcW w:w="6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2,010</w:t>
            </w:r>
          </w:p>
        </w:tc>
        <w:tc>
          <w:tcPr>
            <w:tcW w:w="28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17.87</w:t>
            </w:r>
          </w:p>
        </w:tc>
        <w:tc>
          <w:tcPr>
            <w:tcW w:w="1240" w:type="dxa"/>
            <w:vAlign w:val="bottom"/>
            <w:tcBorders>
              <w:bottom w:val="single" w:sz="8" w:color="CFF0FC"/>
            </w:tcBorders>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6.37</w:t>
            </w:r>
          </w:p>
        </w:tc>
        <w:tc>
          <w:tcPr>
            <w:tcW w:w="22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248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Arial" w:cs="Arial" w:eastAsia="Arial" w:hAnsi="Arial"/>
                <w:sz w:val="18"/>
                <w:szCs w:val="18"/>
                <w:color w:val="auto"/>
              </w:rPr>
              <w:t>Options vested and expected to vest at June 30, 2022</w:t>
            </w:r>
          </w:p>
        </w:tc>
        <w:tc>
          <w:tcPr>
            <w:tcW w:w="1880" w:type="dxa"/>
            <w:vAlign w:val="bottom"/>
            <w:gridSpan w:val="2"/>
          </w:tcPr>
          <w:p>
            <w:pPr>
              <w:jc w:val="right"/>
              <w:ind w:right="37"/>
              <w:spacing w:after="0" w:line="196" w:lineRule="exact"/>
              <w:rPr>
                <w:sz w:val="20"/>
                <w:szCs w:val="20"/>
                <w:color w:val="auto"/>
              </w:rPr>
            </w:pPr>
            <w:r>
              <w:rPr>
                <w:rFonts w:ascii="Arial" w:cs="Arial" w:eastAsia="Arial" w:hAnsi="Arial"/>
                <w:sz w:val="18"/>
                <w:szCs w:val="18"/>
                <w:color w:val="auto"/>
              </w:rPr>
              <w:t>1,922</w:t>
            </w:r>
          </w:p>
        </w:tc>
        <w:tc>
          <w:tcPr>
            <w:tcW w:w="2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18.31</w:t>
            </w:r>
          </w:p>
        </w:tc>
        <w:tc>
          <w:tcPr>
            <w:tcW w:w="124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6.25</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line="196" w:lineRule="exact"/>
              <w:rPr>
                <w:sz w:val="20"/>
                <w:szCs w:val="20"/>
                <w:color w:val="auto"/>
              </w:rPr>
            </w:pPr>
            <w:r>
              <w:rPr>
                <w:rFonts w:ascii="Arial" w:cs="Arial" w:eastAsia="Arial" w:hAnsi="Arial"/>
                <w:sz w:val="18"/>
                <w:szCs w:val="18"/>
                <w:color w:val="auto"/>
              </w:rPr>
              <w:t>210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Options exercisable at June 30, 2022</w:t>
            </w:r>
          </w:p>
        </w:tc>
        <w:tc>
          <w:tcPr>
            <w:tcW w:w="6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1,288</w:t>
            </w:r>
          </w:p>
        </w:tc>
        <w:tc>
          <w:tcPr>
            <w:tcW w:w="2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22.58</w:t>
            </w:r>
          </w:p>
        </w:tc>
        <w:tc>
          <w:tcPr>
            <w:tcW w:w="1240" w:type="dxa"/>
            <w:vAlign w:val="bottom"/>
            <w:tcBorders>
              <w:bottom w:val="single" w:sz="8" w:color="CFF0FC"/>
            </w:tcBorders>
            <w:gridSpan w:val="2"/>
            <w:shd w:val="clear" w:color="auto" w:fill="CFF0FC"/>
          </w:tcPr>
          <w:p>
            <w:pPr>
              <w:jc w:val="right"/>
              <w:ind w:right="48"/>
              <w:spacing w:after="0" w:line="182" w:lineRule="exact"/>
              <w:rPr>
                <w:sz w:val="20"/>
                <w:szCs w:val="20"/>
                <w:color w:val="auto"/>
              </w:rPr>
            </w:pPr>
            <w:r>
              <w:rPr>
                <w:rFonts w:ascii="Arial" w:cs="Arial" w:eastAsia="Arial" w:hAnsi="Arial"/>
                <w:sz w:val="18"/>
                <w:szCs w:val="18"/>
                <w:color w:val="auto"/>
              </w:rPr>
              <w:t>5.05</w:t>
            </w:r>
          </w:p>
        </w:tc>
        <w:tc>
          <w:tcPr>
            <w:tcW w:w="22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80" w:type="dxa"/>
            <w:vAlign w:val="bottom"/>
            <w:gridSpan w:val="2"/>
          </w:tcPr>
          <w:p>
            <w:pPr>
              <w:jc w:val="right"/>
              <w:ind w:right="103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-776605</wp:posOffset>
            </wp:positionV>
            <wp:extent cx="774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-504825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-487680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 w:name="page14"/>
    <w:bookmarkEnd w:id="13"/>
    <w:p>
      <w:pPr>
        <w:ind w:right="80"/>
        <w:spacing w:after="0" w:line="243" w:lineRule="auto"/>
        <w:rPr>
          <w:sz w:val="20"/>
          <w:szCs w:val="20"/>
          <w:color w:val="auto"/>
        </w:rPr>
      </w:pPr>
      <w:r>
        <w:rPr>
          <w:rFonts w:ascii="Arial" w:cs="Arial" w:eastAsia="Arial" w:hAnsi="Arial"/>
          <w:sz w:val="18"/>
          <w:szCs w:val="18"/>
          <w:color w:val="auto"/>
        </w:rPr>
        <w:t>On March 1, 2022, the Company granted approximately 342,000 options to certain employees which had a per share grant date fair value of $2.49. For the six months ended June 30, 2022 and 2021, the amount of stock-based compensation expense related to stock options was $0.3 million and $0.4 million, respectively. As of June 30, 2022, the Company had $1.2 million of unrecognized compensation costs related to non-vested stock option awards that are expected to be recognized over a weighted average period of 2.9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81"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Compensation expense for nonvested stock awards is recorded over the vesting period based on the fair value at the date of grant. Generally, the restricted stock awards vest in equal increments generally over either a three or four-year period. The fair value of restricted stock awards, which do not contain a market-based vesting condition, is determined using the closing price of the Company's common stock on the date of grant. The Company has historically issued share-based awards with service-based, performance-based and market-based vesting criteria.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restricted stock outstanding is as follows for the six months ended June 30, 2022:</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stock outstanding at January 1, 2022</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2,619</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Forfeited/canceled</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Restricted stock outstanding at June 30, 2022</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3,559</w:t>
            </w:r>
          </w:p>
        </w:tc>
        <w:tc>
          <w:tcPr>
            <w:tcW w:w="280" w:type="dxa"/>
            <w:vAlign w:val="bottom"/>
            <w:tcBorders>
              <w:bottom w:val="single" w:sz="8" w:color="CFF0FC"/>
            </w:tcBorders>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During the six months ended June 30, 2022, the Company granted approximately 1,786,000 shares of restricted stock to certain employees and executive officers. Of these awards, 975,000 are market and performance-based awards which will be forfeited if the Company does not achieve certain annual metrics during 2022, 2023 and 2024.</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vesting of these performance-based restricted stock grants are subject to the achievement by GEO of two annual performance metrics as follows: (i) up to 50% of the shares of restricted stock ("TSR Target Award") can vest at the end of a three year performance period if GEO meets certain total shareholder return ("TSR") performance targets, as compared to the total shareholder return of a peer group of companies, over a three year period from January 1,</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2022 to December 31, 2024 and (ii) up to 50% of the shares of restricted stock ("ROCE Target Award") can vest at the end of a three year period if GEO meets certain return on capital employed ("ROCE") performance targets over a three year period from January 1, 2022 to December 31, 2024. Certain of these performance-based restricted stock grants can vest over a one-year period if GEO meets certain performance targets, as mentioned above, over two remaining one-year periods from January 1, 2022 to December 31, 2022 and January 1, 2023 to December 31, 2023. These market and performance awards can vest at between 0% and 200% of the target awards for both metrics. The number of shares shown for the performance-based awards is based on the target awards for both metrics.</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The fair value of these awards was determined based on the closing price of the Company's common stock on the date of grant.</w:t>
      </w:r>
    </w:p>
    <w:p>
      <w:pPr>
        <w:spacing w:after="0" w:line="11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metric related to TSR is considered to be a market condition. For share-based awards that contain a market condition, the probability of satisfying the market condition must be considered in the estimate of grant-date fair value and previously recorded compensation expense is not reversed if the market condition is never met. The fair value of these awards was determined based on a Monte Carlo simulation, which calculates a range of possible outcomes and the probabilities that they will occur, using the following weighted average key assumptions: (i) volatility of 57.5%; (ii) beta of 0.93; and (iii) risk free rate of 1.45%.</w:t>
      </w:r>
    </w:p>
    <w:p>
      <w:pPr>
        <w:spacing w:after="0" w:line="124"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For the six months ended June 30, 2022 and 2021, the Company recognized $9.6 million and $11.4 million, respectively, of compensation expense related to its restricted stock awards. As of June 30, 2022, the Company had $19.6 million of unrecognized compensation costs related to non-vested restricted stock awards, including non-vested restricted stock awards with performance-based and market-based vesting, that are expected to be recognized over a weighted average period of 2.3 years.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Employee Stock Purchase Plan</w:t>
      </w:r>
    </w:p>
    <w:p>
      <w:pPr>
        <w:spacing w:after="0" w:line="6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spacing w:after="0" w:line="122"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The Amended ESPP is considered to be non-compensatory. As such, there is no compensation expense required to be recognized. Share purchases under the Amended ESPP are made on the last day of each month. During the six months ended June 30, 2022, 13,801 shares of the Company's common stock were issued in connection with the Amended ESPP.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reduced by an allocation of earnings to participating securities. The 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 The if-converted method includes the dilutive effect of potential common shares related to the 6.50% Exchangeable Notes due 2026, if any. Basic and diluted earnings per share were calculated for the three and six months ended June 30, 2022 and 2021 as follows (in thousands, except per share data):</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53,673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41,931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91,852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92,416</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18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5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Undistributed income allocable to participating securities</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(9,171 )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(7,197 )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(15,717 )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(7,715 )</w:t>
            </w:r>
          </w:p>
        </w:tc>
        <w:tc>
          <w:tcPr>
            <w:tcW w:w="0" w:type="dxa"/>
            <w:vAlign w:val="bottom"/>
          </w:tcPr>
          <w:p>
            <w:pPr>
              <w:spacing w:after="0"/>
              <w:rPr>
                <w:sz w:val="1"/>
                <w:szCs w:val="1"/>
                <w:color w:val="auto"/>
              </w:rPr>
            </w:pPr>
          </w:p>
        </w:tc>
      </w:tr>
      <w:tr>
        <w:trPr>
          <w:trHeight w:val="156"/>
        </w:trPr>
        <w:tc>
          <w:tcPr>
            <w:tcW w:w="5240" w:type="dxa"/>
            <w:vAlign w:val="bottom"/>
          </w:tcPr>
          <w:p>
            <w:pPr>
              <w:spacing w:after="0" w:line="156" w:lineRule="exact"/>
              <w:rPr>
                <w:sz w:val="20"/>
                <w:szCs w:val="20"/>
                <w:color w:val="auto"/>
              </w:rPr>
            </w:pPr>
            <w:r>
              <w:rPr>
                <w:rFonts w:ascii="Arial" w:cs="Arial" w:eastAsia="Arial" w:hAnsi="Arial"/>
                <w:sz w:val="18"/>
                <w:szCs w:val="18"/>
                <w:color w:val="auto"/>
                <w:w w:val="94"/>
              </w:rPr>
              <w:t>Net income attributable to The GEO Group, Inc. available to common</w:t>
            </w:r>
          </w:p>
        </w:tc>
        <w:tc>
          <w:tcPr>
            <w:tcW w:w="180" w:type="dxa"/>
            <w:vAlign w:val="bottom"/>
          </w:tcPr>
          <w:p>
            <w:pPr>
              <w:spacing w:after="0"/>
              <w:rPr>
                <w:sz w:val="13"/>
                <w:szCs w:val="13"/>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44,556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34,762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8"/>
                <w:szCs w:val="18"/>
                <w:color w:val="auto"/>
              </w:rPr>
              <w:t>76,229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8"/>
                <w:szCs w:val="18"/>
                <w:color w:val="auto"/>
              </w:rPr>
              <w:t>84,789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Basic earnings per share attributable to The GEO Group,</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 available to common stockholders: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121,119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120,426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120,918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120,225</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Per share amount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0.37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0.29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0.63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143"/>
        </w:trPr>
        <w:tc>
          <w:tcPr>
            <w:tcW w:w="5240" w:type="dxa"/>
            <w:vAlign w:val="bottom"/>
          </w:tcPr>
          <w:p>
            <w:pPr>
              <w:spacing w:after="0" w:line="142" w:lineRule="exact"/>
              <w:rPr>
                <w:sz w:val="20"/>
                <w:szCs w:val="20"/>
                <w:color w:val="auto"/>
              </w:rPr>
            </w:pPr>
            <w:r>
              <w:rPr>
                <w:rFonts w:ascii="Arial" w:cs="Arial" w:eastAsia="Arial" w:hAnsi="Arial"/>
                <w:sz w:val="16"/>
                <w:szCs w:val="16"/>
                <w:color w:val="auto"/>
              </w:rPr>
              <w:t>Diluted earnings per share attributable to The GEO Group,</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Inc. available to common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121,119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120,426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120,918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120,225</w:t>
            </w: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equity incentive plans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762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732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Weighted average shares assuming dilution</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121,881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120,470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121,650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120,431</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line="196" w:lineRule="exact"/>
              <w:rPr>
                <w:sz w:val="20"/>
                <w:szCs w:val="20"/>
                <w:color w:val="auto"/>
              </w:rPr>
            </w:pPr>
            <w:r>
              <w:rPr>
                <w:rFonts w:ascii="Arial" w:cs="Arial" w:eastAsia="Arial" w:hAnsi="Arial"/>
                <w:sz w:val="18"/>
                <w:szCs w:val="18"/>
                <w:color w:val="auto"/>
              </w:rPr>
              <w:t>Per share amount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0.37</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0.29</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0.63</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-1573530</wp:posOffset>
            </wp:positionV>
            <wp:extent cx="768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-1573530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-1573530</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-822325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-805180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-822325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-805180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-822325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-805180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768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-159385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For the three months ended June 30, 2022, 2,054,095 weighted average shares of common stock underlying options were excluded from the computation of diluted earnings per share ("EPS") because the effect would be anti-dilutive. There were 671,995 common stock equivalents from restricted shares that were anti-dilutive for the period.</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months ended June 30, 2021, 2,236,507 weighted average shares of common stock underlying options were excluded from the computation of diluted EPS because the effect would be anti-dilutive. There were 2,364,217 common stock equivalents from restricted shares that were anti-dilutive for the period.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jc w:val="both"/>
        <w:ind w:right="160"/>
        <w:spacing w:after="0" w:line="248" w:lineRule="auto"/>
        <w:rPr>
          <w:sz w:val="20"/>
          <w:szCs w:val="20"/>
          <w:color w:val="auto"/>
        </w:rPr>
      </w:pPr>
      <w:r>
        <w:rPr>
          <w:rFonts w:ascii="Arial" w:cs="Arial" w:eastAsia="Arial" w:hAnsi="Arial"/>
          <w:sz w:val="18"/>
          <w:szCs w:val="18"/>
          <w:color w:val="auto"/>
        </w:rPr>
        <w:t>For the six months ended June 30, 2022, 1,980,905 weighted average shares of common stock underlying options were excluded from the computation of diluted EPS because the effect would be anti-dilutive. There were 678,679 common stock equivalents from restricted shares that were anti-dilutive for the period.</w:t>
      </w:r>
    </w:p>
    <w:p>
      <w:pPr>
        <w:spacing w:after="0" w:line="12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For the six months ended June 30, 2021, 2,152,540 weighted average shares of common stock underlying options were excluded from the computation of diluted EPS because the effect would be anti-dilutive. There were 1,206,189 common stock equivalents from restricted shares that were anti-dilutive for the period.</w:t>
      </w:r>
    </w:p>
    <w:p>
      <w:pPr>
        <w:spacing w:after="0" w:line="3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February 24, 2021, the Company’s wholly owned subsidiary, GEO Corrections Holdings, Inc. (“GEOCH”), completed a private offering of $230 million aggregate principal amount of 6.50% Exchangeable Notes due 2026. Refer to Note 10 – Debt for additional information. As of June 30, 2022, conditions had not been met to exchange the 6.50% Exchangeable Notes due 2026 into shares of the Company’s common stock. Approximately 24.9 million shares of potential common shares associated with the conversion option embedded in the convertible notes were excluded from the computation for the three and six months ended June 30, 2022, respectively, as the Company's average stock price during the period was lower than the exchange price. Approximately 24.9 million and 17.1 million shares of potential common shares associated with the conversion option embedded in the convertible notes were excluded from the computation for the three and six months ended June 30, 2021, respectively, as the Company’s average stock price during the period was lower than the exchange price.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w:t>
      </w:r>
    </w:p>
    <w:p>
      <w:pPr>
        <w:spacing w:after="0" w:line="8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Company’s primary objective in holding derivatives is to reduce the volatility of earnings and cash flows associated with changes in interest rates. The Company measures its derivative financial instruments at fair value.</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August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net of applicable taxes. Total unrealized gains recorded in other comprehensive income, net of tax, related to these cash flow hedges was $4.4 million during the six months ended June 30, 2022. The total fair value of the swap assets as of June 30, 2022 was $2.3 million and is recorded as a component of Other Non-Current assets within the accompanying consolidated balance sheet.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10 - Debt for additional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as of June 30, 2022 and December 31, 2021 consisted of the following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Senior Credit Facility:</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Term loan</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758,000</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762,000</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discount on term loan</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(887 )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(1,152 )</w:t>
            </w: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Unamortized debt issuance costs on term loan</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(2,103 )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(2,733 )</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Revolver</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735,000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784,895</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Senior Credit Facility</w:t>
            </w:r>
          </w:p>
        </w:tc>
        <w:tc>
          <w:tcPr>
            <w:tcW w:w="20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1,490,010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1,543,010</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6.50% Exchangeable Senior Notes: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Notes Due in 2026</w:t>
            </w:r>
          </w:p>
        </w:tc>
        <w:tc>
          <w:tcPr>
            <w:tcW w:w="20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(7,391 )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(8,246 )</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6.50% Exchangeable Senior Notes Due in 2026</w:t>
            </w:r>
          </w:p>
        </w:tc>
        <w:tc>
          <w:tcPr>
            <w:tcW w:w="20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222,609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221,754</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6.00% Senior Notes: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Notes Due in 2026</w:t>
            </w:r>
          </w:p>
        </w:tc>
        <w:tc>
          <w:tcPr>
            <w:tcW w:w="20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(2,782 )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(3,099 )</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6.00% Senior Notes Due in 2026</w:t>
            </w:r>
          </w:p>
        </w:tc>
        <w:tc>
          <w:tcPr>
            <w:tcW w:w="20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347,218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346,901</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5.875% Senior Notes: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Notes Due in 2024</w:t>
            </w:r>
          </w:p>
        </w:tc>
        <w:tc>
          <w:tcPr>
            <w:tcW w:w="20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225,293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225,293</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(1,177 )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(1,410 )</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5.875% Senior Notes Due in 2024</w:t>
            </w:r>
          </w:p>
        </w:tc>
        <w:tc>
          <w:tcPr>
            <w:tcW w:w="20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224,116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223,883</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5.125% Senior Notes: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Notes Due in 2023</w:t>
            </w:r>
          </w:p>
        </w:tc>
        <w:tc>
          <w:tcPr>
            <w:tcW w:w="20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259,275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259,275</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(886 )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(1,221 )</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5.125% Senior Notes Due in 2023</w:t>
            </w:r>
          </w:p>
        </w:tc>
        <w:tc>
          <w:tcPr>
            <w:tcW w:w="20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258,389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258,054</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Non-Recourse Debt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290,150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310,108</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tcPr>
          <w:p>
            <w:pPr>
              <w:ind w:left="180"/>
              <w:spacing w:after="0" w:line="202" w:lineRule="exact"/>
              <w:rPr>
                <w:sz w:val="20"/>
                <w:szCs w:val="20"/>
                <w:color w:val="auto"/>
              </w:rPr>
            </w:pPr>
            <w:r>
              <w:rPr>
                <w:rFonts w:ascii="Arial" w:cs="Arial" w:eastAsia="Arial" w:hAnsi="Arial"/>
                <w:sz w:val="18"/>
                <w:szCs w:val="18"/>
                <w:color w:val="auto"/>
              </w:rPr>
              <w:t>Unamortized debt issuance costs on non-recourse debt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(4,229 )</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(4,556 )</w:t>
            </w: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Non-Recourse Debt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285,921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305,552</w:t>
            </w: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Finance Lease Liabilities</w:t>
            </w:r>
          </w:p>
        </w:tc>
        <w:tc>
          <w:tcPr>
            <w:tcW w:w="20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debt, net of unamortized debt issuance costs</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40,860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2,871,699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2,944,360</w:t>
            </w: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Current portion of finance lease liabilities, long-term debt and</w:t>
            </w:r>
          </w:p>
        </w:tc>
        <w:tc>
          <w:tcPr>
            <w:tcW w:w="2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(17,639 )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(18,568 )</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non-recourse debt</w:t>
            </w:r>
          </w:p>
        </w:tc>
        <w:tc>
          <w:tcPr>
            <w:tcW w:w="20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Finance Lease Liabilities, long-term portion</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(1,632 )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(1,977 )</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Non-Recourse Debt, long-term portion</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(278,367 )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(297,856 )</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2,574,061</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2,625,959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-3674110</wp:posOffset>
            </wp:positionV>
            <wp:extent cx="768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-3150870</wp:posOffset>
            </wp:positionV>
            <wp:extent cx="768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-2628265</wp:posOffset>
            </wp:positionV>
            <wp:extent cx="768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-2105025</wp:posOffset>
            </wp:positionV>
            <wp:extent cx="768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-1582420</wp:posOffset>
            </wp:positionV>
            <wp:extent cx="768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-1190625</wp:posOffset>
            </wp:positionV>
            <wp:extent cx="768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-793750</wp:posOffset>
            </wp:positionV>
            <wp:extent cx="768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-159385</wp:posOffset>
            </wp:positionV>
            <wp:extent cx="768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Support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July 18, 2022, the Company entered into a transaction support agreement (together with all exhibits, annexes and schedules thereto, (the “Transaction Support Agreement”) with certain consenting holders of the Senior Notes (as defined below) (the “Consenting Noteholders”), certain consenting term lenders (the “Consenting Term Lenders”), the agent, and certain consenting RCF Lenders (as defined below) (the “Consenting RCF Lenders” and, together with the Consenting Noteholders and the Consenting Term Lenders, the “Consenting Creditors”) setting forth principal terms for a comprehensive transaction (the “Transaction”) to address the upcoming maturities of the Company's outstanding debt in 2023, 2024, and 2026. Refer to Note 15 - Subsequent Events for further discussion.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77"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On June 12, 2019, GEO entered into Amendment No. 2 to Third Amended and Restated Credit Agreement (the "Credit Agreement") by and among the refinancing lenders party thereto, the other lenders party thereto, GEO and GEO Corrections Holdings, Inc. and the administrative agent. Under the amendment, the maturity date of the revolver component of the Credit Agreement was extended to May 17, 2024. The borrowing capacity under the amended revolver remains at $900.0 million, and its pricing remains unchanged currently bearing interest at LIBOR plus 2.25%. As a result of the transaction, the Company incurred a loss on extinguishment of debt</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17" w:name="page18"/>
    <w:bookmarkEnd w:id="17"/>
    <w:p>
      <w:pPr>
        <w:ind w:right="340"/>
        <w:spacing w:after="0" w:line="261" w:lineRule="auto"/>
        <w:rPr>
          <w:sz w:val="20"/>
          <w:szCs w:val="20"/>
          <w:color w:val="auto"/>
        </w:rPr>
      </w:pPr>
      <w:r>
        <w:rPr>
          <w:rFonts w:ascii="Arial" w:cs="Arial" w:eastAsia="Arial" w:hAnsi="Arial"/>
          <w:sz w:val="18"/>
          <w:szCs w:val="18"/>
          <w:color w:val="auto"/>
        </w:rPr>
        <w:t>of $1.2 million during 2019 related to certain unamortized deferred loan costs. Additionally, loan costs of $4.7 million were incurred and capitalized in connection with the transaction.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Credit Agreement evidences a credit facility (the "Credit Facility") consisting of a $758 million term loan bearing interest at LIBOR plus 2.00% (with a LIBOR floor of 0.75%), and a $900.0 million revolver initially bearing interest at LIBOR plus 2.25% (with no LIBOR floor) together with AUD275.0 million, or $189.5 million, based on exchange rates as of June 30, 2022, available solely for the issuance of financial letters of credit and performance letters of credit, in each case denominated in Australian Dollars under the Australian Dollar Letter of Credit Facility (the "Australian LC Facility"). As of June 30, 2022, there were no letters of credit issued under the Australian LC Facility. Amounts to be borrowed by GEO under the Credit Agreement are subject to the satisfaction of customary conditions to borrowing. The term loan component is scheduled to mature on March 23, 2024. The revolving credit commitment component is scheduled to mature on May 17, 2024. The Credit Agreement also has an accordion feature of $450.0 million, subject to lender demand and prevailing market conditions and satisfying the relevant borrowing conditions.</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Credit Agreement contains certain customary representations and warranties, and certain customary covenants that restrict GEO’s ability to, among other things (i) create, incur or assume any indebtedness, (ii) create, incur, assume or permit liens, (iii) make loans and investments, (iv) engage in mergers, acquisitions and asset sales, (v) make certain restricted payments, (vi) issue, sell or otherwise dispose of capital stock, (vii) engage in transactions with affiliates, (viii) allow the total leverage ratio to exceed 6.25 to 1.00, allow the senior secured leverage ratio to exceed 3.50 to 1.00, or allow the interest coverage ratio to be less than 3.00 to 1.00, (ix) cancel, forgive, make any voluntary or optional payment or prepayment on, or redeem or acquire for value any senior notes, except as permitted, (x) alter the business GEO conducts, and (xi) materially impair GEO’s lenders’ security interests in the collateral for its loans.</w:t>
      </w:r>
    </w:p>
    <w:p>
      <w:pPr>
        <w:spacing w:after="0" w:line="137"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Events of default under the Credit Agreement include, but are not limited to, (i) GEO’s failure to pay principal or interest when due, (ii) GEO’s material breach of any representation or warranty, (iii) covenant defaults, (iv) liquidation, reorganization or other relief relating to bankruptcy or insolvency, (v) cross default under certain other material indebtedness, (vi) unsatisfied final judgments over a specified threshold, (vii) certain material environmental liability claims asserted against GEO, and (viii) a change in control.</w:t>
      </w:r>
    </w:p>
    <w:p>
      <w:pPr>
        <w:spacing w:after="0" w:line="13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All of the obligations under the Credit Agreement are unconditionally guaranteed by certain domestic subsidiaries of GEO and the Credit Agreement and the related guarantees are secured by a perfected first-priority pledge of substantially all of GEO’s present and future tangible and intangible domestic assets and all present and future tangible and intangible domestic assets of each guarantor, including but not limited to a first-priority pledge of all of the outstanding capital stock owned by GEO and each guarantor in their domestic subsidiaries.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GEO Australasia Holdings Pty Ltd, GEO Australasia Finance Holdings Pty Ltd as trustee for the GEO Australasia Finance Holding Trust, and together with GEO Australasia Holdings, collectively (the “Australian Borrowers") are wholly owned foreign subsidiaries of GEO. GEO has designated each of the Australian Borrowers as restricted subsidiaries under the Credit Agreement. However, the Australian Borrowers are not obligated to pay or perform any obligations under the Credit Agreement other than their own obligations as Australian Borrowers under the Credit Agreement. The Australian Borrowers do not pledge any of their assets to secure any obligations under the Credit Agreement.</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August 18, 2016, the Company executed a letter of offer providing for a bank guarantee line and bank guarantee/standby sub-facility in an aggregate amount of approximately AUD59 million, or $40.7 million, based on exchange rates in effect as of June 30, 2022 (collectively, the “Bank Guarantee Facility”). The Bank Guarantee Facility allows GEO to provide letters of credit to assure performance of certain obligations of its wholly owned subsidiary relating to its correctional facility in Ravenhall, located near Melbourne, Australia. The Bank Guarantee Facility is unsecured. The issuance of letters of credit under the Bank Guarantee Facility is subject to the satisfaction of the conditions precedent specified in the letter of offer. Letters of credit issued under the bank guarantee lines are due on demand and letters of credit issued under the bank guarantee/standby sub-facility cannot have a duration exceeding twelve months. The Bank Guarantee Facility may be terminated by the lender on 90 days written notice. As of June 30, 2022, there was AUD59 million in letters of credit issued under the Bank Guarantee Facility.</w:t>
      </w:r>
    </w:p>
    <w:p>
      <w:pPr>
        <w:spacing w:after="0" w:line="12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As of June 30, 2022, the Company had approximately $758.0 million in aggregate borrowings outstanding under its term loan, approximately $735.0 million in borrowings under its revolver, and approximately $99.0 million in letters of credit which left approximately $66.0 million in additional borrowing capacity under the revolver. The weighted average interest rate on outstanding borrowings under the Credit Agreement as of June 30, 2022 was 3.20%.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6.50% Exchangeable Senior Notes due 2026</w:t>
      </w:r>
    </w:p>
    <w:p>
      <w:pPr>
        <w:spacing w:after="0" w:line="198"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On February 24, 2021, the Company’s wholly-owned subsidiary, GEO Corrections Holdings, Inc. (“GEOCH”), completed a private offering of $230 million aggregate principal amount of Convertible Notes which included the full exercise of the initial purchasers’ over-allotment option to purchase an additional $30 million aggregate principal amount of Convertible Notes. The Convertible Notes will mature on February 23, 2026, unless earlier repurchased or exchanged. The Convertible Notes bear interest at the rate of 6.50%</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18" w:name="page19"/>
    <w:bookmarkEnd w:id="18"/>
    <w:p>
      <w:pPr>
        <w:ind w:right="260" w:firstLine="45"/>
        <w:spacing w:after="0" w:line="261" w:lineRule="auto"/>
        <w:rPr>
          <w:sz w:val="20"/>
          <w:szCs w:val="20"/>
          <w:color w:val="auto"/>
        </w:rPr>
      </w:pPr>
      <w:r>
        <w:rPr>
          <w:rFonts w:ascii="Arial" w:cs="Arial" w:eastAsia="Arial" w:hAnsi="Arial"/>
          <w:sz w:val="18"/>
          <w:szCs w:val="18"/>
          <w:color w:val="auto"/>
        </w:rPr>
        <w:t>per year plus an additional amount based on the dividends paid by the Company on its common stock, $0.01 par value per share. Interest on the notes is payable semi-annually in arrears on March 1 and September 1 of each year, beginning on September 1, 2021.</w:t>
      </w:r>
    </w:p>
    <w:p>
      <w:pPr>
        <w:spacing w:after="0" w:line="1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Subject to certain restrictions on share ownership and transfer, holders may exchange the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notes for each trading day of such measurement period was less than 98% of the product of the last reported sale price of the Company’s common stock and the exchange rate for the notes on each such trading day; or (2) upon the occurrence of certain specified corporate events. On or after November 25, 2025, until the close of business on the second scheduled trading day immediately preceding the maturity date of the notes, holders may exchange their notes at any time, regardless of the foregoing circumstances. Upon exchange of a note, GEO will pay or deliver, as the case may be, cash or a combination of cash and shares of the Company’s common stock. As of June 30, 2022, conditions had not been met to exchange the notes.</w:t>
      </w:r>
    </w:p>
    <w:p>
      <w:pPr>
        <w:spacing w:after="0" w:line="9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Upon conversion, the Company will pay or deliver, as the case may be, cash or a combination of cash and shares of common stock. The initial conversion rate is 108.4011 shares of common stock per $1,000 principal amount of Convertible Notes (equivalent to an initial conversion price of approximately $9.225 per share of common stock). The conversion rate will be subject to adjustment in certain events. If the Company or GEOCH undergoes a fundamental change, holders may require GEOCH to purchase the notes in whole or in part for cash at a fundamental change purchase price equal to 100% of the principal amount of the notes to be purchased, plus accrued and unpaid interest, if any, to, but excluding, the fundamental change purchase date.</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used the net proceeds from this offering, including the exercise in full of the initial purchasers' over-allotment option to fund the redemption of the then outstanding amount of approximately $194.0 million of the Company’s 5.875% Senior Notes due 2022, to re-purchase additional senior notes and used remaining net proceeds to pay related transaction fees and expenses, and for general corporate purposes of the Company. As a result of the redemption, deferred loan costs in the amount of approximately $0.7 million were written off to loss on extinguishment of debt during the six months ended June 30, 2021.</w:t>
      </w:r>
    </w:p>
    <w:p>
      <w:pPr>
        <w:spacing w:after="0" w:line="1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notes were offered in the United States only to persons reasonably believed to be “qualified institutional buyers” pursuant to Rule 144A under the Securities Act, and outside of the United States to non-U.S. persons in compliance with Regulation S under the Securities Act. Neither the notes nor any of the shares of the Company’s common stock issuable upon exchange of the notes, if any, have been, or will be, registered under the Securities Act and, unless so registered, may not be offered or sold in the United States, except pursuant to an applicable exemption from the registration requirements under the Securities Act.</w:t>
      </w:r>
    </w:p>
    <w:p>
      <w:pPr>
        <w:spacing w:after="0" w:line="32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elected to early adopt Accounting Standards Update ("ASU") 2020-06, Debt – Debt with Conversion and Other Options and Derivatives and Hedging – Contracts in Entity’s Own Equity, on January 1, 2021. The new standard simplifies the accounting for convertible debt by removing the requirements to separately present certain conversion features in equity. In addition, the new standard also simplifies the guidance in ASC 815-40, Derivatives and Hedging – Contract in Entity’s Own Equity, by removing certain criteria that must be satisfied to classify a contract as equity. Finally, the new standard revises the guidance on calculating earnings per share. The Company determined under the guidance of the new standard that the embedded conversion option does not require bifurcation and all proceeds were allocated to the Convertible Notes as a single instrument and is included in Long-Term Debt in the accompanying consolidated balance sheets. The costs incurred in the issuance, including the initial purchasers discount, totaling approximately $9.6 million, are classified as a cash outflow within the financing activities section in the consolidated statement of cash flows, and are also being amortized to expense over the term of the Convertible Notes.</w:t>
      </w:r>
    </w:p>
    <w:p>
      <w:pPr>
        <w:spacing w:after="0" w:line="3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Because the Company currently intends to settle conversions by paying cash up to the principal amount of the Convertible Notes, with any excess conversion value settled in shares of common stock, the Convertible Notes are being accounted for using the net settlement method (or treasury stock-type method) for the purposes of calculating diluted earnings per share. Using this method, the denominator will be affected when the average share price of the Company's common stock for a given period is greater than the conversion price of approximately $9.225 per share. There was no dilutive impact for the three and six months ended June 30, 2022 and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6.00% Senior Notes due 2026</w:t>
      </w:r>
    </w:p>
    <w:p>
      <w:pPr>
        <w:spacing w:after="0" w:line="77"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Interest on the 6.00% Senior Notes due 2026 accrues at the stated rate. The Company pays interest semi-annually in arrears on April 15 and October 15 of each year. On or after April 15, 2019, the Company may, at its option, redeem all or part of the 6.00% Senior Notes due 2026 at the redemption prices set forth in the indenture governing the 6.00% Senior Notes due 2026. The indenture contains certain covenants, including limitations and restrictions on the Company and its subsidiary guarantors.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5.875% Senior Notes due 2024</w:t>
      </w:r>
    </w:p>
    <w:p>
      <w:pPr>
        <w:spacing w:after="0" w:line="63"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Interest on the 5.875% Senior Notes due 2024 accrues at the stated rate. The Company pays interest semi-annually in arrears on April 15 and October 15 of each year. On or after October 15, 2019, the Company may, at its option, redeem all or part of the 5.875% Senior Notes due 2024 at the redemption prices set forth in the indenture governing the 5.875% Senior Notes due 2024. The indenture contains certain covenants, including limitations and restrictions on the Company and its subsidiary guarantors.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5.125% Senior Notes due 2023</w:t>
      </w:r>
    </w:p>
    <w:p>
      <w:pPr>
        <w:spacing w:after="0" w:line="50" w:lineRule="exact"/>
        <w:rPr>
          <w:sz w:val="20"/>
          <w:szCs w:val="20"/>
          <w:color w:val="auto"/>
        </w:rPr>
      </w:pPr>
    </w:p>
    <w:p>
      <w:pPr>
        <w:jc w:val="both"/>
        <w:ind w:right="80"/>
        <w:spacing w:after="0" w:line="219" w:lineRule="auto"/>
        <w:rPr>
          <w:sz w:val="20"/>
          <w:szCs w:val="20"/>
          <w:color w:val="auto"/>
        </w:rPr>
      </w:pPr>
      <w:r>
        <w:rPr>
          <w:rFonts w:ascii="Arial" w:cs="Arial" w:eastAsia="Arial" w:hAnsi="Arial"/>
          <w:sz w:val="18"/>
          <w:szCs w:val="18"/>
          <w:color w:val="auto"/>
        </w:rPr>
        <w:t>Interest on the 5.125% Senior Notes due 2023 accrues at the stated rate. The Company pays interest semi-annually in arrears on April 1 and October 1 of each year. On or after April 1, 2018, the Company may, at its option, redeem all or part of the 5.125% Senior Notes due 2023 at the redemption prices set forth in the indenture governing the 5.125% Senior Notes due 2023. The indenture contains certain covenants, including limitations and restrictions on the Company and its subsidiary guarantors.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Repurchases</w:t>
      </w:r>
    </w:p>
    <w:p>
      <w:pPr>
        <w:spacing w:after="0" w:line="50"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On August 16, 2019, the Company's Board of Directors authorized the Company to repurchase and/or retire a portion of the 6.00% Senior Notes due 2026, the 5.875% Senior Notes due 2024, the 5.125% Senior Notes due 2023, the 5.875% Senior Notes due 2022 (collectively the "GEO Senior Notes") and the Company's term loan under its Amended Credit Agreement through cash purchases, in open market purchases, privately negotiated transactions, or otherwise, up to an aggregate maximum of $100.0 million, subject to certain limitations through December 31, 2020. During the first quarter of 2021, the 5.875% Senior Notes due 2022 were redeemed in connection with the offering of the Convertible Notes discussed above. On February 11, 2021, the Board authorized a new repurchase program for repurchases/retirements of the above referenced GEO Senior Notes and term loan, subject to certain limitations up to an aggregate maximum of $100.0 million through December 31, 2022.</w:t>
      </w:r>
    </w:p>
    <w:p>
      <w:pPr>
        <w:spacing w:after="0" w:line="10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During the six months ended June 30, 2021, the Company repurchased $22.5 million in aggregate principal amount of its 5.125% Senior Notes due 2023 at a weighted average price of 90.68% for a total cost of $20.4 million. Additionally, the Company repurchased $17.2 million in aggregate principal amount of its 5.875% Senior Notes due 2024 at a weighted average price of 79.51% for a total cost of $13.7 million. As a result of these repurchases, the Company recognized a net gain on extinguishment of debt of $4.7 million, net of the write-off of associated unamortized deferred loan costs. There were no debt repurchases during the six months ended June 30,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Debt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Ravenhall</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connection with a design and build project agreement with the State of Victoria, in September 2014, the Company entered into a syndicated facility agreement (the "Construction Facility") to provide debt financing for construction of the project. The Construction Facility provided for non-recourse funding up to AUD791 million, or approximately $545.2 million, based on exchange rates as of June 30, 2022. In accordance with the terms of the contract, upon completion and commercial acceptance of the project in late 2017, the State of Victoria made a lump sum payment of AUD310 million, or approximately $213.7 million, based on exchange rates as of June 30, 2022. The term of the Construction Facility was through September 2020 and bore interest at a variable rate quoted by certain Australian banks plus 200 basis points. On May 22, 2019, the Company completed an offering of AUD461.6 million, or $318.2 million, based on exchange rates as of June 30, 2022, aggregate principal amount of non-recourse senior secured notes due 2042 (the "Non-Recourse Notes"). The amortizing Non-Recourse Notes were issued by Ravenhall Finance Co Pty Limited in a private placement pursuant to Section 4(a)(2) of the Securities Act of 1933, as amended. The Non-Recourse Notes were issued with a coupon and yield to maturity of 4.23% with a maturity date of March 31, 2042. The net proceeds from this offering were used to refinance the outstanding Construction Facility and to pay all related fees, costs and expenses associated with the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August 2019, the Company entered into two identical Notes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The Company has entered into interest rate swap agreements to fix the interest rate to 4.22%. Included in the balance at June 30, 2022 is $0.6 million of deferred loan costs incurred in the transaction. Refer to Note 9 - Derivative Financial Instruments for further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77"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Company has entered into a guarantee in connection with the operating performance of a facility in Australia. The obligation amounted to approximately AUD59 million, or $40.7 million, based on exchange rates as of June 30, 2022. The guarantee is secured by outstanding letters of credit under the Company's revolver.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0" w:name="page21"/>
    <w:bookmarkEnd w:id="20"/>
    <w:p>
      <w:pPr>
        <w:ind w:right="720"/>
        <w:spacing w:after="0" w:line="261" w:lineRule="auto"/>
        <w:rPr>
          <w:sz w:val="20"/>
          <w:szCs w:val="20"/>
          <w:color w:val="auto"/>
        </w:rPr>
      </w:pPr>
      <w:r>
        <w:rPr>
          <w:rFonts w:ascii="Arial" w:cs="Arial" w:eastAsia="Arial" w:hAnsi="Arial"/>
          <w:sz w:val="18"/>
          <w:szCs w:val="18"/>
          <w:color w:val="auto"/>
        </w:rPr>
        <w:t>As of June 30, 2022, the Company also had seven other letters of credit outstanding under separate international facilities relating to performance guarantees of its Australian subsidiary totaling $9.2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Except as discussed above, the Company does not have any off-balance sheet arrangements.</w:t>
      </w:r>
    </w:p>
    <w:p>
      <w:pPr>
        <w:spacing w:after="0" w:line="235" w:lineRule="exact"/>
        <w:rPr>
          <w:sz w:val="20"/>
          <w:szCs w:val="20"/>
          <w:color w:val="auto"/>
        </w:rPr>
      </w:pPr>
    </w:p>
    <w:p>
      <w:pPr>
        <w:ind w:right="5820" w:firstLine="8"/>
        <w:spacing w:after="0" w:line="360" w:lineRule="auto"/>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CONTINGENCIES AND OTHER MATTERS </w:t>
      </w:r>
      <w:r>
        <w:rPr>
          <w:rFonts w:ascii="Arial" w:cs="Arial" w:eastAsia="Arial" w:hAnsi="Arial"/>
          <w:sz w:val="18"/>
          <w:szCs w:val="18"/>
          <w:b w:val="1"/>
          <w:bCs w:val="1"/>
          <w:i w:val="1"/>
          <w:iCs w:val="1"/>
          <w:color w:val="auto"/>
        </w:rPr>
        <w:t>Litigation, Claims and Assessments</w:t>
      </w:r>
    </w:p>
    <w:p>
      <w:pPr>
        <w:spacing w:after="0" w:line="85"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On July 7, 2020, a purported shareholder class action lawsuit was filed against the Company, its then Chief Executive Officer, George C. Zoley (“Mr. Zoley”), and its Chief Financial Officer, Brian R. Evans (“Mr. Evans”), in the U.S. District Court for the Southern District of Florida. On October 1, 2020, the court entered an unopposed order appointing lead plaintiffs, approving the selection of counsel, dismissing the initial complaint, and setting a deadline for the filing of an amended complaint. On November 18, 2020, the lead plaintiffs filed a consolidated class action amended complaint. The amended complaint alleged that the Company and Messrs. Zoley and Evans––as well as J. David Donahue (“Mr. Donahue”), the Company’s former Senior Vice President and President of the U.S. Secure Services division, and Ann M. Schlarb (“Ms. Schlarb”), the Company’s Senior Vice President and President of the GEO Care division––made materially false and misleading statements and/or omissions related to GEO’s business––including quality of operations, corporate social responsibility, competitive strengths, pending litigation, business strategies, health and safety, sources of financing, dividend expectations, and COVID-19 procedures. The amended complaint was brought by lead plaintiffs James Michael DeLoach and Edward Oketola, individually and on behalf of a class consisting of all persons and entities––other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7, 2018 to August 5, 2020, inclusive. The amended complaint alleged that the defendants violated Sections 10(b) and 20(a) of the Securities Exchange Act of 1934, as amended (the “Exchange Act”), and Rule 10b-5 promulgated thereunder, and alleged that Messrs. Zoley, Evans, and Donahue and Ms. Schlarb violated Section 20(a) of the Exchange Act. On December 18, 2020, the defendants filed a motion to dismiss the amended complaint. On September 23, 2021, the court granted the motion to dismiss in part, and denied it in part. The court dismissed all claims against Messrs. Evans and Donahue, and Ms. Schlarb. The court also dismissed all claims against GEO and Mr. Zoley other than claims related to GEO's disclosures about pending litigation and directed plaintiffs to file an amended complaint in conformance with the court's order. On October 4, 2021, plaintiffs filed a consolidated class action second amended complaint. The second amended complaint alleges that GEO and Mr. Zoley violated Sections 10(b) and 20(a) of the Exchange Act by making materially false and misleading statements and/or omissions related to pending litigation, and seeks relief on behalf of a putative class consisting of all persons and entities–– 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9, 2018 to August 5, 2020, inclusive. The second amended complaint seeks damages, interest, attorneys’ fees, expert fees, other costs, and such other relief as the court may deem proper. On October 18, 2021, GEO and Mr. Zoley filed a motion to dismiss and/or to strike, arguing that the second amended complaint failed to comply with the court's prior dismissal order and contains allegations beyond the disclosures and time period permitted by the court. On June 21, 2022, the court granted the motion in part, and dismissed all claims in the second amended complaint other than those related to the Company’s statements about pending lawsuits made prior to July 17, 2019. On July 1, 2022, the Company and Mr. Zoley filed answers to the second amended complaint.</w:t>
      </w:r>
    </w:p>
    <w:p>
      <w:pPr>
        <w:spacing w:after="0" w:line="3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1, 2021, a putative shareholder derivative complaint was filed in Palm Beach County, Florida’s Circuit Court against the Company, as well as its then Chief Executive Officer, Mr. Zoley, its Chief Financial Officer, Mr. Evans, Ms. Schlarb, its Senior Vice President and President of the GEO Care division, and current and former Company directors Richard H. Glanton, Anne N. Foreman, Christopher C. Wheeler, Julie M. Wood, Guido van Hauwermeiren, Scott M. Kernan, Jose Gordo, and Duane Helkowski (collectively, “Defendants”). The complaint alleges breach of fiduciary duty and unjust enrichment claims against the individual Defendants relating to purported healthcare and quality of care deficiencies, an allegedly inadequate response to the COVID-19 pandemic, alleged forced labor by detainees, and alleged exposure to pending litigation, which purportedly led to damage to GEO. On September 28, 2021, Defendants filed a motion to stay, or alternatively motion to dismiss the complaint. On January 7, 2022, the Court entered an Agreed Order on Stay, staying this action until the resolution of the motion to dismiss and/or to strike pending in the federal purported shareholder class action lawsuit described above.</w:t>
      </w:r>
    </w:p>
    <w:p>
      <w:pPr>
        <w:spacing w:after="0" w:line="19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November 12, 2021, a putative shareholder derivative complaint was filed in the U.S. District Court for the Southern District of Florida against the Company, as well as its then Chief Executive Officer, Mr. Zoley, its Chief Financial Officer, Mr. Evans, Ms. Schlarb, its Senior Vice President and President of the GEO Care division, David Venturella, its Senior Vice President, J. David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21" w:name="page22"/>
    <w:bookmarkEnd w:id="21"/>
    <w:p>
      <w:pPr>
        <w:ind w:right="20"/>
        <w:spacing w:after="0" w:line="270" w:lineRule="auto"/>
        <w:rPr>
          <w:sz w:val="20"/>
          <w:szCs w:val="20"/>
          <w:color w:val="auto"/>
        </w:rPr>
      </w:pPr>
      <w:r>
        <w:rPr>
          <w:rFonts w:ascii="Arial" w:cs="Arial" w:eastAsia="Arial" w:hAnsi="Arial"/>
          <w:sz w:val="17"/>
          <w:szCs w:val="17"/>
          <w:color w:val="auto"/>
        </w:rPr>
        <w:t>Donahue, its former Senior Vice President and President, of the U.S. Secure Services division, and current and former Company directors Richard H. Glanton, Anne N. Foreman, Christopher C. Wheeler, Julie M. Wood, Guido van Hauwermeiren, Scott M. Kernan, Jose Gordo, and Duane Helkowski (collectively, “Defendants”). The complaint alleges that the individual Defendants violated Section 10(b) of the Securities Exchange Act of 1934, as amended (the “Exchange Act”), and Rule 10b-5 promulgated thereunder. The complaint also alleges breach of fiduciary duty, aiding and abetting breach of fiduciary duty, unjust enrichment, and waste of corporate assets against the individual Defendants relating to purported healthcare and quality of care deficiencies, an allegedly inadequate response to the COVID-19 pandemic, alleged forced labor by detainees, and alleged exposure to pending litigation, which purportedly led to damage to GEO. On January 14, 2022, the parties filed a joint motion to stay the action. On January 18, 2022, the court entered an Order Granting Joint Motion to Stay and Administratively Closing Case, staying this action pending the resolution of the federal purported shareholder class action lawsuit described above.</w:t>
      </w:r>
    </w:p>
    <w:p>
      <w:pPr>
        <w:spacing w:after="0" w:line="14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Former civil immigration detainees at the Aurora ICE Processing Center filed a class action lawsuit on October 22, 2014, against the Company in the U.S. District Court for the District of Colorado. The complaint alleges that the Company was in violation of the Colorado Minimum Wages of Workers Act and the Federal Trafficking Victims Protection Act (“TVPA”). The plaintiff class claims that the Company was unjustly enriched because of the level of payment the detainees received for work performed at the facility, even though the voluntary work program as well as the wage rates and standards associated with the program that are at issue in the case are authorized by the Federal government under guidelines approved by the United States Congress. On July 6, 2015, the court found that detainees were not employees under the Colorado Minimum Wage Order and dismissed this claim. In February 2017, the court granted the plaintiff-class’ motion for class certification on the TVPA and unjust enrichment claims. The plaintiff class seeks actual damages, compensatory damages, exemplary damages, punitive damages, restitution, attorneys’ fees and costs, and such other relief as the court may deem proper.</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time since the Colorado suit was initially filed, four similar lawsuits have been filed - two in Washington and two in California. The first of the two Washington lawsuits was filed on September 9,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Washington State minimum wage laws should be enforced with respect to detainees who volunteer to participate in a Voluntary Work Program administered by GEO at the Center as required by the U.S. Department of Homeland Security under the terms of GEO’s contract. The Center houses persons in the custody of federal immigration authorities while their immigration status is being determined by the federal government.</w:t>
      </w:r>
    </w:p>
    <w:p>
      <w:pPr>
        <w:spacing w:after="0" w:line="13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California, a class-action lawsuit was filed on December 19, 2017 by immigration detainees against the Company in the U.S. District Court Eastern Division of the Central District of California. All three lawsuits allege violations of the respective state’s minimum wage laws. However, the California lawsuit, like the Colorado suit, also includes claims that the Company violated the TVPA and California's equivalent state statute. The California court certified a nationwide class which would allow the plaintiffs to primarily seek injunctive relief or policy changes at a number of facilities if they are successful on the merits of their claims. On August 9, 2021, the California court conducted a hearing on defendant’s Motion for Summary Judgment and Motion to Decertify Class, as well as plaintiffs’ Motion for Partial Summary Judgment. The Motion to Decertify Class was granted. The plaintiffs’ and defendant’s Motion for Summary Judgment are pending. On March 31, 2022, Judge Bernal entered a stay of the California case until the Ninth Circuit rules on the Washington cases.</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July 2, 2019, the Company filed a Motion for Summary Judgment in the Washington Attorney General’s Tacoma lawsuit based on the Company’s position that its legal defenses prevent the case from proceeding to trial. The federal court in Washington denied the Company's Motion for Summary Judgment on August 6, 2019. However, on August 20, 2019, the DOJ filed a Statement of Interest, which asked the Washington court to revisit its prior denial of the Company's intergovernmental immunity defense in the case. While the Washington court ultimately elected not to dismiss the case at the time, its order declared that the Company's intergovernmental immunity defense was legally viable, to be ultimately determined at trial. After putting the lawsuits on “standby” for most of 2020 due to the COVID-19 pandemic, the trial court entered an order setting both suits for an estimated three-week trial beginning June 1, 2021. The court ordered a remote trial, but with the possibility of in-person proceedings. The order noted the Company’s exception to the remote trial setting. The Company filed a motion for reconsideration of the judge’s order setting a remote trial on April 8, 2021, requesting that the trial date be moved from June 1, 2021 to the earliest possible date after July 1, 2021, when the State of Washington plans to allow in-person trials to resume. On April 9, 2021, the Washington court denied the motion for reconsideration for an in-person trial, ruling that a “hybrid” trial, with some parts being conducted in-person with COVID-19 precautions, would begin on June 1, 2021. On June 1, 2021, the remote Zoom trial began. On June 17, 2021, the trial judge declared a mistrial when the jury was unable to reach a unanimous verdict. The in-person jury re-trial began on October 12, 2021. In October 2021, an unfavorable jury verdict resulting in a combined $23.2 million judgment was entered against the Company in the retrial of two cases, State of Washington v. GEO Group and Nwauzor et. al. v. GEO Group (the “lawsuits”), in the U.S. District Court for the Western District of Washington, which judgment amounts were subsequently increased by a further award against the Company of attorney’s fees, costs and interest 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spacing w:after="0" w:line="246" w:lineRule="auto"/>
        <w:rPr>
          <w:sz w:val="20"/>
          <w:szCs w:val="20"/>
          <w:color w:val="auto"/>
        </w:rPr>
      </w:pPr>
      <w:r>
        <w:rPr>
          <w:rFonts w:ascii="Arial" w:cs="Arial" w:eastAsia="Arial" w:hAnsi="Arial"/>
          <w:sz w:val="18"/>
          <w:szCs w:val="18"/>
          <w:color w:val="auto"/>
        </w:rPr>
        <w:t>the amount of $12.7 million. The trial court has waived the necessity to post a supersedeas bond for the combined judgments and has stayed enforcement of the verdict and judgments while GEO’s appeal to the U.S. Court of Appeals for the Ninth Circuit is pending.</w:t>
      </w:r>
    </w:p>
    <w:p>
      <w:pPr>
        <w:spacing w:after="0" w:line="14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GEO strongly disagrees with the verdict and judgments in the retrial of the lawsuits. GEO has raised several issues on appeal to the U.S. Court of Appeals for the Ninth Circuit, including the applicability of the state of Washington’s Minimum Wage Act to detainees who participate in the federally mandated Voluntary Work Program at the Northwest ICE Processing Center (the “Center”), and the affirmative defenses that GEO believes were wrongly dismissed in these cases. GEO looks forward to having those and other related issues heard on appeal based on GEO’s belief that the cases were wrongly decided. GEO intends to take all necessary steps to vigorously defend itself. The Company has not established an accrual for this judgment as it believes a potential loss related to this case is not probable.</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This lawsuit is similar to the cases in Colorado, Washington and California discussed above. The complaint alleges that federal detainees who volunteer to participate in the Voluntary Work Program ("VWP") at GEO’s Mesa Verde and Golden State Annex ICE facilities are employees of GEO and entitled to the state’s minimum wage. Plaintiffs also make claims for unjust enrichment, human trafficking and forced labor. GEO believes it operates the VWP in full compliance with its contract with ICE and all applicable laws, regulations, and standards. GEO strongly disagrees with the allegations of the complaint and intends to take all necessary steps to vigorously defend itself.</w:t>
      </w:r>
    </w:p>
    <w:p>
      <w:pPr>
        <w:spacing w:after="0" w:line="15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December 30, 2019, the Company filed a lawsuit for declaratory and injunctive relief challenging California’s newly enacted law - Assembly Bill 32 ("AB-32") - which bars the federal government from engaging the Company or any other government contractors to provide detention services for illegal immigrants. The Company’s claims, as described in the lawsuit, are grounded in authoritative legal doctrine that under the Constitution’s Supremacy Clause, the federal government is free from regulation by any state. By prohibiting federal detention facilities in California, the suit argues AB-32 substantially interferes with the ability of USMS and ICE to carry out detention responsibilities for the federal government. Secondly, because AB-32 creates exceptions to the State of California when using the Company or any government contractors (to alleviate overcrowding), California’s statute unlawfully discriminates against the federal government. On December 31, 2019, GEO filed its motion for a preliminary injunction restraining California’s Governor and Attorney General from enforcing AB-32 against the Company’s detention facilities on behalf of USMS and ICE. On January 24, 2020, the United States filed a lawsuit challenging AB-32. The court heard motions for preliminary injunction from the Company and the United States on July 16, 2020. The court ordered the parties to submit supplemental briefing and indicated it would render an opinion sometime after the filing deadline of August 18, 2020. On July 20, 2020, the court consolidated both lawsuits. On October 8, 2020, the court issued an order granting, in part, and denying in part, the Company and the United States’ motions and California’s motion to dismiss. Among other findings, the court (1) dismissed the Company’s intergovernmental immunity claims as well as the United States’ preemption claims as applied to ICE facilities; (2) found that the Company and the United States were likely to succeed on the preemption claims as applied to U.S. Marshals’ facilities and enjoined enforcing AB-32 against those facilities; and (3) refused to enjoin California from enforcing AB-32 against ICE contracts with the Company and the United States. The Company and the United States appealed to the Ninth Circuit Court of Appeals. Oral argument was held on June 7, 2021. On October 5, 2021, the Ninth Circuit Court of Appeals reversed the lower court’s decision, holding that AB-32 conflicted with federal law and could not stand. On April 26, 2022, the Ninth Circuit granted California’s petition for an en banc hearing and vacated the previous panel’s opinion. En banc arguments took place the week of June 21, 2022, in Pasadena, California.</w:t>
      </w:r>
    </w:p>
    <w:p>
      <w:pPr>
        <w:spacing w:after="0" w:line="14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April 29, 2021, the Company filed a lawsuit for declaratory and injunctive relief challenging the State of Washington’s newly enacted law – House Bill 1090 ("EHB 1090") – that purports to prohibit the United States from using detention facilities operated by private contractors to house detainees in the custody of U.S. Immigration and Customs Enforcement (“ICE”). The court has entered a stay in this action pending the final resolution of the AB-32 appeal.</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or could result in a material impairment of the Company’s assets. The Company's accruals for loss contingencies are reviewed quarterly and adjusted as additional information becomes available. The Company does not accrue for anticipated legal fees and costs but expenses those items as incurred.</w:t>
      </w:r>
    </w:p>
    <w:p>
      <w:pPr>
        <w:spacing w:after="0" w:line="13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nature of the Company's business also exposes it to various other third-party legal claims or litigation against the Company, including, but not limited to, civil rights claims relating to conditions of confinement and/or mistreatment, sexual misconduct claims brought by individuals in its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23" w:name="page24"/>
    <w:bookmarkEnd w:id="23"/>
    <w:p>
      <w:pPr>
        <w:ind w:right="20"/>
        <w:spacing w:after="0" w:line="246" w:lineRule="auto"/>
        <w:rPr>
          <w:sz w:val="20"/>
          <w:szCs w:val="20"/>
          <w:color w:val="auto"/>
        </w:rPr>
      </w:pPr>
      <w:r>
        <w:rPr>
          <w:rFonts w:ascii="Arial" w:cs="Arial" w:eastAsia="Arial" w:hAnsi="Arial"/>
          <w:sz w:val="18"/>
          <w:szCs w:val="18"/>
          <w:color w:val="auto"/>
        </w:rPr>
        <w:t>facilities, programs, electronic monitoring products, personnel or detainees, including damages arising from the escape of an individual in its care or from a disturbance or riot at a facility.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Assessment</w:t>
      </w:r>
    </w:p>
    <w:p>
      <w:pPr>
        <w:spacing w:after="0" w:line="77" w:lineRule="exact"/>
        <w:rPr>
          <w:sz w:val="20"/>
          <w:szCs w:val="20"/>
          <w:color w:val="auto"/>
        </w:rPr>
      </w:pPr>
    </w:p>
    <w:p>
      <w:pPr>
        <w:ind w:right="80" w:firstLine="225"/>
        <w:spacing w:after="0" w:line="274" w:lineRule="auto"/>
        <w:rPr>
          <w:sz w:val="20"/>
          <w:szCs w:val="20"/>
          <w:color w:val="auto"/>
        </w:rPr>
      </w:pPr>
      <w:r>
        <w:rPr>
          <w:rFonts w:ascii="Arial" w:cs="Arial" w:eastAsia="Arial" w:hAnsi="Arial"/>
          <w:sz w:val="16"/>
          <w:szCs w:val="16"/>
          <w:color w:val="auto"/>
        </w:rPr>
        <w:t>A state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approved by the state tax authority and served as the basis for the approved refund claim. In early January 2017, the Company received a formal Notice of Assessment of Taxes and Demand for Payment from the taxing authority disallowing the deductions. The total tax, penalty and interest related to the assessment is approximately $19.6 million. The Company is appealing an administrative ruling and disagrees with the assessment and intends to take all necessary steps to vigorously defend its position. The Company has established a reserve based on its estimate of the most probable loss based on the facts and circumstances known to date and the advice of outside counsel in connection with this matter.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CARES Act</w:t>
      </w:r>
    </w:p>
    <w:p>
      <w:pPr>
        <w:spacing w:after="0" w:line="90" w:lineRule="exact"/>
        <w:rPr>
          <w:sz w:val="20"/>
          <w:szCs w:val="20"/>
          <w:color w:val="auto"/>
        </w:rPr>
      </w:pPr>
    </w:p>
    <w:p>
      <w:pPr>
        <w:ind w:firstLine="198"/>
        <w:spacing w:after="0"/>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allowed employers to defer the deposit and payment of the employer's share of Social Security taxes. The deferral applied to deposits and payments of the employer’s share of Social Security tax that would otherwise be required to be made during the period beginning on March 27, 2020 and ending on December 31, 2021. The deferred amounts are due to be paid in two equal installments no later than December 31, 2021 and December 31, 2022. The Company paid the first installment in September 2021. The balance of the deferred payroll taxes is approximately $20.0 million as of June 30,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20" w:firstLine="198"/>
        <w:spacing w:after="0" w:line="243" w:lineRule="auto"/>
        <w:rPr>
          <w:sz w:val="20"/>
          <w:szCs w:val="20"/>
          <w:color w:val="auto"/>
        </w:rPr>
      </w:pPr>
      <w:r>
        <w:rPr>
          <w:rFonts w:ascii="Arial" w:cs="Arial" w:eastAsia="Arial" w:hAnsi="Arial"/>
          <w:sz w:val="18"/>
          <w:szCs w:val="18"/>
          <w:color w:val="auto"/>
        </w:rPr>
        <w:t>The Company currently has contractual commitments for a number of projects using Company financing. The Company’s management estimates that the cost of these existing active capital projects will be approximately $30.3 million of which $9.5 million was spent through the first six months of 2022. The Company estimates the remaining capital requirements related to these capital projects will be $20.8 million which will be spent through the remainder of 2022.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Idle Facilities</w:t>
      </w:r>
    </w:p>
    <w:p>
      <w:pPr>
        <w:spacing w:after="0" w:line="7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of June 30, 2022, the Company was marketing nine of its idle facilities to potential customers. The carrying values of these idle facilities are included in Property and Equipment, Net and Assets for Sale in the accompanying consolidated balance sheets. The following table summarizes each of the idled facilities and their respective carrying values, excluding equipment and other assets that can be easily transferred for use at other facilities. There was no indication of impairment related to the Company's idle facilities as of June 30,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Design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Net Carrying Value</w:t>
            </w:r>
          </w:p>
        </w:tc>
      </w:tr>
      <w:tr>
        <w:trPr>
          <w:trHeight w:val="221"/>
        </w:trPr>
        <w:tc>
          <w:tcPr>
            <w:tcW w:w="370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Facility</w:t>
            </w:r>
          </w:p>
        </w:tc>
        <w:tc>
          <w:tcPr>
            <w:tcW w:w="420" w:type="dxa"/>
            <w:vAlign w:val="bottom"/>
          </w:tcPr>
          <w:p>
            <w:pPr>
              <w:spacing w:after="0"/>
              <w:rPr>
                <w:sz w:val="19"/>
                <w:szCs w:val="19"/>
                <w:color w:val="auto"/>
              </w:rPr>
            </w:pP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Segment</w:t>
            </w:r>
          </w:p>
        </w:tc>
        <w:tc>
          <w:tcPr>
            <w:tcW w:w="420" w:type="dxa"/>
            <w:vAlign w:val="bottom"/>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Capacity</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Year Idled</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2022</w:t>
            </w:r>
          </w:p>
        </w:tc>
      </w:tr>
      <w:tr>
        <w:trPr>
          <w:trHeight w:val="196"/>
        </w:trPr>
        <w:tc>
          <w:tcPr>
            <w:tcW w:w="3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Great Plains Correctional Facility</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Secure Services</w:t>
            </w: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1,940</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70,684</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D. Ray James Correctional Facility</w:t>
            </w:r>
          </w:p>
        </w:tc>
        <w:tc>
          <w:tcPr>
            <w:tcW w:w="4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Secure Services</w:t>
            </w:r>
          </w:p>
        </w:tc>
        <w:tc>
          <w:tcPr>
            <w:tcW w:w="1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1,900</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2021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51,756</w:t>
            </w:r>
          </w:p>
        </w:tc>
      </w:tr>
      <w:tr>
        <w:trPr>
          <w:trHeight w:val="203"/>
        </w:trPr>
        <w:tc>
          <w:tcPr>
            <w:tcW w:w="3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Rivers Correctional Facility</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Secure Services</w:t>
            </w:r>
          </w:p>
        </w:tc>
        <w:tc>
          <w:tcPr>
            <w:tcW w:w="16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1,450</w:t>
            </w:r>
          </w:p>
        </w:tc>
        <w:tc>
          <w:tcPr>
            <w:tcW w:w="15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38,767</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Big Spring Correctional Facility</w:t>
            </w:r>
          </w:p>
        </w:tc>
        <w:tc>
          <w:tcPr>
            <w:tcW w:w="4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Secure Services</w:t>
            </w:r>
          </w:p>
        </w:tc>
        <w:tc>
          <w:tcPr>
            <w:tcW w:w="1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1,732</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2021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34,385</w:t>
            </w:r>
          </w:p>
        </w:tc>
      </w:tr>
      <w:tr>
        <w:trPr>
          <w:trHeight w:val="203"/>
        </w:trPr>
        <w:tc>
          <w:tcPr>
            <w:tcW w:w="3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Flightline Correctional Facility</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Secure Services</w:t>
            </w:r>
          </w:p>
        </w:tc>
        <w:tc>
          <w:tcPr>
            <w:tcW w:w="16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1,800</w:t>
            </w:r>
          </w:p>
        </w:tc>
        <w:tc>
          <w:tcPr>
            <w:tcW w:w="15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36,072</w:t>
            </w:r>
          </w:p>
        </w:tc>
      </w:tr>
      <w:tr>
        <w:trPr>
          <w:trHeight w:val="202"/>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w w:val="97"/>
              </w:rPr>
              <w:t>McFarland Female Community Reentry Facility</w:t>
            </w:r>
          </w:p>
        </w:tc>
        <w:tc>
          <w:tcPr>
            <w:tcW w:w="4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Secure Services</w:t>
            </w:r>
          </w:p>
        </w:tc>
        <w:tc>
          <w:tcPr>
            <w:tcW w:w="1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300</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2020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11,176</w:t>
            </w:r>
          </w:p>
        </w:tc>
      </w:tr>
      <w:tr>
        <w:trPr>
          <w:trHeight w:val="203"/>
        </w:trPr>
        <w:tc>
          <w:tcPr>
            <w:tcW w:w="3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Cheyenne Mountain Recovery Center</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Secure Services</w:t>
            </w:r>
          </w:p>
        </w:tc>
        <w:tc>
          <w:tcPr>
            <w:tcW w:w="16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750</w:t>
            </w:r>
          </w:p>
        </w:tc>
        <w:tc>
          <w:tcPr>
            <w:tcW w:w="15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16,858</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Coleman Hall</w:t>
            </w:r>
          </w:p>
        </w:tc>
        <w:tc>
          <w:tcPr>
            <w:tcW w:w="4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Reentry Services</w:t>
            </w:r>
          </w:p>
        </w:tc>
        <w:tc>
          <w:tcPr>
            <w:tcW w:w="1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350</w:t>
            </w:r>
          </w:p>
        </w:tc>
        <w:tc>
          <w:tcPr>
            <w:tcW w:w="1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2017</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7,943</w:t>
            </w:r>
          </w:p>
        </w:tc>
      </w:tr>
      <w:tr>
        <w:trPr>
          <w:trHeight w:val="203"/>
        </w:trPr>
        <w:tc>
          <w:tcPr>
            <w:tcW w:w="3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Hector Garza Center</w:t>
            </w:r>
          </w:p>
        </w:tc>
        <w:tc>
          <w:tcPr>
            <w:tcW w:w="42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Reentry Services</w:t>
            </w:r>
          </w:p>
        </w:tc>
        <w:tc>
          <w:tcPr>
            <w:tcW w:w="4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139</w:t>
            </w:r>
          </w:p>
        </w:tc>
        <w:tc>
          <w:tcPr>
            <w:tcW w:w="1560" w:type="dxa"/>
            <w:vAlign w:val="bottom"/>
            <w:tcBorders>
              <w:bottom w:val="single" w:sz="8" w:color="CFF0FC"/>
            </w:tcBorders>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2020</w:t>
            </w:r>
          </w:p>
        </w:tc>
        <w:tc>
          <w:tcPr>
            <w:tcW w:w="3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4,972</w:t>
            </w:r>
          </w:p>
        </w:tc>
      </w:tr>
      <w:tr>
        <w:trPr>
          <w:trHeight w:val="196"/>
        </w:trPr>
        <w:tc>
          <w:tcPr>
            <w:tcW w:w="37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8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10,361</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272,613</w:t>
            </w:r>
          </w:p>
        </w:tc>
      </w:tr>
      <w:tr>
        <w:trPr>
          <w:trHeight w:val="20"/>
        </w:trPr>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-159385</wp:posOffset>
            </wp:positionV>
            <wp:extent cx="21463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4630"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5" w:lineRule="exact"/>
        <w:rPr>
          <w:sz w:val="20"/>
          <w:szCs w:val="20"/>
          <w:color w:val="auto"/>
        </w:rPr>
      </w:pPr>
    </w:p>
    <w:p>
      <w:pPr>
        <w:ind w:right="5940" w:firstLine="8"/>
        <w:spacing w:after="0" w:line="360"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SEGMENTS AND GEOGRAPHIC INFORMATION </w:t>
      </w:r>
      <w:r>
        <w:rPr>
          <w:rFonts w:ascii="Arial" w:cs="Arial" w:eastAsia="Arial" w:hAnsi="Arial"/>
          <w:sz w:val="18"/>
          <w:szCs w:val="18"/>
          <w:b w:val="1"/>
          <w:bCs w:val="1"/>
          <w:i w:val="1"/>
          <w:iCs w:val="1"/>
          <w:color w:val="auto"/>
        </w:rPr>
        <w:t>Operating and Reporting Segments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4" w:name="page25"/>
    <w:bookmarkEnd w:id="24"/>
    <w:p>
      <w:pPr>
        <w:ind w:right="20"/>
        <w:spacing w:after="0" w:line="251" w:lineRule="auto"/>
        <w:rPr>
          <w:sz w:val="20"/>
          <w:szCs w:val="20"/>
          <w:color w:val="auto"/>
        </w:rPr>
      </w:pPr>
      <w:r>
        <w:rPr>
          <w:rFonts w:ascii="Arial" w:cs="Arial" w:eastAsia="Arial" w:hAnsi="Arial"/>
          <w:sz w:val="17"/>
          <w:szCs w:val="17"/>
          <w:color w:val="auto"/>
        </w:rPr>
        <w:t>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 The Company determined that its previously reportable business segment, Facility Construction and Design, no longer qualifies as a reportable segment as it no longer meets certain quantitative thresholds and has been aggregated with the Company’s International Services reportable business segment below. In addition, the Company appointed a new Chief Executive Officer, the chief operating decision maker, during fiscal 2021. Based on changes to the way the Company’s chief operating decision maker views the business and financial results used to allocate resources to its electronic monitoring and supervision services operations, along with the growth of the business, the Company will report the electronic monitoring and supervision services operation as a separate reportable segment. This new segment will be presented as Electronic Monitoring and Supervision Services. Previously, the electronic monitoring and supervision services operations were included in the GEO Care reportable segment. In addition, the GEO Care reportable segment was renamed Reentry Services and will include services provided to adults for residential and non-residential treatment, educational and community-based programs, pre-release and half-way house programs. Reentry Services also includes activities for our former youth division for half of 2021 and all historical periods. The youth division was divested on July 1, 2021. The Company has retroactively restated its segment presentation for the three and six months ended June 30, 2021 to reflect these changes.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continuing operations. All transactions between segments are eliminated.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revenues from external customers and a measure of segment profit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w w:val="99"/>
              </w:rPr>
              <w:t>June 30,</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U.S. Secure Services</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353,402</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368,394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704,647</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755,405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Electronic Monitoring and Supervision Services</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121,484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64,835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209,405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125,213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Reentry Services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65,720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77,070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127,151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152,174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International Services</w:t>
            </w: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47,571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55,120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98,159</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109,004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588,177</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565,419</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9"/>
              </w:rPr>
              <w:t>1,139,362</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w w:val="99"/>
              </w:rPr>
              <w:t>1,141,796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Operating income from segments:</w:t>
            </w: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U.S. Secure Services</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72,824</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78,902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147,532</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147,416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Electronic Monitoring and Supervision Services</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54,245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28,991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93,165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54,468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Reentry Services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14,207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24,211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26,340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International Services</w:t>
            </w: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3,094</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5,804</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9,548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12,989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color w:val="auto"/>
              </w:rPr>
              <w:t>Operating income from segments</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144,370</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127,104</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274,456</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241,213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 Expenses</w:t>
            </w: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(49,296 )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(54,688 )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(97,856 )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(103,167 )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color w:val="auto"/>
              </w:rPr>
              <w:t>Total Operating Income</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95,074</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72,416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176,600</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138,046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-1839595</wp:posOffset>
            </wp:positionV>
            <wp:extent cx="768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-1839595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-1839595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-1033780</wp:posOffset>
            </wp:positionV>
            <wp:extent cx="768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-1033780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-1033780</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-767715</wp:posOffset>
            </wp:positionV>
            <wp:extent cx="768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-767715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-767715</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Pre-Tax Income Reconciliation of Segments</w:t>
      </w:r>
    </w:p>
    <w:p>
      <w:pPr>
        <w:spacing w:after="0" w:line="7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is a reconciliation of the Company’s total operating income from its reportable segments to the Company’s income before income taxes and equity in earnings of affiliates (in thousands):</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Operating income from segments</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Unallocated amounts:</w:t>
      </w:r>
    </w:p>
    <w:p>
      <w:pPr>
        <w:ind w:left="760"/>
        <w:spacing w:after="0" w:line="234" w:lineRule="auto"/>
        <w:rPr>
          <w:sz w:val="20"/>
          <w:szCs w:val="20"/>
          <w:color w:val="auto"/>
        </w:rPr>
      </w:pPr>
      <w:r>
        <w:rPr>
          <w:rFonts w:ascii="Arial" w:cs="Arial" w:eastAsia="Arial" w:hAnsi="Arial"/>
          <w:sz w:val="18"/>
          <w:szCs w:val="18"/>
          <w:color w:val="auto"/>
        </w:rPr>
        <w:t>General and administrative expenses</w:t>
      </w:r>
    </w:p>
    <w:p>
      <w:pPr>
        <w:ind w:left="760"/>
        <w:spacing w:after="0" w:line="235" w:lineRule="auto"/>
        <w:rPr>
          <w:sz w:val="20"/>
          <w:szCs w:val="20"/>
          <w:color w:val="auto"/>
        </w:rPr>
      </w:pPr>
      <w:r>
        <w:rPr>
          <w:rFonts w:ascii="Arial" w:cs="Arial" w:eastAsia="Arial" w:hAnsi="Arial"/>
          <w:sz w:val="18"/>
          <w:szCs w:val="18"/>
          <w:color w:val="auto"/>
        </w:rPr>
        <w:t>Net interest expense</w:t>
      </w:r>
    </w:p>
    <w:p>
      <w:pPr>
        <w:ind w:left="760"/>
        <w:spacing w:after="0" w:line="235" w:lineRule="auto"/>
        <w:rPr>
          <w:sz w:val="20"/>
          <w:szCs w:val="20"/>
          <w:color w:val="auto"/>
        </w:rPr>
      </w:pPr>
      <w:r>
        <w:rPr>
          <w:rFonts w:ascii="Arial" w:cs="Arial" w:eastAsia="Arial" w:hAnsi="Arial"/>
          <w:sz w:val="18"/>
          <w:szCs w:val="18"/>
          <w:color w:val="auto"/>
        </w:rPr>
        <w:t>Gain on extinguishment of debt</w:t>
      </w:r>
    </w:p>
    <w:p>
      <w:pPr>
        <w:ind w:left="760"/>
        <w:spacing w:after="0"/>
        <w:rPr>
          <w:sz w:val="20"/>
          <w:szCs w:val="20"/>
          <w:color w:val="auto"/>
        </w:rPr>
      </w:pPr>
      <w:r>
        <w:rPr>
          <w:rFonts w:ascii="Arial" w:cs="Arial" w:eastAsia="Arial" w:hAnsi="Arial"/>
          <w:sz w:val="18"/>
          <w:szCs w:val="18"/>
          <w:color w:val="auto"/>
        </w:rPr>
        <w:t>(Loss) gain on disposition of real estate</w:t>
      </w:r>
    </w:p>
    <w:p>
      <w:pPr>
        <w:spacing w:after="0" w:line="7" w:lineRule="exact"/>
        <w:rPr>
          <w:sz w:val="20"/>
          <w:szCs w:val="20"/>
          <w:color w:val="auto"/>
        </w:rPr>
      </w:pPr>
    </w:p>
    <w:p>
      <w:pPr>
        <w:ind w:left="720" w:right="560" w:hanging="134"/>
        <w:spacing w:after="0" w:line="226" w:lineRule="auto"/>
        <w:rPr>
          <w:sz w:val="20"/>
          <w:szCs w:val="20"/>
          <w:color w:val="auto"/>
        </w:rPr>
      </w:pPr>
      <w:r>
        <w:rPr>
          <w:rFonts w:ascii="Arial" w:cs="Arial" w:eastAsia="Arial" w:hAnsi="Arial"/>
          <w:sz w:val="18"/>
          <w:szCs w:val="18"/>
          <w:color w:val="auto"/>
        </w:rPr>
        <w:t>Income before income taxes and equity in earnings of affiliates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180" w:type="dxa"/>
            <w:vAlign w:val="bottom"/>
          </w:tcPr>
          <w:p>
            <w:pPr>
              <w:spacing w:after="0"/>
              <w:rPr>
                <w:sz w:val="11"/>
                <w:szCs w:val="11"/>
                <w:color w:val="auto"/>
              </w:rPr>
            </w:pPr>
          </w:p>
        </w:tc>
        <w:tc>
          <w:tcPr>
            <w:tcW w:w="98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w w:val="99"/>
              </w:rPr>
              <w:t>June 30,</w:t>
            </w:r>
          </w:p>
        </w:tc>
      </w:tr>
      <w:tr>
        <w:trPr>
          <w:trHeight w:val="185"/>
        </w:trPr>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144,370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127,104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274,456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241,213</w:t>
            </w:r>
          </w:p>
        </w:tc>
      </w:tr>
      <w:tr>
        <w:trPr>
          <w:trHeight w:val="363"/>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(49,296 )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(54,688 )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(97,856 )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(103,167 )</w:t>
            </w:r>
          </w:p>
        </w:tc>
      </w:tr>
      <w:tr>
        <w:trPr>
          <w:trHeight w:val="203"/>
        </w:trPr>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(27,663 )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(26,068 )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(53,656 )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(51,710 )</w:t>
            </w:r>
          </w:p>
        </w:tc>
      </w:tr>
      <w:tr>
        <w:trPr>
          <w:trHeight w:val="203"/>
        </w:trPr>
        <w:tc>
          <w:tcPr>
            <w:tcW w:w="180" w:type="dxa"/>
            <w:vAlign w:val="bottom"/>
          </w:tcPr>
          <w:p>
            <w:pPr>
              <w:spacing w:after="0"/>
              <w:rPr>
                <w:sz w:val="17"/>
                <w:szCs w:val="17"/>
                <w:color w:val="auto"/>
              </w:rPr>
            </w:pPr>
          </w:p>
        </w:tc>
        <w:tc>
          <w:tcPr>
            <w:tcW w:w="9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4,693</w:t>
            </w:r>
          </w:p>
        </w:tc>
      </w:tr>
      <w:tr>
        <w:trPr>
          <w:trHeight w:val="217"/>
        </w:trPr>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3,680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10,379</w:t>
            </w:r>
          </w:p>
        </w:tc>
      </w:tr>
      <w:tr>
        <w:trPr>
          <w:trHeight w:val="33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71,091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45,052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125,997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101,408</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-1019810</wp:posOffset>
            </wp:positionV>
            <wp:extent cx="641223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-762635</wp:posOffset>
            </wp:positionV>
            <wp:extent cx="641223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-505460</wp:posOffset>
            </wp:positionV>
            <wp:extent cx="641223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-239395</wp:posOffset>
            </wp:positionV>
            <wp:extent cx="6412230"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5020" w:space="720"/>
            <w:col w:w="5500"/>
          </w:cols>
          <w:pgMar w:left="320" w:top="571" w:right="339" w:bottom="1440" w:gutter="0" w:footer="0" w:header="0"/>
          <w:type w:val="continuous"/>
        </w:sectPr>
      </w:pPr>
    </w:p>
    <w:p>
      <w:pPr>
        <w:jc w:val="both"/>
        <w:ind w:right="140"/>
        <w:spacing w:after="0" w:line="243" w:lineRule="auto"/>
        <w:rPr>
          <w:sz w:val="20"/>
          <w:szCs w:val="20"/>
          <w:color w:val="auto"/>
        </w:rPr>
      </w:pPr>
      <w:r>
        <w:rPr>
          <w:rFonts w:ascii="Arial" w:cs="Arial" w:eastAsia="Arial" w:hAnsi="Arial"/>
          <w:sz w:val="18"/>
          <w:szCs w:val="18"/>
          <w:color w:val="auto"/>
        </w:rPr>
        <w:t>Equity in earnings of affiliates includes the Company’s 50% owned joint ventures in South African Custodial Services Pty. Limited (“SACS”), located in South Africa, and GEOAmey PECS Limited (“GEOAmey”), located in the United Kingdom. The Company's investments in these entities are accounted for under the equity method of accounting. The Company’s investments in these entities are presented as a component of Other Non-Current Assets in the accompanying consolidated balance sheets.</w:t>
      </w:r>
    </w:p>
    <w:p>
      <w:pPr>
        <w:spacing w:after="0" w:line="13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Company has recorded $1.5 million in earnings, net of tax, for SACS operations during the six months ended June 30, 2022, and $1.8 million in earnings, net of tax, for SACS operations during the six months ended June 30, 2021, which are included in equity in earnings of affiliates, net of income tax provision in the accompanying consolidated statements of operations. As of June 30, 2022, and December 31, 2021, the Company’s investment in SACS was $9.9 million and $10.3 million, respectively, and represents its share of cumulative reported earnings.</w:t>
      </w:r>
    </w:p>
    <w:p>
      <w:pPr>
        <w:spacing w:after="0" w:line="11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has recorded $1.2 million in earnings, net of tax, for GEOAmey's operations during the six months ended June 30, 2022, and $2.2 million in earnings, net of tax, for GEOAmey's operations during the six months ended June 30, 2021, which are included in equity in earnings of affiliates, net of income tax provision in the accompanying consolidated statements of operations. As of June 30, 2022, and December 31, 2021, the Company’s investment in GEOAmey was $9.5 million and $10.1 million, respectively, and represents its share of cumulative reported earnings.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BENEFIT PLANS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related to the Company’s pension plans and retirement agreements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17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253"/>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3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Change in Projected Benefit Obligation</w:t>
            </w: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w w:val="96"/>
              </w:rPr>
              <w:t>Projected benefit obligation, beginning of period</w:t>
            </w:r>
          </w:p>
        </w:tc>
        <w:tc>
          <w:tcPr>
            <w:tcW w:w="17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31,830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33,530</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 cost</w:t>
            </w: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1,404</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Interest cost</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Actuarial gain</w:t>
            </w: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(3,505 )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1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(521 )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(873 )</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Projected benefit obligation, end of period</w:t>
            </w:r>
          </w:p>
        </w:tc>
        <w:tc>
          <w:tcPr>
            <w:tcW w:w="14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32,349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31,830</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680" w:type="dxa"/>
            <w:vAlign w:val="bottom"/>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 assets at fair value, beginning of period</w:t>
            </w:r>
          </w:p>
        </w:tc>
        <w:tc>
          <w:tcPr>
            <w:tcW w:w="17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Company contributions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873</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Benefits paid</w:t>
            </w:r>
          </w:p>
        </w:tc>
        <w:tc>
          <w:tcPr>
            <w:tcW w:w="14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(521 )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(873 )</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680" w:type="dxa"/>
            <w:vAlign w:val="bottom"/>
          </w:tcPr>
          <w:p>
            <w:pPr>
              <w:spacing w:after="0" w:line="196" w:lineRule="exact"/>
              <w:rPr>
                <w:sz w:val="20"/>
                <w:szCs w:val="20"/>
                <w:color w:val="auto"/>
              </w:rPr>
            </w:pPr>
            <w:r>
              <w:rPr>
                <w:rFonts w:ascii="Arial" w:cs="Arial" w:eastAsia="Arial" w:hAnsi="Arial"/>
                <w:sz w:val="18"/>
                <w:szCs w:val="18"/>
                <w:color w:val="auto"/>
              </w:rPr>
              <w:t>Plan assets at fair value, end of period</w:t>
            </w:r>
          </w:p>
        </w:tc>
        <w:tc>
          <w:tcPr>
            <w:tcW w:w="1700" w:type="dxa"/>
            <w:vAlign w:val="bottom"/>
            <w:gridSpan w:val="2"/>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3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Unfunded Status of the Plan</w:t>
            </w:r>
          </w:p>
        </w:tc>
        <w:tc>
          <w:tcPr>
            <w:tcW w:w="14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32,349</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31,830</w:t>
            </w:r>
          </w:p>
        </w:tc>
        <w:tc>
          <w:tcPr>
            <w:tcW w:w="1680" w:type="dxa"/>
            <w:vAlign w:val="bottom"/>
          </w:tcPr>
          <w:p>
            <w:pPr>
              <w:spacing w:after="0"/>
              <w:rPr>
                <w:sz w:val="20"/>
                <w:szCs w:val="20"/>
                <w:color w:val="auto"/>
              </w:rPr>
            </w:pPr>
          </w:p>
        </w:tc>
      </w:tr>
      <w:tr>
        <w:trPr>
          <w:trHeight w:val="615"/>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40" w:type="dxa"/>
            <w:vAlign w:val="bottom"/>
          </w:tcPr>
          <w:p>
            <w:pPr>
              <w:jc w:val="right"/>
              <w:ind w:right="101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-1299210</wp:posOffset>
            </wp:positionV>
            <wp:extent cx="768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-776605</wp:posOffset>
            </wp:positionV>
            <wp:extent cx="768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-504825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-487680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26" w:name="page27"/>
    <w:bookmarkEnd w:id="26"/>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5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78"/>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38"/>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w w:val="99"/>
              </w:rPr>
              <w:t>June 30,</w:t>
            </w:r>
          </w:p>
        </w:tc>
      </w:tr>
      <w:tr>
        <w:trPr>
          <w:trHeight w:val="185"/>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280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351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559</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702</w:t>
            </w:r>
          </w:p>
        </w:tc>
      </w:tr>
      <w:tr>
        <w:trPr>
          <w:trHeight w:val="203"/>
        </w:trPr>
        <w:tc>
          <w:tcPr>
            <w:tcW w:w="5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240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481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637</w:t>
            </w: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
              <w:spacing w:after="0" w:line="202"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394</w:t>
            </w:r>
          </w:p>
        </w:tc>
      </w:tr>
      <w:tr>
        <w:trPr>
          <w:trHeight w:val="236"/>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periodic pension cost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867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1,256</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long-term portion of the pension liability as of June 30, 2022 and December 31, 2021 was $31.5 million, and is included in Other Non-Current Liabilities in the accompanying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Executive Retirement Agreement</w:t>
      </w:r>
    </w:p>
    <w:p>
      <w:pPr>
        <w:spacing w:after="0" w:line="1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The Company also has a non-qualified deferred compensation agreement with its former CEO. The agreement provides for a lump sum cash payment upon retirement, no sooner than age 55. As of June 30, 2022, the former CEO had reached age 55 and was eligible to receive the payment upon retirement.</w:t>
      </w:r>
    </w:p>
    <w:p>
      <w:pPr>
        <w:spacing w:after="0" w:line="12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May 27, 2021, the Company and its former CEO entered into an Amended and Restated Executive Retirement Agreement which replaced the former CEO’s previous agreement, effective July 1, 2021. Pursuant to the terms of the Amended and Restated Executive Retirement Agreement, upon the date that the former CEO ceases to provide services to the Company, the Company will pay to the former CEO an amount equal to $3,600,000 which shall be paid in cash. The payment shall be credited with interest at a rate of 5% compounded quarterly. Additionally, at the end of each calendar year provided that the former CEO is still providing services to GEO pursuant to the Executive Chairman Agreement, GEO will credit an amount equal to $1,000,000 at the end of each calendar year (the “Employment Contributions Account”). The Employment Contributions Account will be credited with interest at the rate of 5% compounded quarterly. The balance of the Amended and Restated Executive Retirement Agreement was approximately $5.5 million at June 30, 2022.</w:t>
      </w:r>
    </w:p>
    <w:p>
      <w:pPr>
        <w:spacing w:after="0" w:line="15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has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 ACCOUNTING PRONOUNCEMENTS</w:t>
      </w:r>
    </w:p>
    <w:p>
      <w:pPr>
        <w:spacing w:after="0" w:line="283" w:lineRule="exact"/>
        <w:rPr>
          <w:sz w:val="20"/>
          <w:szCs w:val="20"/>
          <w:color w:val="auto"/>
        </w:rPr>
      </w:pPr>
    </w:p>
    <w:p>
      <w:pPr>
        <w:ind w:firstLine="45"/>
        <w:spacing w:after="0" w:line="279" w:lineRule="auto"/>
        <w:rPr>
          <w:sz w:val="20"/>
          <w:szCs w:val="20"/>
          <w:color w:val="auto"/>
        </w:rPr>
      </w:pPr>
      <w:r>
        <w:rPr>
          <w:rFonts w:ascii="Arial" w:cs="Arial" w:eastAsia="Arial" w:hAnsi="Arial"/>
          <w:sz w:val="16"/>
          <w:szCs w:val="16"/>
          <w:color w:val="auto"/>
        </w:rPr>
        <w:t xml:space="preserve">In March 2020, the Financial Accounting Standards Board (“FASB”) issued ASU 2020-04, </w:t>
      </w:r>
      <w:r>
        <w:rPr>
          <w:rFonts w:ascii="Arial" w:cs="Arial" w:eastAsia="Arial" w:hAnsi="Arial"/>
          <w:sz w:val="16"/>
          <w:szCs w:val="16"/>
          <w:i w:val="1"/>
          <w:iCs w:val="1"/>
          <w:color w:val="auto"/>
        </w:rPr>
        <w:t>“Reference Reform Rate (Topic 848): Facilitation of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Reference Rate Reform on Financial Reporting,” </w:t>
      </w:r>
      <w:r>
        <w:rPr>
          <w:rFonts w:ascii="Arial" w:cs="Arial" w:eastAsia="Arial" w:hAnsi="Arial"/>
          <w:sz w:val="16"/>
          <w:szCs w:val="16"/>
          <w:color w:val="auto"/>
        </w:rPr>
        <w:t>to provide temporary optional expedients and exceptions to the contract modifications, hedge</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or any other reference rate expected to be discontinued. We are currently evaluating the impact of reference rate reform and the potential application of this guidance.</w:t>
      </w:r>
    </w:p>
    <w:p>
      <w:pPr>
        <w:spacing w:after="0" w:line="146"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Support Agreement</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As previously reported, beginning in November 2021, the Company commenced discussions with (i) certain members of an ad hoc group of holders (the “Noteholder Group”) of the Company’s 5.125% Senior Notes due 2023 (the “2023 Notes”), 5.875% Senior Notes due 2024 (the “2024 Notes”), and 6.00% Senior Notes due 2026 (the “2026 Notes,” and together with the 2023 Notes and the 2024 Notes, the “Senior Notes”), (ii) certain members of an ad hoc group of term lenders (the “Term Lender Group”) under the Company’s Third Amended and Restated Credit Agreement, dated as of March 23, 2017 (as subsequently amended, the “Existing Credit Agreement” and the term loans made thereunder, the “Term Loans”), and (iii) the administrative agent (the “Agent”) and certain lenders that have provided revolving credit loans and commitments (the “Revolving Credit Loans” and “Revolving Credit Commitments”) under the Existing Credit Agreement (such lenders, the “RCF Lenders”) concerning a potential refinancing, exchange, recapitalization, or other transaction or series of transactions to reduce the Company’s funded recourse debt and address its nearer term maturities (the “Transaction Discussions”). The Company undertook these discussions on a confidential basis pursuant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7" w:name="page28"/>
    <w:bookmarkEnd w:id="27"/>
    <w:p>
      <w:pPr>
        <w:ind w:right="200"/>
        <w:spacing w:after="0" w:line="261" w:lineRule="auto"/>
        <w:rPr>
          <w:sz w:val="20"/>
          <w:szCs w:val="20"/>
          <w:color w:val="auto"/>
        </w:rPr>
      </w:pPr>
      <w:r>
        <w:rPr>
          <w:rFonts w:ascii="Arial" w:cs="Arial" w:eastAsia="Arial" w:hAnsi="Arial"/>
          <w:sz w:val="18"/>
          <w:szCs w:val="18"/>
          <w:color w:val="auto"/>
        </w:rPr>
        <w:t>non-disclosure agreements with the applicable members of the Noteholder Group and the Term Lender Group, and, in the case of the Agent and the RCF Lenders, the confidentiality provisions of the Existing Credit Agreement.</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On July 18, 2022, the Company entered into a transaction support agreement (together with all exhibits, annexes and schedules thereto, the “Transaction Support Agreement”) with certain consenting holders of the Senior Notes (the “Consenting Noteholders”), certain consenting Term Lenders (the “Consenting Term Lenders”), the Agent, and certain consenting RCF Lenders (the “Consenting RCF Lenders” and, together with the Consenting Noteholders and the Consenting Term Lenders, the “Consenting Creditors”) setting forth principal terms for a comprehensive transaction (the “Transaction”) to address the upcoming maturities of the Company’s outstanding debt in 2023, 2024, and 2026.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Support Agreement contemplates, among other things, the following:</w:t>
      </w:r>
    </w:p>
    <w:p>
      <w:pPr>
        <w:spacing w:after="0" w:line="185" w:lineRule="exact"/>
        <w:rPr>
          <w:sz w:val="20"/>
          <w:szCs w:val="20"/>
          <w:color w:val="auto"/>
        </w:rPr>
      </w:pPr>
    </w:p>
    <w:p>
      <w:pPr>
        <w:ind w:left="1480" w:right="80" w:hanging="446"/>
        <w:spacing w:after="0" w:line="224"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the Existing Credit Agreement to permit the indebtedness and liens contemplated to be incurred under the Exchange Credit Agreement (defined below), the New Notes (defined below) and the 2028 Private Exchange Notes (defined below), among other modifications (the “Existing Credit Agreement Amendment”);</w:t>
      </w:r>
    </w:p>
    <w:p>
      <w:pPr>
        <w:spacing w:after="0" w:line="162" w:lineRule="exact"/>
        <w:rPr>
          <w:rFonts w:ascii="Arial" w:cs="Arial" w:eastAsia="Arial" w:hAnsi="Arial"/>
          <w:sz w:val="18"/>
          <w:szCs w:val="18"/>
          <w:color w:val="auto"/>
        </w:rPr>
      </w:pPr>
    </w:p>
    <w:p>
      <w:pPr>
        <w:ind w:left="1480" w:right="20" w:hanging="446"/>
        <w:spacing w:after="0" w:line="219"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Exchanging approximately 81% of the aggregate principal amount of Revolving Credit Commitments and the Term Loans outstanding under GEO’s Existing Credit Agreement for a combination of cash and new commitments and loans under a new credit agreement (the “Exchange Credit Agreement”) with a three-year maturity extension to March 2027 (the “RCF Transaction” and the “Term Loan Transaction,” respectively);</w:t>
      </w:r>
    </w:p>
    <w:p>
      <w:pPr>
        <w:spacing w:after="0" w:line="162" w:lineRule="exact"/>
        <w:rPr>
          <w:rFonts w:ascii="Arial" w:cs="Arial" w:eastAsia="Arial" w:hAnsi="Arial"/>
          <w:sz w:val="18"/>
          <w:szCs w:val="18"/>
          <w:color w:val="auto"/>
        </w:rPr>
      </w:pPr>
    </w:p>
    <w:p>
      <w:pPr>
        <w:ind w:left="1480" w:hanging="446"/>
        <w:spacing w:after="0" w:line="244"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certain Consenting RCF Lenders who opt out of extending the maturity of their Revolving Credit Loans and Revolving Credit Commitments, the assignment of an agreed portion of such Revolving Credit Loans and Revolving Credit Commitments to certain other Consenting Creditors, with such other Consenting Creditors subsequently exchanging the Revolving Credit Loans thereby acquired for term loans under the Exchange Credit Agreement (the “Non-Extending RCF Lender Transaction,” and, together with the Existing Credit Agreement Amendment, the RCF Transaction, and the Term Loan Transaction, the “Credit Facility Transaction”);</w:t>
      </w:r>
    </w:p>
    <w:p>
      <w:pPr>
        <w:spacing w:after="0" w:line="158" w:lineRule="exact"/>
        <w:rPr>
          <w:rFonts w:ascii="Arial" w:cs="Arial" w:eastAsia="Arial" w:hAnsi="Arial"/>
          <w:sz w:val="16"/>
          <w:szCs w:val="16"/>
          <w:color w:val="auto"/>
        </w:rPr>
      </w:pPr>
    </w:p>
    <w:p>
      <w:pPr>
        <w:ind w:left="1480" w:right="320" w:hanging="446"/>
        <w:spacing w:after="0" w:line="235"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Commencing the Exchange Offers (defined below) and Consent Solicitations (defined below) for any and all 2023 Notes and 2024 Notes;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Exchanging approximately $239 million of 2026 Notes held by Consenting 2026 Noteholders as of July 18, 2022, for newly issued</w:t>
      </w:r>
    </w:p>
    <w:p>
      <w:pPr>
        <w:ind w:left="1480" w:right="100"/>
        <w:spacing w:after="0" w:line="268" w:lineRule="auto"/>
        <w:rPr>
          <w:rFonts w:ascii="Arial" w:cs="Arial" w:eastAsia="Arial" w:hAnsi="Arial"/>
          <w:sz w:val="17"/>
          <w:szCs w:val="17"/>
          <w:color w:val="auto"/>
        </w:rPr>
      </w:pPr>
      <w:r>
        <w:rPr>
          <w:rFonts w:ascii="Arial" w:cs="Arial" w:eastAsia="Arial" w:hAnsi="Arial"/>
          <w:sz w:val="16"/>
          <w:szCs w:val="16"/>
          <w:color w:val="auto"/>
        </w:rPr>
        <w:t>9.500% Senior Second Lien Secured Notes maturing on December 31, 2028 (the “Private Exchange” and the “2028 Private Exchange Notes”) and amending certain provisions of the indenture for the 2026 Senior Notes (the “2026 Indenture Proposed Amendments”).</w:t>
      </w:r>
    </w:p>
    <w:p>
      <w:pPr>
        <w:spacing w:after="0" w:line="35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Transaction Support Agreement sets forth the commitments of the Company and the Consenting Creditors (collectively, the “Parties”) to, among other things, cooperate in good faith to negotiate the definitive documents necessary or advisable to effect the Transaction, use their commercially reasonable efforts to consummate the Transaction in accordance with such definitive documents, and refrain from taking any actions that would impede or would otherwise be inconsistent with the Transaction (including by supporting or consenting to any alternative transaction). The Parties’ obligations to consummate the Transaction are subject to customary conditions, including, without limitation, that the Parties have complied in all material respects with their respective covenants and agreements contained in the Transaction Support Agreement and that the Company has paid specified fees and expenses incurred by the Consenting Creditors in connection with the Transaction.</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Transaction Support Agreement may be terminated upon the occurrence of specified events, including, without limitation, the occurrence of a material, uncured breach of any Party’s representations, warranties, covenants, or obligations under the Transaction Support Agreement, the Company’s failure to commence and complete the Exchange Offers and the Consent Solicitations within the timeframes specified in the Transaction Support Agreement, or upon the 100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following the execution of the Transaction Support Agreement (as may be extended in accordance with the terms of the Transaction Support Agreement). In addition, the Company may terminate the Transaction Support Agreement if the Company’s board of directors determines, upon the advice of counsel, that the Company’s continued performance under the Transaction Support Agreement would be inconsistent with the fiduciary duties of the Company’s directors. Although the Company intends to pursue the Transaction in accordance with the terms set forth in the Transaction Support Agreement, there can be no assurance that the Company will be successful in completing the Transaction or any other similar transaction on the terms set forth in the Transaction Support Agreement, on different terms, or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Offers and the Consent Solicitations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ind w:right="40"/>
        <w:spacing w:after="0" w:line="257" w:lineRule="auto"/>
        <w:rPr>
          <w:sz w:val="20"/>
          <w:szCs w:val="20"/>
          <w:color w:val="auto"/>
        </w:rPr>
      </w:pPr>
      <w:r>
        <w:rPr>
          <w:rFonts w:ascii="Arial" w:cs="Arial" w:eastAsia="Arial" w:hAnsi="Arial"/>
          <w:sz w:val="17"/>
          <w:szCs w:val="17"/>
          <w:color w:val="auto"/>
        </w:rPr>
        <w:t>On July 19, 2022, the Company issued a press release announcing that it commenced offers to exchange (the “Exchange Offers”) any and all of its outstanding 2023 Notes and 2024 Notes (collectively, the “Old Notes”) for newly issued 10.500% Senior Second Lien Secured Notes maturing on June 30, 2028 (the “New Notes”) and, if elected, cash, upon the terms and subject to the conditions set forth in the Registration Statement on Form S-4 (including a prospectus and consent solicitation statement forming a part thereof, the “Prospectus”) filed with the U.S. Securities and Exchange Commission (the “SEC”) on July 19, 2022 (the “Registration Statement”) and press releases announcing the Transaction. In connection with the Exchange Offers, GEO is also soliciting consents to amend the indentures governing the Old Notes (the “Consent Solicitations”).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Exchange Offers and the Consent Solicitations, and subject to the terms and conditions set forth in the Prospectus, in exchange for each $1,000 principal amount of Old Notes validly tendered (and not validly withdrawn) or in the case of the 2023 Notes only, as payment for delivery of a Consent (as defined below) with respect to each $1,000 principal amount of 2023 Notes without a tender of the related 2023 Notes, in each case at any time at or prior to 5:00 p.m., New York City time, on August 16, 2022, unless extended or earlier terminated (such date and time as may be extended in accordance with the Prospectus, the “Expiration Time”) and accepted by the Company, participating holders will receive the consideration identified in the Prospectus (the “Exchange Consideration”).</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conjunction with the Exchange Offers, the Company is conducting the Consent Solicitations to obtain consent from holders of each series of Old Notes (“Consents”) to certain proposed amendments to each indenture governing the Old Notes (the “Old Notes Indentures”) to, among other things, modify certain covenants and other provisions in the Old Notes Indentures as necessary or advisable to effect the Transaction (the “Proposed Amendments”). Holders of Old Notes that tender such Old Notes will be deemed to have given Consent to the Proposed Amendments with respect to the Old Notes. Holders of 2023 Notes may elect to either (i) tender their 2023 Notes and deliver the related Consent or (ii) deliver only their Consent (the “2023 Notes Consent”). Holders of 2024 Notes may only elect to tender their 2024 Notes together with delivery of the related Consent. Holders of Old Notes may not tender their Old Notes without delivering a Consent with respect to such Old Notes tendered, and holders of 2024 Notes may not deliver a Consent with respect to the 2024 Notes without tendering the related 2024 Notes. To adopt the Proposed Amendments related to a series of Old Notes, the Company must receive Consents from holders representing a majority of the outstanding principal amount of such series of Old Notes (the “Old Notes Requisite Consents”). If the Old Notes Requisite Consents are delivered with respect to any series of Old Notes, a supplemental indenture to the respective indenture, giving effect to the Proposed Amendments with respect to the applicable Old Notes, will be executed promptly following the receipt of the Old Notes Requisite Consents, but in no event prior to the Withdrawal Deadline (as defined in the Prospectus).</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Company’s obligations to accept the Old Notes and Consents in the Exchange Offers and the Consent Solicitations are subject to the satisfaction or waiver of certain conditions described in the Prospectus, including receipt of (i) the Old Notes Requisite Consents for each series of Old Notes being tendered, (ii) the 2026 Notes Requisite Consents delivered in connection with the Private Exchange, and (iii) the Credit Agreement Exchange Requisite Consents delivered in connection with the Credit Agreement Exchange. Each of the Exchange Offers and Consent Solicitations is conditioned upon the consummation of the Private Exchange and the Credit Agreement Exchange and the effectiveness of the 2026 Indenture Proposed Amendments and the Existing Credit Agreement Proposed</w:t>
      </w:r>
    </w:p>
    <w:p>
      <w:pPr>
        <w:spacing w:after="0" w:line="5" w:lineRule="exact"/>
        <w:rPr>
          <w:sz w:val="20"/>
          <w:szCs w:val="20"/>
          <w:color w:val="auto"/>
        </w:rPr>
      </w:pPr>
    </w:p>
    <w:p>
      <w:pPr>
        <w:jc w:val="both"/>
        <w:ind w:right="60" w:firstLine="45"/>
        <w:spacing w:after="0" w:line="239" w:lineRule="auto"/>
        <w:rPr>
          <w:sz w:val="20"/>
          <w:szCs w:val="20"/>
          <w:color w:val="auto"/>
        </w:rPr>
      </w:pPr>
      <w:r>
        <w:rPr>
          <w:rFonts w:ascii="Arial" w:cs="Arial" w:eastAsia="Arial" w:hAnsi="Arial"/>
          <w:sz w:val="18"/>
          <w:szCs w:val="18"/>
          <w:color w:val="auto"/>
        </w:rPr>
        <w:t>Amendments. The Private Exchange and the Credit Agreement Exchange are conditioned on, among other things, the 2026 Notes Supporting Holders and the Credit Agreement Supporting Holders, respectively, having satisfied their obligations in all material respects under the Transaction Support Agreement and the consummation of the Exchange Offers and Consent Solicitations.</w:t>
      </w:r>
    </w:p>
    <w:p>
      <w:pPr>
        <w:spacing w:after="0" w:line="176"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The completion of the Exchange Offers and the Consent Solicitations is subject to, and conditioned upon, the satisfaction or waiver of certain conditions, including, among other things, (i) the Registration Statement having been declared effective by the SEC on or prior to the Expiration Time and remaining effective on the Settlement Date (as defined by the Prospectus) (which condition cannot be waived) and (ii) the absence of any actual or threatened legal impediment to the acceptance for exchange of, or exchange of, the Old Notes.</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GEO will pay a soliciting broker fee equal to either (i) $2.50 for each $1,000 principal amount of Old Notes validly tendered for exchange and not validly withdrawn under the Exchange Offers or (ii) $0.50 for each $1,000 in principal amount of 2023 Notes for which only the Consent is provided in connection with the 2023 Notes Consent, in each case to soliciting retail brokers for holders holding less than $1,000,000 in aggregate principal amount of the Old Notes that are appropriately designated by their clients to receive this fee.</w:t>
      </w:r>
    </w:p>
    <w:p>
      <w:pPr>
        <w:spacing w:after="0" w:line="17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Exchange Offers and the Consent Solicitations are made only by and pursuant to the terms and subject to the conditions set forth in the Registration Statement, including the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of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9" w:name="page30"/>
    <w:bookmarkEnd w:id="29"/>
    <w:p>
      <w:pPr>
        <w:jc w:val="both"/>
        <w:ind w:right="80"/>
        <w:spacing w:after="0" w:line="294" w:lineRule="auto"/>
        <w:rPr>
          <w:sz w:val="20"/>
          <w:szCs w:val="20"/>
          <w:color w:val="auto"/>
        </w:rPr>
      </w:pPr>
      <w:r>
        <w:rPr>
          <w:rFonts w:ascii="Arial" w:cs="Arial" w:eastAsia="Arial" w:hAnsi="Arial"/>
          <w:sz w:val="16"/>
          <w:szCs w:val="16"/>
          <w:color w:val="auto"/>
        </w:rPr>
        <w:t>On July 18, 2022, David Venturella, Senior Vice President, Client Relations of The GEO Group, Inc. (“GEO” or the “Company”), announced his intention to retire effective February 1, 2023. Mr. Venturella joined GEO in 2012 and has served the Company in a number of positions, including as Executive Vice President, Corporate Development, Senior Vice President, Business Development and most recently Senior Vice President, Client Relations.</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Venturella will receive a monthly retirement payment with an approximate aggregate net present value of $335,000 pursuant to his participation in the Senior Officer Retirement Plan. The Company and Mr. Venturella intend to enter into a consulting agreement pursuant to which Mr. Venturella will serve as a consultant to GEO for a two-year period during which time his unvested performance-based shares will continue to vest according to their terms.</w:t>
      </w:r>
    </w:p>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Mr. Matthew T. Albence, 52, will succeed Mr. Venturella as Senior Vice President, Client Relations. Mr. Albence’s employment with GEO will commence on September 1, 2022. Mr. Albence will be working with Mr. Venturella until Mr. Venturella’s retirement to ensure a smooth transition.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 to Senior Officer Compensation</w:t>
      </w:r>
    </w:p>
    <w:p>
      <w:pPr>
        <w:spacing w:after="0" w:line="19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Effective July 1, 2022, following the approval of the Compensation Committee of the Company’s Board of Directors, the Company increased the target annual cash performance awards for its senior executives. Following this increase, the target annual cash performance award was set at 100% of the executive's annual base salary in the case of the Chief Executive Officer, 80% of the executive's annual base salary in the case of the Chief Financial Officer and 75% of the executive's annual base salary in the case of the remaining Senior Vice Presidents, with such awards to be paid in accordance with the terms of the plan governing the Company’s senior management cash performance awards. With the Compensation Committee’s approval, the Company also provided that such executives will be eligible to participate in the Company's long-term incentive program ("LTI"). The executives will have a target annual equity grant of 100% of the executive's annual base salary in the case of the Chief Executive Officer, 80% of the executive's annual base salary in the case of the Chief Financial Officer, and 75% of the executive's annual base salary in the case of the remaining Senior Vice Presidents, with the actual level of the executives' participation in the LTI to be determined by the Compensation Committee at its discretion, and with such awards to be paid in accordance with the terms of the LTI. Annual equity grant values in future years will be based on a variety of factors, including market data, individual performance, and scope of job responsibilities and may be more or less than the current target.</w:t>
      </w:r>
    </w:p>
    <w:p>
      <w:pPr>
        <w:spacing w:after="0" w:line="17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Compensation Committee approved these executive compensation changes following a market study by Pay Governance, the Compensation Committee’s executive pay consultant, to ensure that, with respect to the Company’s senior management, the Company is keeping pace with the currently highly competitive labor market environment for leadership talent.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ind w:right="1180"/>
        <w:spacing w:after="0" w:line="36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Information</w:t>
      </w:r>
    </w:p>
    <w:p>
      <w:pPr>
        <w:spacing w:after="0" w:line="7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This Quarterly Report on Form 10-Q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the impact of COVID-19 on our business, the efficacy and distribution of COVID-19 vaccines, budgets, projected costs and plans and objectives of management for future operations, legal proceedings, our corporate structure and potential steps to address our future debt maturities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278" w:lineRule="exact"/>
        <w:rPr>
          <w:sz w:val="20"/>
          <w:szCs w:val="20"/>
          <w:color w:val="auto"/>
        </w:rPr>
      </w:pPr>
    </w:p>
    <w:p>
      <w:pPr>
        <w:ind w:left="1140" w:right="14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mitigate the transmission of the current pandemic of the novel coronavirus, or COVID-19, at our secure facilities, processing centers and reentry centers;</w:t>
      </w:r>
    </w:p>
    <w:p>
      <w:pPr>
        <w:spacing w:after="0" w:line="62" w:lineRule="exact"/>
        <w:rPr>
          <w:rFonts w:ascii="Arial" w:cs="Arial" w:eastAsia="Arial" w:hAnsi="Arial"/>
          <w:sz w:val="14"/>
          <w:szCs w:val="14"/>
          <w:color w:val="auto"/>
        </w:rPr>
      </w:pPr>
    </w:p>
    <w:p>
      <w:pPr>
        <w:ind w:left="1140" w:right="20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the magnitude, severity and duration of the COVID-19 pandemic and its impact on our business, financial condition, results of operations and cash flows;</w:t>
      </w:r>
    </w:p>
    <w:p>
      <w:pPr>
        <w:spacing w:after="0" w:line="62" w:lineRule="exact"/>
        <w:rPr>
          <w:rFonts w:ascii="Arial" w:cs="Arial" w:eastAsia="Arial" w:hAnsi="Arial"/>
          <w:sz w:val="14"/>
          <w:szCs w:val="14"/>
          <w:color w:val="auto"/>
        </w:rPr>
      </w:pPr>
    </w:p>
    <w:p>
      <w:pPr>
        <w:ind w:left="114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timely build and/or open facilities as planned, successfully manage such facilities and successfully integrate such facilities into our operations without substantial additional costs;</w:t>
      </w:r>
    </w:p>
    <w:p>
      <w:pPr>
        <w:spacing w:after="0" w:line="62" w:lineRule="exact"/>
        <w:rPr>
          <w:rFonts w:ascii="Arial" w:cs="Arial" w:eastAsia="Arial" w:hAnsi="Arial"/>
          <w:sz w:val="14"/>
          <w:szCs w:val="14"/>
          <w:color w:val="auto"/>
        </w:rPr>
      </w:pPr>
    </w:p>
    <w:p>
      <w:pPr>
        <w:ind w:left="1140" w:right="720" w:hanging="383"/>
        <w:spacing w:after="0" w:line="291" w:lineRule="auto"/>
        <w:tabs>
          <w:tab w:leader="none" w:pos="1140" w:val="left"/>
        </w:tabs>
        <w:numPr>
          <w:ilvl w:val="0"/>
          <w:numId w:val="13"/>
        </w:numPr>
        <w:rPr>
          <w:rFonts w:ascii="Arial" w:cs="Arial" w:eastAsia="Arial" w:hAnsi="Arial"/>
          <w:sz w:val="13"/>
          <w:szCs w:val="13"/>
          <w:color w:val="auto"/>
        </w:rPr>
      </w:pPr>
      <w:r>
        <w:rPr>
          <w:rFonts w:ascii="Arial" w:cs="Arial" w:eastAsia="Arial" w:hAnsi="Arial"/>
          <w:sz w:val="17"/>
          <w:szCs w:val="17"/>
          <w:color w:val="auto"/>
        </w:rPr>
        <w:t>our ability to estimate the government’s level of utilization of public-private partnerships for secure services and the impact of any modifications or reductions by our government customers of their utilization of public-private partnerships;</w:t>
      </w:r>
    </w:p>
    <w:p>
      <w:pPr>
        <w:spacing w:after="0" w:line="38" w:lineRule="exact"/>
        <w:rPr>
          <w:rFonts w:ascii="Arial" w:cs="Arial" w:eastAsia="Arial" w:hAnsi="Arial"/>
          <w:sz w:val="13"/>
          <w:szCs w:val="13"/>
          <w:color w:val="auto"/>
        </w:rPr>
      </w:pPr>
    </w:p>
    <w:p>
      <w:pPr>
        <w:ind w:left="1140" w:right="4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accurately project the size and growth of public-private partnerships for secure services in the U.S. and internationally and our ability to capitalize on opportunities for public-private partnerships;</w:t>
      </w:r>
    </w:p>
    <w:p>
      <w:pPr>
        <w:spacing w:after="0" w:line="62" w:lineRule="exact"/>
        <w:rPr>
          <w:rFonts w:ascii="Arial" w:cs="Arial" w:eastAsia="Arial" w:hAnsi="Arial"/>
          <w:sz w:val="14"/>
          <w:szCs w:val="14"/>
          <w:color w:val="auto"/>
        </w:rPr>
      </w:pPr>
    </w:p>
    <w:p>
      <w:pPr>
        <w:ind w:left="1140" w:right="80" w:hanging="383"/>
        <w:spacing w:after="0" w:line="248"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spacing w:after="0" w:line="73" w:lineRule="exact"/>
        <w:rPr>
          <w:rFonts w:ascii="Arial" w:cs="Arial" w:eastAsia="Arial" w:hAnsi="Arial"/>
          <w:sz w:val="14"/>
          <w:szCs w:val="14"/>
          <w:color w:val="auto"/>
        </w:rPr>
      </w:pPr>
    </w:p>
    <w:p>
      <w:pPr>
        <w:ind w:left="1140" w:right="320" w:hanging="383"/>
        <w:spacing w:after="0" w:line="248"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spacing w:after="0" w:line="73" w:lineRule="exact"/>
        <w:rPr>
          <w:rFonts w:ascii="Arial" w:cs="Arial" w:eastAsia="Arial" w:hAnsi="Arial"/>
          <w:sz w:val="14"/>
          <w:szCs w:val="14"/>
          <w:color w:val="auto"/>
        </w:rPr>
      </w:pPr>
    </w:p>
    <w:p>
      <w:pPr>
        <w:ind w:left="1140" w:right="10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successfully respond to delays encountered by states pursuing public-private partnerships for secure services and cost savings initiatives implemented by a number of states;</w:t>
      </w:r>
    </w:p>
    <w:p>
      <w:pPr>
        <w:spacing w:after="0" w:line="62" w:lineRule="exact"/>
        <w:rPr>
          <w:rFonts w:ascii="Arial" w:cs="Arial" w:eastAsia="Arial" w:hAnsi="Arial"/>
          <w:sz w:val="14"/>
          <w:szCs w:val="14"/>
          <w:color w:val="auto"/>
        </w:rPr>
      </w:pPr>
    </w:p>
    <w:p>
      <w:pPr>
        <w:ind w:left="1140" w:hanging="383"/>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activate the inactive beds at our idle facilities;</w:t>
      </w:r>
    </w:p>
    <w:p>
      <w:pPr>
        <w:spacing w:after="0" w:line="103" w:lineRule="exact"/>
        <w:rPr>
          <w:rFonts w:ascii="Arial" w:cs="Arial" w:eastAsia="Arial" w:hAnsi="Arial"/>
          <w:sz w:val="14"/>
          <w:szCs w:val="14"/>
          <w:color w:val="auto"/>
        </w:rPr>
      </w:pPr>
    </w:p>
    <w:p>
      <w:pPr>
        <w:ind w:left="1140" w:right="20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our ability to maintain or increase occupancy rates at our facilities and the impact of fluctuations in occupancy levels on our revenues and profitability;</w:t>
      </w:r>
    </w:p>
    <w:p>
      <w:pPr>
        <w:spacing w:after="0" w:line="62" w:lineRule="exact"/>
        <w:rPr>
          <w:rFonts w:ascii="Arial" w:cs="Arial" w:eastAsia="Arial" w:hAnsi="Arial"/>
          <w:sz w:val="14"/>
          <w:szCs w:val="14"/>
          <w:color w:val="auto"/>
        </w:rPr>
      </w:pPr>
    </w:p>
    <w:p>
      <w:pPr>
        <w:ind w:left="1140" w:right="14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the impact of our termination of our REIT election and the discontinuation of quarterly dividend payments and our ability to maximize the use of cash flows to repay debt, deleverage and internally fund growth;</w:t>
      </w:r>
    </w:p>
    <w:p>
      <w:pPr>
        <w:spacing w:after="0" w:line="62" w:lineRule="exact"/>
        <w:rPr>
          <w:rFonts w:ascii="Arial" w:cs="Arial" w:eastAsia="Arial" w:hAnsi="Arial"/>
          <w:sz w:val="14"/>
          <w:szCs w:val="14"/>
          <w:color w:val="auto"/>
        </w:rPr>
      </w:pPr>
    </w:p>
    <w:p>
      <w:pPr>
        <w:ind w:left="1140" w:right="40" w:hanging="383"/>
        <w:spacing w:after="0" w:line="26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we may fail to realize the anticipated benefits of terminating our REIT election or those benefits may take longer to realize than expected, if at all, or may not offset the costs of terminating our REIT election and becoming a taxable C Corporation;</w:t>
      </w:r>
    </w:p>
    <w:p>
      <w:pPr>
        <w:spacing w:after="0" w:line="62" w:lineRule="exact"/>
        <w:rPr>
          <w:rFonts w:ascii="Arial" w:cs="Arial" w:eastAsia="Arial" w:hAnsi="Arial"/>
          <w:sz w:val="14"/>
          <w:szCs w:val="14"/>
          <w:color w:val="auto"/>
        </w:rPr>
      </w:pPr>
    </w:p>
    <w:p>
      <w:pPr>
        <w:ind w:left="1140" w:right="80" w:hanging="383"/>
        <w:spacing w:after="0" w:line="291" w:lineRule="auto"/>
        <w:tabs>
          <w:tab w:leader="none" w:pos="1140" w:val="left"/>
        </w:tabs>
        <w:numPr>
          <w:ilvl w:val="0"/>
          <w:numId w:val="13"/>
        </w:numPr>
        <w:rPr>
          <w:rFonts w:ascii="Arial" w:cs="Arial" w:eastAsia="Arial" w:hAnsi="Arial"/>
          <w:sz w:val="13"/>
          <w:szCs w:val="13"/>
          <w:color w:val="auto"/>
        </w:rPr>
      </w:pPr>
      <w:r>
        <w:rPr>
          <w:rFonts w:ascii="Arial" w:cs="Arial" w:eastAsia="Arial" w:hAnsi="Arial"/>
          <w:sz w:val="17"/>
          <w:szCs w:val="17"/>
          <w:color w:val="auto"/>
        </w:rPr>
        <w:t>if we failed to remain qualified as a REIT for those years we elected REIT status, we would be subject to additional corporate income taxes and would not be able to deduct distributions to shareholders when computing our taxable income for those years;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ind w:left="383" w:right="44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expand, diversify and grow our secure services, reentry, community-based services, monitoring services, evidence-based supervision and treatment programs and secure transportation services businesses;</w:t>
      </w:r>
    </w:p>
    <w:p>
      <w:pPr>
        <w:spacing w:after="0" w:line="62" w:lineRule="exact"/>
        <w:rPr>
          <w:rFonts w:ascii="Arial" w:cs="Arial" w:eastAsia="Arial" w:hAnsi="Arial"/>
          <w:sz w:val="14"/>
          <w:szCs w:val="14"/>
          <w:color w:val="auto"/>
        </w:rPr>
      </w:pPr>
    </w:p>
    <w:p>
      <w:pPr>
        <w:ind w:left="383" w:right="400" w:hanging="383"/>
        <w:spacing w:after="0" w:line="248"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spacing w:after="0" w:line="73" w:lineRule="exact"/>
        <w:rPr>
          <w:rFonts w:ascii="Arial" w:cs="Arial" w:eastAsia="Arial" w:hAnsi="Arial"/>
          <w:sz w:val="14"/>
          <w:szCs w:val="14"/>
          <w:color w:val="auto"/>
        </w:rPr>
      </w:pPr>
    </w:p>
    <w:p>
      <w:pPr>
        <w:ind w:left="383"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raise new project development capital given the often short-term nature of the customers’ commitment to use newly developed facilities;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develop long-term earnings visibility;</w:t>
      </w:r>
    </w:p>
    <w:p>
      <w:pPr>
        <w:spacing w:after="0" w:line="103" w:lineRule="exact"/>
        <w:rPr>
          <w:rFonts w:ascii="Arial" w:cs="Arial" w:eastAsia="Arial" w:hAnsi="Arial"/>
          <w:sz w:val="14"/>
          <w:szCs w:val="14"/>
          <w:color w:val="auto"/>
        </w:rPr>
      </w:pPr>
    </w:p>
    <w:p>
      <w:pPr>
        <w:ind w:left="383" w:right="88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successfully conduct our operations in the United Kingdom, South Africa and Australia through joint ventures or a consortium;</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the impact of the LIBOR transition;</w:t>
      </w:r>
    </w:p>
    <w:p>
      <w:pPr>
        <w:spacing w:after="0" w:line="103" w:lineRule="exact"/>
        <w:rPr>
          <w:rFonts w:ascii="Arial" w:cs="Arial" w:eastAsia="Arial" w:hAnsi="Arial"/>
          <w:sz w:val="14"/>
          <w:szCs w:val="14"/>
          <w:color w:val="auto"/>
        </w:rPr>
      </w:pPr>
    </w:p>
    <w:p>
      <w:pPr>
        <w:ind w:left="383" w:right="64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the instability of foreign exchange rates, exposing us to currency risks in Australia, the United Kingdom, and South Africa, or other countries in which we may choose to conduct our business;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an increase in unreimbursed labor rates;</w:t>
      </w:r>
    </w:p>
    <w:p>
      <w:pPr>
        <w:spacing w:after="0" w:line="103"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exposure to rising medical costs;</w:t>
      </w:r>
    </w:p>
    <w:p>
      <w:pPr>
        <w:spacing w:after="0" w:line="103"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manage costs and expenses relating to ongoing litigation arising from our operations;</w:t>
      </w:r>
    </w:p>
    <w:p>
      <w:pPr>
        <w:spacing w:after="0" w:line="103" w:lineRule="exact"/>
        <w:rPr>
          <w:rFonts w:ascii="Arial" w:cs="Arial" w:eastAsia="Arial" w:hAnsi="Arial"/>
          <w:sz w:val="14"/>
          <w:szCs w:val="14"/>
          <w:color w:val="auto"/>
        </w:rPr>
      </w:pPr>
    </w:p>
    <w:p>
      <w:pPr>
        <w:ind w:left="383" w:right="80" w:hanging="383"/>
        <w:spacing w:after="0" w:line="248"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successfully pursue an appeal to reverse the recent unfavorable verdict and judgments in the retrial of the lawsuits in the State of Washington, our company being required to record an accrual for the judgments in the future, and our ability to defend similar other pending litigation and the effect such litigation may have on our company;</w:t>
      </w:r>
    </w:p>
    <w:p>
      <w:pPr>
        <w:spacing w:after="0" w:line="73" w:lineRule="exact"/>
        <w:rPr>
          <w:rFonts w:ascii="Arial" w:cs="Arial" w:eastAsia="Arial" w:hAnsi="Arial"/>
          <w:sz w:val="14"/>
          <w:szCs w:val="14"/>
          <w:color w:val="auto"/>
        </w:rPr>
      </w:pPr>
    </w:p>
    <w:p>
      <w:pPr>
        <w:ind w:left="383" w:right="32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prevail in the en banc hearing by the Ninth Circuit Court of Appeals of our challenge to AB32 and similar litigation that is pending in the State of Washington;</w:t>
      </w:r>
    </w:p>
    <w:p>
      <w:pPr>
        <w:spacing w:after="0" w:line="62" w:lineRule="exact"/>
        <w:rPr>
          <w:rFonts w:ascii="Arial" w:cs="Arial" w:eastAsia="Arial" w:hAnsi="Arial"/>
          <w:sz w:val="14"/>
          <w:szCs w:val="14"/>
          <w:color w:val="auto"/>
        </w:rPr>
      </w:pPr>
    </w:p>
    <w:p>
      <w:pPr>
        <w:ind w:left="383" w:right="56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accurately estimate on an annual basis, loss reserves related to general liability, workers’ compensation and automobile liability claims;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fulfill our debt service obligations and its impact on our liquidity;</w:t>
      </w:r>
    </w:p>
    <w:p>
      <w:pPr>
        <w:spacing w:after="0" w:line="103"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3"/>
          <w:szCs w:val="13"/>
          <w:color w:val="auto"/>
        </w:rPr>
      </w:pPr>
      <w:r>
        <w:rPr>
          <w:rFonts w:ascii="Arial" w:cs="Arial" w:eastAsia="Arial" w:hAnsi="Arial"/>
          <w:sz w:val="16"/>
          <w:szCs w:val="16"/>
          <w:color w:val="auto"/>
        </w:rPr>
        <w:t>our ability to deleverage and repay, refinance or otherwise address our debt maturities in an amount or on the timeline we expect, or at all;</w:t>
      </w:r>
    </w:p>
    <w:p>
      <w:pPr>
        <w:spacing w:after="0" w:line="126" w:lineRule="exact"/>
        <w:rPr>
          <w:rFonts w:ascii="Arial" w:cs="Arial" w:eastAsia="Arial" w:hAnsi="Arial"/>
          <w:sz w:val="13"/>
          <w:szCs w:val="13"/>
          <w:color w:val="auto"/>
        </w:rPr>
      </w:pPr>
    </w:p>
    <w:p>
      <w:pPr>
        <w:ind w:left="383" w:right="8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we are incurring significant indebtedness in connection with substantial ongoing capital expenditures. Capital expenditures for existing and future projects may materially strain our liquidity;</w:t>
      </w:r>
    </w:p>
    <w:p>
      <w:pPr>
        <w:spacing w:after="0" w:line="62" w:lineRule="exact"/>
        <w:rPr>
          <w:rFonts w:ascii="Arial" w:cs="Arial" w:eastAsia="Arial" w:hAnsi="Arial"/>
          <w:sz w:val="14"/>
          <w:szCs w:val="14"/>
          <w:color w:val="auto"/>
        </w:rPr>
      </w:pPr>
    </w:p>
    <w:p>
      <w:pPr>
        <w:ind w:left="383" w:right="80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despite current indebtedness levels, we may still incur more indebtedness, which could further exacerbate the risks relating to our indebtedness;</w:t>
      </w:r>
    </w:p>
    <w:p>
      <w:pPr>
        <w:spacing w:after="0" w:line="62" w:lineRule="exact"/>
        <w:rPr>
          <w:rFonts w:ascii="Arial" w:cs="Arial" w:eastAsia="Arial" w:hAnsi="Arial"/>
          <w:sz w:val="14"/>
          <w:szCs w:val="14"/>
          <w:color w:val="auto"/>
        </w:rPr>
      </w:pPr>
    </w:p>
    <w:p>
      <w:pPr>
        <w:ind w:left="383" w:right="60" w:hanging="383"/>
        <w:spacing w:after="0" w:line="24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the covenants in the indentures governing the Convertible Notes, the 6.00% Senior Notes due 2026, the 5.125% Senior Notes due 2023 and the 5.875% Senior Notes due 2024 and the covenants in our senior credit facility, and following the offering discussed in the Transaction Support Agreement and registered by the Registration Statement, the covenants in the indenture governing the 2028 Private Exchange Notes, the New Notes indenture and the Exchange Credit Agreement impose significant operating and financial restrictions which may adversely affect our ability to operate our business;</w:t>
      </w:r>
    </w:p>
    <w:p>
      <w:pPr>
        <w:spacing w:after="0" w:line="81" w:lineRule="exact"/>
        <w:rPr>
          <w:rFonts w:ascii="Arial" w:cs="Arial" w:eastAsia="Arial" w:hAnsi="Arial"/>
          <w:sz w:val="14"/>
          <w:szCs w:val="14"/>
          <w:color w:val="auto"/>
        </w:rPr>
      </w:pPr>
    </w:p>
    <w:p>
      <w:pPr>
        <w:ind w:left="383" w:right="24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servicing our indebtedness will require a significant amount of cash and our ability to generate cash depends on many factors beyond our control and we may not be able to generate the cash required to service our indebtedness;</w:t>
      </w:r>
    </w:p>
    <w:p>
      <w:pPr>
        <w:spacing w:after="0" w:line="62" w:lineRule="exact"/>
        <w:rPr>
          <w:rFonts w:ascii="Arial" w:cs="Arial" w:eastAsia="Arial" w:hAnsi="Arial"/>
          <w:sz w:val="14"/>
          <w:szCs w:val="14"/>
          <w:color w:val="auto"/>
        </w:rPr>
      </w:pPr>
    </w:p>
    <w:p>
      <w:pPr>
        <w:ind w:left="383" w:right="44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because portions of our senior indebtedness have floating interest rates, a general increase in interest rates would adversely affect cash flows;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4"/>
        </w:numPr>
        <w:rPr>
          <w:rFonts w:ascii="Arial" w:cs="Arial" w:eastAsia="Arial" w:hAnsi="Arial"/>
          <w:sz w:val="13"/>
          <w:szCs w:val="13"/>
          <w:color w:val="auto"/>
        </w:rPr>
      </w:pPr>
      <w:r>
        <w:rPr>
          <w:rFonts w:ascii="Arial" w:cs="Arial" w:eastAsia="Arial" w:hAnsi="Arial"/>
          <w:sz w:val="17"/>
          <w:szCs w:val="17"/>
          <w:color w:val="auto"/>
        </w:rPr>
        <w:t>we depend on distributions from our subsidiaries to make payments on our indebtedness and these distributions may not be made;</w:t>
      </w:r>
    </w:p>
    <w:p>
      <w:pPr>
        <w:spacing w:after="0" w:line="115" w:lineRule="exact"/>
        <w:rPr>
          <w:rFonts w:ascii="Arial" w:cs="Arial" w:eastAsia="Arial" w:hAnsi="Arial"/>
          <w:sz w:val="13"/>
          <w:szCs w:val="13"/>
          <w:color w:val="auto"/>
        </w:rPr>
      </w:pPr>
    </w:p>
    <w:p>
      <w:pPr>
        <w:ind w:left="383" w:right="4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we may not be able to satisfy our repurchase obligations in the event of a change of control because the terms of our indebtedness or lack of funds may prevent us from doing so;</w:t>
      </w:r>
    </w:p>
    <w:p>
      <w:pPr>
        <w:spacing w:after="0" w:line="62" w:lineRule="exact"/>
        <w:rPr>
          <w:rFonts w:ascii="Arial" w:cs="Arial" w:eastAsia="Arial" w:hAnsi="Arial"/>
          <w:sz w:val="14"/>
          <w:szCs w:val="14"/>
          <w:color w:val="auto"/>
        </w:rPr>
      </w:pPr>
    </w:p>
    <w:p>
      <w:pPr>
        <w:ind w:left="383" w:right="240" w:hanging="383"/>
        <w:spacing w:after="0" w:line="261" w:lineRule="auto"/>
        <w:tabs>
          <w:tab w:leader="none" w:pos="383" w:val="left"/>
        </w:tabs>
        <w:numPr>
          <w:ilvl w:val="0"/>
          <w:numId w:val="14"/>
        </w:numPr>
        <w:rPr>
          <w:rFonts w:ascii="Arial" w:cs="Arial" w:eastAsia="Arial" w:hAnsi="Arial"/>
          <w:sz w:val="14"/>
          <w:szCs w:val="14"/>
          <w:color w:val="auto"/>
        </w:rPr>
      </w:pPr>
      <w:r>
        <w:rPr>
          <w:rFonts w:ascii="Arial" w:cs="Arial" w:eastAsia="Arial" w:hAnsi="Arial"/>
          <w:sz w:val="18"/>
          <w:szCs w:val="18"/>
          <w:color w:val="auto"/>
        </w:rPr>
        <w:t>our ability to identify and successfully complete any potential sales of additional Company-owned assets and businesses in commercially advantageous terms on a timely basis, or at all;</w:t>
      </w:r>
    </w:p>
    <w:p>
      <w:pPr>
        <w:spacing w:after="0" w:line="171" w:lineRule="exact"/>
        <w:rPr>
          <w:sz w:val="20"/>
          <w:szCs w:val="20"/>
          <w:color w:val="auto"/>
        </w:rPr>
      </w:pPr>
    </w:p>
    <w:p>
      <w:pPr>
        <w:ind w:left="4783"/>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436" w:right="339" w:bottom="1440" w:gutter="0" w:footer="0" w:header="0"/>
        </w:sectPr>
      </w:pPr>
    </w:p>
    <w:bookmarkStart w:id="32" w:name="page33"/>
    <w:bookmarkEnd w:id="32"/>
    <w:p>
      <w:pPr>
        <w:jc w:val="both"/>
        <w:ind w:left="383" w:right="200" w:hanging="383"/>
        <w:spacing w:after="0" w:line="248"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73" w:lineRule="exact"/>
        <w:rPr>
          <w:rFonts w:ascii="Arial" w:cs="Arial" w:eastAsia="Arial" w:hAnsi="Arial"/>
          <w:sz w:val="14"/>
          <w:szCs w:val="14"/>
          <w:color w:val="auto"/>
        </w:rPr>
      </w:pPr>
    </w:p>
    <w:p>
      <w:pPr>
        <w:ind w:left="383" w:right="22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negative conditions in the capital markets could prevent us from obtaining financing on desirable terms, which could materially harm our business;</w:t>
      </w:r>
    </w:p>
    <w:p>
      <w:pPr>
        <w:spacing w:after="0" w:line="62" w:lineRule="exact"/>
        <w:rPr>
          <w:rFonts w:ascii="Arial" w:cs="Arial" w:eastAsia="Arial" w:hAnsi="Arial"/>
          <w:sz w:val="14"/>
          <w:szCs w:val="14"/>
          <w:color w:val="auto"/>
        </w:rPr>
      </w:pPr>
    </w:p>
    <w:p>
      <w:pPr>
        <w:jc w:val="both"/>
        <w:ind w:left="383" w:right="100" w:hanging="383"/>
        <w:spacing w:after="0" w:line="248"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spacing w:after="0" w:line="73" w:lineRule="exact"/>
        <w:rPr>
          <w:rFonts w:ascii="Arial" w:cs="Arial" w:eastAsia="Arial" w:hAnsi="Arial"/>
          <w:sz w:val="14"/>
          <w:szCs w:val="14"/>
          <w:color w:val="auto"/>
        </w:rPr>
      </w:pPr>
    </w:p>
    <w:p>
      <w:pPr>
        <w:ind w:left="383" w:hanging="383"/>
        <w:spacing w:after="0" w:line="248"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spacing w:after="0" w:line="73" w:lineRule="exact"/>
        <w:rPr>
          <w:rFonts w:ascii="Arial" w:cs="Arial" w:eastAsia="Arial" w:hAnsi="Arial"/>
          <w:sz w:val="14"/>
          <w:szCs w:val="14"/>
          <w:color w:val="auto"/>
        </w:rPr>
      </w:pPr>
    </w:p>
    <w:p>
      <w:pPr>
        <w:ind w:left="383" w:right="46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may not be able to meet state requirements for capital investment or locate land for the development of new facilities, which could adversely affect our results of operations and future growth;</w:t>
      </w:r>
    </w:p>
    <w:p>
      <w:pPr>
        <w:spacing w:after="0" w:line="62" w:lineRule="exact"/>
        <w:rPr>
          <w:rFonts w:ascii="Arial" w:cs="Arial" w:eastAsia="Arial" w:hAnsi="Arial"/>
          <w:sz w:val="14"/>
          <w:szCs w:val="14"/>
          <w:color w:val="auto"/>
        </w:rPr>
      </w:pPr>
    </w:p>
    <w:p>
      <w:pPr>
        <w:ind w:left="383" w:right="580" w:hanging="383"/>
        <w:spacing w:after="0" w:line="324" w:lineRule="auto"/>
        <w:tabs>
          <w:tab w:leader="none" w:pos="383" w:val="left"/>
        </w:tabs>
        <w:numPr>
          <w:ilvl w:val="0"/>
          <w:numId w:val="15"/>
        </w:numPr>
        <w:rPr>
          <w:rFonts w:ascii="Arial" w:cs="Arial" w:eastAsia="Arial" w:hAnsi="Arial"/>
          <w:sz w:val="13"/>
          <w:szCs w:val="13"/>
          <w:color w:val="auto"/>
        </w:rPr>
      </w:pPr>
      <w:r>
        <w:rPr>
          <w:rFonts w:ascii="Arial" w:cs="Arial" w:eastAsia="Arial" w:hAnsi="Arial"/>
          <w:sz w:val="16"/>
          <w:szCs w:val="16"/>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16" w:lineRule="exact"/>
        <w:rPr>
          <w:rFonts w:ascii="Arial" w:cs="Arial" w:eastAsia="Arial" w:hAnsi="Arial"/>
          <w:sz w:val="13"/>
          <w:szCs w:val="13"/>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State budgetary constraints may have a material adverse impact on us;</w:t>
      </w:r>
    </w:p>
    <w:p>
      <w:pPr>
        <w:spacing w:after="0" w:line="103"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competition for contracts may adversely affect the profitability of our business;</w:t>
      </w:r>
    </w:p>
    <w:p>
      <w:pPr>
        <w:spacing w:after="0" w:line="103" w:lineRule="exact"/>
        <w:rPr>
          <w:rFonts w:ascii="Arial" w:cs="Arial" w:eastAsia="Arial" w:hAnsi="Arial"/>
          <w:sz w:val="14"/>
          <w:szCs w:val="14"/>
          <w:color w:val="auto"/>
        </w:rPr>
      </w:pPr>
    </w:p>
    <w:p>
      <w:pPr>
        <w:ind w:left="383" w:right="44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are dependent on government appropriations, which may not be made on a timely basis or at all and may be adversely impacted by budgetary constraints at the federal, state, local and foreign government levels;</w:t>
      </w:r>
    </w:p>
    <w:p>
      <w:pPr>
        <w:spacing w:after="0" w:line="62" w:lineRule="exact"/>
        <w:rPr>
          <w:rFonts w:ascii="Arial" w:cs="Arial" w:eastAsia="Arial" w:hAnsi="Arial"/>
          <w:sz w:val="14"/>
          <w:szCs w:val="14"/>
          <w:color w:val="auto"/>
        </w:rPr>
      </w:pPr>
    </w:p>
    <w:p>
      <w:pPr>
        <w:ind w:left="383" w:right="180" w:hanging="383"/>
        <w:spacing w:after="0" w:line="284" w:lineRule="auto"/>
        <w:tabs>
          <w:tab w:leader="none" w:pos="383" w:val="left"/>
        </w:tabs>
        <w:numPr>
          <w:ilvl w:val="0"/>
          <w:numId w:val="15"/>
        </w:numPr>
        <w:rPr>
          <w:rFonts w:ascii="Arial" w:cs="Arial" w:eastAsia="Arial" w:hAnsi="Arial"/>
          <w:sz w:val="13"/>
          <w:szCs w:val="13"/>
          <w:color w:val="auto"/>
        </w:rPr>
      </w:pPr>
      <w:r>
        <w:rPr>
          <w:rFonts w:ascii="Arial" w:cs="Arial" w:eastAsia="Arial" w:hAnsi="Arial"/>
          <w:sz w:val="16"/>
          <w:szCs w:val="16"/>
          <w:color w:val="auto"/>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47" w:lineRule="exact"/>
        <w:rPr>
          <w:rFonts w:ascii="Arial" w:cs="Arial" w:eastAsia="Arial" w:hAnsi="Arial"/>
          <w:sz w:val="13"/>
          <w:szCs w:val="13"/>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adverse publicity may negatively impact our ability to retain existing contracts and obtain new contracts;</w:t>
      </w:r>
    </w:p>
    <w:p>
      <w:pPr>
        <w:spacing w:after="0" w:line="103" w:lineRule="exact"/>
        <w:rPr>
          <w:rFonts w:ascii="Arial" w:cs="Arial" w:eastAsia="Arial" w:hAnsi="Arial"/>
          <w:sz w:val="14"/>
          <w:szCs w:val="14"/>
          <w:color w:val="auto"/>
        </w:rPr>
      </w:pPr>
    </w:p>
    <w:p>
      <w:pPr>
        <w:ind w:left="383" w:right="8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may incur significant start-up and operating costs on new contracts before receiving related revenues, which may impact our cash flows and may not be recouped;</w:t>
      </w:r>
    </w:p>
    <w:p>
      <w:pPr>
        <w:spacing w:after="0" w:line="62" w:lineRule="exact"/>
        <w:rPr>
          <w:rFonts w:ascii="Arial" w:cs="Arial" w:eastAsia="Arial" w:hAnsi="Arial"/>
          <w:sz w:val="14"/>
          <w:szCs w:val="14"/>
          <w:color w:val="auto"/>
        </w:rPr>
      </w:pPr>
    </w:p>
    <w:p>
      <w:pPr>
        <w:ind w:left="383" w:right="4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failure to comply with extensive government regulation and applicable contractual requirements could have a material adverse effect on our business, financial condition or results of operations;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may face community opposition to facility locations, which may adversely affect our ability to obtain new contracts;</w:t>
      </w:r>
    </w:p>
    <w:p>
      <w:pPr>
        <w:spacing w:after="0" w:line="103" w:lineRule="exact"/>
        <w:rPr>
          <w:rFonts w:ascii="Arial" w:cs="Arial" w:eastAsia="Arial" w:hAnsi="Arial"/>
          <w:sz w:val="14"/>
          <w:szCs w:val="14"/>
          <w:color w:val="auto"/>
        </w:rPr>
      </w:pPr>
    </w:p>
    <w:p>
      <w:pPr>
        <w:ind w:left="383" w:right="38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our business operations expose us to various liabilities for which we may not have adequate insurance and may have a material adverse effect on our business, financial condition or results of operations;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may not be able to obtain or maintain the insurance levels required by our government contracts;</w:t>
      </w:r>
    </w:p>
    <w:p>
      <w:pPr>
        <w:spacing w:after="0" w:line="103"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our exposure to rising general insurance costs;</w:t>
      </w:r>
    </w:p>
    <w:p>
      <w:pPr>
        <w:spacing w:after="0" w:line="103" w:lineRule="exact"/>
        <w:rPr>
          <w:rFonts w:ascii="Arial" w:cs="Arial" w:eastAsia="Arial" w:hAnsi="Arial"/>
          <w:sz w:val="14"/>
          <w:szCs w:val="14"/>
          <w:color w:val="auto"/>
        </w:rPr>
      </w:pPr>
    </w:p>
    <w:p>
      <w:pPr>
        <w:ind w:left="383" w:right="20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natural disasters, pandemic outbreaks, global political events and other serious catastrophic events could disrupt operations and otherwise materially adversely affect our business and financial condition;</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3"/>
          <w:szCs w:val="13"/>
          <w:color w:val="auto"/>
        </w:rPr>
      </w:pPr>
      <w:r>
        <w:rPr>
          <w:rFonts w:ascii="Arial" w:cs="Arial" w:eastAsia="Arial" w:hAnsi="Arial"/>
          <w:sz w:val="17"/>
          <w:szCs w:val="17"/>
          <w:color w:val="auto"/>
        </w:rPr>
        <w:t>our international operations expose us to risks that could materially adversely affect our financial condition and results of operations;</w:t>
      </w:r>
    </w:p>
    <w:p>
      <w:pPr>
        <w:spacing w:after="0" w:line="115" w:lineRule="exact"/>
        <w:rPr>
          <w:rFonts w:ascii="Arial" w:cs="Arial" w:eastAsia="Arial" w:hAnsi="Arial"/>
          <w:sz w:val="13"/>
          <w:szCs w:val="13"/>
          <w:color w:val="auto"/>
        </w:rPr>
      </w:pPr>
    </w:p>
    <w:p>
      <w:pPr>
        <w:ind w:left="383"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we are dependent upon our senior management and our ability to attract and retain sufficient qualified personnel;</w:t>
      </w:r>
    </w:p>
    <w:p>
      <w:pPr>
        <w:spacing w:after="0" w:line="103"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our profitability may be materially adversely affected by inflation;</w:t>
      </w:r>
    </w:p>
    <w:p>
      <w:pPr>
        <w:spacing w:after="0" w:line="103" w:lineRule="exact"/>
        <w:rPr>
          <w:rFonts w:ascii="Arial" w:cs="Arial" w:eastAsia="Arial" w:hAnsi="Arial"/>
          <w:sz w:val="14"/>
          <w:szCs w:val="14"/>
          <w:color w:val="auto"/>
        </w:rPr>
      </w:pPr>
    </w:p>
    <w:p>
      <w:pPr>
        <w:ind w:left="383" w:right="640" w:hanging="383"/>
        <w:spacing w:after="0" w:line="261" w:lineRule="auto"/>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various risks associated with the ownership of real estate may increase costs, expose us to uninsured losses and adversely affect our financial condition and results of operations;</w:t>
      </w:r>
    </w:p>
    <w:p>
      <w:pPr>
        <w:spacing w:after="0" w:line="62" w:lineRule="exact"/>
        <w:rPr>
          <w:rFonts w:ascii="Arial" w:cs="Arial" w:eastAsia="Arial" w:hAnsi="Arial"/>
          <w:sz w:val="14"/>
          <w:szCs w:val="14"/>
          <w:color w:val="auto"/>
        </w:rPr>
      </w:pPr>
    </w:p>
    <w:p>
      <w:pPr>
        <w:ind w:left="383" w:hanging="383"/>
        <w:spacing w:after="0"/>
        <w:tabs>
          <w:tab w:leader="none" w:pos="383" w:val="left"/>
        </w:tabs>
        <w:numPr>
          <w:ilvl w:val="0"/>
          <w:numId w:val="15"/>
        </w:numPr>
        <w:rPr>
          <w:rFonts w:ascii="Arial" w:cs="Arial" w:eastAsia="Arial" w:hAnsi="Arial"/>
          <w:sz w:val="14"/>
          <w:szCs w:val="14"/>
          <w:color w:val="auto"/>
        </w:rPr>
      </w:pPr>
      <w:r>
        <w:rPr>
          <w:rFonts w:ascii="Arial" w:cs="Arial" w:eastAsia="Arial" w:hAnsi="Arial"/>
          <w:sz w:val="18"/>
          <w:szCs w:val="18"/>
          <w:color w:val="auto"/>
        </w:rPr>
        <w:t>risks related to facility construction and development activities may increase our costs related to such activities;</w:t>
      </w:r>
    </w:p>
    <w:p>
      <w:pPr>
        <w:spacing w:after="0" w:line="212" w:lineRule="exact"/>
        <w:rPr>
          <w:sz w:val="20"/>
          <w:szCs w:val="20"/>
          <w:color w:val="auto"/>
        </w:rPr>
      </w:pPr>
    </w:p>
    <w:p>
      <w:pPr>
        <w:ind w:left="4783"/>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436" w:right="339" w:bottom="1440" w:gutter="0" w:footer="0" w:header="0"/>
        </w:sectPr>
      </w:pPr>
    </w:p>
    <w:bookmarkStart w:id="33" w:name="page34"/>
    <w:bookmarkEnd w:id="33"/>
    <w:p>
      <w:pPr>
        <w:ind w:left="1140" w:right="2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the rising cost and increasing difficulty of obtaining adequate levels of surety credit on favorable terms could adversely affect our operating results;</w:t>
      </w:r>
    </w:p>
    <w:p>
      <w:pPr>
        <w:spacing w:after="0" w:line="62" w:lineRule="exact"/>
        <w:rPr>
          <w:rFonts w:ascii="Arial" w:cs="Arial" w:eastAsia="Arial" w:hAnsi="Arial"/>
          <w:sz w:val="14"/>
          <w:szCs w:val="14"/>
          <w:color w:val="auto"/>
        </w:rPr>
      </w:pPr>
    </w:p>
    <w:p>
      <w:pPr>
        <w:ind w:left="1140" w:right="72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adverse developments in our relationship with our employees could adversely affect our business, financial condition or results of operations;</w:t>
      </w:r>
    </w:p>
    <w:p>
      <w:pPr>
        <w:spacing w:after="0" w:line="62" w:lineRule="exact"/>
        <w:rPr>
          <w:rFonts w:ascii="Arial" w:cs="Arial" w:eastAsia="Arial" w:hAnsi="Arial"/>
          <w:sz w:val="14"/>
          <w:szCs w:val="14"/>
          <w:color w:val="auto"/>
        </w:rPr>
      </w:pPr>
    </w:p>
    <w:p>
      <w:pPr>
        <w:ind w:left="1140" w:right="30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technological changes could cause our electronic monitoring products and technology to become obsolete or require the redesign of our electronic monitoring products, which could have a material adverse effect on our business;</w:t>
      </w:r>
    </w:p>
    <w:p>
      <w:pPr>
        <w:spacing w:after="0" w:line="62" w:lineRule="exact"/>
        <w:rPr>
          <w:rFonts w:ascii="Arial" w:cs="Arial" w:eastAsia="Arial" w:hAnsi="Arial"/>
          <w:sz w:val="14"/>
          <w:szCs w:val="14"/>
          <w:color w:val="auto"/>
        </w:rPr>
      </w:pPr>
    </w:p>
    <w:p>
      <w:pPr>
        <w:ind w:left="1140" w:right="14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any negative changes in the level of acceptance of or resistance to the use of electronic monitoring products and services by governmental customers could have a material adverse effect on our business, financial condition and results of operations;</w:t>
      </w:r>
    </w:p>
    <w:p>
      <w:pPr>
        <w:spacing w:after="0" w:line="62" w:lineRule="exact"/>
        <w:rPr>
          <w:rFonts w:ascii="Arial" w:cs="Arial" w:eastAsia="Arial" w:hAnsi="Arial"/>
          <w:sz w:val="14"/>
          <w:szCs w:val="14"/>
          <w:color w:val="auto"/>
        </w:rPr>
      </w:pPr>
    </w:p>
    <w:p>
      <w:pPr>
        <w:jc w:val="both"/>
        <w:ind w:left="1140" w:right="120" w:hanging="383"/>
        <w:spacing w:after="0" w:line="270" w:lineRule="auto"/>
        <w:tabs>
          <w:tab w:leader="none" w:pos="1140" w:val="left"/>
        </w:tabs>
        <w:numPr>
          <w:ilvl w:val="0"/>
          <w:numId w:val="16"/>
        </w:numPr>
        <w:rPr>
          <w:rFonts w:ascii="Arial" w:cs="Arial" w:eastAsia="Arial" w:hAnsi="Arial"/>
          <w:sz w:val="13"/>
          <w:szCs w:val="13"/>
          <w:color w:val="auto"/>
        </w:rPr>
      </w:pPr>
      <w:r>
        <w:rPr>
          <w:rFonts w:ascii="Arial" w:cs="Arial" w:eastAsia="Arial" w:hAnsi="Arial"/>
          <w:sz w:val="17"/>
          <w:szCs w:val="17"/>
          <w:color w:val="auto"/>
        </w:rPr>
        <w:t>we depend on a limited number of third parties to manufacture and supply quality infrastructure components for our electronic monitoring products. If our suppliers cannot provide the components or services we require in a timely manner and/or with such quality as we expect, our ability to market and sell our electronic monitoring products and services could be harmed;</w:t>
      </w:r>
    </w:p>
    <w:p>
      <w:pPr>
        <w:spacing w:after="0" w:line="55" w:lineRule="exact"/>
        <w:rPr>
          <w:rFonts w:ascii="Arial" w:cs="Arial" w:eastAsia="Arial" w:hAnsi="Arial"/>
          <w:sz w:val="13"/>
          <w:szCs w:val="13"/>
          <w:color w:val="auto"/>
        </w:rPr>
      </w:pPr>
    </w:p>
    <w:p>
      <w:pPr>
        <w:ind w:left="1140" w:hanging="383"/>
        <w:spacing w:after="0"/>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the interruption, delay or failure of the provision of our services or information systems could adversely affect our business;</w:t>
      </w:r>
    </w:p>
    <w:p>
      <w:pPr>
        <w:spacing w:after="0" w:line="103" w:lineRule="exact"/>
        <w:rPr>
          <w:rFonts w:ascii="Arial" w:cs="Arial" w:eastAsia="Arial" w:hAnsi="Arial"/>
          <w:sz w:val="14"/>
          <w:szCs w:val="14"/>
          <w:color w:val="auto"/>
        </w:rPr>
      </w:pPr>
    </w:p>
    <w:p>
      <w:pPr>
        <w:ind w:left="1140" w:right="6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an inability to acquire, protect or maintain our intellectual property and patents in the electronic monitoring space could harm our ability to compete or grow;</w:t>
      </w:r>
    </w:p>
    <w:p>
      <w:pPr>
        <w:spacing w:after="0" w:line="62" w:lineRule="exact"/>
        <w:rPr>
          <w:rFonts w:ascii="Arial" w:cs="Arial" w:eastAsia="Arial" w:hAnsi="Arial"/>
          <w:sz w:val="14"/>
          <w:szCs w:val="14"/>
          <w:color w:val="auto"/>
        </w:rPr>
      </w:pPr>
    </w:p>
    <w:p>
      <w:pPr>
        <w:ind w:left="1140" w:right="120" w:hanging="383"/>
        <w:spacing w:after="0" w:line="248"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73" w:lineRule="exact"/>
        <w:rPr>
          <w:rFonts w:ascii="Arial" w:cs="Arial" w:eastAsia="Arial" w:hAnsi="Arial"/>
          <w:sz w:val="14"/>
          <w:szCs w:val="14"/>
          <w:color w:val="auto"/>
        </w:rPr>
      </w:pPr>
    </w:p>
    <w:p>
      <w:pPr>
        <w:ind w:left="1140" w:right="100" w:hanging="383"/>
        <w:spacing w:after="0" w:line="248"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73" w:lineRule="exact"/>
        <w:rPr>
          <w:rFonts w:ascii="Arial" w:cs="Arial" w:eastAsia="Arial" w:hAnsi="Arial"/>
          <w:sz w:val="14"/>
          <w:szCs w:val="14"/>
          <w:color w:val="auto"/>
        </w:rPr>
      </w:pPr>
    </w:p>
    <w:p>
      <w:pPr>
        <w:jc w:val="both"/>
        <w:ind w:left="1140" w:hanging="383"/>
        <w:spacing w:after="0" w:line="324" w:lineRule="auto"/>
        <w:tabs>
          <w:tab w:leader="none" w:pos="1140" w:val="left"/>
        </w:tabs>
        <w:numPr>
          <w:ilvl w:val="0"/>
          <w:numId w:val="16"/>
        </w:numPr>
        <w:rPr>
          <w:rFonts w:ascii="Arial" w:cs="Arial" w:eastAsia="Arial" w:hAnsi="Arial"/>
          <w:sz w:val="13"/>
          <w:szCs w:val="13"/>
          <w:color w:val="auto"/>
        </w:rPr>
      </w:pPr>
      <w:r>
        <w:rPr>
          <w:rFonts w:ascii="Arial" w:cs="Arial" w:eastAsia="Arial" w:hAnsi="Arial"/>
          <w:sz w:val="16"/>
          <w:szCs w:val="16"/>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16" w:lineRule="exact"/>
        <w:rPr>
          <w:rFonts w:ascii="Arial" w:cs="Arial" w:eastAsia="Arial" w:hAnsi="Arial"/>
          <w:sz w:val="13"/>
          <w:szCs w:val="13"/>
          <w:color w:val="auto"/>
        </w:rPr>
      </w:pPr>
    </w:p>
    <w:p>
      <w:pPr>
        <w:ind w:left="1140" w:right="60" w:hanging="383"/>
        <w:spacing w:after="0" w:line="248"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our ability to identify suitable acquisitions, and to successfully complete and integrate such acquisitions on satisfactory terms, to enhance occupancy levels and the financial performance of assets acquired and estimate the synergies to be achieved as a result of such acquisitions or achieve such synergies;</w:t>
      </w:r>
    </w:p>
    <w:p>
      <w:pPr>
        <w:spacing w:after="0" w:line="73" w:lineRule="exact"/>
        <w:rPr>
          <w:rFonts w:ascii="Arial" w:cs="Arial" w:eastAsia="Arial" w:hAnsi="Arial"/>
          <w:sz w:val="14"/>
          <w:szCs w:val="14"/>
          <w:color w:val="auto"/>
        </w:rPr>
      </w:pPr>
    </w:p>
    <w:p>
      <w:pPr>
        <w:ind w:left="1140" w:right="40" w:hanging="383"/>
        <w:spacing w:after="0" w:line="248"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73" w:lineRule="exact"/>
        <w:rPr>
          <w:rFonts w:ascii="Arial" w:cs="Arial" w:eastAsia="Arial" w:hAnsi="Arial"/>
          <w:sz w:val="14"/>
          <w:szCs w:val="14"/>
          <w:color w:val="auto"/>
        </w:rPr>
      </w:pPr>
    </w:p>
    <w:p>
      <w:pPr>
        <w:ind w:left="1140" w:hanging="383"/>
        <w:spacing w:after="0"/>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we are subject to risks related to corporate social responsibility;</w:t>
      </w:r>
    </w:p>
    <w:p>
      <w:pPr>
        <w:spacing w:after="0" w:line="103" w:lineRule="exact"/>
        <w:rPr>
          <w:rFonts w:ascii="Arial" w:cs="Arial" w:eastAsia="Arial" w:hAnsi="Arial"/>
          <w:sz w:val="14"/>
          <w:szCs w:val="14"/>
          <w:color w:val="auto"/>
        </w:rPr>
      </w:pPr>
    </w:p>
    <w:p>
      <w:pPr>
        <w:ind w:left="1140" w:right="32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our ability to successfully consummate the Exchange Offers and Consent Solicitations, the Private Exchange and the Credit Agreement Exchange (including the outcome and impact of any legal challenges to any of these transactions);</w:t>
      </w:r>
    </w:p>
    <w:p>
      <w:pPr>
        <w:spacing w:after="0" w:line="62" w:lineRule="exact"/>
        <w:rPr>
          <w:rFonts w:ascii="Arial" w:cs="Arial" w:eastAsia="Arial" w:hAnsi="Arial"/>
          <w:sz w:val="14"/>
          <w:szCs w:val="14"/>
          <w:color w:val="auto"/>
        </w:rPr>
      </w:pPr>
    </w:p>
    <w:p>
      <w:pPr>
        <w:ind w:left="1140" w:hanging="383"/>
        <w:spacing w:after="0"/>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the market price of our common stock may vary substantially;</w:t>
      </w:r>
    </w:p>
    <w:p>
      <w:pPr>
        <w:spacing w:after="0" w:line="103" w:lineRule="exact"/>
        <w:rPr>
          <w:rFonts w:ascii="Arial" w:cs="Arial" w:eastAsia="Arial" w:hAnsi="Arial"/>
          <w:sz w:val="14"/>
          <w:szCs w:val="14"/>
          <w:color w:val="auto"/>
        </w:rPr>
      </w:pPr>
    </w:p>
    <w:p>
      <w:pPr>
        <w:ind w:left="1140" w:right="46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future sales of shares of our common stock or securities convertible into common stock could adversely affect the market price of our common stock and may be dilutive to current shareholders;</w:t>
      </w:r>
    </w:p>
    <w:p>
      <w:pPr>
        <w:spacing w:after="0" w:line="62" w:lineRule="exact"/>
        <w:rPr>
          <w:rFonts w:ascii="Arial" w:cs="Arial" w:eastAsia="Arial" w:hAnsi="Arial"/>
          <w:sz w:val="14"/>
          <w:szCs w:val="14"/>
          <w:color w:val="auto"/>
        </w:rPr>
      </w:pPr>
    </w:p>
    <w:p>
      <w:pPr>
        <w:ind w:left="1140" w:right="2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various anti-takeover protections applicable to us may make an acquisition of us more difficult and reduce the market value of our common stock;</w:t>
      </w:r>
    </w:p>
    <w:p>
      <w:pPr>
        <w:spacing w:after="0" w:line="62" w:lineRule="exact"/>
        <w:rPr>
          <w:rFonts w:ascii="Arial" w:cs="Arial" w:eastAsia="Arial" w:hAnsi="Arial"/>
          <w:sz w:val="14"/>
          <w:szCs w:val="14"/>
          <w:color w:val="auto"/>
        </w:rPr>
      </w:pPr>
    </w:p>
    <w:p>
      <w:pPr>
        <w:ind w:left="1140" w:right="34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failure to maintain effective internal controls in accordance with Section 404 of the Sarbanes-Oxley Act of 2002 could have an adverse effect on our business and the trading price of our common stock;</w:t>
      </w:r>
    </w:p>
    <w:p>
      <w:pPr>
        <w:spacing w:after="0" w:line="62" w:lineRule="exact"/>
        <w:rPr>
          <w:rFonts w:ascii="Arial" w:cs="Arial" w:eastAsia="Arial" w:hAnsi="Arial"/>
          <w:sz w:val="14"/>
          <w:szCs w:val="14"/>
          <w:color w:val="auto"/>
        </w:rPr>
      </w:pPr>
    </w:p>
    <w:p>
      <w:pPr>
        <w:ind w:left="1140" w:hanging="383"/>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6"/>
          <w:szCs w:val="16"/>
          <w:color w:val="auto"/>
        </w:rPr>
        <w:t>we may issue additional debt securities that could limit our operating flexibility and negatively affect the value of our common stock; and</w:t>
      </w:r>
    </w:p>
    <w:p>
      <w:pPr>
        <w:spacing w:after="0" w:line="126" w:lineRule="exact"/>
        <w:rPr>
          <w:rFonts w:ascii="Arial" w:cs="Arial" w:eastAsia="Arial" w:hAnsi="Arial"/>
          <w:sz w:val="13"/>
          <w:szCs w:val="13"/>
          <w:color w:val="auto"/>
        </w:rPr>
      </w:pPr>
    </w:p>
    <w:p>
      <w:pPr>
        <w:ind w:left="1140" w:right="280" w:hanging="383"/>
        <w:spacing w:after="0" w:line="261"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other factors contained in our filings with the SEC, including, but not limited to, those detailed in the Annual Report on Form 10-K, our Quarterly Reports on Form 10-Q and our Current Reports on Form 8-K filed with the SEC.</w:t>
      </w:r>
    </w:p>
    <w:p>
      <w:pPr>
        <w:spacing w:after="0" w:line="26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undertake no obligation to update publicly any forward-looking statements, whether as a result of new information, future events or otherwise, except as required by law. All subsequent written and oral forward-looking statements attributable to us, or persons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acting on our behalf, are expressly qualified in their entirety by the cautionary statements included in this Quarterly Report on Form 10-Q.</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“Forward-Looking Information”, those described below under "Part II - Item 1A. Risk Factors" and under “Part I - Item 1A. Risk Factors” in our Annual Report on Form 10-K for the year ended December 31, 2021. This discussion should be read in conjunction with our unaudited consolidated financial statements and notes thereto included in this Quarterly Report on Form 10-Q.</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 based programs. We also provide secure transportation services domestically and in the United Kingdom through our joint venture GEOAmey.</w:t>
      </w:r>
    </w:p>
    <w:p>
      <w:pPr>
        <w:spacing w:after="0" w:line="16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operated REIT from January 1, 2013 through December 31, 2020. As a REIT, we provided services and conducted other business activities through TRSs. A TRS is a subsidiary of a REIT that is subject to applicable corporate income tax rates and certain qualification requirements. Our use of TRSs permitted us to engage in certain business activities in which the REIT could not engage directly, so long as those activities were conducted in entities that elected to be treated as TRSs under the Code, and enabled GEO to, among other things, provide correctional services at facilities that we own and at facilities owned by our government partners. A TRS is not subject to the distribution requirements applicable to REITs so it may retain income generated by its operations for reinvestment.</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December 2, 2021, we announced that our Board unanimously approved a plan to terminate our REIT status and become a taxable C Corporation, effective for the year ended December 31, 2021. As a result, we are no longer required to operate under REIT rules, including the requirement to distribute at least 90% of REIT taxable income to our shareholders, which provides us with greater flexibility to use our free cash flow. Effective January 1, 2021, we were subject to federal and state income taxes on our taxable income at applicable tax rates and are no longer entitled to a tax deduction for dividends paid. We operated as a REIT for the 2020 tax year, and existing REIT requirements and limitations, including those established by our organizational documents, remained in place until December 31, 2020. In connection with terminating our REIT status, the Board also voted unanimously to discontinue our quarterly dividend.</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At June 30, 2022, our worldwide operations include the management and/or ownership of approximately 82,000 beds at 102 secure services and community based facilities, including idle facilities, and also include the provision of community supervision services for an average of more than 400,000 individuals, including nearly 200,000 through an array of technology products including radio frequency, GPS, and alcohol monitoring devices.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provide a diversified scope of services on behalf of our government agency partners:</w:t>
      </w:r>
    </w:p>
    <w:p>
      <w:pPr>
        <w:spacing w:after="0" w:line="104" w:lineRule="exact"/>
        <w:rPr>
          <w:sz w:val="20"/>
          <w:szCs w:val="20"/>
          <w:color w:val="auto"/>
        </w:rPr>
      </w:pPr>
    </w:p>
    <w:p>
      <w:pPr>
        <w:ind w:left="1020" w:right="4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secure facility management services involve the provision of security, administrative, rehabilitation, education, and food services at secure services facilities;</w:t>
      </w:r>
    </w:p>
    <w:p>
      <w:pPr>
        <w:spacing w:after="0" w:line="62" w:lineRule="exact"/>
        <w:rPr>
          <w:rFonts w:ascii="Arial" w:cs="Arial" w:eastAsia="Arial" w:hAnsi="Arial"/>
          <w:sz w:val="18"/>
          <w:szCs w:val="18"/>
          <w:color w:val="auto"/>
        </w:rPr>
      </w:pPr>
    </w:p>
    <w:p>
      <w:pPr>
        <w:ind w:left="1020" w:right="30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provide comprehensive electronic monitoring and supervision services;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develop new facilities, using our project development experience to design, construct and finance what we believe are state-of-the-art facilities;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provide secure transportation services;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services are provided at facilities which we either own, lease or are owned by the government.</w:t>
      </w:r>
    </w:p>
    <w:p>
      <w:pPr>
        <w:spacing w:after="0" w:line="33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 the six months ended June 30, 2022 and 2021, we had consolidated revenues of $1,139.4 million and $1,141.8 million, respectively. We maintained an average company-wide facility occupancy rate of 85.5% including 71,575 active beds and excluding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ind w:right="200"/>
        <w:spacing w:after="0" w:line="231" w:lineRule="auto"/>
        <w:rPr>
          <w:sz w:val="20"/>
          <w:szCs w:val="20"/>
          <w:color w:val="auto"/>
        </w:rPr>
      </w:pPr>
      <w:r>
        <w:rPr>
          <w:rFonts w:ascii="Arial" w:cs="Arial" w:eastAsia="Arial" w:hAnsi="Arial"/>
          <w:sz w:val="18"/>
          <w:szCs w:val="18"/>
          <w:color w:val="auto"/>
        </w:rPr>
        <w:t>10,406 idle beds which includes those being marketed to potential customers for the six months ended June 30, 2022, and 87.5% including 79,726 active beds and excluding 10,104 idle beds which includes those being marketed to potential customers for the six months ended June 30, 2021. Overall occupancy levels have been lower than prior periods due to the impact of the COVID-19 pandemic as well as the impacts of the Executive Order (as defined below).</w:t>
      </w:r>
    </w:p>
    <w:p>
      <w:pPr>
        <w:spacing w:after="0" w:line="33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Reference is made to Part II, Item 7 of our Annual Report on Form 10-K filed with the SEC on February 28, 2022, for further discussion and analysis of information pertaining to our financial condition and results of operations as of and for the year ended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 We have determined that our previously reportable business segment, Facility Construction and Design, no longer qualifies as a reportable segment as it no longer meets certain quantitative thresholds and has been aggregated with our International Services reportable business segment. In addition, we appointed a new Chief Executive Officer, the chief operating decision maker, during fiscal 2021. Based on changes to the way our chief operating decision maker views the business and financial results used to allocate resources to our electronic monitoring and supervision services operations, along with the growth of the business, we report the electronic monitoring and supervision services operation as a separate reportable segment. This new segment is presented as Electronic Monitoring and Supervision Services. Previously, the electronic monitoring and supervision services operations were included in our GEO Care reportable segment. In addition, the GEO Care reportable segment was renamed Reentry Services and includes services provided to adults for residential and non-residential treatment, educational and community-based programs, pre-release and half-way house programs. We have retroactively restated our segment presentation for the three and six months ended June 30, 2021 to reflect these changes.</w:t>
      </w:r>
    </w:p>
    <w:p>
      <w:pPr>
        <w:spacing w:after="0" w:line="15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Support Agreement</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18, 2022, the Company entered into a Transaction Support Agreement with the Consenting Creditors setting forth principal terms for a Transaction to address the upcoming maturities of the Company's outstanding debt in 2023, 2024, and 2026. Refer to Note 15 - Subsequent Events of the Notes to Unaudited Consolidated Financial Statements included in Part I, Item 1 of this Quarterly Report on Form 10-Q for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Order</w:t>
      </w:r>
    </w:p>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On January 26, 2021, President Biden signed an executive order directing the United States Attorney General not to renew Department of Justice (“DOJ”) contracts with privately operated criminal detention facilities, as consistent with applicable law. Two agencies of the DOJ, the Federal Bureau of Prisons (“BOP”) and the U.S. Marshals Service (“USMS”), utilize GEO’s support services. The BOP houses inmates who have been convicted of federal crimes, and the USMS is generally responsible for detainees who are awaiting trial or sentencing in U.S. federal courts. As of June 30, 2022, GEO has three company-owned/company-leased facilities under direct contracts with USMS, which have current contract option periods that expire between February 28, 2023 and September 30, 2023. These facilities combined represented approximately 6% of our revenues for the year ended December 31, 2021.</w:t>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President Biden’s administration may implement additional executive orders or directives relating to federal criminal justice policies and/or immigration policies, which may impact the federal government’s use of public-private partnerships with respect to secure correctional and detention facilities and immigration processing centers, including with respect to our contracts, and/or may impact the budget and spending priorities of federal agencies, including the BOP, USMS, and U.S. Immigration and Customs Enforcement (“ICE”), which is an agency of the U.S. Department of Homeland Security.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6" w:name="page37"/>
    <w:bookmarkEnd w:id="36"/>
    <w:p>
      <w:pPr>
        <w:ind w:right="140"/>
        <w:spacing w:after="0" w:line="257" w:lineRule="auto"/>
        <w:rPr>
          <w:sz w:val="20"/>
          <w:szCs w:val="20"/>
          <w:color w:val="auto"/>
        </w:rPr>
      </w:pPr>
      <w:r>
        <w:rPr>
          <w:rFonts w:ascii="Arial" w:cs="Arial" w:eastAsia="Arial" w:hAnsi="Arial"/>
          <w:sz w:val="18"/>
          <w:szCs w:val="18"/>
          <w:color w:val="auto"/>
        </w:rPr>
        <w:t>We have been and are currently closely monitoring the impact of the COVID-19 pandemic and the efficacy and distribution of COVID-19 vaccines on all aspects of our business and geographies, including how it will impact those entrusted in our care and governmental partners. We did incur disruptions during the six months ended June 30, 2022 from the COVID-19 pandemic and are unable to predict the overall future impact that the COVID-19 pandemic will have on our financial condition, results of operations and cash flows due to numerous uncertainties. Refer to further discussion regarding the economic impacts of COVID-19 to our operations in the Outlook section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Developments</w:t>
      </w:r>
    </w:p>
    <w:p>
      <w:pPr>
        <w:spacing w:after="0" w:line="21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June 30, 2022, we announced that the USMS has exercised the current contract option period to continue to utilize the 770-bed Western Region Detention Facility in San Diego, California, which is effective through September 30, 2023. The existing contract also has two additional two-year contract option periods, which if exercised by the USMS, would be effective through September 30, 2025 and September 30, 2027, respectively. Our Western Region Detention Facility contract with the USMS had been operating under a 90-day contract extension which was scheduled to end on June 30,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Idle Facilities</w:t>
      </w:r>
    </w:p>
    <w:p>
      <w:pPr>
        <w:spacing w:after="0" w:line="77" w:lineRule="exact"/>
        <w:rPr>
          <w:sz w:val="20"/>
          <w:szCs w:val="20"/>
          <w:color w:val="auto"/>
        </w:rPr>
      </w:pPr>
    </w:p>
    <w:p>
      <w:pPr>
        <w:ind w:right="620" w:firstLine="45"/>
        <w:spacing w:after="0" w:line="294" w:lineRule="auto"/>
        <w:rPr>
          <w:sz w:val="20"/>
          <w:szCs w:val="20"/>
          <w:color w:val="auto"/>
        </w:rPr>
      </w:pPr>
      <w:r>
        <w:rPr>
          <w:rFonts w:ascii="Arial" w:cs="Arial" w:eastAsia="Arial" w:hAnsi="Arial"/>
          <w:sz w:val="16"/>
          <w:szCs w:val="16"/>
          <w:color w:val="auto"/>
        </w:rPr>
        <w:t>We are currently marketing 10,361 vacant beds at nine of our idle facilities to potential customers. The carrying values of these idle facilities totaled $272.6 million as of June 30, 2022, excluding equipment and other assets that can be easily transferred for use at other facilities. Refer to Note 11 – Commitments, Contingencies and Other Matters included in Part I, Item 1, of this Quarterly Report on Form 10-Q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accompanying unaudited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as of the date of the financial statements and the reported amounts of</w:t>
      </w:r>
    </w:p>
    <w:p>
      <w:pPr>
        <w:spacing w:after="0" w:line="1"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revenue and expenses during the reporting period. We routinely evaluate our estimates based on historical experience and on various other assumptions that management believes are reasonable under the circumstances. Actual results may differ from these estimates under different assumptions or conditions. During the six months ended June 30, 2022, we did not experience any significant changes in estimates or judgments inherent in the preparation of our consolidated financial statements. A summary of our significant accounting policies is contained in Note 1 to our consolidated financial statements included in our Annual Report on Form 10-K 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discussion and analysis should be read in conjunction with our unaudited consolidated financial statements and the notes to our unaudited consolidated financial statements included in Part I, Item 1, of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Second Quarter 2022 and Second Quarter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5"/>
              </w:rPr>
              <w:t>% of Revenue</w:t>
            </w: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ind w:right="432"/>
              <w:spacing w:after="0"/>
              <w:rPr>
                <w:sz w:val="20"/>
                <w:szCs w:val="20"/>
                <w:color w:val="auto"/>
              </w:rPr>
            </w:pPr>
            <w:r>
              <w:rPr>
                <w:rFonts w:ascii="Arial" w:cs="Arial" w:eastAsia="Arial" w:hAnsi="Arial"/>
                <w:sz w:val="13"/>
                <w:szCs w:val="13"/>
                <w:b w:val="1"/>
                <w:bCs w:val="1"/>
                <w:color w:val="auto"/>
                <w:w w:val="74"/>
              </w:rPr>
              <w:t>thousands)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353,402</w:t>
            </w:r>
          </w:p>
        </w:tc>
        <w:tc>
          <w:tcPr>
            <w:tcW w:w="15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60.1 % $</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368,394</w:t>
            </w:r>
          </w:p>
        </w:tc>
        <w:tc>
          <w:tcPr>
            <w:tcW w:w="1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65.2 %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(14,992 )</w:t>
            </w: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Electronic Monitoring and Supervision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121,484</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20.7 %</w:t>
            </w:r>
          </w:p>
        </w:tc>
        <w:tc>
          <w:tcPr>
            <w:tcW w:w="200" w:type="dxa"/>
            <w:vAlign w:val="bottom"/>
          </w:tcPr>
          <w:p>
            <w:pPr>
              <w:spacing w:after="0"/>
              <w:rPr>
                <w:sz w:val="17"/>
                <w:szCs w:val="17"/>
                <w:color w:val="auto"/>
              </w:rPr>
            </w:pP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64,835</w:t>
            </w:r>
          </w:p>
        </w:tc>
        <w:tc>
          <w:tcPr>
            <w:tcW w:w="12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11.5 %</w:t>
            </w:r>
          </w:p>
        </w:tc>
        <w:tc>
          <w:tcPr>
            <w:tcW w:w="12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56,649</w:t>
            </w:r>
          </w:p>
        </w:tc>
        <w:tc>
          <w:tcPr>
            <w:tcW w:w="12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87.4 %</w:t>
            </w: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Reentry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65,720</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11.2 %</w:t>
            </w:r>
          </w:p>
        </w:tc>
        <w:tc>
          <w:tcPr>
            <w:tcW w:w="200" w:type="dxa"/>
            <w:vAlign w:val="bottom"/>
          </w:tcPr>
          <w:p>
            <w:pPr>
              <w:spacing w:after="0"/>
              <w:rPr>
                <w:sz w:val="17"/>
                <w:szCs w:val="17"/>
                <w:color w:val="auto"/>
              </w:rPr>
            </w:pP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77,070</w:t>
            </w:r>
          </w:p>
        </w:tc>
        <w:tc>
          <w:tcPr>
            <w:tcW w:w="12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13.6 %</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(11,350 )</w:t>
            </w: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International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47,571</w:t>
            </w:r>
          </w:p>
        </w:tc>
        <w:tc>
          <w:tcPr>
            <w:tcW w:w="12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8.1 %</w:t>
            </w:r>
          </w:p>
        </w:tc>
        <w:tc>
          <w:tcPr>
            <w:tcW w:w="200" w:type="dxa"/>
            <w:vAlign w:val="bottom"/>
          </w:tcPr>
          <w:p>
            <w:pPr>
              <w:spacing w:after="0"/>
              <w:rPr>
                <w:sz w:val="17"/>
                <w:szCs w:val="17"/>
                <w:color w:val="auto"/>
              </w:rPr>
            </w:pP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55,120</w:t>
            </w:r>
          </w:p>
        </w:tc>
        <w:tc>
          <w:tcPr>
            <w:tcW w:w="12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9.7 %</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(7,549 )</w:t>
            </w: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3"/>
              <w:spacing w:after="0" w:line="182" w:lineRule="exact"/>
              <w:rPr>
                <w:sz w:val="20"/>
                <w:szCs w:val="20"/>
                <w:color w:val="auto"/>
              </w:rPr>
            </w:pPr>
            <w:r>
              <w:rPr>
                <w:rFonts w:ascii="Arial" w:cs="Arial" w:eastAsia="Arial" w:hAnsi="Arial"/>
                <w:sz w:val="18"/>
                <w:szCs w:val="18"/>
                <w:color w:val="auto"/>
              </w:rPr>
              <w:t>588,177</w:t>
            </w:r>
          </w:p>
        </w:tc>
        <w:tc>
          <w:tcPr>
            <w:tcW w:w="120" w:type="dxa"/>
            <w:vAlign w:val="bottom"/>
          </w:tcPr>
          <w:p>
            <w:pPr>
              <w:spacing w:after="0"/>
              <w:rPr>
                <w:sz w:val="17"/>
                <w:szCs w:val="17"/>
                <w:color w:val="auto"/>
              </w:rPr>
            </w:pPr>
          </w:p>
        </w:tc>
        <w:tc>
          <w:tcPr>
            <w:tcW w:w="1380" w:type="dxa"/>
            <w:vAlign w:val="bottom"/>
            <w:gridSpan w:val="3"/>
          </w:tcPr>
          <w:p>
            <w:pPr>
              <w:jc w:val="right"/>
              <w:ind w:right="100"/>
              <w:spacing w:after="0" w:line="183" w:lineRule="exact"/>
              <w:rPr>
                <w:sz w:val="20"/>
                <w:szCs w:val="20"/>
                <w:color w:val="auto"/>
              </w:rPr>
            </w:pPr>
            <w:r>
              <w:rPr>
                <w:rFonts w:ascii="Arial" w:cs="Arial" w:eastAsia="Arial" w:hAnsi="Arial"/>
                <w:sz w:val="13"/>
                <w:szCs w:val="13"/>
                <w:color w:val="auto"/>
              </w:rPr>
              <w:t xml:space="preserve">100.0 % </w:t>
            </w:r>
            <w:r>
              <w:rPr>
                <w:rFonts w:ascii="Arial" w:cs="Arial" w:eastAsia="Arial" w:hAnsi="Arial"/>
                <w:sz w:val="21"/>
                <w:szCs w:val="21"/>
                <w:color w:val="auto"/>
                <w:vertAlign w:val="superscript"/>
              </w:rPr>
              <w:t>$</w:t>
            </w:r>
          </w:p>
        </w:tc>
        <w:tc>
          <w:tcPr>
            <w:tcW w:w="820" w:type="dxa"/>
            <w:vAlign w:val="bottom"/>
          </w:tcPr>
          <w:p>
            <w:pPr>
              <w:jc w:val="right"/>
              <w:ind w:right="35"/>
              <w:spacing w:after="0" w:line="182" w:lineRule="exact"/>
              <w:rPr>
                <w:sz w:val="20"/>
                <w:szCs w:val="20"/>
                <w:color w:val="auto"/>
              </w:rPr>
            </w:pPr>
            <w:r>
              <w:rPr>
                <w:rFonts w:ascii="Arial" w:cs="Arial" w:eastAsia="Arial" w:hAnsi="Arial"/>
                <w:sz w:val="18"/>
                <w:szCs w:val="18"/>
                <w:color w:val="auto"/>
              </w:rPr>
              <w:t>565,419</w:t>
            </w:r>
          </w:p>
        </w:tc>
        <w:tc>
          <w:tcPr>
            <w:tcW w:w="100" w:type="dxa"/>
            <w:vAlign w:val="bottom"/>
          </w:tcPr>
          <w:p>
            <w:pPr>
              <w:spacing w:after="0"/>
              <w:rPr>
                <w:sz w:val="17"/>
                <w:szCs w:val="17"/>
                <w:color w:val="auto"/>
              </w:rPr>
            </w:pPr>
          </w:p>
        </w:tc>
        <w:tc>
          <w:tcPr>
            <w:tcW w:w="1280" w:type="dxa"/>
            <w:vAlign w:val="bottom"/>
            <w:gridSpan w:val="3"/>
          </w:tcPr>
          <w:p>
            <w:pPr>
              <w:jc w:val="right"/>
              <w:ind w:right="20"/>
              <w:spacing w:after="0" w:line="183" w:lineRule="exact"/>
              <w:rPr>
                <w:sz w:val="20"/>
                <w:szCs w:val="20"/>
                <w:color w:val="auto"/>
              </w:rPr>
            </w:pPr>
            <w:r>
              <w:rPr>
                <w:rFonts w:ascii="Arial" w:cs="Arial" w:eastAsia="Arial" w:hAnsi="Arial"/>
                <w:sz w:val="13"/>
                <w:szCs w:val="13"/>
                <w:color w:val="auto"/>
              </w:rPr>
              <w:t xml:space="preserve">100.0 % </w:t>
            </w:r>
            <w:r>
              <w:rPr>
                <w:rFonts w:ascii="Arial" w:cs="Arial" w:eastAsia="Arial" w:hAnsi="Arial"/>
                <w:sz w:val="21"/>
                <w:szCs w:val="21"/>
                <w:color w:val="auto"/>
                <w:vertAlign w:val="superscript"/>
              </w:rPr>
              <w:t>$</w:t>
            </w:r>
          </w:p>
        </w:tc>
        <w:tc>
          <w:tcPr>
            <w:tcW w:w="860" w:type="dxa"/>
            <w:vAlign w:val="bottom"/>
          </w:tcPr>
          <w:p>
            <w:pPr>
              <w:jc w:val="right"/>
              <w:ind w:right="33"/>
              <w:spacing w:after="0" w:line="182" w:lineRule="exact"/>
              <w:rPr>
                <w:sz w:val="20"/>
                <w:szCs w:val="20"/>
                <w:color w:val="auto"/>
              </w:rPr>
            </w:pPr>
            <w:r>
              <w:rPr>
                <w:rFonts w:ascii="Arial" w:cs="Arial" w:eastAsia="Arial" w:hAnsi="Arial"/>
                <w:sz w:val="18"/>
                <w:szCs w:val="18"/>
                <w:color w:val="auto"/>
              </w:rPr>
              <w:t>22,758</w:t>
            </w:r>
          </w:p>
        </w:tc>
        <w:tc>
          <w:tcPr>
            <w:tcW w:w="126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7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Revenues decreased by $15.0 million in Second Quarter 2022 compared to Second Quarter 2021 primarily due to aggregate decreases of $42.9 million due to the ramp-down/deactivations of our company-owned Big Springs, Flightline and Great Plains Correctional Facilities, our Queens Detention Facility, our managed-only Bay and Graceville Correctional Rehabilitation Facilities, as well as our managed-only George W. Hill Correctional Facility. These decreases were partially offset by aggregate net increases of $15.3 million resulting from the contract activation and ramp up at our company-owned Moshannon Valley Processing Center, Desert View Annex</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8" w:right="239" w:bottom="1440" w:gutter="0" w:footer="0" w:header="0"/>
        </w:sectPr>
      </w:pPr>
    </w:p>
    <w:bookmarkStart w:id="37" w:name="page38"/>
    <w:bookmarkEnd w:id="37"/>
    <w:p>
      <w:pPr>
        <w:ind w:right="620"/>
        <w:spacing w:after="0" w:line="261" w:lineRule="auto"/>
        <w:rPr>
          <w:sz w:val="20"/>
          <w:szCs w:val="20"/>
          <w:color w:val="auto"/>
        </w:rPr>
      </w:pPr>
      <w:r>
        <w:rPr>
          <w:rFonts w:ascii="Arial" w:cs="Arial" w:eastAsia="Arial" w:hAnsi="Arial"/>
          <w:sz w:val="18"/>
          <w:szCs w:val="18"/>
          <w:color w:val="auto"/>
        </w:rPr>
        <w:t>as well as our company-owned Eagle Pass Detention Center. In addition, we experienced aggregate net increases in rates and/or per diem amounts in connection with contract modifications, transportation services and increased occupancies of $12.6 million.</w:t>
      </w:r>
    </w:p>
    <w:p>
      <w:pPr>
        <w:spacing w:after="0" w:line="319"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number of compensated mandays in U.S. Secure Services facilities was approximately 4.5 million in Second Quarter 2022 and 5.0 million in Second Quarter 2021. We experienced an aggregate net decrease of approximately 500,000 mandays as a result of contract terminations, partially offset by contract activations and increases in occupancies discussed above. We look at the average occupancy in our facilities to determine how we are managing our available beds. The average occupancy is calculated by taking compensated mandays as a percentage of capacity. The average occupancy in our U.S. Secure Services facilities was 90.0% and 88.6% of capacity in the Second Quarter 2022 and Second Quarter 2021, respectively, excluding idle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2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Revenues increased by $56.6 million in Second Quarter 2022 compared to Second Quarter 2021 due to increases in average participant counts under the Intensive Supervision and Appearance Program ("ISAP").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Revenues decreased by $11.4 million in Second Quarter 2022 compared to Second Quarter 2021 primarily due to a decrease of $17.3 million as a result of the sale of our youth business which was effective July 1, 2021. This decrease was partially offset by increases of $3.2 million due to new/reactivated contracts, day reporting centers and programs including the activation of our company-owned Tampa Residential Reentry Center in Tampa, Florida in September 2021. Also partially offsetting the decrease was a net aggregate increase of $2.7 million related to increased census levels at certain of our community-based and reentry centers due to increased programming needs and referrals.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77"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Revenues for International Services decreased by $7.5 million in Second Quarter 2022 compared to Second Quarter 2021 primarily due to foreign exchange rate fluctuations of $3.8 million. We also experienced a decrease of $3.7 million primarily driven by the transition of our management contract for the Dungavel House Immigration Removal Centre in the United Kingdom to the government effective September 30,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w w:val="97"/>
              </w:rPr>
              <w:t>% of Segment</w:t>
            </w:r>
          </w:p>
        </w:tc>
        <w:tc>
          <w:tcPr>
            <w:tcW w:w="8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38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 of Segment</w:t>
            </w: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Revenues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Revenues</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80" w:type="dxa"/>
            <w:vAlign w:val="bottom"/>
          </w:tcPr>
          <w:p>
            <w:pPr>
              <w:spacing w:after="0"/>
              <w:rPr>
                <w:sz w:val="14"/>
                <w:szCs w:val="14"/>
                <w:color w:val="auto"/>
              </w:rPr>
            </w:pPr>
          </w:p>
        </w:tc>
        <w:tc>
          <w:tcPr>
            <w:tcW w:w="11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261,525</w:t>
            </w:r>
          </w:p>
        </w:tc>
        <w:tc>
          <w:tcPr>
            <w:tcW w:w="150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74.0 % $</w:t>
            </w: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268,963</w:t>
            </w:r>
          </w:p>
        </w:tc>
        <w:tc>
          <w:tcPr>
            <w:tcW w:w="1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73.0 %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(7,438 )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Electronic Monitoring and Supervision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59,277</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48.8 %</w:t>
            </w:r>
          </w:p>
        </w:tc>
        <w:tc>
          <w:tcPr>
            <w:tcW w:w="200" w:type="dxa"/>
            <w:vAlign w:val="bottom"/>
          </w:tcPr>
          <w:p>
            <w:pPr>
              <w:spacing w:after="0"/>
              <w:rPr>
                <w:sz w:val="17"/>
                <w:szCs w:val="17"/>
                <w:color w:val="auto"/>
              </w:rPr>
            </w:pP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28,488</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43.9 %</w:t>
            </w:r>
          </w:p>
        </w:tc>
        <w:tc>
          <w:tcPr>
            <w:tcW w:w="14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30,789</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108.1 %</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Reentry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47,042</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71.6 %</w:t>
            </w:r>
          </w:p>
        </w:tc>
        <w:tc>
          <w:tcPr>
            <w:tcW w:w="200" w:type="dxa"/>
            <w:vAlign w:val="bottom"/>
          </w:tcPr>
          <w:p>
            <w:pPr>
              <w:spacing w:after="0"/>
              <w:rPr>
                <w:sz w:val="17"/>
                <w:szCs w:val="17"/>
                <w:color w:val="auto"/>
              </w:rPr>
            </w:pP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58,829</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76.3 %</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(11,787 )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International Services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43,947</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92.4 %</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48,729</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88.4 %</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(4,782 )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rPr>
              <w:t>411,791</w:t>
            </w:r>
          </w:p>
        </w:tc>
        <w:tc>
          <w:tcPr>
            <w:tcW w:w="130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70.0 %</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5"/>
              <w:spacing w:after="0" w:line="182" w:lineRule="exact"/>
              <w:rPr>
                <w:sz w:val="20"/>
                <w:szCs w:val="20"/>
                <w:color w:val="auto"/>
              </w:rPr>
            </w:pPr>
            <w:r>
              <w:rPr>
                <w:rFonts w:ascii="Arial" w:cs="Arial" w:eastAsia="Arial" w:hAnsi="Arial"/>
                <w:sz w:val="18"/>
                <w:szCs w:val="18"/>
                <w:color w:val="auto"/>
              </w:rPr>
              <w:t>405,009</w:t>
            </w:r>
          </w:p>
        </w:tc>
        <w:tc>
          <w:tcPr>
            <w:tcW w:w="13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71.6 %</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6,782</w:t>
            </w:r>
          </w:p>
        </w:tc>
        <w:tc>
          <w:tcPr>
            <w:tcW w:w="124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7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Operating expenses for U.S. Secure Services decreased by $7.4 million in Second Quarter 2022 compared to Second Quarter 2021 primarily due to decreases of $35.9 million related to the ramp-down/deactivations of our company-owned Big Springs, Flightline and Great Plains Correctional Facilities, our Queens Detention Facility, our managed-only Bay and Graceville Correctional Rehabilitation Facilities, as well as our managed-only George W. Hill Correctional Facility. These decreases were partially offset by aggregate net increases of $11.2 million resulting from the contract activation and ramp up at our company-owned Moshannon Valley Processing Center, Desert View Annex as well as our company-owned Eagle Pass Detention Center. In addition, we experienced aggregate net increases in connection with transportation services, increased occupancies and the variable costs associated with those services of $17.3 million.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09" w:right="239" w:bottom="1440" w:gutter="0" w:footer="0" w:header="0"/>
        </w:sectPr>
      </w:pPr>
    </w:p>
    <w:bookmarkStart w:id="38" w:name="page39"/>
    <w:bookmarkEnd w:id="38"/>
    <w:p>
      <w:pPr>
        <w:ind w:right="560"/>
        <w:spacing w:after="0" w:line="261" w:lineRule="auto"/>
        <w:rPr>
          <w:sz w:val="20"/>
          <w:szCs w:val="20"/>
          <w:color w:val="auto"/>
        </w:rPr>
      </w:pPr>
      <w:r>
        <w:rPr>
          <w:rFonts w:ascii="Arial" w:cs="Arial" w:eastAsia="Arial" w:hAnsi="Arial"/>
          <w:sz w:val="18"/>
          <w:szCs w:val="18"/>
          <w:color w:val="auto"/>
        </w:rPr>
        <w:t>Operating expenses increased by $30.8 million in Second Quarter 2022 compared to Second Quarter 2021 primarily due to increases in variable costs related to increases in average participant counts under ISAP.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7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Operating expenses for Reentry Services decreased by $11.8 million during Second Quarter 2022 compared to Second Quarter 2021 primarily due to a decrease of $14.9 million as a result of the sale of our youth business which was effective July 1, 2021. We also experienced a decrease of $1.0 million due to contract terminations. These decreases were partially offset by increases of $2.0 million due to new/reactivated contracts, day reporting centers and programs including the activation of our company-owned Tampa Residential Reentry Center in Tampa, Florida in September 2021. Also partially offsetting the decreases was a net aggregate increase of $2.1 million related to increased census levels at certain of our community-based and reentry centers due to increased programming needs and referrals.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7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Operating expenses for International Services decreased by $4.8 million in Second Quarter 2022 compared to Second Quarter 2021 primarily due to foreign exchange rate fluctuations of $3.5 million. We also experienced a decrease of $1.3 million primarily driven by the transition of our management contract for the Dungavel House Immigration Removal Centre in the United Kingdom to the government effective September 30,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w w:val="97"/>
              </w:rPr>
              <w:t>% of Segment</w:t>
            </w:r>
          </w:p>
        </w:tc>
        <w:tc>
          <w:tcPr>
            <w:tcW w:w="8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38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 of Segment</w:t>
            </w: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Revenue</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Revenue</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80" w:type="dxa"/>
            <w:vAlign w:val="bottom"/>
          </w:tcPr>
          <w:p>
            <w:pPr>
              <w:spacing w:after="0"/>
              <w:rPr>
                <w:sz w:val="14"/>
                <w:szCs w:val="14"/>
                <w:color w:val="auto"/>
              </w:rPr>
            </w:pPr>
          </w:p>
        </w:tc>
        <w:tc>
          <w:tcPr>
            <w:tcW w:w="11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19,053</w:t>
            </w:r>
          </w:p>
        </w:tc>
        <w:tc>
          <w:tcPr>
            <w:tcW w:w="152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5.4 % $</w:t>
            </w: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20,529</w:t>
            </w:r>
          </w:p>
        </w:tc>
        <w:tc>
          <w:tcPr>
            <w:tcW w:w="1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5.6 %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(1,476 )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Electronic Monitoring and Supervision Services</w:t>
            </w:r>
          </w:p>
        </w:tc>
        <w:tc>
          <w:tcPr>
            <w:tcW w:w="22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7,962</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6.6 %</w:t>
            </w:r>
          </w:p>
        </w:tc>
        <w:tc>
          <w:tcPr>
            <w:tcW w:w="20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7,355</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11.3 %</w:t>
            </w:r>
          </w:p>
        </w:tc>
        <w:tc>
          <w:tcPr>
            <w:tcW w:w="14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607</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Reentry Services</w:t>
            </w:r>
          </w:p>
        </w:tc>
        <w:tc>
          <w:tcPr>
            <w:tcW w:w="22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4,471</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6.8 %</w:t>
            </w:r>
          </w:p>
        </w:tc>
        <w:tc>
          <w:tcPr>
            <w:tcW w:w="20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4,835</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6.3 %</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(364 )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International Services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530</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1.1 %</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587</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1.1 %</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32,016</w:t>
            </w:r>
          </w:p>
        </w:tc>
        <w:tc>
          <w:tcPr>
            <w:tcW w:w="1320" w:type="dxa"/>
            <w:vAlign w:val="bottom"/>
            <w:gridSpan w:val="3"/>
          </w:tcPr>
          <w:p>
            <w:pPr>
              <w:jc w:val="right"/>
              <w:ind w:right="60"/>
              <w:spacing w:after="0" w:line="182" w:lineRule="exact"/>
              <w:rPr>
                <w:sz w:val="20"/>
                <w:szCs w:val="20"/>
                <w:color w:val="auto"/>
              </w:rPr>
            </w:pPr>
            <w:r>
              <w:rPr>
                <w:rFonts w:ascii="Arial" w:cs="Arial" w:eastAsia="Arial" w:hAnsi="Arial"/>
                <w:sz w:val="18"/>
                <w:szCs w:val="18"/>
                <w:color w:val="auto"/>
              </w:rPr>
              <w:t>5.4 %</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5"/>
              <w:spacing w:after="0" w:line="182" w:lineRule="exact"/>
              <w:rPr>
                <w:sz w:val="20"/>
                <w:szCs w:val="20"/>
                <w:color w:val="auto"/>
              </w:rPr>
            </w:pPr>
            <w:r>
              <w:rPr>
                <w:rFonts w:ascii="Arial" w:cs="Arial" w:eastAsia="Arial" w:hAnsi="Arial"/>
                <w:sz w:val="18"/>
                <w:szCs w:val="18"/>
                <w:color w:val="auto"/>
              </w:rPr>
              <w:t>33,306</w:t>
            </w:r>
          </w:p>
        </w:tc>
        <w:tc>
          <w:tcPr>
            <w:tcW w:w="13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5.9 %</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(1,290 )</w:t>
            </w:r>
          </w:p>
        </w:tc>
        <w:tc>
          <w:tcPr>
            <w:tcW w:w="12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7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U.S. Secure Services depreciation and amortization expense decreased in Second Quarter 2022 compared to Second Quarter 2021 primarily due to certain assets becoming fully depreciated and or amortized as well as certain asset dispositions at our company-owned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7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Depreciation and amortization expense increased slightly in Second Quarter 2022 compared to Second Quarter 2021 primarily due to certain leasehold improvements and equipment additions.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7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Reentry Services depreciation and amortization expense decreased slightly in Second Quarter 2022 compared to Second Quarter 2021 primarily due to certain asset dispositions at our company-owned centers.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7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Depreciation and amortization expense decreased slightly in Second Quarter 2022 compared to Second Quarter 2021 primarily due to foreign exchange rate fluctuations.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Unallocated 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6"/>
              </w:rPr>
              <w:t>(Dollars in</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49,296</w:t>
            </w:r>
          </w:p>
        </w:tc>
        <w:tc>
          <w:tcPr>
            <w:tcW w:w="15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8.4 % $</w:t>
            </w:r>
          </w:p>
        </w:tc>
        <w:tc>
          <w:tcPr>
            <w:tcW w:w="800" w:type="dxa"/>
            <w:vAlign w:val="bottom"/>
          </w:tcPr>
          <w:p>
            <w:pPr>
              <w:jc w:val="right"/>
              <w:ind w:right="42"/>
              <w:spacing w:after="0" w:line="202" w:lineRule="exact"/>
              <w:rPr>
                <w:sz w:val="20"/>
                <w:szCs w:val="20"/>
                <w:color w:val="auto"/>
              </w:rPr>
            </w:pPr>
            <w:r>
              <w:rPr>
                <w:rFonts w:ascii="Arial" w:cs="Arial" w:eastAsia="Arial" w:hAnsi="Arial"/>
                <w:sz w:val="18"/>
                <w:szCs w:val="18"/>
                <w:color w:val="auto"/>
              </w:rPr>
              <w:t>54,688</w:t>
            </w:r>
          </w:p>
        </w:tc>
        <w:tc>
          <w:tcPr>
            <w:tcW w:w="13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9.7 %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(5,392 )</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635"/>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2"/>
          </w:tcPr>
          <w:p>
            <w:pPr>
              <w:jc w:val="right"/>
              <w:ind w:right="848"/>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328" w:right="239" w:bottom="1440" w:gutter="0" w:footer="0" w:header="0"/>
        </w:sectPr>
      </w:pPr>
    </w:p>
    <w:bookmarkStart w:id="39" w:name="page40"/>
    <w:bookmarkEnd w:id="39"/>
    <w:p>
      <w:pPr>
        <w:ind w:right="280"/>
        <w:spacing w:after="0" w:line="259" w:lineRule="auto"/>
        <w:rPr>
          <w:sz w:val="20"/>
          <w:szCs w:val="20"/>
          <w:color w:val="auto"/>
        </w:rPr>
      </w:pPr>
      <w:r>
        <w:rPr>
          <w:rFonts w:ascii="Arial" w:cs="Arial" w:eastAsia="Arial" w:hAnsi="Arial"/>
          <w:sz w:val="17"/>
          <w:szCs w:val="17"/>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decreased in Second Quarter 2022 compared to Second Quarter 2021 by $5.4 million primarily due to $7.5 million in one-time employee restructuring expenses incurred in Second Quarter 2021. Partially offsetting this decrease were increased professional fees for financial and legal advisors assisting us in reviewing potential asset sales as well as normal professional, consulting and other administrative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5,562</w:t>
            </w:r>
          </w:p>
        </w:tc>
        <w:tc>
          <w:tcPr>
            <w:tcW w:w="15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0.9 % $</w:t>
            </w:r>
          </w:p>
        </w:tc>
        <w:tc>
          <w:tcPr>
            <w:tcW w:w="8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5,985</w:t>
            </w:r>
          </w:p>
        </w:tc>
        <w:tc>
          <w:tcPr>
            <w:tcW w:w="13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1.1 %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(423 )</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33,225</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5.6 %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32,053</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5.7 % $</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1,172</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decreased in Second Quarter 2022 compared to Second Quarter 2021 primarily due to the effect of foreign exchange rate fluctuations.</w:t>
      </w:r>
    </w:p>
    <w:p>
      <w:pPr>
        <w:spacing w:after="0" w:line="16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Interest expense increased in Second Quarter 2022 compared to Second Quarter 2021 primarily due to higher balances under the revolver component of our credit facility. During 2021, we drew down significant amounts under our revolver as a conservative precautionary step to preserve liquidity, maintain financial flexibility, and obtain additional funds for general corporate purposes. Also contributing to the increase was the effect of increases in the LIBOR rate.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Gain on Extinguishment of Debt</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471"/>
              <w:spacing w:after="0"/>
              <w:rPr>
                <w:sz w:val="20"/>
                <w:szCs w:val="20"/>
                <w:color w:val="auto"/>
              </w:rPr>
            </w:pPr>
            <w:r>
              <w:rPr>
                <w:rFonts w:ascii="Arial" w:cs="Arial" w:eastAsia="Arial" w:hAnsi="Arial"/>
                <w:sz w:val="13"/>
                <w:szCs w:val="13"/>
                <w:b w:val="1"/>
                <w:bCs w:val="1"/>
                <w:color w:val="auto"/>
                <w:w w:val="71"/>
              </w:rPr>
              <w:t>thousands)</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0" w:type="dxa"/>
            <w:vAlign w:val="bottom"/>
            <w:gridSpan w:val="3"/>
          </w:tcPr>
          <w:p>
            <w:pPr>
              <w:ind w:left="720"/>
              <w:spacing w:after="0" w:line="202" w:lineRule="exact"/>
              <w:rPr>
                <w:sz w:val="20"/>
                <w:szCs w:val="20"/>
                <w:color w:val="auto"/>
              </w:rPr>
            </w:pPr>
            <w:r>
              <w:rPr>
                <w:rFonts w:ascii="Arial" w:cs="Arial" w:eastAsia="Arial" w:hAnsi="Arial"/>
                <w:sz w:val="18"/>
                <w:szCs w:val="18"/>
                <w:color w:val="auto"/>
                <w:w w:val="99"/>
              </w:rPr>
              <w:t>(— )% $</w:t>
            </w:r>
          </w:p>
        </w:tc>
        <w:tc>
          <w:tcPr>
            <w:tcW w:w="840" w:type="dxa"/>
            <w:vAlign w:val="bottom"/>
          </w:tcPr>
          <w:p>
            <w:pPr>
              <w:jc w:val="right"/>
              <w:ind w:right="42"/>
              <w:spacing w:after="0" w:line="202" w:lineRule="exact"/>
              <w:rPr>
                <w:sz w:val="20"/>
                <w:szCs w:val="20"/>
                <w:color w:val="auto"/>
              </w:rPr>
            </w:pPr>
            <w:r>
              <w:rPr>
                <w:rFonts w:ascii="Arial" w:cs="Arial" w:eastAsia="Arial" w:hAnsi="Arial"/>
                <w:sz w:val="18"/>
                <w:szCs w:val="18"/>
                <w:color w:val="auto"/>
              </w:rPr>
              <w:t>1,654</w:t>
            </w:r>
          </w:p>
        </w:tc>
        <w:tc>
          <w:tcPr>
            <w:tcW w:w="1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0.3 %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(1,654 )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1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During Second Quarter 2021, we repurchased $19.5 million in aggregate principal amount of our 5.125% Senior Notes due 2023 at a weighted average price of 90.88% for a total cost of $17.7 million. As a result of this transaction, we recognized a gain on extinguishment of debt of $1.7 million, net of the write-off of associated unamortized deferred loan costs.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Dispositions of Real Estate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(Gain) Loss on Dispositions of Real Estate</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99"/>
              </w:rPr>
              <w:t>(Dollars in</w:t>
            </w:r>
          </w:p>
        </w:tc>
        <w:tc>
          <w:tcPr>
            <w:tcW w:w="120" w:type="dxa"/>
            <w:vAlign w:val="bottom"/>
          </w:tcPr>
          <w:p>
            <w:pPr>
              <w:spacing w:after="0"/>
              <w:rPr>
                <w:sz w:val="14"/>
                <w:szCs w:val="14"/>
                <w:color w:val="auto"/>
              </w:rPr>
            </w:pPr>
          </w:p>
        </w:tc>
        <w:tc>
          <w:tcPr>
            <w:tcW w:w="1040" w:type="dxa"/>
            <w:vAlign w:val="bottom"/>
            <w:tcBorders>
              <w:top w:val="single" w:sz="8" w:color="auto"/>
            </w:tcBorders>
          </w:tcPr>
          <w:p>
            <w:pPr>
              <w:jc w:val="right"/>
              <w:ind w:right="431"/>
              <w:spacing w:after="0"/>
              <w:rPr>
                <w:sz w:val="20"/>
                <w:szCs w:val="20"/>
                <w:color w:val="auto"/>
              </w:rPr>
            </w:pPr>
            <w:r>
              <w:rPr>
                <w:rFonts w:ascii="Arial" w:cs="Arial" w:eastAsia="Arial" w:hAnsi="Arial"/>
                <w:sz w:val="13"/>
                <w:szCs w:val="13"/>
                <w:b w:val="1"/>
                <w:bCs w:val="1"/>
                <w:color w:val="auto"/>
                <w:w w:val="74"/>
              </w:rPr>
              <w:t>thousands)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(3,680 )</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(0.6 )%$</w:t>
            </w:r>
          </w:p>
        </w:tc>
        <w:tc>
          <w:tcPr>
            <w:tcW w:w="800" w:type="dxa"/>
            <w:vAlign w:val="bottom"/>
          </w:tcPr>
          <w:p>
            <w:pPr>
              <w:jc w:val="right"/>
              <w:ind w:right="42"/>
              <w:spacing w:after="0" w:line="202" w:lineRule="exact"/>
              <w:rPr>
                <w:sz w:val="20"/>
                <w:szCs w:val="20"/>
                <w:color w:val="auto"/>
              </w:rPr>
            </w:pPr>
            <w:r>
              <w:rPr>
                <w:rFonts w:ascii="Arial" w:cs="Arial" w:eastAsia="Arial" w:hAnsi="Arial"/>
                <w:sz w:val="18"/>
                <w:szCs w:val="18"/>
                <w:color w:val="auto"/>
              </w:rPr>
              <w:t>2,950</w:t>
            </w:r>
          </w:p>
        </w:tc>
        <w:tc>
          <w:tcPr>
            <w:tcW w:w="14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0.5 %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(6,630 )</w:t>
            </w: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(224.7 )%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In Second Quarter 2022, we sold our company-owned previously idled Perry County Correctional Facility located in Alabama for a net gain of approximately $3.7 million. In Second Quarter 2021, we disposed of certain assets at our company-owned Queens Detention Center, our company-owned Alle Kiski Pavillion and our company-owned DuPage Interventions center and incurred a net loss on disposition of $3.0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Effective Rate</w:t>
            </w: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Effective Rate</w:t>
            </w: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6"/>
              </w:rPr>
              <w:t>(Dollars in</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18,898</w:t>
            </w:r>
          </w:p>
        </w:tc>
        <w:tc>
          <w:tcPr>
            <w:tcW w:w="18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26.6 % $</w:t>
            </w:r>
          </w:p>
        </w:tc>
        <w:tc>
          <w:tcPr>
            <w:tcW w:w="800" w:type="dxa"/>
            <w:vAlign w:val="bottom"/>
          </w:tcPr>
          <w:p>
            <w:pPr>
              <w:jc w:val="right"/>
              <w:ind w:right="42"/>
              <w:spacing w:after="0" w:line="202" w:lineRule="exact"/>
              <w:rPr>
                <w:sz w:val="20"/>
                <w:szCs w:val="20"/>
                <w:color w:val="auto"/>
              </w:rPr>
            </w:pPr>
            <w:r>
              <w:rPr>
                <w:rFonts w:ascii="Arial" w:cs="Arial" w:eastAsia="Arial" w:hAnsi="Arial"/>
                <w:sz w:val="18"/>
                <w:szCs w:val="18"/>
                <w:color w:val="auto"/>
              </w:rPr>
              <w:t>5,063</w:t>
            </w:r>
          </w:p>
        </w:tc>
        <w:tc>
          <w:tcPr>
            <w:tcW w:w="16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11.2 % $</w:t>
            </w:r>
          </w:p>
        </w:tc>
        <w:tc>
          <w:tcPr>
            <w:tcW w:w="8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13,835</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provision for income taxes and our effective tax rate during Second Quarter 2022 increased compared to Second Quarter 2021 principally due to the Company electing to terminate its REIT status at the end of 2021 and becoming a taxable C corporation. In Second Quarter 2022, there was no net discrete tax expense as compared to a $0.5 million net discrete tax expense in the Second Quarter 2021. We estimate our 2022 annual effective tax rate to be in the range of approximately 27% to 29%, exclusive of any discrete items.</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Equity in Earnings of Affiliates, net of Income Tax Provision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 of Revenue</w:t>
            </w: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 of Revenue</w:t>
            </w: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of Affiliates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6"/>
              </w:rPr>
              <w:t>(Dollars in</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1,480</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0.3 % $</w:t>
            </w:r>
          </w:p>
        </w:tc>
        <w:tc>
          <w:tcPr>
            <w:tcW w:w="820" w:type="dxa"/>
            <w:vAlign w:val="bottom"/>
          </w:tcPr>
          <w:p>
            <w:pPr>
              <w:jc w:val="right"/>
              <w:ind w:right="62"/>
              <w:spacing w:after="0" w:line="202" w:lineRule="exact"/>
              <w:rPr>
                <w:sz w:val="20"/>
                <w:szCs w:val="20"/>
                <w:color w:val="auto"/>
              </w:rPr>
            </w:pPr>
            <w:r>
              <w:rPr>
                <w:rFonts w:ascii="Arial" w:cs="Arial" w:eastAsia="Arial" w:hAnsi="Arial"/>
                <w:sz w:val="18"/>
                <w:szCs w:val="18"/>
                <w:color w:val="auto"/>
              </w:rPr>
              <w:t>1,942</w:t>
            </w:r>
          </w:p>
        </w:tc>
        <w:tc>
          <w:tcPr>
            <w:tcW w:w="14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0.3 % $</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(462 )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8"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Equity in earnings of affiliates, presented net of income tax provision, represents the earnings of SACS and GEOAmey in the aggregate. Equity in earnings of affiliates decreased during Second Quarter 2022 compared to Second Quarter 2021 primarily due to less favorable performance by GEOAmey.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2022 and Six Months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of Revenue</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rPr>
              <w:t>(Dollars in</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704,647</w:t>
            </w:r>
          </w:p>
        </w:tc>
        <w:tc>
          <w:tcPr>
            <w:tcW w:w="14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61.8 % $</w:t>
            </w: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755,405</w:t>
            </w:r>
          </w:p>
        </w:tc>
        <w:tc>
          <w:tcPr>
            <w:tcW w:w="1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66.2 %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(50,758 )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Electronic Monitoring and Supervision Services</w:t>
            </w:r>
          </w:p>
        </w:tc>
        <w:tc>
          <w:tcPr>
            <w:tcW w:w="1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209,405</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18.4 %</w:t>
            </w:r>
          </w:p>
        </w:tc>
        <w:tc>
          <w:tcPr>
            <w:tcW w:w="16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125,213</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11.0 %</w:t>
            </w:r>
          </w:p>
        </w:tc>
        <w:tc>
          <w:tcPr>
            <w:tcW w:w="14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84,192</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Reentry Services</w:t>
            </w:r>
          </w:p>
        </w:tc>
        <w:tc>
          <w:tcPr>
            <w:tcW w:w="1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127,151</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11.2 %</w:t>
            </w:r>
          </w:p>
        </w:tc>
        <w:tc>
          <w:tcPr>
            <w:tcW w:w="16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152,174</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13.3 %</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(25,023 )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International Services</w:t>
            </w:r>
          </w:p>
        </w:tc>
        <w:tc>
          <w:tcPr>
            <w:tcW w:w="1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98,159</w:t>
            </w:r>
          </w:p>
        </w:tc>
        <w:tc>
          <w:tcPr>
            <w:tcW w:w="12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8.6 %</w:t>
            </w:r>
          </w:p>
        </w:tc>
        <w:tc>
          <w:tcPr>
            <w:tcW w:w="16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109,004</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9.5 %</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(10,845 )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line="182" w:lineRule="exact"/>
              <w:rPr>
                <w:sz w:val="20"/>
                <w:szCs w:val="20"/>
                <w:color w:val="auto"/>
              </w:rPr>
            </w:pPr>
            <w:r>
              <w:rPr>
                <w:rFonts w:ascii="Arial" w:cs="Arial" w:eastAsia="Arial" w:hAnsi="Arial"/>
                <w:sz w:val="18"/>
                <w:szCs w:val="18"/>
                <w:color w:val="auto"/>
                <w:w w:val="94"/>
              </w:rPr>
              <w:t>1,139,362</w:t>
            </w:r>
          </w:p>
        </w:tc>
        <w:tc>
          <w:tcPr>
            <w:tcW w:w="120" w:type="dxa"/>
            <w:vAlign w:val="bottom"/>
          </w:tcPr>
          <w:p>
            <w:pPr>
              <w:spacing w:after="0"/>
              <w:rPr>
                <w:sz w:val="17"/>
                <w:szCs w:val="17"/>
                <w:color w:val="auto"/>
              </w:rPr>
            </w:pPr>
          </w:p>
        </w:tc>
        <w:tc>
          <w:tcPr>
            <w:tcW w:w="1340" w:type="dxa"/>
            <w:vAlign w:val="bottom"/>
            <w:gridSpan w:val="3"/>
          </w:tcPr>
          <w:p>
            <w:pPr>
              <w:jc w:val="right"/>
              <w:ind w:right="60"/>
              <w:spacing w:after="0" w:line="183" w:lineRule="exact"/>
              <w:rPr>
                <w:sz w:val="20"/>
                <w:szCs w:val="20"/>
                <w:color w:val="auto"/>
              </w:rPr>
            </w:pPr>
            <w:r>
              <w:rPr>
                <w:rFonts w:ascii="Arial" w:cs="Arial" w:eastAsia="Arial" w:hAnsi="Arial"/>
                <w:sz w:val="13"/>
                <w:szCs w:val="13"/>
                <w:color w:val="auto"/>
              </w:rPr>
              <w:t xml:space="preserve">100 % </w:t>
            </w:r>
            <w:r>
              <w:rPr>
                <w:rFonts w:ascii="Arial" w:cs="Arial" w:eastAsia="Arial" w:hAnsi="Arial"/>
                <w:sz w:val="21"/>
                <w:szCs w:val="21"/>
                <w:color w:val="auto"/>
                <w:vertAlign w:val="superscript"/>
              </w:rPr>
              <w:t>$</w:t>
            </w:r>
          </w:p>
        </w:tc>
        <w:tc>
          <w:tcPr>
            <w:tcW w:w="920" w:type="dxa"/>
            <w:vAlign w:val="bottom"/>
          </w:tcPr>
          <w:p>
            <w:pPr>
              <w:jc w:val="right"/>
              <w:ind w:right="35"/>
              <w:spacing w:after="0" w:line="182" w:lineRule="exact"/>
              <w:rPr>
                <w:sz w:val="20"/>
                <w:szCs w:val="20"/>
                <w:color w:val="auto"/>
              </w:rPr>
            </w:pPr>
            <w:r>
              <w:rPr>
                <w:rFonts w:ascii="Arial" w:cs="Arial" w:eastAsia="Arial" w:hAnsi="Arial"/>
                <w:sz w:val="18"/>
                <w:szCs w:val="18"/>
                <w:color w:val="auto"/>
                <w:w w:val="97"/>
              </w:rPr>
              <w:t>1,141,796</w:t>
            </w:r>
          </w:p>
        </w:tc>
        <w:tc>
          <w:tcPr>
            <w:tcW w:w="120" w:type="dxa"/>
            <w:vAlign w:val="bottom"/>
          </w:tcPr>
          <w:p>
            <w:pPr>
              <w:spacing w:after="0"/>
              <w:rPr>
                <w:sz w:val="17"/>
                <w:szCs w:val="17"/>
                <w:color w:val="auto"/>
              </w:rPr>
            </w:pPr>
          </w:p>
        </w:tc>
        <w:tc>
          <w:tcPr>
            <w:tcW w:w="1260" w:type="dxa"/>
            <w:vAlign w:val="bottom"/>
            <w:gridSpan w:val="3"/>
          </w:tcPr>
          <w:p>
            <w:pPr>
              <w:jc w:val="right"/>
              <w:ind w:right="20"/>
              <w:spacing w:after="0" w:line="183" w:lineRule="exact"/>
              <w:rPr>
                <w:sz w:val="20"/>
                <w:szCs w:val="20"/>
                <w:color w:val="auto"/>
              </w:rPr>
            </w:pPr>
            <w:r>
              <w:rPr>
                <w:rFonts w:ascii="Arial" w:cs="Arial" w:eastAsia="Arial" w:hAnsi="Arial"/>
                <w:sz w:val="13"/>
                <w:szCs w:val="13"/>
                <w:color w:val="auto"/>
              </w:rPr>
              <w:t xml:space="preserve">100.0 % </w:t>
            </w:r>
            <w:r>
              <w:rPr>
                <w:rFonts w:ascii="Arial" w:cs="Arial" w:eastAsia="Arial" w:hAnsi="Arial"/>
                <w:sz w:val="21"/>
                <w:szCs w:val="21"/>
                <w:color w:val="auto"/>
                <w:vertAlign w:val="superscript"/>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(2,434 )</w:t>
            </w:r>
          </w:p>
        </w:tc>
        <w:tc>
          <w:tcPr>
            <w:tcW w:w="12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77"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Revenues decreased by $50.8 million in Six Months 2022 compared to Six Months 2021 primarily due to aggregate decreases of $98.0 million due to the ramp-down/deactivations of our company-owned D. Ray James, Rivers, Big Springs, Flightline, Reeves County Detention I &amp; II and Great Plains Correctional Facilities, our Queens Detention Facility, our managed-only Bay and Graceville Correctional Rehabilitation Facilities, as well as our managed-only George W. Hill Correctional Facility. Also included in this decrease is the transition of the operation of our company-owned Guadalupe County Correctional Facility to the New Mexico Corrections Department in November 2021. These decreases were partially offset by aggregate net increases of $19.9 million resulting from the contract activation and ramp up at our company-owned Moshannon Valley Processing Center, Desert View Annex as well as our company-owned Eagle Pass Detention Center. In addition, we experienced aggregate net increases in rates and/or per diem amounts in connection with contract modifications, transportation services and increased occupancies of $27.3 million.</w:t>
      </w:r>
    </w:p>
    <w:p>
      <w:pPr>
        <w:spacing w:after="0" w:line="32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number of compensated mandays in U.S. Secure Services facilities was approximately 9.0 million in Six Months 2022 and 10.1 million in Six Months 2021. We experienced an aggregate net decrease of approximately 1,100,000 mandays as a result of contract terminations, partially offset by contract activations and increases in occupancies discussed above. We look at the average occupancy in our facilities to determine how we are managing our available beds. The average occupancy is calculated by taking compensated mandays as a percentage of capacity. The average occupancy in our U.S. Secure Services facilities was 89.6% and 90.5% of capacity in Six Months 2022 and Six Months 2021, respectively, excluding idle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19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Revenues increased by $84.2 million in Six Months 2022 compared to Six Months 2021 primarily due to increases in average participant counts under ISAP.</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7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Reentry Services</w:t>
      </w:r>
    </w:p>
    <w:p>
      <w:pPr>
        <w:spacing w:after="0" w:line="77"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Revenues decreased by $25.0 million in Six Months 2022 compared to Six Months 2021 primarily due to a decrease of $34.3 million as a result of the sale of our youth business which was effective July 1, 2021. This decrease was partially offset by increases of $6.1 million due to new/reactivated contracts, day reporting centers and programs including the activation of our company-owned Tampa Residential Reentry Center in Tampa, Florida in September 2021.</w:t>
      </w:r>
    </w:p>
    <w:p>
      <w:pPr>
        <w:ind w:right="220"/>
        <w:spacing w:after="0" w:line="243" w:lineRule="auto"/>
        <w:rPr>
          <w:sz w:val="20"/>
          <w:szCs w:val="20"/>
          <w:color w:val="auto"/>
        </w:rPr>
      </w:pPr>
      <w:r>
        <w:rPr>
          <w:rFonts w:ascii="Arial" w:cs="Arial" w:eastAsia="Arial" w:hAnsi="Arial"/>
          <w:sz w:val="18"/>
          <w:szCs w:val="18"/>
          <w:color w:val="auto"/>
        </w:rPr>
        <w:t>Also partially offsetting the decrease was a net aggregate increase of $3.2 million related to increased census levels at certain of our community-based and reentry centers due to increased programming needs and referrals.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7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Revenues for International Services decreased by $10.8 million in Six Months 2022 compared to Six Months 2021 primarily due to foreign exchange rate fluctuations of $6.9 million. We also experienced a decrease of $3.9 million primarily driven by the transition of our management contract for the Dungavel House Immigration Removal Centre in the United Kingdom to the government effective September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0" w:type="dxa"/>
            <w:vAlign w:val="bottom"/>
            <w:gridSpan w:val="3"/>
          </w:tcPr>
          <w:p>
            <w:pPr>
              <w:jc w:val="right"/>
              <w:ind w:right="390"/>
              <w:spacing w:after="0" w:line="149" w:lineRule="exact"/>
              <w:rPr>
                <w:sz w:val="20"/>
                <w:szCs w:val="20"/>
                <w:color w:val="auto"/>
              </w:rPr>
            </w:pPr>
            <w:r>
              <w:rPr>
                <w:rFonts w:ascii="Arial" w:cs="Arial" w:eastAsia="Arial" w:hAnsi="Arial"/>
                <w:sz w:val="14"/>
                <w:szCs w:val="14"/>
                <w:b w:val="1"/>
                <w:bCs w:val="1"/>
                <w:color w:val="auto"/>
                <w:w w:val="97"/>
              </w:rPr>
              <w:t>% of Segment</w:t>
            </w:r>
          </w:p>
        </w:tc>
        <w:tc>
          <w:tcPr>
            <w:tcW w:w="8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380" w:type="dxa"/>
            <w:vAlign w:val="bottom"/>
            <w:gridSpan w:val="3"/>
          </w:tcPr>
          <w:p>
            <w:pPr>
              <w:jc w:val="right"/>
              <w:ind w:right="330"/>
              <w:spacing w:after="0" w:line="149" w:lineRule="exact"/>
              <w:rPr>
                <w:sz w:val="20"/>
                <w:szCs w:val="20"/>
                <w:color w:val="auto"/>
              </w:rPr>
            </w:pPr>
            <w:r>
              <w:rPr>
                <w:rFonts w:ascii="Arial" w:cs="Arial" w:eastAsia="Arial" w:hAnsi="Arial"/>
                <w:sz w:val="14"/>
                <w:szCs w:val="14"/>
                <w:b w:val="1"/>
                <w:bCs w:val="1"/>
                <w:color w:val="auto"/>
              </w:rPr>
              <w:t>% of Segment</w:t>
            </w: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Revenues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Revenues</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80" w:type="dxa"/>
            <w:vAlign w:val="bottom"/>
          </w:tcPr>
          <w:p>
            <w:pPr>
              <w:spacing w:after="0"/>
              <w:rPr>
                <w:sz w:val="14"/>
                <w:szCs w:val="14"/>
                <w:color w:val="auto"/>
              </w:rPr>
            </w:pPr>
          </w:p>
        </w:tc>
        <w:tc>
          <w:tcPr>
            <w:tcW w:w="11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515,219</w:t>
            </w:r>
          </w:p>
        </w:tc>
        <w:tc>
          <w:tcPr>
            <w:tcW w:w="150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73.1 % $</w:t>
            </w: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566,741</w:t>
            </w:r>
          </w:p>
        </w:tc>
        <w:tc>
          <w:tcPr>
            <w:tcW w:w="1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75.0 %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(51,522 )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Electronic Monitoring and Supervision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100,721</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48.1 %</w:t>
            </w:r>
          </w:p>
        </w:tc>
        <w:tc>
          <w:tcPr>
            <w:tcW w:w="200" w:type="dxa"/>
            <w:vAlign w:val="bottom"/>
          </w:tcPr>
          <w:p>
            <w:pPr>
              <w:spacing w:after="0"/>
              <w:rPr>
                <w:sz w:val="17"/>
                <w:szCs w:val="17"/>
                <w:color w:val="auto"/>
              </w:rPr>
            </w:pP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55,442</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44.3 %</w:t>
            </w:r>
          </w:p>
        </w:tc>
        <w:tc>
          <w:tcPr>
            <w:tcW w:w="14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45,279</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81.7 %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Reentry Services</w:t>
            </w:r>
          </w:p>
        </w:tc>
        <w:tc>
          <w:tcPr>
            <w:tcW w:w="2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93,442</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73.5 %</w:t>
            </w:r>
          </w:p>
        </w:tc>
        <w:tc>
          <w:tcPr>
            <w:tcW w:w="200" w:type="dxa"/>
            <w:vAlign w:val="bottom"/>
          </w:tcPr>
          <w:p>
            <w:pPr>
              <w:spacing w:after="0"/>
              <w:rPr>
                <w:sz w:val="17"/>
                <w:szCs w:val="17"/>
                <w:color w:val="auto"/>
              </w:rPr>
            </w:pP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116,115</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76.3 %</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(22,673 )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International Services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87,570</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89.2 %</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94,862</w:t>
            </w:r>
          </w:p>
        </w:tc>
        <w:tc>
          <w:tcPr>
            <w:tcW w:w="13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87.0 %</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(7,292 )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rPr>
              <w:t>796,952</w:t>
            </w:r>
          </w:p>
        </w:tc>
        <w:tc>
          <w:tcPr>
            <w:tcW w:w="130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69.9 %</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5"/>
              <w:spacing w:after="0" w:line="182" w:lineRule="exact"/>
              <w:rPr>
                <w:sz w:val="20"/>
                <w:szCs w:val="20"/>
                <w:color w:val="auto"/>
              </w:rPr>
            </w:pPr>
            <w:r>
              <w:rPr>
                <w:rFonts w:ascii="Arial" w:cs="Arial" w:eastAsia="Arial" w:hAnsi="Arial"/>
                <w:sz w:val="18"/>
                <w:szCs w:val="18"/>
                <w:color w:val="auto"/>
              </w:rPr>
              <w:t>833,160</w:t>
            </w:r>
          </w:p>
        </w:tc>
        <w:tc>
          <w:tcPr>
            <w:tcW w:w="13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73.0 %</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(36,208 )</w:t>
            </w:r>
          </w:p>
        </w:tc>
        <w:tc>
          <w:tcPr>
            <w:tcW w:w="12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7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Operating expenses for U.S. Secure Services decreased by $51.5 million in Six Months 2022 compared to Six Months 2021 primarily due to decreases of $80.2 million related to the ramp-down/deactivations of our company-owned D. Ray James, Rivers, Big Springs, Flightline, Reeves County Detention I &amp;</w:t>
      </w:r>
    </w:p>
    <w:p>
      <w:pPr>
        <w:spacing w:after="0" w:line="1" w:lineRule="exact"/>
        <w:rPr>
          <w:sz w:val="20"/>
          <w:szCs w:val="20"/>
          <w:color w:val="auto"/>
        </w:rPr>
      </w:pPr>
    </w:p>
    <w:p>
      <w:pPr>
        <w:ind w:right="280" w:firstLine="8"/>
        <w:spacing w:after="0" w:line="236" w:lineRule="auto"/>
        <w:tabs>
          <w:tab w:leader="none" w:pos="1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Great Plains Correctional Facilities, our Queens Detention Facility, our managed-only Bay and Graceville Correctional Rehabilitation Facilities, as well as our managed-only George W. Hill Correctional Facility. Also included in this decrease is the transition of the operation of our company-owned Guadalupe County Correctional Facility to the New Mexico Corrections Department in November 2021. We also experienced a net decrease of $6.2 million related to certain indirect expenses primarily related to actuarial insurance expense adjustment for general liability and employee medical. These decreases were partially offset by aggregate net increases of $16.6 million resulting from the contract activation and ramp up at our company-owned Moshannon Valley Processing Center, Desert View Annex as well as our company-owned Eagle Pass Detention Center. In addition, we experienced aggregate net increases in connection with transportation services, increased occupancies and the variable costs associated with those services of $18.3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19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Operating expenses increased by $45.3 million in Six Months 2022 compared to Six Months 2021 primarily due to increases in variable costs related to increases in average participant counts under ISAP.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7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Operating expenses for Reentry Services decreased by $22.7 million during Six Months 2022 compared to Six Months 2021 primarily due to a decrease of $30.6 million as a result of the sale of our youth business which was effective July 1, 2021. We also experienced a decrease of $2.2 million due to contract termination. These decreases were partially offset by increases of $3.3 million due to new/reactivated contracts, day reporting centers and programs including the activation of our company-owned Tampa Residential Reentry Center in Tampa, Florida in September 2021. Also partially offsetting the decreases was a net aggregate increase of $6.8 million related to increased census levels at certain of our community-based and reentry centers due to increased programming needs and referrals.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77" w:lineRule="exact"/>
        <w:rPr>
          <w:sz w:val="20"/>
          <w:szCs w:val="20"/>
          <w:color w:val="auto"/>
        </w:rPr>
      </w:pPr>
    </w:p>
    <w:p>
      <w:pPr>
        <w:jc w:val="both"/>
        <w:ind w:right="680"/>
        <w:spacing w:after="0" w:line="294" w:lineRule="auto"/>
        <w:rPr>
          <w:sz w:val="20"/>
          <w:szCs w:val="20"/>
          <w:color w:val="auto"/>
        </w:rPr>
      </w:pPr>
      <w:r>
        <w:rPr>
          <w:rFonts w:ascii="Arial" w:cs="Arial" w:eastAsia="Arial" w:hAnsi="Arial"/>
          <w:sz w:val="16"/>
          <w:szCs w:val="16"/>
          <w:color w:val="auto"/>
        </w:rPr>
        <w:t>Operating expenses for International Services decreased by $7.3 million in Six Months 2022 compared to Six Months 2021 primarily due to foreign exchange rate fluctuations of $6.1 million. We also experienced a net decrease of $1.2 million primarily driven by the transition of our management contract for the Dungavel House Immigration Removal Centre in the United Kingdom to the government effective September 30, 2021.</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7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Depreciation and Amortization</w:t>
      </w: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20" w:type="dxa"/>
            <w:vAlign w:val="bottom"/>
            <w:gridSpan w:val="3"/>
          </w:tcPr>
          <w:p>
            <w:pPr>
              <w:jc w:val="right"/>
              <w:ind w:right="410"/>
              <w:spacing w:after="0" w:line="149" w:lineRule="exact"/>
              <w:rPr>
                <w:sz w:val="20"/>
                <w:szCs w:val="20"/>
                <w:color w:val="auto"/>
              </w:rPr>
            </w:pPr>
            <w:r>
              <w:rPr>
                <w:rFonts w:ascii="Arial" w:cs="Arial" w:eastAsia="Arial" w:hAnsi="Arial"/>
                <w:sz w:val="14"/>
                <w:szCs w:val="14"/>
                <w:b w:val="1"/>
                <w:bCs w:val="1"/>
                <w:color w:val="auto"/>
                <w:w w:val="97"/>
              </w:rPr>
              <w:t>% of Segment</w:t>
            </w:r>
          </w:p>
        </w:tc>
        <w:tc>
          <w:tcPr>
            <w:tcW w:w="8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380" w:type="dxa"/>
            <w:vAlign w:val="bottom"/>
            <w:gridSpan w:val="3"/>
          </w:tcPr>
          <w:p>
            <w:pPr>
              <w:jc w:val="right"/>
              <w:ind w:right="350"/>
              <w:spacing w:after="0" w:line="149" w:lineRule="exact"/>
              <w:rPr>
                <w:sz w:val="20"/>
                <w:szCs w:val="20"/>
                <w:color w:val="auto"/>
              </w:rPr>
            </w:pPr>
            <w:r>
              <w:rPr>
                <w:rFonts w:ascii="Arial" w:cs="Arial" w:eastAsia="Arial" w:hAnsi="Arial"/>
                <w:sz w:val="14"/>
                <w:szCs w:val="14"/>
                <w:b w:val="1"/>
                <w:bCs w:val="1"/>
                <w:color w:val="auto"/>
                <w:w w:val="99"/>
              </w:rPr>
              <w:t>% of Segment</w:t>
            </w:r>
          </w:p>
        </w:tc>
        <w:tc>
          <w:tcPr>
            <w:tcW w:w="8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Revenue</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Revenue</w:t>
            </w: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 Secure Services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41,896</w:t>
            </w:r>
          </w:p>
        </w:tc>
        <w:tc>
          <w:tcPr>
            <w:tcW w:w="152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5.9 % $</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41,248</w:t>
            </w:r>
          </w:p>
        </w:tc>
        <w:tc>
          <w:tcPr>
            <w:tcW w:w="1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5.5 % $</w:t>
            </w: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648</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Electronic Monitoring and Supervision Services</w:t>
            </w:r>
          </w:p>
        </w:tc>
        <w:tc>
          <w:tcPr>
            <w:tcW w:w="220" w:type="dxa"/>
            <w:vAlign w:val="bottom"/>
          </w:tcPr>
          <w:p>
            <w:pPr>
              <w:spacing w:after="0"/>
              <w:rPr>
                <w:sz w:val="17"/>
                <w:szCs w:val="17"/>
                <w:color w:val="auto"/>
              </w:rPr>
            </w:pP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15,519</w:t>
            </w:r>
          </w:p>
        </w:tc>
        <w:tc>
          <w:tcPr>
            <w:tcW w:w="13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7.4 %</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15,304</w:t>
            </w:r>
          </w:p>
        </w:tc>
        <w:tc>
          <w:tcPr>
            <w:tcW w:w="13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12.2 %</w:t>
            </w:r>
          </w:p>
        </w:tc>
        <w:tc>
          <w:tcPr>
            <w:tcW w:w="1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215</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Reentry Services</w:t>
            </w:r>
          </w:p>
        </w:tc>
        <w:tc>
          <w:tcPr>
            <w:tcW w:w="220" w:type="dxa"/>
            <w:vAlign w:val="bottom"/>
          </w:tcPr>
          <w:p>
            <w:pPr>
              <w:spacing w:after="0"/>
              <w:rPr>
                <w:sz w:val="17"/>
                <w:szCs w:val="17"/>
                <w:color w:val="auto"/>
              </w:rPr>
            </w:pP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9,498</w:t>
            </w:r>
          </w:p>
        </w:tc>
        <w:tc>
          <w:tcPr>
            <w:tcW w:w="13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7.5 %</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9,718</w:t>
            </w:r>
          </w:p>
        </w:tc>
        <w:tc>
          <w:tcPr>
            <w:tcW w:w="13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6.4 %</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International Services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1,041</w:t>
            </w:r>
          </w:p>
        </w:tc>
        <w:tc>
          <w:tcPr>
            <w:tcW w:w="13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1,153</w:t>
            </w:r>
          </w:p>
        </w:tc>
        <w:tc>
          <w:tcPr>
            <w:tcW w:w="13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1.1 %</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rPr>
              <w:t>67,954</w:t>
            </w:r>
          </w:p>
        </w:tc>
        <w:tc>
          <w:tcPr>
            <w:tcW w:w="132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6.0 %</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67,423</w:t>
            </w:r>
          </w:p>
        </w:tc>
        <w:tc>
          <w:tcPr>
            <w:tcW w:w="134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5.9 %</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531</w:t>
            </w:r>
          </w:p>
        </w:tc>
        <w:tc>
          <w:tcPr>
            <w:tcW w:w="124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Secure Services</w:t>
      </w:r>
    </w:p>
    <w:p>
      <w:pPr>
        <w:spacing w:after="0" w:line="7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U.S. Secure Services depreciation and amortization expense increased slightly in Six Months 2022 compared to Six Months 2021 primarily due to renovations at certain of our company-owned facilities. The increase was partially offset by decreases related to certain assets becoming fully depreciated and or amortized as well as certain asset dispositions at our company-owned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Monitoring and Supervision Services</w:t>
      </w:r>
    </w:p>
    <w:p>
      <w:pPr>
        <w:spacing w:after="0" w:line="77"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Depreciation and amortization expense increased slightly in Six Months 2022 compared to Six Months 2021 primarily due to certain leasehold improvements and equipment additions.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Reentry Services</w:t>
      </w:r>
    </w:p>
    <w:p>
      <w:pPr>
        <w:spacing w:after="0" w:line="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Reentry Services depreciation and amortization expense decreased slightly in Six Months 2022 compared to Six Months 2021 primarily due to certain asset dispositions at our company-owned centers.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Services</w:t>
      </w:r>
    </w:p>
    <w:p>
      <w:pPr>
        <w:spacing w:after="0" w:line="7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Depreciation and amortization expense decreased slightly in Six Months 2022 compared to Six Months 2021 primarily due to foreign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Unallocated Operating Expenses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 of Revenue</w:t>
            </w: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w w:val="96"/>
              </w:rPr>
              <w:t>(Dollars in</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97,856</w:t>
            </w:r>
          </w:p>
        </w:tc>
        <w:tc>
          <w:tcPr>
            <w:tcW w:w="15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8.6 % $</w:t>
            </w:r>
          </w:p>
        </w:tc>
        <w:tc>
          <w:tcPr>
            <w:tcW w:w="820" w:type="dxa"/>
            <w:vAlign w:val="bottom"/>
          </w:tcPr>
          <w:p>
            <w:pPr>
              <w:ind w:left="120"/>
              <w:spacing w:after="0" w:line="202" w:lineRule="exact"/>
              <w:rPr>
                <w:sz w:val="20"/>
                <w:szCs w:val="20"/>
                <w:color w:val="auto"/>
              </w:rPr>
            </w:pPr>
            <w:r>
              <w:rPr>
                <w:rFonts w:ascii="Arial" w:cs="Arial" w:eastAsia="Arial" w:hAnsi="Arial"/>
                <w:sz w:val="18"/>
                <w:szCs w:val="18"/>
                <w:color w:val="auto"/>
              </w:rPr>
              <w:t>103,167</w:t>
            </w:r>
          </w:p>
        </w:tc>
        <w:tc>
          <w:tcPr>
            <w:tcW w:w="13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9.0 %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(5,311 )</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right="160"/>
        <w:spacing w:after="0" w:line="237" w:lineRule="auto"/>
        <w:rPr>
          <w:sz w:val="20"/>
          <w:szCs w:val="20"/>
          <w:color w:val="auto"/>
        </w:rPr>
      </w:pPr>
      <w:r>
        <w:rPr>
          <w:rFonts w:ascii="Arial" w:cs="Arial" w:eastAsia="Arial" w:hAnsi="Arial"/>
          <w:sz w:val="18"/>
          <w:szCs w:val="18"/>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decreased in Six Months 2022 compared to Six Months 2021 by $5.3 million primarily due to one-time employee restructuring expenses of $7.5 million incurred in Six Months 2021. Partially offsetting this decrease were increased professional fees for financial and legal advisors assisting us in reviewing potential asset sales as well as normal professional, consulting and other administrative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11,190</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1.0 % $</w:t>
            </w:r>
          </w:p>
        </w:tc>
        <w:tc>
          <w:tcPr>
            <w:tcW w:w="8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12,187</w:t>
            </w:r>
          </w:p>
        </w:tc>
        <w:tc>
          <w:tcPr>
            <w:tcW w:w="1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1.1 % $</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(997 )</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64,846</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5.7 %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63,897</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5.6 % $</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949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in Six Months 2022 compared to Six Months 2021 primarily due to the effect of foreign exchange rate fluctuations.</w:t>
      </w:r>
    </w:p>
    <w:p>
      <w:pPr>
        <w:spacing w:after="0" w:line="15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Interest expense increased in Six Months 2022 compared to Six Months 2021 primarily due to higher balances on the revolver component of our credit facility. During 2021, we drew down significant amounts on our revolver as a conservative precautionary step</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sectPr>
      </w:pPr>
    </w:p>
    <w:bookmarkStart w:id="43" w:name="page44"/>
    <w:bookmarkEnd w:id="43"/>
    <w:p>
      <w:pPr>
        <w:ind w:right="440"/>
        <w:spacing w:after="0" w:line="261" w:lineRule="auto"/>
        <w:rPr>
          <w:sz w:val="20"/>
          <w:szCs w:val="20"/>
          <w:color w:val="auto"/>
        </w:rPr>
      </w:pPr>
      <w:r>
        <w:rPr>
          <w:rFonts w:ascii="Arial" w:cs="Arial" w:eastAsia="Arial" w:hAnsi="Arial"/>
          <w:sz w:val="18"/>
          <w:szCs w:val="18"/>
          <w:color w:val="auto"/>
        </w:rPr>
        <w:t>to preserve liquidity, maintain financial flexibility, and obtain additional funds for general corporate purposes. Also contributing to the increase was the effect of increases in the LIBOR 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 of Revenue</w:t>
            </w: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Gain on Extinguishment of Debt</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471"/>
              <w:spacing w:after="0"/>
              <w:rPr>
                <w:sz w:val="20"/>
                <w:szCs w:val="20"/>
                <w:color w:val="auto"/>
              </w:rPr>
            </w:pPr>
            <w:r>
              <w:rPr>
                <w:rFonts w:ascii="Arial" w:cs="Arial" w:eastAsia="Arial" w:hAnsi="Arial"/>
                <w:sz w:val="13"/>
                <w:szCs w:val="13"/>
                <w:b w:val="1"/>
                <w:bCs w:val="1"/>
                <w:color w:val="auto"/>
                <w:w w:val="71"/>
              </w:rPr>
              <w:t>thousands)</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0.0 % $</w:t>
            </w:r>
          </w:p>
        </w:tc>
        <w:tc>
          <w:tcPr>
            <w:tcW w:w="840" w:type="dxa"/>
            <w:vAlign w:val="bottom"/>
          </w:tcPr>
          <w:p>
            <w:pPr>
              <w:jc w:val="right"/>
              <w:ind w:right="62"/>
              <w:spacing w:after="0" w:line="202" w:lineRule="exact"/>
              <w:rPr>
                <w:sz w:val="20"/>
                <w:szCs w:val="20"/>
                <w:color w:val="auto"/>
              </w:rPr>
            </w:pPr>
            <w:r>
              <w:rPr>
                <w:rFonts w:ascii="Arial" w:cs="Arial" w:eastAsia="Arial" w:hAnsi="Arial"/>
                <w:sz w:val="18"/>
                <w:szCs w:val="18"/>
                <w:color w:val="auto"/>
              </w:rPr>
              <w:t>4,693</w:t>
            </w:r>
          </w:p>
        </w:tc>
        <w:tc>
          <w:tcPr>
            <w:tcW w:w="1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0.4 %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(4,693 )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During Six Months 2021, we repurchased $22.5 million in aggregate principal amount of our 5.125% Senior Notes due 2023 at a weighted average price of 90.68% for a total cost of $20.4 million. We also repurchased $17.2 million in aggregate principal amount of our 5.875% Senior Notes due 2024 at a weighted average price of 79.51% for a total cost of $13.7 million. As a result of these transactions, we recognized a gain on extinguishment of debt of $4.7 million, net of the write-off of associated unamortized deferred loan costs.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Dispositions of Real Estate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 of Revenue</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Gain on Dispositions of Real Estate</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471"/>
              <w:spacing w:after="0"/>
              <w:rPr>
                <w:sz w:val="20"/>
                <w:szCs w:val="20"/>
                <w:color w:val="auto"/>
              </w:rPr>
            </w:pPr>
            <w:r>
              <w:rPr>
                <w:rFonts w:ascii="Arial" w:cs="Arial" w:eastAsia="Arial" w:hAnsi="Arial"/>
                <w:sz w:val="13"/>
                <w:szCs w:val="13"/>
                <w:b w:val="1"/>
                <w:bCs w:val="1"/>
                <w:color w:val="auto"/>
                <w:w w:val="71"/>
              </w:rPr>
              <w:t>thousands)</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3,053</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0.3 % $</w:t>
            </w:r>
          </w:p>
        </w:tc>
        <w:tc>
          <w:tcPr>
            <w:tcW w:w="860" w:type="dxa"/>
            <w:vAlign w:val="bottom"/>
          </w:tcPr>
          <w:p>
            <w:pPr>
              <w:jc w:val="right"/>
              <w:ind w:right="62"/>
              <w:spacing w:after="0" w:line="202" w:lineRule="exact"/>
              <w:rPr>
                <w:sz w:val="20"/>
                <w:szCs w:val="20"/>
                <w:color w:val="auto"/>
              </w:rPr>
            </w:pPr>
            <w:r>
              <w:rPr>
                <w:rFonts w:ascii="Arial" w:cs="Arial" w:eastAsia="Arial" w:hAnsi="Arial"/>
                <w:sz w:val="18"/>
                <w:szCs w:val="18"/>
                <w:color w:val="auto"/>
              </w:rPr>
              <w:t>10,379</w:t>
            </w:r>
          </w:p>
        </w:tc>
        <w:tc>
          <w:tcPr>
            <w:tcW w:w="1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0.9 %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(7,326 )</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5"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The net gain in Six Months 2022 was primarily due to the sale of our Perry County Correctional Facility located in Alabama. The net gain in Six Months 2021 is primarily due to the sale of our interest in Talbot Hall, located in New Jersey, and the sale of our company-owned McCabe Center, located in Texas.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7"/>
              </w:rPr>
              <w:t>Effective Rate</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Effective Rate</w:t>
            </w: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99"/>
              </w:rPr>
              <w:t>(Dollars in</w:t>
            </w:r>
          </w:p>
        </w:tc>
        <w:tc>
          <w:tcPr>
            <w:tcW w:w="120" w:type="dxa"/>
            <w:vAlign w:val="bottom"/>
          </w:tcPr>
          <w:p>
            <w:pPr>
              <w:spacing w:after="0"/>
              <w:rPr>
                <w:sz w:val="14"/>
                <w:szCs w:val="14"/>
                <w:color w:val="auto"/>
              </w:rPr>
            </w:pPr>
          </w:p>
        </w:tc>
        <w:tc>
          <w:tcPr>
            <w:tcW w:w="1040" w:type="dxa"/>
            <w:vAlign w:val="bottom"/>
            <w:tcBorders>
              <w:top w:val="single" w:sz="8" w:color="auto"/>
            </w:tcBorders>
          </w:tcPr>
          <w:p>
            <w:pPr>
              <w:jc w:val="right"/>
              <w:ind w:right="431"/>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36,860</w:t>
            </w:r>
          </w:p>
        </w:tc>
        <w:tc>
          <w:tcPr>
            <w:tcW w:w="15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29.3 % $</w:t>
            </w:r>
          </w:p>
        </w:tc>
        <w:tc>
          <w:tcPr>
            <w:tcW w:w="800" w:type="dxa"/>
            <w:vAlign w:val="bottom"/>
          </w:tcPr>
          <w:p>
            <w:pPr>
              <w:jc w:val="right"/>
              <w:ind w:right="42"/>
              <w:spacing w:after="0" w:line="202" w:lineRule="exact"/>
              <w:rPr>
                <w:sz w:val="20"/>
                <w:szCs w:val="20"/>
                <w:color w:val="auto"/>
              </w:rPr>
            </w:pPr>
            <w:r>
              <w:rPr>
                <w:rFonts w:ascii="Arial" w:cs="Arial" w:eastAsia="Arial" w:hAnsi="Arial"/>
                <w:sz w:val="18"/>
                <w:szCs w:val="18"/>
                <w:color w:val="auto"/>
              </w:rPr>
              <w:t>12,999</w:t>
            </w:r>
          </w:p>
        </w:tc>
        <w:tc>
          <w:tcPr>
            <w:tcW w:w="14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12.8 % $</w:t>
            </w:r>
          </w:p>
        </w:tc>
        <w:tc>
          <w:tcPr>
            <w:tcW w:w="8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23,861</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2"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provision for income taxes and our effective tax rate increased during Six Months 2022 compared to Six Months 2021 principally due to the Company electing to terminate its REIT status at the end of 2021 and becoming a taxable C corporation. In both Six Months 2022 and Six Months 2021, there was a net $1.9 million discrete tax expense. Included in the provision for income taxes in Six Months 2022 and Six Months 2021 were a $2.0 million and $2.3 million discrete tax expense related to stock compensation that vested during the respective periods. We estimate our 2022 annual effective tax rate to be in the range of approximately 27% to 29%, exclusive of any discrete items.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Affiliates, net of Income Tax Provision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 of Revenue</w:t>
            </w: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of Affiliates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99"/>
              </w:rPr>
              <w:t>(Dollars in</w:t>
            </w:r>
          </w:p>
        </w:tc>
        <w:tc>
          <w:tcPr>
            <w:tcW w:w="120" w:type="dxa"/>
            <w:vAlign w:val="bottom"/>
          </w:tcPr>
          <w:p>
            <w:pPr>
              <w:spacing w:after="0"/>
              <w:rPr>
                <w:sz w:val="14"/>
                <w:szCs w:val="14"/>
                <w:color w:val="auto"/>
              </w:rPr>
            </w:pPr>
          </w:p>
        </w:tc>
        <w:tc>
          <w:tcPr>
            <w:tcW w:w="1040" w:type="dxa"/>
            <w:vAlign w:val="bottom"/>
            <w:tcBorders>
              <w:top w:val="single" w:sz="8" w:color="auto"/>
            </w:tcBorders>
          </w:tcPr>
          <w:p>
            <w:pPr>
              <w:jc w:val="right"/>
              <w:ind w:right="431"/>
              <w:spacing w:after="0"/>
              <w:rPr>
                <w:sz w:val="20"/>
                <w:szCs w:val="20"/>
                <w:color w:val="auto"/>
              </w:rPr>
            </w:pPr>
            <w:r>
              <w:rPr>
                <w:rFonts w:ascii="Arial" w:cs="Arial" w:eastAsia="Arial" w:hAnsi="Arial"/>
                <w:sz w:val="13"/>
                <w:szCs w:val="13"/>
                <w:b w:val="1"/>
                <w:bCs w:val="1"/>
                <w:color w:val="auto"/>
                <w:w w:val="74"/>
              </w:rPr>
              <w:t>thousands)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2,715</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0.2 % $</w:t>
            </w:r>
          </w:p>
        </w:tc>
        <w:tc>
          <w:tcPr>
            <w:tcW w:w="800" w:type="dxa"/>
            <w:vAlign w:val="bottom"/>
          </w:tcPr>
          <w:p>
            <w:pPr>
              <w:jc w:val="right"/>
              <w:ind w:right="42"/>
              <w:spacing w:after="0" w:line="202" w:lineRule="exact"/>
              <w:rPr>
                <w:sz w:val="20"/>
                <w:szCs w:val="20"/>
                <w:color w:val="auto"/>
              </w:rPr>
            </w:pPr>
            <w:r>
              <w:rPr>
                <w:rFonts w:ascii="Arial" w:cs="Arial" w:eastAsia="Arial" w:hAnsi="Arial"/>
                <w:sz w:val="18"/>
                <w:szCs w:val="18"/>
                <w:color w:val="auto"/>
              </w:rPr>
              <w:t>4,007</w:t>
            </w:r>
          </w:p>
        </w:tc>
        <w:tc>
          <w:tcPr>
            <w:tcW w:w="14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0.4 %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(1,292 )</w:t>
            </w: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Equity in earnings of affiliates, presented net of income tax provision, represents the earnings of SACS and GEOAmey in the aggregate. Equity in earnings of affiliates decreased during Six Months 2022 compared to Six Months 2021 primarily due to less favorable performance by GEOAmey.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9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Our current cash requirements consist of amounts needed for working capital, debt service, supply purchases, investments in joint ventures, and capital expenditures related to either the development of new secure, processing and reentry facilities, or the</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0" w:right="239" w:bottom="1440" w:gutter="0" w:footer="0" w:header="0"/>
        </w:sectPr>
      </w:pPr>
    </w:p>
    <w:bookmarkStart w:id="44" w:name="page45"/>
    <w:bookmarkEnd w:id="44"/>
    <w:p>
      <w:pPr>
        <w:spacing w:after="0" w:line="262" w:lineRule="auto"/>
        <w:rPr>
          <w:sz w:val="20"/>
          <w:szCs w:val="20"/>
          <w:color w:val="auto"/>
        </w:rPr>
      </w:pPr>
      <w:r>
        <w:rPr>
          <w:rFonts w:ascii="Arial" w:cs="Arial" w:eastAsia="Arial" w:hAnsi="Arial"/>
          <w:sz w:val="17"/>
          <w:szCs w:val="17"/>
          <w:color w:val="auto"/>
        </w:rPr>
        <w:t>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We currently have contractual commitments for a number of projects using Company financing. We estimate that the cost of these existing active capital</w:t>
      </w:r>
    </w:p>
    <w:p>
      <w:pPr>
        <w:spacing w:after="0" w:line="46"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projects will be approximately $30.3 million of which $9.5 million was spent through June 30, 2022. We estimate that the remaining capital requirements related to these capital projects will be $20.8 million which will be spent through the remainder of 2022.</w:t>
      </w:r>
    </w:p>
    <w:p>
      <w:pPr>
        <w:spacing w:after="0" w:line="1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plan to fund all of our capital needs, including capital expenditures, from cash on hand, cash from operations, borrowings under our Credit Facility and any other financings which our management and Board, in their discretion, may consummate. Currently, our primary source of liquidity to meet these requirements is cash flow from operations and borrowings under our $900.0 million Revolver. Our management believes that our financial resources and sources of liquidity will allow us to manage the continued impact of COVID-19 on our business, financial condition, results of operations and cash flows. For the full-year 2022, we have reduced our planned capital spending by deferring capital expenditure projects where possible and closely managing our working capital. We previously completed our annual budgeting process and have identified cost savings at the corporate and facility level. Additionally, we may from time to time pursue transactions to deleverage our balance sheet and reduce our funded recourse debt, including our nearer term maturities consisting of our 5.125% Senior Notes due 2023, our 5.875% Senior Notes due 2024 and our Credit Facility, which transactions may include, subject to market conditions, the proposed transactions set forth in the Transaction Support Agreement discussed below, capital markets transactions, repurchases, redemptions, exchanges or other refinancing of our existing debt, the potential sale of additional assets and businesses and/or other strategic transactions. Our management believes that cash on hand, cash flows from operations and availability under our Credit Facility will be adequate to support our capital requirements for 2022 as disclosed under “Capital Requirements” above. The challenges posed by COVID-19, as well as the current political environment, generally and on our business are continuing to evolve. Consequently, we will continue to evaluate our financial position in light of future developments, particularly those relating to the proposed transactions set forth in the Transaction Support Agreement, the Executive Order and COVID-19.</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Support Agreement</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previously reported, beginning in November 2021, we commenced discussions with (i) the Noteholder Group of our Senior Notes, (ii) certain members of the Term Lender Group under our Existing Credit Agreement and the Term Loans, and (iii) the Agent and certain lenders that have provided the Revolving Credit Loans and Revolving Credit Commitments under the Existing Credit Agreement concerning a potential refinancing, exchange, recapitalization, or other transaction or series of transactions to reduce our funded recourse debt and address its nearer term maturities. We undertook these discussions on a confidential basis pursuant to non-disclosure agreements with the applicable members of the Noteholder Group and the Term Lender Group, and, in the case of the Agent and the RCF Lenders, the confidentiality provisions of the Existing Credit Agreement.</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18, 2022, we entered into a Transaction Support Agreement with the Consenting Creditors setting forth principal terms for a Transaction to address the upcoming maturities of our outstanding debt in 2023, 2024, and 2026.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Support Agreement contemplates, among other things, the following:</w:t>
      </w:r>
    </w:p>
    <w:p>
      <w:pPr>
        <w:spacing w:after="0" w:line="185" w:lineRule="exact"/>
        <w:rPr>
          <w:sz w:val="20"/>
          <w:szCs w:val="20"/>
          <w:color w:val="auto"/>
        </w:rPr>
      </w:pPr>
    </w:p>
    <w:p>
      <w:pPr>
        <w:ind w:left="1480" w:right="80" w:hanging="446"/>
        <w:spacing w:after="0" w:line="235"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Amending the Existing Credit Agreement to permit the indebtedness and liens contemplated to be incurred under the Exchange Credit Agreement, the New Notes and the 2028 Private Exchange Notes, among other modifications;</w:t>
      </w:r>
    </w:p>
    <w:p>
      <w:pPr>
        <w:spacing w:after="0" w:line="161" w:lineRule="exact"/>
        <w:rPr>
          <w:rFonts w:ascii="Arial" w:cs="Arial" w:eastAsia="Arial" w:hAnsi="Arial"/>
          <w:sz w:val="18"/>
          <w:szCs w:val="18"/>
          <w:color w:val="auto"/>
        </w:rPr>
      </w:pPr>
    </w:p>
    <w:p>
      <w:pPr>
        <w:ind w:left="1480" w:right="40" w:hanging="446"/>
        <w:spacing w:after="0" w:line="224"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Exchanging approximately 81% of the aggregate principal amount of Revolving Credit Commitments and the Term Loans outstanding under our Existing Credit Agreement for a combination of cash and new commitments and loans under a new credit agreement with a three-year maturity extension to March 2027;</w:t>
      </w:r>
    </w:p>
    <w:p>
      <w:pPr>
        <w:spacing w:after="0" w:line="162" w:lineRule="exact"/>
        <w:rPr>
          <w:rFonts w:ascii="Arial" w:cs="Arial" w:eastAsia="Arial" w:hAnsi="Arial"/>
          <w:sz w:val="18"/>
          <w:szCs w:val="18"/>
          <w:color w:val="auto"/>
        </w:rPr>
      </w:pPr>
    </w:p>
    <w:p>
      <w:pPr>
        <w:ind w:left="1480" w:hanging="446"/>
        <w:spacing w:after="0" w:line="219"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certain Consenting RCF Lenders who opt out of extending the maturity of their Revolving Credit Loans and Revolving Credit Commitments, the assignment of an agreed portion of such Revolving Credit Loans and Revolving Credit Commitments to certain other Consenting Creditors, with such other Consenting Creditors subsequently exchanging the Revolving Credit Loans thereby acquired for term loans under the Exchange Credit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Commencing the Exchange Offers and Consent Solicitations for any and all 2023 Notes and 2024 Notes; and</w:t>
      </w:r>
    </w:p>
    <w:p>
      <w:pPr>
        <w:spacing w:after="0" w:line="184"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Exchanging approximately $239 million of 2026 Notes held by Consenting 2026 Noteholders as of July 18, 2022, for newly issued</w:t>
      </w:r>
    </w:p>
    <w:p>
      <w:pPr>
        <w:spacing w:after="0" w:line="7" w:lineRule="exact"/>
        <w:rPr>
          <w:rFonts w:ascii="Arial" w:cs="Arial" w:eastAsia="Arial" w:hAnsi="Arial"/>
          <w:sz w:val="16"/>
          <w:szCs w:val="16"/>
          <w:color w:val="auto"/>
        </w:rPr>
      </w:pPr>
    </w:p>
    <w:p>
      <w:pPr>
        <w:ind w:left="1480" w:right="100"/>
        <w:spacing w:after="0" w:line="226" w:lineRule="auto"/>
        <w:rPr>
          <w:rFonts w:ascii="Arial" w:cs="Arial" w:eastAsia="Arial" w:hAnsi="Arial"/>
          <w:sz w:val="16"/>
          <w:szCs w:val="16"/>
          <w:color w:val="auto"/>
        </w:rPr>
      </w:pPr>
      <w:r>
        <w:rPr>
          <w:rFonts w:ascii="Arial" w:cs="Arial" w:eastAsia="Arial" w:hAnsi="Arial"/>
          <w:sz w:val="18"/>
          <w:szCs w:val="18"/>
          <w:color w:val="auto"/>
        </w:rPr>
        <w:t>9.500% Senior Second Lien Secured Notes maturing on December 31, 2028 and amending certain provisions of the indenture for the 2026 Senior Notes.</w:t>
      </w:r>
    </w:p>
    <w:p>
      <w:pPr>
        <w:spacing w:after="0" w:line="37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July 2022, Moody’s Investors Service downgraded our issuer rating to Caa2 and Standard &amp; Poor’s S&amp;P Global downgraded our issuer rating to CC. These downgrades were a direct result of the rating agencies’ methodologies of how to rate companies during the proposed Transaction. The ratings should be re-assessed once the Transaction and new debt maturity profile discussed above are finalized.</w:t>
      </w:r>
    </w:p>
    <w:p>
      <w:pPr>
        <w:spacing w:after="0" w:line="1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Refer to Note 15 - Subsequent Events of the Notes to Unaudited Consolidated Financial Statements included in Part I, Item 1 of this Quarterly Report on Form 10-Q for further discussion.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6.50% Exchangeable Senior Notes due 2026</w:t>
      </w:r>
    </w:p>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On February 24, 2021, our wholly-owned subsidiary, GEOCH, completed a private offering of $230 million aggregate principal amount of 6.50% Exchangeable Notes due 2026, which included the full exercise of the initial purchasers’ over-allotment option to purchase an additional $30 million aggregate principal amount of Convertible Notes. The Convertible Notes will mature on February 23, 2026, unless earlier repurchased or exchanged. The Convertible Notes bear interest at the rate of 6.50% per year plus an additional amount based on the dividends paid by GEO on its common stock. Interest on the notes is payable semi-annually in arrears on March 1 and September 1 of each year, beginning on September 1, 2021.</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Subject to certain restrictions on share ownership and transfer, holders may exchange the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notes for each trading day of such measurement period was less than 98% of the product of the last reported sale price of our common stock and the exchange rate for the notes on each such trading day; or (2) upon the occurrence of certain specified corporate events. On or after November 25, 2025, until the close of business on the second scheduled trading day immediately preceding the maturity date of the notes, holders may exchange their notes at any time, regardless of the foregoing circumstances. Upon exchange of a note, we will pay or deliver, as the case may be, cash or a combination of cash and shares of our common stock. As of June 30, 2022, conditions had not been met to exchange the notes.</w:t>
      </w:r>
    </w:p>
    <w:p>
      <w:pPr>
        <w:spacing w:after="0" w:line="1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Upon conversion, we will pay or deliver, as the case may be, cash or a combination of cash and shares of common stock. The initial conversion rate is 108.4011 shares of common stock per $1,000 principal amount of Convertible Notes (equivalent to an initial conversion price of approximately $9.225 per share of common stock). The conversion rate will be subject to adjustment in certain events. If GEO or GEOCH undergoes a fundamental change, holders may require GEOCH to purchase the notes in whole or in part for cash at a fundamental change purchase price equal to 100% of the principal amount of the notes to be purchased, plus accrued and unpaid interest, if any, to, but excluding, the fundamental change purchase date.</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used the net proceeds from this offering, including the exercise in full of the initial purchasers' over-allotment option to fund the redemption of the then outstanding amount of approximately $194.0 million of our 5.875% Senior Notes due 2022, to re-purchase additional senior notes and we used the remaining net proceeds to pay related transaction fees and expenses, and for general corporate purposes of the Company. As a result of the redemption, deferred loan costs in the amount of approximately $0.7 million were written off to loss on extinguishment of debt during the six months ended June 30, 2021.</w:t>
      </w:r>
    </w:p>
    <w:p>
      <w:pPr>
        <w:spacing w:after="0" w:line="1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notes were offered in the United States only to persons reasonably believed to be “qualified institutional buyers” pursuant to Rule 144A under the Securities Act, and outside of the United States to non-U.S. persons in compliance with Regulation S under the Securities Act. Neither the notes nor any of the shares of the Company’s common stock issuable upon exchange of the notes, if any, have been, or will be, registered under the Securities Act and, unless so registered, may not be offered or sold in the United States, except pursuant to an applicable exemption from the registration requirements under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June 12, 2019, we entered into Amendment No. 2 to the Third Amended and Restated Credit Agreement (the "Credit Agreement") by and among the refinancing lenders party thereto, the other lenders party thereto, GEO and GEOCH and the administrative agent. Under the amendment, the maturity date of the revolver was extended to May 17, 2024. The borrowing capacity under the amended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46" w:name="page47"/>
    <w:bookmarkEnd w:id="46"/>
    <w:p>
      <w:pPr>
        <w:jc w:val="both"/>
        <w:ind w:right="200"/>
        <w:spacing w:after="0" w:line="235" w:lineRule="auto"/>
        <w:rPr>
          <w:sz w:val="20"/>
          <w:szCs w:val="20"/>
          <w:color w:val="auto"/>
        </w:rPr>
      </w:pPr>
      <w:r>
        <w:rPr>
          <w:rFonts w:ascii="Arial" w:cs="Arial" w:eastAsia="Arial" w:hAnsi="Arial"/>
          <w:sz w:val="18"/>
          <w:szCs w:val="18"/>
          <w:color w:val="auto"/>
        </w:rPr>
        <w:t>revolver remains at $900.0 million, and its pricing remains unchanged currently bearing interest at LIBOR plus 2.25%. As a result of the amendment, we incurred a loss on extinguishment of debt of $1.2 million during 2019 related to certain unamortized deferred loan costs. Additionally, loan costs of $4.7 million were incurred and capitalized in connection with the amendment.</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 of June 30, 2022, we had approximately $758.0 million in aggregate borrowings outstanding under our term loan, approximately $735.0 million in borrowings under our revolver, and approximately $99.0 million in letters of credit which left approximately $66.0 million in additional borrowing capacity under the revolver. The weighted average interest rate on outstanding borrowings under the Credit Agreement as of June 30, 2022 was 3.20%.</w:t>
      </w:r>
    </w:p>
    <w:p>
      <w:pPr>
        <w:spacing w:after="0" w:line="108"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In 2020 and 2021, we elected to draw down significant amounts in borrowings under the revolver component of our credit facility as a conservative precautionary step to preserve liquidity, maintain financial flexibility, and obtain additional funds for general corporate purposes.</w:t>
      </w:r>
    </w:p>
    <w:p>
      <w:pPr>
        <w:spacing w:after="0" w:line="7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Refer to Note 10 - Debt of the Notes to Unaudited Consolidated Financial Statements included in Part I, Item 1 of this Quarterly Report on Form 10-Q for further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 Ravenhall</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a design and build project agreement with the State of Victoria, in September 2014, we entered into a syndicated facility agreement (the "Construction Facility") to provide debt financing for construction of the project. The Construction Facility provided for non-recourse funding up to AUD 791.0 million, or approximately $545.2 million, based on exchange rates as of June 30, 2022. In accordance with the terms of the contract, upon completion and commercial acceptance of the project in late 2017, the State of Victoria made a lump sum payment of AUD310 million, or approximately $213.7 million, based on exchange rates as of June 30, 2022. The term of the Construction Facility was through September 2020 and bore interest at a variable rate quoted by certain Australian banks plus 200 basis points. On May 22, 2019, we completed an offering of AUD 461.6 million, or $318.2 million, based on exchange rates as of June 30, 2022, aggregate principal amount of the Non-Recourse Notes. The amortizing Non-Recourse Notes were issued by Ravenhall Finance Co Pty Limited in a private placement pursuant to Section 4(a)(2) of the Securities Act of 1933, as amended. The Non-Recourse Notes were issued with a coupon and yield to maturity of 4.23% with a maturity date of March 31, 2042. The net proceeds from this offering were used to refinance the outstanding Construction Facility and to pay all related fees, costs and expenses associated with the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6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August 2020, we entered into two identical promissory notes in the aggregate amount of $44.3 million which are secured by loan agreements and mortgage and security agreements on certain real property and improvements. The terms of the promissory notes are through September 1, 2034 and bear interest at LIBOR plus 200 basis points and are payable in monthly installments plus interest. We have entered into interest rate swap agreements to fix the interest rate to 4.22%. Included in the balance at June 30, 2022 is $0.6 million of deferred loan costs incurred in the transaction. Refer to Note 9 - Derivative Financial Instruments and Note 10 - Debt of the Notes to Unaudited Consolidated Financial Statements included in Part I, Item 1 of this Quarterly Report on Form 10-Q for further discussion.</w:t>
      </w:r>
    </w:p>
    <w:p>
      <w:pPr>
        <w:spacing w:after="0" w:line="12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addition to the debt outstanding under the Credit Facility, the 6.50% Exchangeable Notes due 2026, the 6.00% Senior Notes due 2026, the 5.125% Senior Notes due 2023, and the 5.875% Senior Notes due 2024, we also have significant debt obligations which, although these obligations are non-recourse to us, require cash expenditures for debt service. Our significant debt obligations could have material consequences. See “Risk Factors-Risks Related to Our High Level of Indebtedness” in Item 1A of our Annual Report on Form 10-K for the year ended December 31, 2021. We are exposed to various commitments and contingencies which may have a material adverse effect on our liquidity. We also have guaranteed certain obligations for certain of our international subsidiaries. These non-recourse obligations, commitments and contingencies and guarantees are further discussed in our Annual Report on Form 10-K for the year ended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6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August 16, 2019, our Board authorized us to repurchase and/or retire a portion of our 6.00% Senior Notes due 2026, the 5.875% Senior Notes due 2024, the 5.125% Senior Notes due 2023 and the 5.875% Senior Notes due 2022 (collectively the "GEO Senior Notes") and our term loan under our Amended Credit Agreement through cash purchases, in open market purchases, privately negotiated transactions, or otherwise, up to an aggregate maximum of $100.0 million, subject to certain limitations through December 31, 2020. On February 11, 2021, our Board authorized a new repurchase program for repurchases/retirements of part of the above referenced GEO Senior Notes and term loan, subject to certain limitations up to an aggregate maximum of $100.0 million through December 31, 2022. During the first quarter of 2021, the 5.875% Senior Notes due 2022 were redeemed in connection with the offering of the Convertible Notes discussed above.</w:t>
      </w:r>
    </w:p>
    <w:p>
      <w:pPr>
        <w:spacing w:after="0" w:line="127" w:lineRule="exact"/>
        <w:rPr>
          <w:sz w:val="20"/>
          <w:szCs w:val="20"/>
          <w:color w:val="auto"/>
        </w:rPr>
      </w:pPr>
    </w:p>
    <w:p>
      <w:pPr>
        <w:jc w:val="both"/>
        <w:ind w:right="580"/>
        <w:spacing w:after="0" w:line="235" w:lineRule="auto"/>
        <w:rPr>
          <w:sz w:val="20"/>
          <w:szCs w:val="20"/>
          <w:color w:val="auto"/>
        </w:rPr>
      </w:pPr>
      <w:r>
        <w:rPr>
          <w:rFonts w:ascii="Arial" w:cs="Arial" w:eastAsia="Arial" w:hAnsi="Arial"/>
          <w:sz w:val="18"/>
          <w:szCs w:val="18"/>
          <w:color w:val="auto"/>
        </w:rPr>
        <w:t>During the six months ended June 30, 2021, we repurchased $22.5 million in aggregate principal amount of our 5.125% Senior Notes due 2023 at a weighted average price of 90.68% for a total cost of $20.4 million. Additionally, we repurchased $17.2 million in aggregate principal amount of our 5.875% Senior Notes due 2024 at a weighted average price of 79.51% for a total cost of $13.7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7" w:name="page48"/>
    <w:bookmarkEnd w:id="47"/>
    <w:p>
      <w:pPr>
        <w:ind w:firstLine="45"/>
        <w:spacing w:after="0" w:line="246" w:lineRule="auto"/>
        <w:rPr>
          <w:sz w:val="20"/>
          <w:szCs w:val="20"/>
          <w:color w:val="auto"/>
        </w:rPr>
      </w:pPr>
      <w:r>
        <w:rPr>
          <w:rFonts w:ascii="Arial" w:cs="Arial" w:eastAsia="Arial" w:hAnsi="Arial"/>
          <w:sz w:val="18"/>
          <w:szCs w:val="18"/>
          <w:color w:val="auto"/>
        </w:rPr>
        <w:t>million. As a result of these repurchases, we recognized a net gain on extinguishment of debt of $4.7 million, net of the write-off of associated unamortized deferred loan costs. There were no debt repurchases during the six months ended June 30, 2022.</w:t>
      </w:r>
    </w:p>
    <w:p>
      <w:pPr>
        <w:spacing w:after="0" w:line="11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Refer to Note 10 - Debt of the Notes to Unaudited Consolidated Financial Statements included in Part I, Item 1 of this Quarterly Report on Form 10-Q for further information on our indebtedness.</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consider opportunities for future business and/or asset acquisitions or dispositions as we deem appropriate when market conditions present opportunities. If we are successful in our pursuit of any new projects, our cash on hand, cash flows from operations and borrowings under the existing Credit Facility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Additionally, the magnitude, severity and duration of the COVID-19 pandemic may negatively impact the availability of opportunities for future business and/or asset acquisitions or asset dispositions and market conditions generally. In the future, our access to capital and ability to compete for future capital intensive projects will also be dependent upon, among other things, our ability to meet certain financial covenants in the indenture governing the 5.125% Senior Notes due 2023, the indenture governing the 5.875% Senior Notes due 2024, the indenture governing the 6.00% Senior Notes due 2026, the indenture governing our Convertible Notes and our Credit 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were in compliance with our debt covenants as of June 30, 2022 and we expect to continue to be in compliance with our debt covenants, if these constraints were to intensify, our liquidity could be materially adversely impacted as could our ability to remain in compliance with these debt covenants.</w:t>
      </w:r>
    </w:p>
    <w:p>
      <w:pPr>
        <w:spacing w:after="0" w:line="15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We may from time to time seek to purchase or retire our outstanding senior notes through repurchases, redemptions and/or exchanges for equity securities, in open market purchases, privately negotiated transactions or otherwise. Such repurchases, redemptions or exchanges, if any, will depend on prevailing market conditions, our liquidity requirements, contractual restrictions and other factors. The amounts involved may be material.</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Financial Information</w:t>
      </w:r>
    </w:p>
    <w:p>
      <w:pPr>
        <w:spacing w:after="0" w:line="63"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GEO’s Convertible Notes, 6.00% Senior Notes due 2026, 5.125% Senior Notes due 2023 and the 5.875% Senior Notes due 2024 are fully and unconditionally guaranteed on a joint and several senior unsecured basis by certain of our wholly-owned domestic subsidiaries (the “Subsidiary Guarantors”).</w:t>
      </w:r>
    </w:p>
    <w:p>
      <w:pPr>
        <w:spacing w:after="0" w:line="13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Summarized financial information is provided for The GEO Group, Inc. (“Parent”) and the Subsidiary Guarantors on a combined basis in accordance with SEC Regulation S-X Rules 3-10 and 13-01. The accounting policies used in the preparation of this summarized financial information are consistent with those elsewhere in the condensed consolidated financial statements of the Company, except that intercompany transactions and balances of the Parent and Subsidiary Guarantor entities with non-guarantor entities have not been eliminated. Intercompany transactions between the Parent and Subsidiary Guarantors have been eliminated and equity in earnings from and investments in non-guarantor subsidiaries have not been presented.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 of operations (in thousands):</w:t>
      </w:r>
    </w:p>
    <w:tbl>
      <w:tblPr>
        <w:tblLayout w:type="fixed"/>
        <w:tblInd w:w="0" w:type="dxa"/>
        <w:tblCellMar>
          <w:top w:w="0" w:type="dxa"/>
          <w:left w:w="0" w:type="dxa"/>
          <w:bottom w:w="0" w:type="dxa"/>
          <w:right w:w="0" w:type="dxa"/>
        </w:tblCellMar>
      </w:tblPr>
      <w:tr>
        <w:trPr>
          <w:trHeight w:val="149"/>
        </w:trPr>
        <w:tc>
          <w:tcPr>
            <w:tcW w:w="7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r>
      <w:tr>
        <w:trPr>
          <w:trHeight w:val="185"/>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June 30, 2022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r>
      <w:tr>
        <w:trPr>
          <w:trHeight w:val="22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revenues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1,034,237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1,027,471</w:t>
            </w:r>
          </w:p>
        </w:tc>
        <w:tc>
          <w:tcPr>
            <w:tcW w:w="100" w:type="dxa"/>
            <w:vAlign w:val="bottom"/>
            <w:shd w:val="clear" w:color="auto" w:fill="CFF0FC"/>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160,790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130,664</w:t>
            </w:r>
          </w:p>
        </w:tc>
        <w:tc>
          <w:tcPr>
            <w:tcW w:w="100" w:type="dxa"/>
            <w:vAlign w:val="bottom"/>
          </w:tcPr>
          <w:p>
            <w:pPr>
              <w:spacing w:after="0"/>
              <w:rPr>
                <w:sz w:val="19"/>
                <w:szCs w:val="19"/>
                <w:color w:val="auto"/>
              </w:rPr>
            </w:pP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73,392</w:t>
            </w:r>
          </w:p>
        </w:tc>
        <w:tc>
          <w:tcPr>
            <w:tcW w:w="100" w:type="dxa"/>
            <w:vAlign w:val="bottom"/>
            <w:shd w:val="clear" w:color="auto" w:fill="CFF0FC"/>
          </w:tcPr>
          <w:p>
            <w:pPr>
              <w:spacing w:after="0"/>
              <w:rPr>
                <w:sz w:val="19"/>
                <w:szCs w:val="19"/>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Net income attributable to The GEO Group, Inc.</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72,803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73,392</w:t>
            </w:r>
          </w:p>
        </w:tc>
        <w:tc>
          <w:tcPr>
            <w:tcW w:w="100" w:type="dxa"/>
            <w:vAlign w:val="bottom"/>
          </w:tcPr>
          <w:p>
            <w:pPr>
              <w:spacing w:after="0"/>
              <w:rPr>
                <w:sz w:val="21"/>
                <w:szCs w:val="21"/>
                <w:color w:val="auto"/>
              </w:rPr>
            </w:pPr>
          </w:p>
        </w:tc>
      </w:tr>
      <w:tr>
        <w:trPr>
          <w:trHeight w:val="648"/>
        </w:trPr>
        <w:tc>
          <w:tcPr>
            <w:tcW w:w="7440" w:type="dxa"/>
            <w:vAlign w:val="bottom"/>
          </w:tcPr>
          <w:p>
            <w:pPr>
              <w:spacing w:after="0"/>
              <w:rPr>
                <w:sz w:val="20"/>
                <w:szCs w:val="20"/>
                <w:color w:val="auto"/>
              </w:rPr>
            </w:pPr>
            <w:r>
              <w:rPr>
                <w:rFonts w:ascii="Arial" w:cs="Arial" w:eastAsia="Arial" w:hAnsi="Arial"/>
                <w:sz w:val="18"/>
                <w:szCs w:val="18"/>
                <w:color w:val="auto"/>
              </w:rPr>
              <w:t>Summarized balance sheets (in thousands):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2022</w:t>
            </w: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auto"/>
            </w:tcBorders>
          </w:tcPr>
          <w:p>
            <w:pPr>
              <w:spacing w:after="0"/>
              <w:rPr>
                <w:sz w:val="24"/>
                <w:szCs w:val="24"/>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835,649</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707,457</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 (a)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3,062,289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3,115,622</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315,616</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314,233</w:t>
            </w:r>
          </w:p>
        </w:tc>
        <w:tc>
          <w:tcPr>
            <w:tcW w:w="100" w:type="dxa"/>
            <w:vAlign w:val="bottom"/>
            <w:shd w:val="clear" w:color="auto" w:fill="CFF0FC"/>
          </w:tcPr>
          <w:p>
            <w:pPr>
              <w:spacing w:after="0"/>
              <w:rPr>
                <w:sz w:val="17"/>
                <w:szCs w:val="17"/>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Noncurrent liabilities (b)</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2,804,366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2,820,252</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jc w:val="center"/>
        <w:ind w:left="5540" w:right="120" w:hanging="5532"/>
        <w:spacing w:after="0" w:line="512" w:lineRule="auto"/>
        <w:tabs>
          <w:tab w:leader="none" w:pos="4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$16.2 million and $22.5 million as of June 30, 2022 and December 31, 2021, respectively.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left="480" w:hanging="472"/>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amounts due to non-guarantor subsidiaries of $14.0 million and $14.8 million as of June 30, 2022 and December 31,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Automatic Shelf Registration on Form S-3</w:t>
      </w:r>
    </w:p>
    <w:p>
      <w:pPr>
        <w:spacing w:after="0" w:line="13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Refer to Note 6 - Shareholders' Equity of the Notes to Unaudited Consolidated Financial Statements included in Part I, Item 1 of this Quarterly Report on Form 10-Q for further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Except as discussed in the notes to our Unaudited Consolidated Financial Statements included in Part I, Item 1 of this Quarterly Report on Form 10-Q, we do not have any off-balance sheet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restricted cash and cash equivalents as of June 30, 2022 was $636.8 million, compared to $517.1 million as of June 30, 2021.</w:t>
      </w: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0"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Net cash provided by operating activities amounted to $172.0 million for the six months ended June 30, 2022 versus net cash provided by operating activities of $205.6 million for the six months ended June 30, 2021. Cash provided by operating activities during the six months ended June 30, 2022 was positively impacted by net income attributable to GEO, non-cash expenses such as depreciation and amortization, amortization of debt issuance costs, discount and/or premium and other non-cash interest, dividends received from unconsolidated joint ventures and stock-based compensation expense. Equity in earnings of affiliates, net of tax and gain on assets held for sale negatively impacted cash. Changes in accounts receivable, prepaid expenses and other assets decreased in total by $2.7 million, representing a positive impact on cash. The increase was primarily driven by the favorable timing of billings and collections. Changes in accounts payable, accrued expenses and other liabilities decreased by $6.1 million which negatively impacted cash. The decrease was primarily driven by the timing of payments. Additionally, cash provided by operating activities for the six months ended June 30, 2022 was positively impacted by a decrease in changes in contract receivable related to our correctional facility in Ravenhall, Australia of $3.3 million which was a result of the timing of interest accruals and payments received towards the contract receivable.</w:t>
      </w:r>
    </w:p>
    <w:p>
      <w:pPr>
        <w:spacing w:after="0" w:line="12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Net cash provided by operating activities during the six months ended June 30, 2021 was positively impacted by net income attributable to GEO, non-cash expenses such as depreciation and amortization, amortization of debt issuance costs, discount and/or premium and other non-cash interest, loss on sale/disposal of property and equipment and stock-based compensation expense. Equity in earnings of affiliates, net of tax, negatively impacted cash. Changes in accounts receivable, prepaid expenses and other assets decreased in total by $53.0 million, representing a positive impact on cash. The decrease was primarily driven by the favorable timing of billings and collections. Changes in accounts payable, accrued expenses and other liabilities decreased by $15.1 million which negatively impacted cash. The increase was primarily driven by the timing of payments. Additionally, cash provided by operating activities for the six months ended June 30, 2021 was positively impacted by a decrease in changes in contract receivable related to our correctional facility in Ravenhall, Australia of $3.2 million which was a result of the timing of interest accruals and payments received towards the contract receivable.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77" w:lineRule="exact"/>
        <w:rPr>
          <w:sz w:val="20"/>
          <w:szCs w:val="20"/>
          <w:color w:val="auto"/>
        </w:rPr>
      </w:pPr>
    </w:p>
    <w:p>
      <w:pPr>
        <w:jc w:val="both"/>
        <w:ind w:right="200"/>
        <w:spacing w:after="0" w:line="243" w:lineRule="auto"/>
        <w:rPr>
          <w:sz w:val="20"/>
          <w:szCs w:val="20"/>
          <w:color w:val="auto"/>
        </w:rPr>
      </w:pPr>
      <w:r>
        <w:rPr>
          <w:rFonts w:ascii="Arial" w:cs="Arial" w:eastAsia="Arial" w:hAnsi="Arial"/>
          <w:sz w:val="18"/>
          <w:szCs w:val="18"/>
          <w:color w:val="auto"/>
        </w:rPr>
        <w:t>Net cash used in investing activities of $19.3 million during the six months ended June 30, 2022 was primarily the result of capital expenditures of $36.1 million partially offset by proceeds from assets held for sale of $15.8 million. Net cash used in investing activities of $32.3 million during the six months ended June 30, 2021 was primarily the result of capital expenditures of $44.3 million partially offset by proceeds from dispositions of real estate of $13.2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63"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Net cash used in financing activities during the six months ended June 30, 2022 was approximately $59.9 million compared to net cash provided by financing activities of $32.5 million during the six months ended June 30, 2021. Net cash used in financing activities during the six months ended June 30, 2022 was primarily the result of payments on long-term debt of $54.3 million and payments on non-recourse debt of $4.3 million. Net cash provided by financing activities during the six months ended June 30, 2021 was primarily due to proceeds from long-term debt of $435.0 million partially offset by dividends paid of $30.5 million, payments on long-term debt of $356.8 million, payments on non-recourse debt of $3.8 million and debt issuance costs of $9.6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Adjusted Funds from Operations ("AFFO") is defined as net income attributable to GEO adjusted by adding non-cash expenses such as depreciation and amortization, stock-based compensation expense, the amortization of debt issuance costs, discount and/or premium and other non-cash interest, gain/loss on real estate assets, and by subtracting facility maintenance capital expenditures and other non-cash revenue and expenses. From time to time, AFFO is also adjusted for certain items which by their nature are not comparable from period to period or that tend to obscure our actual operating performance, including for the periods presented gain on the extinguishment of debt, pre-tax, one-time employee restructuring expenses, pre-tax and tax effect of adjustments to net income attributable to GEO.</w:t>
      </w:r>
    </w:p>
    <w:p>
      <w:pPr>
        <w:spacing w:after="0" w:line="176"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Because of the unique design, structure and use of our secure facilities, processing centers and reentry centers, we believe that assessing the performance of our secure facilities, processing centers and reentry centers without the impact of depreciation or amortization is useful and meaningful to investors.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assessment of our operations is focused on long-term sustainability. The adjustments we make to derive the non-GAAP measures of AFFO exclude items which may cause short-term fluctuations in net income attributable to GEO but have no impact on our cash flows, or we do not consider them to be fundamental attributes, or the primary drivers of our business plan and they do not affect our overall long-term operating performance. We may make adjustments to AFFO from time to time for certain other income and expenses that do not reflect a necessary component of our operational performance on the basis discussed above, even though such items may require cash settlement. Because AFFO excludes depreciation and amortization unique to real estate as well as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ind w:right="160"/>
        <w:spacing w:after="0" w:line="248" w:lineRule="auto"/>
        <w:rPr>
          <w:sz w:val="20"/>
          <w:szCs w:val="20"/>
          <w:color w:val="auto"/>
        </w:rPr>
      </w:pPr>
      <w:r>
        <w:rPr>
          <w:rFonts w:ascii="Arial" w:cs="Arial" w:eastAsia="Arial" w:hAnsi="Arial"/>
          <w:sz w:val="18"/>
          <w:szCs w:val="18"/>
          <w:color w:val="auto"/>
        </w:rPr>
        <w:t>non-operational items and certain other charges that are highly variable from year to year, they provide our investors with performance measures that reflect the impact to operations from trends in occupancy rates, per diem rates, operating costs and interest costs, providing a perspective not immediately apparent from net income attributable to GEO.</w:t>
      </w:r>
    </w:p>
    <w:p>
      <w:pPr>
        <w:spacing w:after="0" w:line="168"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We believe the presentation of AFFO provides useful information to investors as they provide an indication of our ability to fund capital expenditures and expand our business. AFFO provides disclosure on the same basis as that used by our management and provide consistency in our financial reporting,</w:t>
      </w:r>
    </w:p>
    <w:p>
      <w:pPr>
        <w:ind w:right="800"/>
        <w:spacing w:after="0" w:line="276" w:lineRule="auto"/>
        <w:rPr>
          <w:sz w:val="20"/>
          <w:szCs w:val="20"/>
          <w:color w:val="auto"/>
        </w:rPr>
      </w:pPr>
      <w:r>
        <w:rPr>
          <w:rFonts w:ascii="Arial" w:cs="Arial" w:eastAsia="Arial" w:hAnsi="Arial"/>
          <w:sz w:val="18"/>
          <w:szCs w:val="18"/>
          <w:color w:val="auto"/>
        </w:rPr>
        <w:t>facilitate internal and external comparisons of our historical operating performance and our business units and provide continuity to investors for comparability purposes. Additionally, AFFO is a widely recognized measure in our industry as a real estate company.</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reconciliation of net income attributable to The GEO Group, Inc. to AFFO for the three and six months ended June 30, 2022 and 2021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354"/>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353"/>
              <w:spacing w:after="0" w:line="13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353"/>
              <w:spacing w:after="0" w:line="13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attributable to GEO</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53,727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41,959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91,946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92,504</w:t>
            </w:r>
          </w:p>
        </w:tc>
        <w:tc>
          <w:tcPr>
            <w:tcW w:w="0" w:type="dxa"/>
            <w:vAlign w:val="bottom"/>
          </w:tcPr>
          <w:p>
            <w:pPr>
              <w:spacing w:after="0"/>
              <w:rPr>
                <w:sz w:val="1"/>
                <w:szCs w:val="1"/>
                <w:color w:val="auto"/>
              </w:rPr>
            </w:pPr>
          </w:p>
        </w:tc>
      </w:tr>
      <w:tr>
        <w:trPr>
          <w:trHeight w:val="203"/>
        </w:trPr>
        <w:tc>
          <w:tcPr>
            <w:tcW w:w="578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Add (Subtract):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32,016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33,306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67,954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67,423</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Facility maintenance capital expenditures</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(4,277 )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(2,900 )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(9,005 )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(5,567 )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3,556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4,023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9,869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11,426</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Other non-cash revenue &amp; expenses</w:t>
            </w:r>
          </w:p>
        </w:tc>
        <w:tc>
          <w:tcPr>
            <w:tcW w:w="22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(1,102 )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(2,204 )</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Amortization of debt issuance costs, discount and/or</w:t>
            </w:r>
          </w:p>
        </w:tc>
        <w:tc>
          <w:tcPr>
            <w:tcW w:w="2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1,903</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3,755</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premium and other non-cash interest</w:t>
            </w:r>
          </w:p>
        </w:tc>
        <w:tc>
          <w:tcPr>
            <w:tcW w:w="22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(Gain) loss on real estate assets</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(3,680 )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(3,053 )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(10,379 )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Adjustments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Add (Subtract):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Gain on extinguishment of debt, pre-tax</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(1,654 )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(4,693 )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One-time employee restructuring expenses, pre-tax</w:t>
            </w:r>
          </w:p>
        </w:tc>
        <w:tc>
          <w:tcPr>
            <w:tcW w:w="22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Tax effect of adjustments to net income attributable to GEO *</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926</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(454 )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768</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196"/>
        </w:trPr>
        <w:tc>
          <w:tcPr>
            <w:tcW w:w="578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Adjusted Funds from Operations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84,175</w:t>
            </w:r>
          </w:p>
        </w:tc>
        <w:tc>
          <w:tcPr>
            <w:tcW w:w="3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85,490</w:t>
            </w:r>
          </w:p>
        </w:tc>
        <w:tc>
          <w:tcPr>
            <w:tcW w:w="3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162,234</w:t>
            </w:r>
          </w:p>
        </w:tc>
        <w:tc>
          <w:tcPr>
            <w:tcW w:w="3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163,494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-159385</wp:posOffset>
            </wp:positionV>
            <wp:extent cx="857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wp:posOffset>
            </wp:positionV>
            <wp:extent cx="857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8572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41" w:lineRule="exact"/>
        <w:rPr>
          <w:sz w:val="20"/>
          <w:szCs w:val="20"/>
          <w:color w:val="auto"/>
        </w:rPr>
      </w:pPr>
    </w:p>
    <w:p>
      <w:pPr>
        <w:ind w:left="520" w:right="80" w:hanging="512"/>
        <w:spacing w:after="0" w:line="231" w:lineRule="auto"/>
        <w:tabs>
          <w:tab w:leader="none" w:pos="4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effect of adjustments relate to (gain) loss on real estate assets, one-time employee restructuring expenses and gain on extinguishment of debt. In connection with the termination of our REIT status effective for the year ended December 31, 2021, the tax effect of adjustments to net income attributable to GEO have been presented for second quarter and year to date 2021 to reflect the applicable tax rates that we would have been subject to as a taxable C Corporation.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The following discussion contains statements that are not limited to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statements. Please refer to “Part I - Item 1A. Risk Factors” and the "Forward Looking Statements - Safe Harbor" sections in our Annual Report on Form 10-K for the fiscal year ended December 31, 2021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Disease (COVID-19) Pandemic</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December 2019, a novel strain of coronavirus, now known as COVID-19 (“COVID-19”), was reported in Wuhan, China and has since extensively impacted the global health and economic environment.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35"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212529"/>
        </w:rPr>
        <w:t xml:space="preserve">GEO is continuing to coordinate closely with our government agency partners and local health agencies to ensure the health and safety of all those in our care and our employees. We are grateful for our frontline employees, who are making sacrifices daily to provide care for all those in our facilities, during this unprecedented global pandemic. </w:t>
      </w:r>
      <w:r>
        <w:rPr>
          <w:rFonts w:ascii="Arial" w:cs="Arial" w:eastAsia="Arial" w:hAnsi="Arial"/>
          <w:sz w:val="18"/>
          <w:szCs w:val="18"/>
          <w:color w:val="000000"/>
        </w:rPr>
        <w:t>Information on the steps we have taken to address and mitigate the risks of COVID-19 can be found at</w:t>
      </w:r>
      <w:r>
        <w:rPr>
          <w:rFonts w:ascii="Arial" w:cs="Arial" w:eastAsia="Arial" w:hAnsi="Arial"/>
          <w:sz w:val="18"/>
          <w:szCs w:val="18"/>
          <w:color w:val="212529"/>
        </w:rPr>
        <w:t xml:space="preserve"> </w:t>
      </w:r>
      <w:r>
        <w:rPr>
          <w:rFonts w:ascii="Arial" w:cs="Arial" w:eastAsia="Arial" w:hAnsi="Arial"/>
          <w:sz w:val="18"/>
          <w:szCs w:val="18"/>
          <w:color w:val="000000"/>
        </w:rPr>
        <w:t>www.geogroup.com/COVID19.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w:t>
      </w:r>
    </w:p>
    <w:p>
      <w:pPr>
        <w:spacing w:after="0" w:line="189"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212529"/>
        </w:rPr>
        <w:t>The COVID-19 pandemic and related government-imposed mandatory closures, shelter in-place restrictions and social distancing protocols and increased expenditures on engineering controls, personal protective equipment, diagnostic testing, medical expenses, temperature scanners, protective plexiglass barriers and increased sanitation have had, and will continue to have, a severe impact on global economic conditions and the environment in which we operate. In early 2020, we began to observe negative impacts from the pandemic on our performance in our secure services business. In addition to court mandates related to COVID-19 that limit capacity utilization at certain facilities, a driver of low utilization across ICE facilities have been the Title 42 COVID-19 related restrictions that have been in place at the Southwest border since March 2020. Additionally, our reentry services business conducted through our Reentry Services business segment has also been negatively impacted, specifically our residential reentry centers were impacted due to lower levels of referrals by federal, state and local agencies. Throughout the pandemic, new intake at residential reentry centers have significantly slowed down as governmental agencies across the country have opted for non-residential alternatives, including furloughs, home confinement and day reporting. We expect that the COVID-19 pandemic will continue to have an impact on our populations for at least part of 2022, depending on various factors. While we experienced a significant increase in COVID-19 cases at the end of the fourth quarter of 2021 and in the early part of 2022, consistent with the spread of the Omicron variant across the country, we are currently experiencing relatively low levels of COVID-19 cases among our staff and the individuals in our care. If we are unable to mitigate the transmission of COVID-19 at our facilities, we could experience a material adverse effect on our financial position, results of operations and cash flows. Although we are unable to predict the duration or scope of the COVID-19 pandemic or estimate the extent of the overall future negative financial impact to our operating results, an extended period of depressed economic activity necessitated to combating the disease, and the severity and duration of the related global economic crisis may adversely impact our future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ind w:right="60"/>
        <w:spacing w:after="0" w:line="250" w:lineRule="auto"/>
        <w:rPr>
          <w:sz w:val="20"/>
          <w:szCs w:val="20"/>
          <w:color w:val="auto"/>
        </w:rPr>
      </w:pPr>
      <w:r>
        <w:rPr>
          <w:rFonts w:ascii="Arial" w:cs="Arial" w:eastAsia="Arial" w:hAnsi="Arial"/>
          <w:sz w:val="17"/>
          <w:szCs w:val="17"/>
          <w:color w:val="auto"/>
        </w:rPr>
        <w:t>Due to the uncertainty surrounding the COVID-19 pandemic, we are unable to determine the future landscape of growth opportunities in the near term; however, any positive trends may, to some extent, be adversely impacted by government budgetary constraints in light of the pandemic or any changes to a government's willingness to maintain or grow public-private partnerships in the future. While state finances overall were stable prior to the COVID-19 pandemic, future budgetary pressures may cause state agencies to pursue a number of cost savings initiatives which may include reductions in per diem rates and/or the scope of services provided by private operators or the decision to not re-bid a contract after expiration of the contract term. These potential cost savings initiatives could have a material adverse impact on our current operations and/or our ability to pursue new business opportunities. Additionally, if state budgetary constraints, as discussed above, develop, persist or intensify, our state customers’ ability to pay us may be impaired and/or we may be forced to renegotiate our management contracts on less favorable terms and our financial condition, results of operations or cash flows could be materially adversely impacted. We plan to actively bid on any new projects that fit our target profile for profitability and operational risk. Any positive trends in the industry may be offset by several factors, including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 We believe we have a strong relationship with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2" w:name="page53"/>
    <w:bookmarkEnd w:id="52"/>
    <w:p>
      <w:pPr>
        <w:ind w:right="660"/>
        <w:spacing w:after="0" w:line="261" w:lineRule="auto"/>
        <w:rPr>
          <w:sz w:val="20"/>
          <w:szCs w:val="20"/>
          <w:color w:val="auto"/>
        </w:rPr>
      </w:pPr>
      <w:r>
        <w:rPr>
          <w:rFonts w:ascii="Arial" w:cs="Arial" w:eastAsia="Arial" w:hAnsi="Arial"/>
          <w:sz w:val="18"/>
          <w:szCs w:val="18"/>
          <w:color w:val="auto"/>
        </w:rPr>
        <w:t>government agency partners and we believe that we operate facilities that maximize security, safety and efficiency while offering our suite of GEO Continuum of Care programs, services and resources.</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January 26, 2021, President Biden signed an executive order directing the United States Attorney General not to renew DOJ contracts with privately operated criminal detention facilities, as consistent with applicable law. Two agencies of the DOJ, the BOP and the USMS, utilize GEO’s support services. The BOP houses inmates who have been convicted of federal crimes, and the USMS is generally responsible for detainees who are awaiting trial or sentencing in U.S. federal courts. As of June 30, 2022, GEO has three company-owned/company-leased facilities under direct contracts with USMS, which have current contract option periods that expire between February 28, 2023 and September 30, 2023. These facilities combined represented approximately 6% of our revenues for the year ended December 31, 2021.</w:t>
      </w:r>
    </w:p>
    <w:p>
      <w:pPr>
        <w:spacing w:after="0" w:line="14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President Biden’s administration may implement additional executive orders or directives relating to federal criminal justice policies and/or immigration policies, which may impact the federal government’s use of public-private partnerships with respect to secure correctional and detention facilities and immigration processing centers, including with respect to our contracts, and/or may impact the budget and spending priorities of federal agencies, including the BOP, USMS, and ICE, which is an agency of the U.S. Department of Homeland Security.</w:t>
      </w:r>
    </w:p>
    <w:p>
      <w:pPr>
        <w:spacing w:after="0" w:line="175"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Prior to the Executive Order, we have historically had a relatively high contract renewal rate, however, there can be no assurance that we will be able to renew our expiring management contracts on favorable terms, or at all. Also, while we are pleased with our track record in re-bid situations, we cannot assure that we will prevail in any such future situations.</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California enacted legislation that became effective on January 1, 2020 aimed at phasing out public-private partnership contracts for the operation of secure correctional facilities and detention facilities within California and facilities outside of the State of California housing State of California inmates. Currently, we have four public-private partnership contracts in place with ICE relating to secure services facilities located in California. These facilities/annexes generated approximately $160 million in combined annual revenues during the year ended December 31, 2021, and their contracts do not expire until December of 2034. GEO and the DOJ have filed separate legal actions challenging the constitutionality of the attempted ban on new federal contracts entered into after the effective date of the California law. On October 5, 2021, the Ninth Circuit Court of Appeals reversed a prior U.S. District Court decision dismissing the requests by GEO and the United States for declaratory and injunctive relief and ruled that AB32 conflicts with federal law in violation of the Supremacy Clause of the U.S. Constitution and discriminates against the federal government in violation of the intergovernmental immunity doctrine. On April 26, 2022, the Ninth Circuit granted California’s petition for an en banc hearing and vacated the previous panel’s opinion. En banc arguments took place the week of June 21, 2022, in Pasadena, California.</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Recently the State of Washington approved a similar measure banning the use of public-private partnership contracts for the operation of detention facilities in the state, that GEO is also challenging in federal court. GEO’s contract for the company-owned 1,575-bed Northwest ICE Processing Center in Washington has a renewal option period that expires in 2025. The facility generates approximately $64 million in annualized revenues for GEO.</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Effective April 6, 2022, Delaware County, Pennsylvania took over management of the managed-only George W. Hill Correctional Facility. The George 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Hill Correctional Facility generated approximately $46 million in annualized revenue for GEO.</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Internationally, we are exploring opportunities in our current markets and will continue to actively bid on any opportunities that fit our target profile for profitability and operational risk. We are pleased to have been awarded a ten-year contract renewal for the continued delivery of secure transportation under our GEOAmey joint venture in the United Kingdom. Total revenue over the ten-year period is expected to be approximately $760 million. In New South Wales, Australia, we have developed a 489-bed expansion at the Junee Correctional Centre which was substantially completed during the third quarter of 2020. We have also constructed a 137-bed expansion at the Fulham Correctional Centre in Victoria, Australia. With respect to our Dungavel House Immigration Removal Centre in the United Kingdom, we were unfortunately unsuccessful in the current competitive rebid process and transitioned the management contract in October 2021. In addition, we transitioned the Arthur Gorrie Correctional Centre to government operation in the State of Queensland, Australia at the end of June 2020.</w:t>
      </w:r>
    </w:p>
    <w:p>
      <w:pPr>
        <w:spacing w:after="0" w:line="180"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With respect to our reentry services, electronic monitoring services, and community-based services business, we are currently pursuing a number of business development opportunities. Related to opportunities for community-based reentry services, we are working with our existing federal, state, and local clients to leverage new opportunities for both residential reentry facilities as well as non-residential day reporting centers. However, in light of the uncertainty surrounding the COVID-19 pandemic, we may not be successful. We continue to expend resources on informing federal, state and local governments about the benefits of public-private partnerships, and we anticipate that there will be new opportunities in the future as those efforts continue to yield results. We believe we are well positioned to capitalize on any suitable opportunities that become available in this area.</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Operating Expenses</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Operating expenses consist of those expenses incurred in the operation and management of our contracts to provide services to our governmental clients. Labor and related costs represented 59.7% and 59.2% of our operating expenses during the six months ended June 30, 2022 and 2021, respectively. Additional significant operating expenses include food, utilities and medical costs. During the six months ended June 30, 2022 and 2021, operating expenses totaled 70.0% and 73.0%, respectively, of our consolidated revenues. We expect our operating expenses as a percentage of revenues in 2022 will be impacted by the opening of any new or existing idle facilities as a result of the cost of transitioning and/or start-up operations related to a facility opening. We also expect that our operating expenses will be impacted by the effect of inflation on costs related to personnel, utilities, insurance, and medical and food, among other operational costs. During 2022, we will incur carrying costs for facilities that are currently vacant.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General and administrative expenses consist primarily of corporate management salaries and benefits, professional fees and other administrative expenses. During the six months ended June 30, 2022 and 2021, general and administrative expenses totaled 8.6% and 9.0%, respectively, of our consolidated revenues. We expect general and administrative expenses as a percentage of revenues in 2022 to remain consistent or decrease as a result of cost savings initiatives.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Facilities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are currently marketing 10,361 vacant beds at seven of our U.S. Secure Services and at two of our Reentry Services idle facilities to potential customers. The annual net carrying cost of our idle facilities in 2022 is estimated to be $21.8 million, including depreciation expense of $12.3 million. As of June 30, 2022, these nine facilities had a combined net book value of $272.6 million. We currently do not have any firm commitment or agreement in place to activate the remaining facilities. Historically, some facilities have been idle for multiple years before they received a new contract award. These idle facilities are included in the U.S. Secure Services and Reentry Services segments. The per diem rates that we charge our clients often vary by contract across our portfolio. However, if the nine remaining idle facilities were to be activated using our U.S. Secure Services and Reentry Services average per diem rates in 2022 (calculated as the U.S. Secure Services and Reentry Services revenue divided by the number of U.S. Secure Services and Reentry Services mandays) and based on the average occupancy rate in our facilities through June 30, 2022, we would expect to receive incremental annualized revenue of approximately $270 million and an annualized increase in earnings per share of approximately $0.30 to $0.35 per share based on our average operating margins.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exposed to market risks related to changes in interest rates with respect to our Credit Facility. Payments under the Credit Facility are indexed to a variable interest rate. Based on borrowings outstanding under the Credit Facility of approximately $1,493 million and approximately $99.0 million in outstanding letters of credit, as of June 30, 2022, for every one percent increase in the average interest rate applicable to the Credit Facility, our total annual interest expense would increase by approximately $16 million.</w:t>
      </w:r>
    </w:p>
    <w:p>
      <w:pPr>
        <w:spacing w:after="0" w:line="13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7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are also exposed to market risks related to fluctuations in foreign currency exchange rates between the U.S. dollar, and the Australian dollar, the South African Rand and the British Pound currency exchange rates. Based upon our foreign currency exchange rate exposure as of June 30, 2022, every 10 percent change in historical currency rates would have approximately a $14.0 million effect on our financial position and approximately a $1.3 million impact on our results of operations during the six months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spacing w:after="0" w:line="114"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is responsible to report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There were no significant changes to our internal control over financial reporting during the quarter ended June 30, 2022.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July 7, 2020, a purported shareholder class action lawsuit was filed against the Company, its then Chief Executive Officer, George C. Zoley (“Mr. Zoley”), and its Chief Financial Officer, Brian R. Evans (“Mr. Evans”), in the U.S. District Court for the Southern District of Florida. On October 1, 2020, the court entered an unopposed order appointing lead plaintiffs, approving the selection of counsel, dismissing the initial complaint, and setting a deadline for the filing of an amended complaint. On November 18, 2020, the lead plaintiffs filed a consolidated class action amended complaint. The amended complaint alleged that the Company and Messrs. Zoley and Evans––as well as J. David Donahue (“Mr. Donahue”), the Company’s former Senior Vice President and President of the U.S. Secure Services division, and Ann M. Schlarb (“Ms. Schlarb”), the Company’s Senior Vice President and President of the GEO Care division––made materially false and misleading statements and/or omissions related to GEO’s business––including quality of operations, corporate social responsibility, competitive strengths, pending litigation, business strategies, health and safety, sources of financing, dividend expectations, and COVID-19 procedures. The amended complaint was brought by lead plaintiffs James Michael DeLoach and Edward Oketola, individually and on behalf of a class consisting of all persons and entities––other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7, 2018 to August 5, 2020, inclusive. The amended complaint alleged that the defendants violated Sections 10(b) and 20(a) of the Securities Exchange Act of 1934, as amended (the “Exchange Act”), and Rule 10b-5 promulgated thereunder, and alleged that Messrs. Zoley, Evans, and Donahue and Ms. Schlarb violated Section 20(a) of the Exchange Act. On December 18, 2020, the defendants filed a motion to dismiss the amended complaint. On September 23, 2021, the court granted the motion to dismiss in part, and denied it in part. The court dismissed all claims against Messrs. Evans and Donahue, and Ms. Schlarb. The court also dismissed all claims against GEO and Mr. Zoley other than claims related to GEO's disclosures about pending litigation and directed plaintiffs to file an amended complaint in conformance with the court's order. On October 4, 2021, plaintiffs filed a consolidated class action second amended complaint. The second amended complaint alleges that GEO and Mr. Zoley violated Sections 10(b) and 20(a) of the Exchange Act by making materially false and misleading statements and/or omissions related to pending litigation, and seeks relief on behalf of a putative class consisting of all persons and entities–– 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9, 2018 to August 5, 2020, inclusive. The second amended complaint seeks damages, interest, attorneys’ fees, expert fees, other costs, and such other relief as the court may deem proper. On October 18, 2021, GEO and Mr. Zoley filed a motion to dismiss and/or to strike, arguing that the second amended complaint failed to comply with the court's prior dismissal order and contains allegations beyond the disclosures and time period permitted by the court. On June 21, 2022, the court granted the motion in part, and dismissed all claims in the second amended complaint other than those related to the Company’s statements about pending lawsuits made prior to July 17, 2019. On July 1, 2022, the Company and Mr. Zoley filed answers to the second amended complaint.</w:t>
      </w:r>
    </w:p>
    <w:p>
      <w:pPr>
        <w:spacing w:after="0" w:line="3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1, 2021, a putative shareholder derivative complaint was filed in Palm Beach County, Florida’s Circuit Court against the Company, as well as its then Chief Executive Officer, Mr. Zoley, its Chief Financial Officer, Mr. Evans, Ms. Schlarb, its Senior Vice President and President of the GEO Care division, and current and former Company directors Richard H. Glanton, Anne N. Foreman, Christopher C. Wheeler, Julie M. Wood, Guido van Hauwermeiren, Scott M. Kernan, Jose Gordo, and Duane Helkowski (collectively, “Defendants”). The complaint alleges breach of fiduciary duty and unjust enrichment claims against the individual Defendants relating to purported healthcare and quality of care deficiencies, an allegedly inadequate response to the COVID-19 pandemic, alleged forced labor by detainees, and alleged exposure to pending litigation, which purportedly led to damage to GEO. On September 28, 2021, Defendants filed a motion to stay, or alternatively motion to dismiss the complaint. On January 7, 2022, the Court entered an Agreed Order on Stay, staying this action until the resolution of the motion to dismiss and/or to strike pending in the federal purported shareholder class action lawsuit described above.</w:t>
      </w:r>
    </w:p>
    <w:p>
      <w:pPr>
        <w:spacing w:after="0" w:line="19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12, 2021, a putative shareholder derivative complaint was filed in the U.S. District Court for the Southern District of Florida against the Company, as well as its then Chief Executive Officer, Mr. Zoley, its Chief Financial Officer, Mr. Evans, Ms. Schlarb, its Senior Vice President and President of the GEO Care division, David Venturella, its Senior Vice President, J. David Donahue, its former Senior Vice President and President, of the U.S. Secure Services division, and current and former Company directors Richard H. Glanton, Anne N. Foreman, Christopher C. Wheeler, Julie M. Wood, Guido van Hauwermeiren, Scott M. Kernan, Jose Gordo, and Duane Helkowski (collectively, “Defendants”). The complaint alleges that the individual Defendants violated Section 10(b) of the Securities Exchange Act of 1934, as amended (the “Exchange Act”), and Rule 10b-5 promulgated thereunder. The complaint also alleges breach of fiduciary duty, aiding and abetting breach of fiduciary duty, unjust enrichment,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6" w:name="page57"/>
    <w:bookmarkEnd w:id="56"/>
    <w:p>
      <w:pPr>
        <w:ind w:right="320"/>
        <w:spacing w:after="0" w:line="257" w:lineRule="auto"/>
        <w:rPr>
          <w:sz w:val="20"/>
          <w:szCs w:val="20"/>
          <w:color w:val="auto"/>
        </w:rPr>
      </w:pPr>
      <w:r>
        <w:rPr>
          <w:rFonts w:ascii="Arial" w:cs="Arial" w:eastAsia="Arial" w:hAnsi="Arial"/>
          <w:sz w:val="18"/>
          <w:szCs w:val="18"/>
          <w:color w:val="auto"/>
        </w:rPr>
        <w:t>waste of corporate assets against the individual Defendants relating to purported healthcare and quality of care deficiencies, an allegedly inadequate response to the COVID-19 pandemic, alleged forced labor by detainees, and alleged exposure to pending litigation, which purportedly led to damage to GEO. On January 14, 2022, the parties filed a joint motion to stay the action. On January 18, 2022, the court entered an Order Granting Joint Motion to Stay and Administratively Closing Case, staying this action pending the resolution of the federal purported shareholder class action lawsuit described above.</w:t>
      </w:r>
    </w:p>
    <w:p>
      <w:pPr>
        <w:spacing w:after="0" w:line="14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Former civil immigration detainees at the Aurora ICE Processing Center filed a class action lawsuit on October 22, 2014, against the Company in the U.S. District Court for the District of Colorado. The complaint alleges that the Company was in violation of the Colorado Minimum Wages of Workers Act and the Federal Trafficking Victims Protection Act (“TVPA”). The plaintiff class claims that the Company was unjustly enriched because of the level of payment the detainees received for work performed at the facility, even though the voluntary work program as well as the wage rates and standards associated with the program that are at issue in the case are authorized by the Federal government under guidelines approved by the United States Congress. On July 6, 2015, the court found that detainees were not employees under the Colorado Minimum Wage Order and dismissed this claim. In February 2017, the court granted the plaintiff-class’ motion for class certification on the TVPA and unjust enrichment claims. The plaintiff class seeks actual damages, compensatory damages, exemplary damages, punitive damages, restitution, attorneys’ fees and costs, and such other relief as the court may deem proper.</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time since the Colorado suit was initially filed, four similar lawsuits have been filed - two in Washington and two in California. The first of the two Washington lawsuits was filed on September 9,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Washington State minimum wage laws should be enforced with respect to detainees who volunteer to participate in a Voluntary Work Program administered by GEO at the Center as required by the U.S. Department of Homeland Security under the terms of GEO’s contract. The Center houses persons in the custody of federal immigration authorities while their immigration status is being determined by the federal government.</w:t>
      </w:r>
    </w:p>
    <w:p>
      <w:pPr>
        <w:spacing w:after="0" w:line="13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California, a class-action lawsuit was filed on December 19, 2017 by immigration detainees against the Company in the U.S. District Court Eastern Division of the Central District of California. All three lawsuits allege violations of the respective state’s minimum wage laws. However, the California lawsuit, like the Colorado suit, also includes claims that the Company violated the TVPA and California's equivalent state statute. The California court certified a nationwide class which would allow the plaintiffs to primarily seek injunctive relief or policy changes at a number of facilities if they are successful on the merits of their claims. On August 9, 2021, the California court conducted a hearing on defendant’s Motion for Summary Judgment and Motion to Decertify Class, as well as plaintiffs’ Motion for Partial Summary Judgment. The Motion to Decertify Class was granted. The plaintiffs’ and defendant’s Motion for Summary Judgment are pending. On March 31, 2022, Judge Bernal entered a stay of the California case until the Ninth Circuit rules on the Washington cases.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July 2, 2019, the Company filed a Motion for Summary Judgment in the Washington Attorney General’s Tacoma lawsuit based on the Company’s position that its legal defenses prevent the case from proceeding to trial. The federal court in Washington denied the Company's Motion for Summary Judgment on August 6, 2019. However, on August 20, 2019, the DOJ filed a Statement of Interest, which asked the Washington court to revisit its prior denial of the Company's intergovernmental immunity defense in the case. While the Washington court ultimately elected not to dismiss the case at the time, its order declared that the Company's intergovernmental immunity defense was legally viable, to be ultimately determined at trial. After putting the lawsuits on “standby” for most of 2020 due to the COVID-19 pandemic, the trial court entered an order setting both suits for an estimated three-week trial beginning June 1, 2021. The court ordered a remote trial, but with the possibility of in-person proceedings. The order noted the Company’s exception to the remote trial setting. The Company filed a motion for reconsideration of the judge’s order setting a remote trial on April 8, 2021, requesting that the trial date be moved from June 1, 2021 to the earliest possible date after July 1, 2021, when the State of Washington plans to allow in-person trials to resume. On April 9, 2021, the Washington court denied the motion for reconsideration for an in-person trial, ruling that a “hybrid” trial, with some parts being conducted in-person with COVID-19 precautions, would begin on June 1, 2021. On June 1, 2021, the remote Zoom trial began. On June 17, 2021, the trial judge declared a mistrial when the jury was unable to reach a unanimous verdict. The in-person jury re-trial began on October 12, 2021. In October 2021, an unfavorable jury verdict resulting in a combined $23.2 million judgment was entered against the Company in the retrial of two cases, State of Washington v. GEO Group and Nwauzor et. al. v. GEO Group (the “lawsuits”), in the U.S. District Court for the Western District of Washington, which judgment amounts were subsequently increased by a further award against the Company of attorney’s fees, costs and interest in the amount of $12.7 million. The trial court has waived the necessity to post a supersedeas bond for the combined judgments and has stayed enforcement of the verdict and judgments while GEO’s appeal to the U.S. Court of Appeals for the Ninth Circuit is pending.</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GEO strongly disagrees with the verdict and judgments in the retrial of the lawsuits. GEO has raised several issues on appeal to the U.S. Court of Appeals for the Ninth Circuit, including the applicability of the state of Washington’s Minimum Wage Act to detainees who participate in the federally mandated Voluntary Work Program at the Northwest ICE Processing Center (the “Center”), and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spacing w:after="0" w:line="235" w:lineRule="auto"/>
        <w:rPr>
          <w:sz w:val="20"/>
          <w:szCs w:val="20"/>
          <w:color w:val="auto"/>
        </w:rPr>
      </w:pPr>
      <w:r>
        <w:rPr>
          <w:rFonts w:ascii="Arial" w:cs="Arial" w:eastAsia="Arial" w:hAnsi="Arial"/>
          <w:sz w:val="18"/>
          <w:szCs w:val="18"/>
          <w:color w:val="auto"/>
        </w:rPr>
        <w:t>affirmative defenses that GEO believes were wrongly dismissed in these cases. GEO looks forward to having those and other related issues heard on appeal based on GEO’s belief that the cases were wrongly decided. GEO intends to take all necessary steps to vigorously defend itself. The Company has not established an accrual for this judgment as it believes a potential loss related to this case is not probable.</w:t>
      </w:r>
    </w:p>
    <w:p>
      <w:pPr>
        <w:spacing w:after="0" w:line="1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This lawsuit is similar to the cases in Colorado, Washington and California discussed above. The complaint alleges that federal detainees who volunteer to participate in the Voluntary Work Program ("VWP") at GEO’s Mesa Verde and Golden State Annex ICE facilities are employees of GEO and entitled to the state’s minimum wage. Plaintiffs also make claims for unjust enrichment, human trafficking and forced labor. GEO believes it operates the VWP in full compliance with its contract with ICE and all applicable laws, regulations, and standards. GEO strongly disagrees with the allegations of the complaint and intends to take all necessary steps to vigorously defend itself.</w:t>
      </w:r>
    </w:p>
    <w:p>
      <w:pPr>
        <w:spacing w:after="0" w:line="15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December 30, 2019, the Company filed a lawsuit for declaratory and injunctive relief challenging California’s newly enacted law - Assembly Bill 32 ("AB-32") - which bars the federal government from engaging the Company or any other government contractors to provide detention services for illegal immigrants. The Company’s claims, as described in the lawsuit, are grounded in authoritative legal doctrine that under the Constitution’s Supremacy Clause, the federal government is free from regulation by any state. By prohibiting federal detention facilities in California, the suit argues AB-32 substantially interferes with the ability of USMS and ICE to carry out detention responsibilities for the federal government. Secondly, because AB-32 creates exceptions to the State of California when using the Company or any government contractors (to alleviate overcrowding), California’s statute unlawfully discriminates against the federal government. On December 31, 2019, GEO filed its motion for a preliminary injunction restraining California’s Governor and Attorney General from enforcing AB-32 against the Company’s detention facilities on behalf of USMS and ICE. On January 24, 2020, the United States filed a lawsuit challenging AB-32. The court heard motions for preliminary injunction from the Company and the United States on July 16, 2020. The court ordered the parties to submit supplemental briefing and indicated it would render an opinion sometime after the filing deadline of August 18, 2020. On July 20, 2020, the court consolidated both lawsuits. On October 8, 2020, the court issued an order granting, in part, and denying in part, the Company and the United States’ motions and California’s motion to dismiss. Among other findings, the court (1) dismissed the Company’s intergovernmental immunity claims as well as the United States’ preemption claims as applied to ICE facilities; (2) found that the Company and the United States were likely to succeed on the preemption claims as applied to U.S. Marshals’ facilities and enjoined enforcing AB-32 against those facilities; and (3) refused to enjoin California from enforcing AB-32 against ICE contracts with the Company and the United States. The Company and the United States appealed to the Ninth Circuit Court of Appeals. Oral argument was held on June 7, 2021. On October 5, 2021, the Ninth Circuit Court of Appeals reversed the lower court’s decision, holding that AB-32 conflicted with federal law and could not stand. On April 26, 2022, the Ninth Circuit granted California’s petition for an en banc hearing and vacated the previous panel’s opinion. En banc arguments took place the week of June 21, 2022, in Pasadena, California.</w:t>
      </w:r>
    </w:p>
    <w:p>
      <w:pPr>
        <w:spacing w:after="0" w:line="14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April 29, 2021, the Company filed a lawsuit for declaratory and injunctive relief challenging the State of Washington’s newly enacted law – House Bill 1090 ("EHB 1090") – that purports to prohibit the United States from using detention facilities operated by private contractors to house detainees in the custody of U.S. Immigration and Customs Enforcement (“ICE”). The court has entered a stay in this action pending the final resolution of the AB-32 appeal.</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or could result in a material impairment of the Company’s assets. The Company's accruals for loss contingencies are reviewed quarterly and adjusted as additional information becomes available. The Company does not accrue for anticipated legal fees and costs but expenses those items as incurred.</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nature of the Company's business also exposes it to various other third-party legal claims or litigation against the Company, including, but not limited to, civil rights claims relating to conditions of confinement and/or mistreatment, sexual misconduct claims brought by individuals in its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Item 1A of Part I of our Annual Report on Form 10-K for the year ended December 31, 2021 (the “2020 Form 10-K”) includes a detailed discussion of the risk factors that could materially affect our business, financial condition or future prospects. We encourage you to read these risk factors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as Part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Paid per</w:t>
            </w: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6"/>
                <w:szCs w:val="16"/>
                <w:color w:val="auto"/>
              </w:rPr>
            </w:pPr>
          </w:p>
        </w:tc>
        <w:tc>
          <w:tcPr>
            <w:tcW w:w="90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96"/>
        </w:trPr>
        <w:tc>
          <w:tcPr>
            <w:tcW w:w="48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April 1, 2022 to April 30, 2022</w:t>
            </w:r>
          </w:p>
        </w:tc>
        <w:tc>
          <w:tcPr>
            <w:tcW w:w="1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2,585</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6.61</w:t>
            </w:r>
          </w:p>
        </w:tc>
        <w:tc>
          <w:tcPr>
            <w:tcW w:w="10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May 1, 2022 to May 31, 2022</w:t>
            </w:r>
          </w:p>
        </w:tc>
        <w:tc>
          <w:tcPr>
            <w:tcW w:w="120" w:type="dxa"/>
            <w:vAlign w:val="bottom"/>
          </w:tcPr>
          <w:p>
            <w:pPr>
              <w:spacing w:after="0"/>
              <w:rPr>
                <w:sz w:val="17"/>
                <w:szCs w:val="17"/>
                <w:color w:val="auto"/>
              </w:rPr>
            </w:pPr>
          </w:p>
        </w:tc>
        <w:tc>
          <w:tcPr>
            <w:tcW w:w="1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June 1, 2022 to June 30, 2022</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-159385</wp:posOffset>
            </wp:positionV>
            <wp:extent cx="7747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left="520" w:right="8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withheld 2,585 shares through net share settlements to satisfy statutory tax withholding requirements upon vesting of shares of restricted stock held by employees. These transactions were not made as part of a publicly announced plan or program.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67"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8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Arial" w:cs="Arial" w:eastAsia="Arial" w:hAnsi="Arial"/>
                <w:sz w:val="18"/>
                <w:szCs w:val="18"/>
                <w:color w:val="auto"/>
              </w:rPr>
              <w:t>10.1</w:t>
            </w:r>
          </w:p>
        </w:tc>
        <w:tc>
          <w:tcPr>
            <w:tcW w:w="10000" w:type="dxa"/>
            <w:vAlign w:val="bottom"/>
            <w:gridSpan w:val="5"/>
          </w:tcPr>
          <w:p>
            <w:pPr>
              <w:spacing w:after="0"/>
              <w:rPr>
                <w:rFonts w:ascii="Arial" w:cs="Arial" w:eastAsia="Arial" w:hAnsi="Arial"/>
                <w:sz w:val="18"/>
                <w:szCs w:val="18"/>
                <w:color w:val="0000FF"/>
                <w:w w:val="91"/>
              </w:rPr>
            </w:pPr>
            <w:hyperlink r:id="rId283">
              <w:r>
                <w:rPr>
                  <w:rFonts w:ascii="Arial" w:cs="Arial" w:eastAsia="Arial" w:hAnsi="Arial"/>
                  <w:sz w:val="18"/>
                  <w:szCs w:val="18"/>
                  <w:color w:val="0000FF"/>
                  <w:w w:val="91"/>
                </w:rPr>
                <w:t>Transaction Support Agreement, dated as of July 18, 2022, by and among The GEO Group, Inc., the Agent and the Consenting Creditors</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100"/>
              <w:spacing w:after="0"/>
              <w:rPr>
                <w:sz w:val="20"/>
                <w:szCs w:val="20"/>
                <w:color w:val="auto"/>
              </w:rPr>
            </w:pPr>
            <w:r>
              <w:rPr>
                <w:rFonts w:ascii="Arial" w:cs="Arial" w:eastAsia="Arial" w:hAnsi="Arial"/>
                <w:sz w:val="18"/>
                <w:szCs w:val="18"/>
                <w:color w:val="auto"/>
              </w:rPr>
              <w:t>31.1</w:t>
            </w:r>
          </w:p>
        </w:tc>
        <w:tc>
          <w:tcPr>
            <w:tcW w:w="99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283">
              <w:r>
                <w:rPr>
                  <w:rFonts w:ascii="Arial" w:cs="Arial" w:eastAsia="Arial" w:hAnsi="Arial"/>
                  <w:sz w:val="18"/>
                  <w:szCs w:val="18"/>
                  <w:color w:val="0000FF"/>
                </w:rPr>
                <w:t>(incorporated by reference to Exhibit 10.1 to the Company's Current Report on Form 8-K, filed on July 19, 2022).</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4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3"/>
              </w:rPr>
            </w:pPr>
            <w:hyperlink w:anchor="page62">
              <w:r>
                <w:rPr>
                  <w:rFonts w:ascii="Arial" w:cs="Arial" w:eastAsia="Arial" w:hAnsi="Arial"/>
                  <w:sz w:val="18"/>
                  <w:szCs w:val="18"/>
                  <w:color w:val="0000FF"/>
                  <w:w w:val="93"/>
                </w:rPr>
                <w:t>SECTION 302 CEO Certification.</w:t>
              </w:r>
            </w:hyperlink>
          </w:p>
        </w:tc>
        <w:tc>
          <w:tcPr>
            <w:tcW w:w="5720" w:type="dxa"/>
            <w:vAlign w:val="bottom"/>
            <w:tcBorders>
              <w:top w:val="single" w:sz="8" w:color="0000FF"/>
            </w:tcBorders>
          </w:tcPr>
          <w:p>
            <w:pPr>
              <w:spacing w:after="0"/>
              <w:rPr>
                <w:sz w:val="15"/>
                <w:szCs w:val="15"/>
                <w:color w:val="auto"/>
              </w:rPr>
            </w:pPr>
          </w:p>
        </w:tc>
        <w:tc>
          <w:tcPr>
            <w:tcW w:w="1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000" w:type="dxa"/>
            <w:vAlign w:val="bottom"/>
            <w:gridSpan w:val="5"/>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SECTION 302 CFO Certification.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24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SECTION 906 CEO Certification.</w:t>
              </w:r>
            </w:hyperlink>
          </w:p>
        </w:tc>
        <w:tc>
          <w:tcPr>
            <w:tcW w:w="7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000" w:type="dxa"/>
            <w:vAlign w:val="bottom"/>
            <w:gridSpan w:val="5"/>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SECTION 906 CFO Certification.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83"/>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1019"/>
        <w:spacing w:after="0" w:line="23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period ended June 30, 2022, has been formatted in Inline XBRL (included with the Exhibit 101 attachments).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THE GEO GROUP, INC.</w:t>
      </w:r>
    </w:p>
    <w:p>
      <w:pPr>
        <w:spacing w:after="0" w:line="202" w:lineRule="exact"/>
        <w:rPr>
          <w:sz w:val="20"/>
          <w:szCs w:val="20"/>
          <w:color w:val="auto"/>
        </w:rPr>
      </w:pPr>
    </w:p>
    <w:p>
      <w:pPr>
        <w:ind w:left="20"/>
        <w:spacing w:after="0"/>
        <w:tabs>
          <w:tab w:leader="none" w:pos="560" w:val="left"/>
          <w:tab w:leader="none" w:pos="574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Brian R. Evans</w:t>
      </w:r>
    </w:p>
    <w:p>
      <w:pPr>
        <w:ind w:left="5760"/>
        <w:spacing w:after="0" w:line="234" w:lineRule="auto"/>
        <w:rPr>
          <w:sz w:val="20"/>
          <w:szCs w:val="20"/>
          <w:color w:val="auto"/>
        </w:rPr>
      </w:pPr>
      <w:r>
        <w:rPr>
          <w:rFonts w:ascii="Arial" w:cs="Arial" w:eastAsia="Arial" w:hAnsi="Arial"/>
          <w:sz w:val="18"/>
          <w:szCs w:val="18"/>
          <w:color w:val="auto"/>
        </w:rPr>
        <w:t>Senior Vice President &amp; Chief Financial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Jose Gordo, certify that:</w:t>
      </w:r>
    </w:p>
    <w:p>
      <w:pPr>
        <w:spacing w:after="0" w:line="1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GEO Group,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5"/>
          <w:szCs w:val="15"/>
          <w:color w:val="auto"/>
        </w:rPr>
        <w:t>/s/ Jose Gordo</w:t>
      </w:r>
    </w:p>
    <w:p>
      <w:pPr>
        <w:spacing w:after="0" w:line="17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Jose Gordo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Brian R. Evans, certify that:</w:t>
      </w:r>
    </w:p>
    <w:p>
      <w:pPr>
        <w:spacing w:after="0" w:line="104"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GEO Group,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6"/>
          <w:szCs w:val="16"/>
          <w:color w:val="auto"/>
        </w:rPr>
        <w:t>/s/ Brian R. Evans</w:t>
      </w:r>
    </w:p>
    <w:p>
      <w:pPr>
        <w:spacing w:after="0" w:line="17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 connection with the Quarterly Report on Form 10-Q of The GEO Group, Inc. (the “Company”) for the period ended June 30, 2022 as filed with the Securities and Exchange Commission on the date hereof (the “Report”), I, Jose Gordo, Chief Executive Officer of the Company, hereby certify, pursuant to 18 U.S.C. Section 1350, as adopted pursuant to Section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1020" w:right="6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 Gordo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 Gordo</w:t>
      </w:r>
    </w:p>
    <w:p>
      <w:pPr>
        <w:ind w:left="20"/>
        <w:spacing w:after="0"/>
        <w:rPr>
          <w:sz w:val="20"/>
          <w:szCs w:val="20"/>
          <w:color w:val="auto"/>
        </w:rPr>
      </w:pPr>
      <w:r>
        <w:rPr>
          <w:rFonts w:ascii="Arial" w:cs="Arial" w:eastAsia="Arial" w:hAnsi="Arial"/>
          <w:sz w:val="18"/>
          <w:szCs w:val="18"/>
          <w:color w:val="auto"/>
        </w:rPr>
        <w:t>Chief Executive Officer</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 connection with the Quarterly Report on Form 10-Q of The GEO Group, Inc. (the “Company”) for the period ended June 30, 2022 as filed with the Securities and Exchange Commission on the date hereof (the “Report”), I, Brian R. Evans, Chief Financial Officer of the Company, hereby certify, pursuant to 18 U.S.C. Section 1350, as adopted pursuant to Section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1020" w:right="6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R. Evans</w:t>
      </w:r>
    </w:p>
    <w:p>
      <w:pPr>
        <w:ind w:left="20"/>
        <w:spacing w:after="0"/>
        <w:rPr>
          <w:sz w:val="20"/>
          <w:szCs w:val="20"/>
          <w:color w:val="auto"/>
        </w:rPr>
      </w:pPr>
      <w:r>
        <w:rPr>
          <w:rFonts w:ascii="Arial" w:cs="Arial" w:eastAsia="Arial" w:hAnsi="Arial"/>
          <w:sz w:val="18"/>
          <w:szCs w:val="18"/>
          <w:color w:val="auto"/>
        </w:rPr>
        <w:t>Chief Financial Officer</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lvl w:ilvl="1">
      <w:lvlJc w:val="left"/>
      <w:lvlText w:val="(%2)"/>
      <w:numFmt w:val="decimal"/>
      <w:start w:val="1"/>
    </w:lvl>
  </w:abstractNum>
  <w:abstractNum w:abstractNumId="8">
    <w:nsid w:val="257130A3"/>
    <w:multiLevelType w:val="hybridMultilevel"/>
    <w:lvl w:ilvl="0">
      <w:lvlJc w:val="left"/>
      <w:lvlText w:val="%1."/>
      <w:numFmt w:val="decimal"/>
      <w:start w:val="7"/>
    </w:lvl>
    <w:lvl w:ilvl="1">
      <w:lvlJc w:val="left"/>
      <w:lvlText w:val="%2"/>
      <w:numFmt w:val="decimal"/>
      <w:start w:val="1"/>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upperLetter"/>
      <w:start w:val="35"/>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upperLetter"/>
      <w:start w:val="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83" Type="http://schemas.openxmlformats.org/officeDocument/2006/relationships/hyperlink" Target="https://www.sec.gov/Archives/edgar/data/923796/000119312522196691/d34617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2022-08-09T02:46:07Z</dcterms:created>
  <dcterms:modified xsi:type="dcterms:W3CDTF">2022-08-09T02:46:07Z</dcterms:modified>
</cp:coreProperties>
</file>