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Long Richard Kent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4955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GEO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Senior VP, Proj Development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8"/>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20" w:type="dxa"/>
            <w:vAlign w:val="bottom"/>
            <w:gridSpan w:val="7"/>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33431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RESTRICTED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15,000</w:t>
            </w:r>
            <w:r>
              <w:rPr>
                <w:rFonts w:ascii="Times New Roman" w:cs="Times New Roman" w:eastAsia="Times New Roman" w:hAnsi="Times New Roman"/>
                <w:sz w:val="11"/>
                <w:szCs w:val="11"/>
                <w:color w:val="008000"/>
              </w:rPr>
              <w:t>(1)(2)</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102,943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RESTRICTED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15,000</w:t>
            </w:r>
            <w:r>
              <w:rPr>
                <w:rFonts w:ascii="Times New Roman" w:cs="Times New Roman" w:eastAsia="Times New Roman" w:hAnsi="Times New Roman"/>
                <w:sz w:val="22"/>
                <w:szCs w:val="22"/>
                <w:color w:val="008000"/>
                <w:vertAlign w:val="superscript"/>
              </w:rPr>
              <w:t>(1)(3)</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117,943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254,175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 grant of 30,000 shares of restricted stock. 50% of the award consists of time-based restricted stock and 50% of the award consists of performance-based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reflects the time based restricted stock which one-third will vest each year on the anniversary grant date over a three-year period.</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the performance-based restricted stock of GEO is contingent upon the achievement by GEO of certain performance-based metrics during the period from January 1, 2026 to December 31, 2028 as certified by the compensation committee. Of the grant of performance-based restricted stock, 50% is subject to vesting based on certain return on capital employed performance goals being met and 50% is subject to vesting based on GEO's total shareholder return. The portion of the restricted stock award that vests based on certain return on capital employed performance goals being met will vest by March 15, 2029 to the extent the performance goals are achieved. The portion of the restricted stock award that vests based on GEO's total shareholder return will vest one-third each year over a three-year period to the extent the performance goals are achieved.</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Richard Kent Long</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3291" TargetMode="External"/><Relationship Id="rId14" Type="http://schemas.openxmlformats.org/officeDocument/2006/relationships/hyperlink" Target="http://www.sec.gov/cgi-bin/browse-edgar?action=getcompany&amp;CIK=0000923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2026-02-26T20:57:33Z</dcterms:created>
  <dcterms:modified xsi:type="dcterms:W3CDTF">2026-02-26T20:57:33Z</dcterms:modified>
</cp:coreProperties>
</file>