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20"/>
        <w:spacing w:after="0" w:line="233"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10-K</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920" w:right="1900" w:hanging="3899"/>
        <w:spacing w:after="0" w:line="289" w:lineRule="auto"/>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580" w:hanging="559"/>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20" w:type="dxa"/>
            <w:vAlign w:val="bottom"/>
            <w:gridSpan w:val="2"/>
          </w:tcPr>
          <w:p>
            <w:pPr>
              <w:ind w:left="520"/>
              <w:spacing w:after="0"/>
              <w:rPr>
                <w:sz w:val="20"/>
                <w:szCs w:val="20"/>
                <w:color w:val="auto"/>
              </w:rPr>
            </w:pPr>
            <w:r>
              <w:rPr>
                <w:rFonts w:ascii="Arial" w:cs="Arial" w:eastAsia="Arial" w:hAnsi="Arial"/>
                <w:sz w:val="18"/>
                <w:szCs w:val="18"/>
                <w:b w:val="1"/>
                <w:bCs w:val="1"/>
                <w:color w:val="auto"/>
              </w:rPr>
              <w:t>For the transition period from</w:t>
            </w:r>
          </w:p>
        </w:tc>
        <w:tc>
          <w:tcPr>
            <w:tcW w:w="4300" w:type="dxa"/>
            <w:vAlign w:val="bottom"/>
            <w:gridSpan w:val="4"/>
          </w:tcPr>
          <w:p>
            <w:pPr>
              <w:spacing w:after="0"/>
              <w:rPr>
                <w:sz w:val="20"/>
                <w:szCs w:val="20"/>
                <w:color w:val="auto"/>
              </w:rPr>
            </w:pPr>
            <w:r>
              <w:rPr>
                <w:rFonts w:ascii="Arial" w:cs="Arial" w:eastAsia="Arial" w:hAnsi="Arial"/>
                <w:sz w:val="18"/>
                <w:szCs w:val="18"/>
                <w:b w:val="1"/>
                <w:bCs w:val="1"/>
                <w:color w:val="auto"/>
              </w:rPr>
              <w:t>to</w:t>
            </w: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44"/>
        </w:trPr>
        <w:tc>
          <w:tcPr>
            <w:tcW w:w="3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80" w:type="dxa"/>
            <w:vAlign w:val="bottom"/>
            <w:gridSpan w:val="3"/>
          </w:tcPr>
          <w:p>
            <w:pPr>
              <w:jc w:val="center"/>
              <w:ind w:right="657"/>
              <w:spacing w:after="0"/>
              <w:rPr>
                <w:sz w:val="20"/>
                <w:szCs w:val="20"/>
                <w:color w:val="auto"/>
              </w:rPr>
            </w:pPr>
            <w:r>
              <w:rPr>
                <w:rFonts w:ascii="Arial" w:cs="Arial" w:eastAsia="Arial" w:hAnsi="Arial"/>
                <w:sz w:val="18"/>
                <w:szCs w:val="18"/>
                <w:b w:val="1"/>
                <w:bCs w:val="1"/>
                <w:color w:val="auto"/>
                <w:w w:val="90"/>
              </w:rPr>
              <w:t>Commission file number: 1-14260</w:t>
            </w: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438"/>
        </w:trPr>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gridSpan w:val="3"/>
          </w:tcPr>
          <w:p>
            <w:pPr>
              <w:jc w:val="center"/>
              <w:ind w:right="657"/>
              <w:spacing w:after="0"/>
              <w:rPr>
                <w:sz w:val="20"/>
                <w:szCs w:val="20"/>
                <w:color w:val="auto"/>
              </w:rPr>
            </w:pPr>
            <w:r>
              <w:rPr>
                <w:rFonts w:ascii="Arial" w:cs="Arial" w:eastAsia="Arial" w:hAnsi="Arial"/>
                <w:sz w:val="36"/>
                <w:szCs w:val="36"/>
                <w:b w:val="1"/>
                <w:bCs w:val="1"/>
                <w:color w:val="auto"/>
                <w:w w:val="94"/>
              </w:rPr>
              <w:t>The GEO Group, Inc.</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34"/>
        </w:trPr>
        <w:tc>
          <w:tcPr>
            <w:tcW w:w="3600" w:type="dxa"/>
            <w:vAlign w:val="bottom"/>
          </w:tcPr>
          <w:p>
            <w:pPr>
              <w:spacing w:after="0"/>
              <w:rPr>
                <w:sz w:val="20"/>
                <w:szCs w:val="20"/>
                <w:color w:val="auto"/>
              </w:rPr>
            </w:pPr>
          </w:p>
        </w:tc>
        <w:tc>
          <w:tcPr>
            <w:tcW w:w="4520" w:type="dxa"/>
            <w:vAlign w:val="bottom"/>
            <w:gridSpan w:val="5"/>
          </w:tcPr>
          <w:p>
            <w:pPr>
              <w:jc w:val="center"/>
              <w:ind w:right="417"/>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70"/>
        </w:trPr>
        <w:tc>
          <w:tcPr>
            <w:tcW w:w="3820" w:type="dxa"/>
            <w:vAlign w:val="bottom"/>
            <w:gridSpan w:val="2"/>
          </w:tcPr>
          <w:p>
            <w:pPr>
              <w:jc w:val="center"/>
              <w:ind w:left="1619"/>
              <w:spacing w:after="0"/>
              <w:rPr>
                <w:sz w:val="20"/>
                <w:szCs w:val="20"/>
                <w:color w:val="auto"/>
              </w:rPr>
            </w:pPr>
            <w:r>
              <w:rPr>
                <w:rFonts w:ascii="Arial" w:cs="Arial" w:eastAsia="Arial" w:hAnsi="Arial"/>
                <w:sz w:val="18"/>
                <w:szCs w:val="18"/>
                <w:b w:val="1"/>
                <w:bCs w:val="1"/>
                <w:color w:val="auto"/>
                <w:w w:val="93"/>
              </w:rPr>
              <w:t>Florida</w:t>
            </w:r>
          </w:p>
        </w:tc>
        <w:tc>
          <w:tcPr>
            <w:tcW w:w="5420" w:type="dxa"/>
            <w:vAlign w:val="bottom"/>
            <w:gridSpan w:val="6"/>
          </w:tcPr>
          <w:p>
            <w:pPr>
              <w:jc w:val="right"/>
              <w:ind w:right="241"/>
              <w:spacing w:after="0"/>
              <w:rPr>
                <w:sz w:val="20"/>
                <w:szCs w:val="20"/>
                <w:color w:val="auto"/>
              </w:rPr>
            </w:pPr>
            <w:r>
              <w:rPr>
                <w:rFonts w:ascii="Arial" w:cs="Arial" w:eastAsia="Arial" w:hAnsi="Arial"/>
                <w:sz w:val="18"/>
                <w:szCs w:val="18"/>
                <w:b w:val="1"/>
                <w:bCs w:val="1"/>
                <w:color w:val="auto"/>
              </w:rPr>
              <w:t>65-0043078</w:t>
            </w:r>
          </w:p>
        </w:tc>
        <w:tc>
          <w:tcPr>
            <w:tcW w:w="2000" w:type="dxa"/>
            <w:vAlign w:val="bottom"/>
          </w:tcPr>
          <w:p>
            <w:pPr>
              <w:spacing w:after="0"/>
              <w:rPr>
                <w:sz w:val="23"/>
                <w:szCs w:val="23"/>
                <w:color w:val="auto"/>
              </w:rPr>
            </w:pPr>
          </w:p>
        </w:tc>
      </w:tr>
      <w:tr>
        <w:trPr>
          <w:trHeight w:val="170"/>
        </w:trPr>
        <w:tc>
          <w:tcPr>
            <w:tcW w:w="3820" w:type="dxa"/>
            <w:vAlign w:val="bottom"/>
            <w:gridSpan w:val="2"/>
          </w:tcPr>
          <w:p>
            <w:pPr>
              <w:jc w:val="center"/>
              <w:ind w:left="1639"/>
              <w:spacing w:after="0"/>
              <w:rPr>
                <w:sz w:val="20"/>
                <w:szCs w:val="20"/>
                <w:color w:val="auto"/>
              </w:rPr>
            </w:pPr>
            <w:r>
              <w:rPr>
                <w:rFonts w:ascii="Arial" w:cs="Arial" w:eastAsia="Arial" w:hAnsi="Arial"/>
                <w:sz w:val="13"/>
                <w:szCs w:val="13"/>
                <w:b w:val="1"/>
                <w:bCs w:val="1"/>
                <w:color w:val="auto"/>
                <w:w w:val="88"/>
              </w:rPr>
              <w:t>State or other jurisdiction of</w:t>
            </w:r>
          </w:p>
        </w:tc>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3"/>
          </w:tcPr>
          <w:p>
            <w:pPr>
              <w:jc w:val="center"/>
              <w:ind w:left="17"/>
              <w:spacing w:after="0"/>
              <w:rPr>
                <w:sz w:val="20"/>
                <w:szCs w:val="20"/>
                <w:color w:val="auto"/>
              </w:rPr>
            </w:pPr>
            <w:r>
              <w:rPr>
                <w:rFonts w:ascii="Arial" w:cs="Arial" w:eastAsia="Arial" w:hAnsi="Arial"/>
                <w:sz w:val="13"/>
                <w:szCs w:val="13"/>
                <w:b w:val="1"/>
                <w:bCs w:val="1"/>
                <w:color w:val="auto"/>
                <w:w w:val="90"/>
              </w:rPr>
              <w:t>(I.R.S. Employer</w:t>
            </w:r>
          </w:p>
        </w:tc>
        <w:tc>
          <w:tcPr>
            <w:tcW w:w="2000" w:type="dxa"/>
            <w:vAlign w:val="bottom"/>
          </w:tcPr>
          <w:p>
            <w:pPr>
              <w:spacing w:after="0"/>
              <w:rPr>
                <w:sz w:val="14"/>
                <w:szCs w:val="14"/>
                <w:color w:val="auto"/>
              </w:rPr>
            </w:pPr>
          </w:p>
        </w:tc>
      </w:tr>
      <w:tr>
        <w:trPr>
          <w:trHeight w:val="162"/>
        </w:trPr>
        <w:tc>
          <w:tcPr>
            <w:tcW w:w="3820" w:type="dxa"/>
            <w:vAlign w:val="bottom"/>
            <w:gridSpan w:val="2"/>
          </w:tcPr>
          <w:p>
            <w:pPr>
              <w:jc w:val="center"/>
              <w:ind w:left="1619"/>
              <w:spacing w:after="0"/>
              <w:rPr>
                <w:sz w:val="20"/>
                <w:szCs w:val="20"/>
                <w:color w:val="auto"/>
              </w:rPr>
            </w:pPr>
            <w:r>
              <w:rPr>
                <w:rFonts w:ascii="Arial" w:cs="Arial" w:eastAsia="Arial" w:hAnsi="Arial"/>
                <w:sz w:val="13"/>
                <w:szCs w:val="13"/>
                <w:b w:val="1"/>
                <w:bCs w:val="1"/>
                <w:color w:val="auto"/>
                <w:w w:val="88"/>
              </w:rPr>
              <w:t>incorporation or organization</w:t>
            </w:r>
          </w:p>
        </w:tc>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3"/>
          </w:tcPr>
          <w:p>
            <w:pPr>
              <w:jc w:val="center"/>
              <w:ind w:left="17"/>
              <w:spacing w:after="0"/>
              <w:rPr>
                <w:sz w:val="20"/>
                <w:szCs w:val="20"/>
                <w:color w:val="auto"/>
              </w:rPr>
            </w:pPr>
            <w:r>
              <w:rPr>
                <w:rFonts w:ascii="Arial" w:cs="Arial" w:eastAsia="Arial" w:hAnsi="Arial"/>
                <w:sz w:val="13"/>
                <w:szCs w:val="13"/>
                <w:b w:val="1"/>
                <w:bCs w:val="1"/>
                <w:color w:val="auto"/>
                <w:w w:val="89"/>
              </w:rPr>
              <w:t>Identification No.)</w:t>
            </w:r>
          </w:p>
        </w:tc>
        <w:tc>
          <w:tcPr>
            <w:tcW w:w="2000" w:type="dxa"/>
            <w:vAlign w:val="bottom"/>
          </w:tcPr>
          <w:p>
            <w:pPr>
              <w:spacing w:after="0"/>
              <w:rPr>
                <w:sz w:val="14"/>
                <w:szCs w:val="14"/>
                <w:color w:val="auto"/>
              </w:rPr>
            </w:pPr>
          </w:p>
        </w:tc>
      </w:tr>
      <w:tr>
        <w:trPr>
          <w:trHeight w:val="283"/>
        </w:trPr>
        <w:tc>
          <w:tcPr>
            <w:tcW w:w="3820" w:type="dxa"/>
            <w:vAlign w:val="bottom"/>
            <w:gridSpan w:val="2"/>
          </w:tcPr>
          <w:p>
            <w:pPr>
              <w:jc w:val="center"/>
              <w:ind w:left="1619"/>
              <w:spacing w:after="0"/>
              <w:rPr>
                <w:sz w:val="20"/>
                <w:szCs w:val="20"/>
                <w:color w:val="auto"/>
              </w:rPr>
            </w:pPr>
            <w:r>
              <w:rPr>
                <w:rFonts w:ascii="Arial" w:cs="Arial" w:eastAsia="Arial" w:hAnsi="Arial"/>
                <w:sz w:val="18"/>
                <w:szCs w:val="18"/>
                <w:b w:val="1"/>
                <w:bCs w:val="1"/>
                <w:color w:val="auto"/>
                <w:w w:val="89"/>
              </w:rPr>
              <w:t>4955 Technology Way</w:t>
            </w:r>
          </w:p>
        </w:tc>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34"/>
        </w:trPr>
        <w:tc>
          <w:tcPr>
            <w:tcW w:w="3820" w:type="dxa"/>
            <w:vAlign w:val="bottom"/>
            <w:gridSpan w:val="2"/>
          </w:tcPr>
          <w:p>
            <w:pPr>
              <w:jc w:val="center"/>
              <w:ind w:left="1619"/>
              <w:spacing w:after="0"/>
              <w:rPr>
                <w:sz w:val="20"/>
                <w:szCs w:val="20"/>
                <w:color w:val="auto"/>
              </w:rPr>
            </w:pPr>
            <w:r>
              <w:rPr>
                <w:rFonts w:ascii="Arial" w:cs="Arial" w:eastAsia="Arial" w:hAnsi="Arial"/>
                <w:sz w:val="18"/>
                <w:szCs w:val="18"/>
                <w:b w:val="1"/>
                <w:bCs w:val="1"/>
                <w:color w:val="auto"/>
                <w:w w:val="91"/>
              </w:rPr>
              <w:t>Boca Raton, Florida</w:t>
            </w:r>
          </w:p>
        </w:tc>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gridSpan w:val="2"/>
          </w:tcPr>
          <w:p>
            <w:pPr>
              <w:jc w:val="right"/>
              <w:ind w:right="441"/>
              <w:spacing w:after="0"/>
              <w:rPr>
                <w:sz w:val="20"/>
                <w:szCs w:val="20"/>
                <w:color w:val="auto"/>
              </w:rPr>
            </w:pPr>
            <w:r>
              <w:rPr>
                <w:rFonts w:ascii="Arial" w:cs="Arial" w:eastAsia="Arial" w:hAnsi="Arial"/>
                <w:sz w:val="18"/>
                <w:szCs w:val="18"/>
                <w:b w:val="1"/>
                <w:bCs w:val="1"/>
                <w:color w:val="auto"/>
              </w:rPr>
              <w:t>33431</w:t>
            </w:r>
          </w:p>
        </w:tc>
        <w:tc>
          <w:tcPr>
            <w:tcW w:w="2000" w:type="dxa"/>
            <w:vAlign w:val="bottom"/>
          </w:tcPr>
          <w:p>
            <w:pPr>
              <w:spacing w:after="0"/>
              <w:rPr>
                <w:sz w:val="20"/>
                <w:szCs w:val="20"/>
                <w:color w:val="auto"/>
              </w:rPr>
            </w:pPr>
          </w:p>
        </w:tc>
      </w:tr>
      <w:tr>
        <w:trPr>
          <w:trHeight w:val="171"/>
        </w:trPr>
        <w:tc>
          <w:tcPr>
            <w:tcW w:w="3820" w:type="dxa"/>
            <w:vAlign w:val="bottom"/>
            <w:gridSpan w:val="2"/>
          </w:tcPr>
          <w:p>
            <w:pPr>
              <w:jc w:val="center"/>
              <w:ind w:left="161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2"/>
          </w:tcPr>
          <w:p>
            <w:pPr>
              <w:jc w:val="center"/>
              <w:ind w:right="301"/>
              <w:spacing w:after="0"/>
              <w:rPr>
                <w:sz w:val="20"/>
                <w:szCs w:val="20"/>
                <w:color w:val="auto"/>
              </w:rPr>
            </w:pPr>
            <w:r>
              <w:rPr>
                <w:rFonts w:ascii="Arial" w:cs="Arial" w:eastAsia="Arial" w:hAnsi="Arial"/>
                <w:sz w:val="13"/>
                <w:szCs w:val="13"/>
                <w:b w:val="1"/>
                <w:bCs w:val="1"/>
                <w:color w:val="auto"/>
                <w:w w:val="90"/>
              </w:rPr>
              <w:t>(Zip Code)</w:t>
            </w:r>
          </w:p>
        </w:tc>
        <w:tc>
          <w:tcPr>
            <w:tcW w:w="2000" w:type="dxa"/>
            <w:vAlign w:val="bottom"/>
          </w:tcPr>
          <w:p>
            <w:pPr>
              <w:spacing w:after="0"/>
              <w:rPr>
                <w:sz w:val="14"/>
                <w:szCs w:val="14"/>
                <w:color w:val="auto"/>
              </w:rPr>
            </w:pPr>
          </w:p>
        </w:tc>
      </w:tr>
      <w:tr>
        <w:trPr>
          <w:trHeight w:val="261"/>
        </w:trPr>
        <w:tc>
          <w:tcPr>
            <w:tcW w:w="8120" w:type="dxa"/>
            <w:vAlign w:val="bottom"/>
            <w:gridSpan w:val="6"/>
          </w:tcPr>
          <w:p>
            <w:pPr>
              <w:spacing w:after="0"/>
              <w:rPr>
                <w:sz w:val="20"/>
                <w:szCs w:val="20"/>
                <w:color w:val="auto"/>
              </w:rPr>
            </w:pPr>
            <w:r>
              <w:rPr>
                <w:rFonts w:ascii="Arial" w:cs="Arial" w:eastAsia="Arial" w:hAnsi="Arial"/>
                <w:sz w:val="18"/>
                <w:szCs w:val="18"/>
                <w:b w:val="1"/>
                <w:bCs w:val="1"/>
                <w:color w:val="auto"/>
              </w:rPr>
              <w:t>Registrant’s telephone number, including area code: (561) 893-0101</w:t>
            </w: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56"/>
        </w:trPr>
        <w:tc>
          <w:tcPr>
            <w:tcW w:w="8120" w:type="dxa"/>
            <w:vAlign w:val="bottom"/>
            <w:gridSpan w:val="6"/>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16"/>
        </w:trPr>
        <w:tc>
          <w:tcPr>
            <w:tcW w:w="3820" w:type="dxa"/>
            <w:vAlign w:val="bottom"/>
            <w:gridSpan w:val="2"/>
          </w:tcPr>
          <w:p>
            <w:pPr>
              <w:ind w:left="1260"/>
              <w:spacing w:after="0"/>
              <w:rPr>
                <w:sz w:val="20"/>
                <w:szCs w:val="20"/>
                <w:color w:val="auto"/>
              </w:rPr>
            </w:pPr>
            <w:r>
              <w:rPr>
                <w:rFonts w:ascii="Arial" w:cs="Arial" w:eastAsia="Arial" w:hAnsi="Arial"/>
                <w:sz w:val="14"/>
                <w:szCs w:val="14"/>
                <w:b w:val="1"/>
                <w:bCs w:val="1"/>
                <w:color w:val="auto"/>
              </w:rPr>
              <w:t>Title of each class</w:t>
            </w:r>
          </w:p>
        </w:tc>
        <w:tc>
          <w:tcPr>
            <w:tcW w:w="20" w:type="dxa"/>
            <w:vAlign w:val="bottom"/>
          </w:tcPr>
          <w:p>
            <w:pPr>
              <w:spacing w:after="0"/>
              <w:rPr>
                <w:sz w:val="18"/>
                <w:szCs w:val="18"/>
                <w:color w:val="auto"/>
              </w:rPr>
            </w:pPr>
          </w:p>
        </w:tc>
        <w:tc>
          <w:tcPr>
            <w:tcW w:w="4280" w:type="dxa"/>
            <w:vAlign w:val="bottom"/>
            <w:gridSpan w:val="3"/>
          </w:tcPr>
          <w:p>
            <w:pPr>
              <w:jc w:val="center"/>
              <w:ind w:right="637"/>
              <w:spacing w:after="0"/>
              <w:rPr>
                <w:sz w:val="20"/>
                <w:szCs w:val="20"/>
                <w:color w:val="auto"/>
              </w:rPr>
            </w:pPr>
            <w:r>
              <w:rPr>
                <w:rFonts w:ascii="Arial" w:cs="Arial" w:eastAsia="Arial" w:hAnsi="Arial"/>
                <w:sz w:val="14"/>
                <w:szCs w:val="14"/>
                <w:b w:val="1"/>
                <w:bCs w:val="1"/>
                <w:color w:val="auto"/>
                <w:w w:val="92"/>
              </w:rPr>
              <w:t>Trading Symbol(s)</w:t>
            </w:r>
          </w:p>
        </w:tc>
        <w:tc>
          <w:tcPr>
            <w:tcW w:w="3120" w:type="dxa"/>
            <w:vAlign w:val="bottom"/>
            <w:gridSpan w:val="3"/>
          </w:tcPr>
          <w:p>
            <w:pPr>
              <w:jc w:val="center"/>
              <w:ind w:right="379"/>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92"/>
        </w:trPr>
        <w:tc>
          <w:tcPr>
            <w:tcW w:w="3600" w:type="dxa"/>
            <w:vAlign w:val="bottom"/>
            <w:tcBorders>
              <w:top w:val="single" w:sz="8" w:color="auto"/>
            </w:tcBorders>
          </w:tcPr>
          <w:p>
            <w:pPr>
              <w:ind w:left="760"/>
              <w:spacing w:after="0"/>
              <w:rPr>
                <w:sz w:val="20"/>
                <w:szCs w:val="20"/>
                <w:color w:val="auto"/>
              </w:rPr>
            </w:pPr>
            <w:r>
              <w:rPr>
                <w:rFonts w:ascii="Arial" w:cs="Arial" w:eastAsia="Arial" w:hAnsi="Arial"/>
                <w:sz w:val="15"/>
                <w:szCs w:val="15"/>
                <w:b w:val="1"/>
                <w:bCs w:val="1"/>
                <w:color w:val="auto"/>
              </w:rPr>
              <w:t>Common Stock, $0.01 Par Value</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GEO</w:t>
            </w:r>
          </w:p>
        </w:tc>
        <w:tc>
          <w:tcPr>
            <w:tcW w:w="2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660" w:type="dxa"/>
            <w:vAlign w:val="bottom"/>
            <w:tcBorders>
              <w:top w:val="single" w:sz="8" w:color="auto"/>
            </w:tcBorders>
            <w:gridSpan w:val="2"/>
          </w:tcPr>
          <w:p>
            <w:pPr>
              <w:jc w:val="center"/>
              <w:ind w:right="839"/>
              <w:spacing w:after="0"/>
              <w:rPr>
                <w:sz w:val="20"/>
                <w:szCs w:val="20"/>
                <w:color w:val="auto"/>
              </w:rPr>
            </w:pPr>
            <w:r>
              <w:rPr>
                <w:rFonts w:ascii="Arial" w:cs="Arial" w:eastAsia="Arial" w:hAnsi="Arial"/>
                <w:sz w:val="15"/>
                <w:szCs w:val="15"/>
                <w:b w:val="1"/>
                <w:bCs w:val="1"/>
                <w:color w:val="auto"/>
                <w:w w:val="92"/>
              </w:rPr>
              <w:t>New York Stock Exchange</w:t>
            </w:r>
          </w:p>
        </w:tc>
      </w:tr>
      <w:tr>
        <w:trPr>
          <w:trHeight w:val="229"/>
        </w:trPr>
        <w:tc>
          <w:tcPr>
            <w:tcW w:w="8120" w:type="dxa"/>
            <w:vAlign w:val="bottom"/>
            <w:gridSpan w:val="6"/>
          </w:tcPr>
          <w:p>
            <w:pPr>
              <w:jc w:val="center"/>
              <w:ind w:left="3059"/>
              <w:spacing w:after="0"/>
              <w:rPr>
                <w:sz w:val="20"/>
                <w:szCs w:val="20"/>
                <w:color w:val="auto"/>
              </w:rPr>
            </w:pPr>
            <w:r>
              <w:rPr>
                <w:rFonts w:ascii="Arial" w:cs="Arial" w:eastAsia="Arial" w:hAnsi="Arial"/>
                <w:sz w:val="18"/>
                <w:szCs w:val="18"/>
                <w:b w:val="1"/>
                <w:bCs w:val="1"/>
                <w:color w:val="auto"/>
                <w:w w:val="88"/>
              </w:rPr>
              <w:t>Securities registered pursuant to Section 12(g) of the Act:</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4"/>
        </w:trPr>
        <w:tc>
          <w:tcPr>
            <w:tcW w:w="3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80" w:type="dxa"/>
            <w:vAlign w:val="bottom"/>
            <w:gridSpan w:val="3"/>
          </w:tcPr>
          <w:p>
            <w:pPr>
              <w:jc w:val="center"/>
              <w:ind w:right="657"/>
              <w:spacing w:after="0"/>
              <w:rPr>
                <w:sz w:val="20"/>
                <w:szCs w:val="20"/>
                <w:color w:val="auto"/>
              </w:rPr>
            </w:pPr>
            <w:r>
              <w:rPr>
                <w:rFonts w:ascii="Arial" w:cs="Arial" w:eastAsia="Arial" w:hAnsi="Arial"/>
                <w:sz w:val="18"/>
                <w:szCs w:val="18"/>
                <w:b w:val="1"/>
                <w:bCs w:val="1"/>
                <w:color w:val="auto"/>
                <w:w w:val="88"/>
              </w:rPr>
              <w:t>None</w:t>
            </w: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30"/>
        </w:trPr>
        <w:tc>
          <w:tcPr>
            <w:tcW w:w="8120" w:type="dxa"/>
            <w:vAlign w:val="bottom"/>
            <w:gridSpan w:val="6"/>
          </w:tcPr>
          <w:p>
            <w:pPr>
              <w:ind w:left="520"/>
              <w:spacing w:after="0"/>
              <w:rPr>
                <w:sz w:val="20"/>
                <w:szCs w:val="20"/>
                <w:color w:val="auto"/>
              </w:rPr>
            </w:pPr>
            <w:r>
              <w:rPr>
                <w:rFonts w:ascii="Arial" w:cs="Arial" w:eastAsia="Arial" w:hAnsi="Arial"/>
                <w:sz w:val="16"/>
                <w:szCs w:val="16"/>
                <w:color w:val="auto"/>
                <w:w w:val="91"/>
              </w:rPr>
              <w:t>Indicate by check mark if the registrant is a well-known seasoned issuer, as defined in Rule 405 of the Securities Act.</w:t>
            </w:r>
          </w:p>
        </w:tc>
        <w:tc>
          <w:tcPr>
            <w:tcW w:w="460" w:type="dxa"/>
            <w:vAlign w:val="bottom"/>
          </w:tcPr>
          <w:p>
            <w:pPr>
              <w:ind w:left="200"/>
              <w:spacing w:after="0"/>
              <w:rPr>
                <w:sz w:val="20"/>
                <w:szCs w:val="20"/>
                <w:color w:val="auto"/>
              </w:rPr>
            </w:pPr>
            <w:r>
              <w:rPr>
                <w:rFonts w:ascii="Arial" w:cs="Arial" w:eastAsia="Arial" w:hAnsi="Arial"/>
                <w:sz w:val="16"/>
                <w:szCs w:val="16"/>
                <w:color w:val="auto"/>
                <w:w w:val="86"/>
              </w:rPr>
              <w:t>Yes</w:t>
            </w:r>
          </w:p>
        </w:tc>
        <w:tc>
          <w:tcPr>
            <w:tcW w:w="660" w:type="dxa"/>
            <w:vAlign w:val="bottom"/>
          </w:tcPr>
          <w:p>
            <w:pPr>
              <w:ind w:left="1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c>
          <w:tcPr>
            <w:tcW w:w="2000" w:type="dxa"/>
            <w:vAlign w:val="bottom"/>
          </w:tcPr>
          <w:p>
            <w:pPr>
              <w:ind w:left="20"/>
              <w:spacing w:after="0" w:line="161" w:lineRule="exact"/>
              <w:rPr>
                <w:sz w:val="20"/>
                <w:szCs w:val="20"/>
                <w:color w:val="auto"/>
              </w:rPr>
            </w:pPr>
            <w:r>
              <w:rPr>
                <w:rFonts w:ascii="MS PGothic" w:cs="MS PGothic" w:eastAsia="MS PGothic" w:hAnsi="MS PGothic"/>
                <w:sz w:val="16"/>
                <w:szCs w:val="16"/>
                <w:color w:val="auto"/>
              </w:rPr>
              <w:t>☐</w:t>
            </w:r>
          </w:p>
        </w:tc>
      </w:tr>
      <w:tr>
        <w:trPr>
          <w:trHeight w:val="254"/>
        </w:trPr>
        <w:tc>
          <w:tcPr>
            <w:tcW w:w="8580" w:type="dxa"/>
            <w:vAlign w:val="bottom"/>
            <w:gridSpan w:val="7"/>
          </w:tcPr>
          <w:p>
            <w:pPr>
              <w:ind w:left="520"/>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 Yes</w:t>
            </w:r>
          </w:p>
        </w:tc>
        <w:tc>
          <w:tcPr>
            <w:tcW w:w="660" w:type="dxa"/>
            <w:vAlign w:val="bottom"/>
          </w:tcPr>
          <w:p>
            <w:pPr>
              <w:ind w:left="1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c>
          <w:tcPr>
            <w:tcW w:w="200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r>
    </w:tbl>
    <w:p>
      <w:pPr>
        <w:spacing w:after="0" w:line="19" w:lineRule="exact"/>
        <w:rPr>
          <w:sz w:val="24"/>
          <w:szCs w:val="24"/>
          <w:color w:val="auto"/>
        </w:rPr>
      </w:pPr>
    </w:p>
    <w:p>
      <w:pPr>
        <w:ind w:right="40" w:firstLine="509"/>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 w:lineRule="exact"/>
        <w:rPr>
          <w:sz w:val="24"/>
          <w:szCs w:val="24"/>
          <w:color w:val="auto"/>
        </w:rPr>
      </w:pPr>
    </w:p>
    <w:p>
      <w:pPr>
        <w:ind w:right="20" w:firstLine="509"/>
        <w:spacing w:after="0" w:line="266"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8400"/>
        <w:spacing w:after="0" w:line="184" w:lineRule="exact"/>
        <w:tabs>
          <w:tab w:leader="none" w:pos="90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jc w:val="both"/>
        <w:ind w:right="280" w:firstLine="509"/>
        <w:spacing w:after="0" w:line="27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593" w:right="319" w:bottom="1440" w:gutter="0" w:footer="0" w:header="0"/>
        </w:sectPr>
      </w:pPr>
    </w:p>
    <w:p>
      <w:pPr>
        <w:spacing w:after="0" w:line="31"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4">
            <w:col w:w="1620" w:space="720"/>
            <w:col w:w="5740" w:space="720"/>
            <w:col w:w="1580" w:space="720"/>
            <w:col w:w="160"/>
          </w:cols>
          <w:pgMar w:left="320" w:top="593" w:right="319" w:bottom="1440" w:gutter="0" w:footer="0" w:header="0"/>
          <w:type w:val="continuous"/>
        </w:sectPr>
      </w:pPr>
    </w:p>
    <w:p>
      <w:pPr>
        <w:spacing w:after="0" w:line="30" w:lineRule="exact"/>
        <w:rPr>
          <w:sz w:val="24"/>
          <w:szCs w:val="24"/>
          <w:color w:val="auto"/>
        </w:r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4">
            <w:col w:w="1620" w:space="720"/>
            <w:col w:w="5740" w:space="720"/>
            <w:col w:w="1780" w:space="520"/>
            <w:col w:w="160"/>
          </w:cols>
          <w:pgMar w:left="320" w:top="593" w:right="319" w:bottom="1440" w:gutter="0" w:footer="0" w:header="0"/>
          <w:type w:val="continuous"/>
        </w:sectPr>
      </w:pPr>
    </w:p>
    <w:p>
      <w:pPr>
        <w:spacing w:after="0" w:line="30" w:lineRule="exact"/>
        <w:rPr>
          <w:sz w:val="24"/>
          <w:szCs w:val="24"/>
          <w:color w:val="auto"/>
        </w:rPr>
      </w:pPr>
    </w:p>
    <w:p>
      <w:pPr>
        <w:ind w:left="880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5" w:lineRule="exact"/>
        <w:rPr>
          <w:sz w:val="24"/>
          <w:szCs w:val="24"/>
          <w:color w:val="auto"/>
        </w:rPr>
      </w:pPr>
    </w:p>
    <w:p>
      <w:pPr>
        <w:sectPr>
          <w:pgSz w:w="11900" w:h="16838" w:orient="portrait"/>
          <w:cols w:equalWidth="0" w:num="2">
            <w:col w:w="10560" w:space="540"/>
            <w:col w:w="160"/>
          </w:cols>
          <w:pgMar w:left="320" w:top="593" w:right="319" w:bottom="1440" w:gutter="0" w:footer="0" w:header="0"/>
          <w:type w:val="continuous"/>
        </w:sectPr>
      </w:pPr>
    </w:p>
    <w:p>
      <w:pPr>
        <w:ind w:right="100" w:firstLine="50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260"/>
          </w:cols>
          <w:pgMar w:left="320" w:top="593" w:right="319" w:bottom="1440" w:gutter="0" w:footer="0" w:header="0"/>
          <w:type w:val="continuous"/>
        </w:sectPr>
      </w:pPr>
    </w:p>
    <w:p>
      <w:pPr>
        <w:spacing w:after="0" w:line="19" w:lineRule="exact"/>
        <w:rPr>
          <w:sz w:val="24"/>
          <w:szCs w:val="24"/>
          <w:color w:val="auto"/>
        </w:rPr>
      </w:pPr>
    </w:p>
    <w:p>
      <w:pPr>
        <w:jc w:val="both"/>
        <w:ind w:right="340" w:firstLine="509"/>
        <w:spacing w:after="0" w:line="304"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8" w:lineRule="exact"/>
        <w:rPr>
          <w:sz w:val="24"/>
          <w:szCs w:val="24"/>
          <w:color w:val="auto"/>
        </w:rPr>
      </w:pPr>
    </w:p>
    <w:p>
      <w:pPr>
        <w:ind w:left="440"/>
        <w:spacing w:after="0"/>
        <w:rPr>
          <w:sz w:val="20"/>
          <w:szCs w:val="20"/>
          <w:color w:val="auto"/>
        </w:rPr>
      </w:pPr>
      <w:r>
        <w:rPr>
          <w:rFonts w:ascii="Arial" w:cs="Arial" w:eastAsia="Arial" w:hAnsi="Arial"/>
          <w:sz w:val="13"/>
          <w:szCs w:val="13"/>
          <w:color w:val="231F20"/>
        </w:rPr>
        <w:t>If securities are registered pursuant to Section 12(b) of the Act, indicate by check mark whether the financial statements of the registrant included in the filing reflect the correction of an</w:t>
      </w:r>
    </w:p>
    <w:p>
      <w:pPr>
        <w:spacing w:after="0" w:line="7" w:lineRule="exact"/>
        <w:rPr>
          <w:sz w:val="24"/>
          <w:szCs w:val="24"/>
          <w:color w:val="auto"/>
        </w:rPr>
      </w:pPr>
    </w:p>
    <w:p>
      <w:pPr>
        <w:spacing w:after="0" w:line="188" w:lineRule="exact"/>
        <w:tabs>
          <w:tab w:leader="none" w:pos="8020" w:val="left"/>
        </w:tabs>
        <w:rPr>
          <w:sz w:val="20"/>
          <w:szCs w:val="20"/>
          <w:color w:val="auto"/>
        </w:rPr>
      </w:pPr>
      <w:r>
        <w:rPr>
          <w:rFonts w:ascii="Arial" w:cs="Arial" w:eastAsia="Arial" w:hAnsi="Arial"/>
          <w:sz w:val="14"/>
          <w:szCs w:val="14"/>
          <w:color w:val="231F20"/>
        </w:rPr>
        <w:t>error to previously issued financial statements.</w:t>
      </w:r>
      <w:r>
        <w:rPr>
          <w:sz w:val="20"/>
          <w:szCs w:val="20"/>
          <w:color w:val="auto"/>
        </w:rPr>
        <w:tab/>
      </w:r>
      <w:r>
        <w:rPr>
          <w:rFonts w:ascii="Arial Unicode MS" w:cs="Arial Unicode MS" w:eastAsia="Arial Unicode MS" w:hAnsi="Arial Unicode MS"/>
          <w:sz w:val="14"/>
          <w:szCs w:val="14"/>
          <w:color w:val="auto"/>
        </w:rPr>
        <w:t>☐</w:t>
      </w:r>
    </w:p>
    <w:p>
      <w:pPr>
        <w:spacing w:after="0" w:line="8" w:lineRule="exact"/>
        <w:rPr>
          <w:sz w:val="24"/>
          <w:szCs w:val="24"/>
          <w:color w:val="auto"/>
        </w:rPr>
      </w:pPr>
    </w:p>
    <w:p>
      <w:pPr>
        <w:ind w:left="560"/>
        <w:spacing w:after="0"/>
        <w:rPr>
          <w:sz w:val="20"/>
          <w:szCs w:val="20"/>
          <w:color w:val="auto"/>
        </w:rPr>
      </w:pPr>
      <w:r>
        <w:rPr>
          <w:rFonts w:ascii="Arial" w:cs="Arial" w:eastAsia="Arial" w:hAnsi="Arial"/>
          <w:sz w:val="13"/>
          <w:szCs w:val="13"/>
          <w:color w:val="231F20"/>
        </w:rPr>
        <w:t>Indicate by check mark whether any of those error corrections are restatements that required a recovery analysis of incentive-based compensation received by any of the registrant’s</w:t>
      </w:r>
    </w:p>
    <w:p>
      <w:pPr>
        <w:sectPr>
          <w:pgSz w:w="11900" w:h="16838" w:orient="portrait"/>
          <w:cols w:equalWidth="0" w:num="1">
            <w:col w:w="11260"/>
          </w:cols>
          <w:pgMar w:left="320" w:top="593" w:right="319" w:bottom="1440" w:gutter="0" w:footer="0" w:header="0"/>
          <w:type w:val="continuous"/>
        </w:sectPr>
      </w:pPr>
    </w:p>
    <w:p>
      <w:pPr>
        <w:spacing w:after="0" w:line="33" w:lineRule="exact"/>
        <w:rPr>
          <w:sz w:val="24"/>
          <w:szCs w:val="24"/>
          <w:color w:val="auto"/>
        </w:rPr>
      </w:pPr>
    </w:p>
    <w:p>
      <w:pPr>
        <w:spacing w:after="0" w:line="175" w:lineRule="exact"/>
        <w:rPr>
          <w:sz w:val="20"/>
          <w:szCs w:val="20"/>
          <w:color w:val="auto"/>
        </w:rPr>
      </w:pPr>
      <w:r>
        <w:rPr>
          <w:rFonts w:ascii="Arial" w:cs="Arial" w:eastAsia="Arial" w:hAnsi="Arial"/>
          <w:sz w:val="13"/>
          <w:szCs w:val="13"/>
          <w:color w:val="231F20"/>
        </w:rPr>
        <w:t>executive o</w:t>
      </w:r>
      <w:r>
        <w:rPr>
          <w:rFonts w:ascii="Arial Unicode MS" w:cs="Arial Unicode MS" w:eastAsia="Arial Unicode MS" w:hAnsi="Arial Unicode MS"/>
          <w:sz w:val="13"/>
          <w:szCs w:val="13"/>
          <w:color w:val="231F20"/>
        </w:rPr>
        <w:t>ﬃ</w:t>
      </w:r>
      <w:r>
        <w:rPr>
          <w:rFonts w:ascii="Arial" w:cs="Arial" w:eastAsia="Arial" w:hAnsi="Arial"/>
          <w:sz w:val="13"/>
          <w:szCs w:val="13"/>
          <w:color w:val="231F20"/>
        </w:rPr>
        <w:t>cers during the relevant recovery period pursuant to §240.10D-1(b).</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4" w:lineRule="exact"/>
        <w:rPr>
          <w:sz w:val="24"/>
          <w:szCs w:val="24"/>
          <w:color w:val="auto"/>
        </w:rPr>
      </w:pPr>
    </w:p>
    <w:p>
      <w:pPr>
        <w:sectPr>
          <w:pgSz w:w="11900" w:h="16838" w:orient="portrait"/>
          <w:cols w:equalWidth="0" w:num="2">
            <w:col w:w="7580" w:space="720"/>
            <w:col w:w="2960"/>
          </w:cols>
          <w:pgMar w:left="320" w:top="593" w:right="319" w:bottom="1440" w:gutter="0" w:footer="0" w:header="0"/>
          <w:type w:val="continuous"/>
        </w:sectPr>
      </w:pPr>
    </w:p>
    <w:p>
      <w:pPr>
        <w:ind w:left="52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ectPr>
          <w:pgSz w:w="11900" w:h="16838" w:orient="portrait"/>
          <w:cols w:equalWidth="0" w:num="5">
            <w:col w:w="7200" w:space="160"/>
            <w:col w:w="220" w:space="80"/>
            <w:col w:w="160" w:space="160"/>
            <w:col w:w="200" w:space="80"/>
            <w:col w:w="3000"/>
          </w:cols>
          <w:pgMar w:left="320" w:top="593" w:right="319" w:bottom="1440" w:gutter="0" w:footer="0" w:header="0"/>
          <w:type w:val="continuous"/>
        </w:sectPr>
      </w:pPr>
    </w:p>
    <w:p>
      <w:pPr>
        <w:ind w:right="140" w:firstLine="509"/>
        <w:spacing w:after="0" w:line="275" w:lineRule="auto"/>
        <w:rPr>
          <w:sz w:val="20"/>
          <w:szCs w:val="20"/>
          <w:color w:val="auto"/>
        </w:rPr>
      </w:pPr>
      <w:r>
        <w:rPr>
          <w:rFonts w:ascii="Arial" w:cs="Arial" w:eastAsia="Arial" w:hAnsi="Arial"/>
          <w:sz w:val="16"/>
          <w:szCs w:val="16"/>
          <w:color w:val="auto"/>
        </w:rPr>
        <w:t>The aggregate market value of the 121,363,108 voting and non-voting shares of common stock held by non-affiliates of the registrant as of June 30, 2022 (based on the last reported sales price of such stock on the New York Stock Exchange on such date, the last business day of the registrant's quarter ended June 30, 2022 of $6.60 per share) was approximately $0.8 billion.</w:t>
      </w:r>
    </w:p>
    <w:p>
      <w:pPr>
        <w:spacing w:after="0" w:line="1"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February 22, 2023, the registrant had 124,113,704 shares of common stock outstanding.</w:t>
      </w:r>
    </w:p>
    <w:p>
      <w:pPr>
        <w:spacing w:after="0" w:line="55"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ind w:right="380" w:firstLine="509"/>
        <w:spacing w:after="0" w:line="278" w:lineRule="auto"/>
        <w:rPr>
          <w:sz w:val="20"/>
          <w:szCs w:val="20"/>
          <w:color w:val="auto"/>
        </w:rPr>
      </w:pPr>
      <w:r>
        <w:rPr>
          <w:rFonts w:ascii="Arial" w:cs="Arial" w:eastAsia="Arial" w:hAnsi="Arial"/>
          <w:sz w:val="16"/>
          <w:szCs w:val="16"/>
          <w:color w:val="auto"/>
        </w:rPr>
        <w:t>Certain portions of the registrant’s definitive proxy statement pursuant to Regulation 14A of the Securities Exchange Act of 1934 for its 2023 annual meeting of shareholders, which will be filed with the Securities and Exchange Commission within 120 days after the end of the year covered by this report,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178435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93" w:right="319" w:bottom="1440" w:gutter="0" w:footer="0" w:header="0"/>
          <w:type w:val="continuous"/>
        </w:sectPr>
      </w:pPr>
    </w:p>
    <w:bookmarkStart w:id="1" w:name="page2"/>
    <w:bookmarkEnd w:id="1"/>
    <w:p>
      <w:pPr>
        <w:spacing w:after="0"/>
        <w:tabs>
          <w:tab w:leader="none" w:pos="2160" w:val="left"/>
          <w:tab w:leader="none" w:pos="4840" w:val="left"/>
        </w:tabs>
        <w:rPr>
          <w:sz w:val="20"/>
          <w:szCs w:val="20"/>
          <w:color w:val="auto"/>
        </w:rPr>
      </w:pPr>
      <w:r>
        <w:rPr>
          <w:rFonts w:ascii="Arial" w:cs="Arial" w:eastAsia="Arial" w:hAnsi="Arial"/>
          <w:sz w:val="16"/>
          <w:szCs w:val="16"/>
          <w:color w:val="auto"/>
        </w:rPr>
        <w:t>Auditor Firm Id: 248</w:t>
      </w:r>
      <w:r>
        <w:rPr>
          <w:sz w:val="20"/>
          <w:szCs w:val="20"/>
          <w:color w:val="auto"/>
        </w:rPr>
        <w:tab/>
      </w:r>
      <w:r>
        <w:rPr>
          <w:rFonts w:ascii="Arial" w:cs="Arial" w:eastAsia="Arial" w:hAnsi="Arial"/>
          <w:sz w:val="16"/>
          <w:szCs w:val="16"/>
          <w:color w:val="auto"/>
        </w:rPr>
        <w:t>Auditor Name: Grant Thornton LLP</w:t>
      </w:r>
      <w:r>
        <w:rPr>
          <w:sz w:val="20"/>
          <w:szCs w:val="20"/>
          <w:color w:val="auto"/>
        </w:rPr>
        <w:tab/>
      </w:r>
      <w:r>
        <w:rPr>
          <w:rFonts w:ascii="Arial" w:cs="Arial" w:eastAsia="Arial" w:hAnsi="Arial"/>
          <w:sz w:val="15"/>
          <w:szCs w:val="15"/>
          <w:color w:val="auto"/>
        </w:rPr>
        <w:t>Auditor Location: Miami, Florida,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163195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-324485</wp:posOffset>
            </wp:positionH>
            <wp:positionV relativeFrom="paragraph">
              <wp:posOffset>180340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245110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19"/>
          </w:cols>
          <w:pgMar w:left="840" w:top="34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0" w:type="dxa"/>
            <w:vAlign w:val="bottom"/>
            <w:gridSpan w:val="17"/>
          </w:tcPr>
          <w:p>
            <w:pPr>
              <w:ind w:left="30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r>
      <w:tr>
        <w:trPr>
          <w:trHeight w:val="472"/>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182"/>
        </w:trPr>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0" w:type="dxa"/>
            <w:vAlign w:val="bottom"/>
            <w:gridSpan w:val="14"/>
          </w:tcPr>
          <w:p>
            <w:pPr>
              <w:jc w:val="center"/>
              <w:ind w:right="4940"/>
              <w:spacing w:after="0" w:line="182" w:lineRule="exact"/>
              <w:rPr>
                <w:sz w:val="20"/>
                <w:szCs w:val="20"/>
                <w:color w:val="auto"/>
              </w:rPr>
            </w:pPr>
            <w:r>
              <w:rPr>
                <w:rFonts w:ascii="Arial" w:cs="Arial" w:eastAsia="Arial" w:hAnsi="Arial"/>
                <w:sz w:val="18"/>
                <w:szCs w:val="18"/>
                <w:b w:val="1"/>
                <w:bCs w:val="1"/>
                <w:color w:val="0000FF"/>
                <w:w w:val="98"/>
              </w:rPr>
              <w:t>PART I</w:t>
            </w:r>
          </w:p>
        </w:tc>
        <w:tc>
          <w:tcPr>
            <w:tcW w:w="680" w:type="dxa"/>
            <w:vAlign w:val="bottom"/>
          </w:tcPr>
          <w:p>
            <w:pPr>
              <w:spacing w:after="0"/>
              <w:rPr>
                <w:sz w:val="15"/>
                <w:szCs w:val="15"/>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Item 1.</w:t>
            </w:r>
          </w:p>
        </w:tc>
        <w:tc>
          <w:tcPr>
            <w:tcW w:w="4000" w:type="dxa"/>
            <w:vAlign w:val="bottom"/>
            <w:gridSpan w:val="18"/>
          </w:tcPr>
          <w:p>
            <w:pPr>
              <w:spacing w:after="0"/>
              <w:rPr>
                <w:sz w:val="20"/>
                <w:szCs w:val="20"/>
                <w:color w:val="auto"/>
              </w:rPr>
            </w:pPr>
            <w:r>
              <w:rPr>
                <w:rFonts w:ascii="Arial" w:cs="Arial" w:eastAsia="Arial" w:hAnsi="Arial"/>
                <w:sz w:val="18"/>
                <w:szCs w:val="18"/>
                <w:i w:val="1"/>
                <w:iCs w:val="1"/>
                <w:color w:val="0000FF"/>
              </w:rPr>
              <w:t>Business</w:t>
            </w:r>
          </w:p>
        </w:tc>
        <w:tc>
          <w:tcPr>
            <w:tcW w:w="580" w:type="dxa"/>
            <w:vAlign w:val="bottom"/>
            <w:tcBorders>
              <w:top w:val="single" w:sz="8" w:color="0000EE"/>
            </w:tcBorders>
            <w:gridSpan w:val="3"/>
          </w:tcPr>
          <w:p>
            <w:pPr>
              <w:spacing w:after="0"/>
              <w:rPr>
                <w:sz w:val="19"/>
                <w:szCs w:val="19"/>
                <w:color w:val="auto"/>
              </w:rPr>
            </w:pPr>
          </w:p>
        </w:tc>
        <w:tc>
          <w:tcPr>
            <w:tcW w:w="4980" w:type="dxa"/>
            <w:vAlign w:val="bottom"/>
            <w:gridSpan w:val="10"/>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Item 1A.</w:t>
            </w:r>
          </w:p>
        </w:tc>
        <w:tc>
          <w:tcPr>
            <w:tcW w:w="9560" w:type="dxa"/>
            <w:vAlign w:val="bottom"/>
            <w:gridSpan w:val="31"/>
          </w:tcPr>
          <w:p>
            <w:pPr>
              <w:spacing w:after="0"/>
              <w:rPr>
                <w:sz w:val="20"/>
                <w:szCs w:val="20"/>
                <w:color w:val="auto"/>
              </w:rPr>
            </w:pPr>
            <w:r>
              <w:rPr>
                <w:rFonts w:ascii="Arial" w:cs="Arial" w:eastAsia="Arial" w:hAnsi="Arial"/>
                <w:sz w:val="18"/>
                <w:szCs w:val="18"/>
                <w:i w:val="1"/>
                <w:iCs w:val="1"/>
                <w:color w:val="0000FF"/>
              </w:rPr>
              <w:t>Risk Factors</w:t>
            </w: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10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i w:val="1"/>
                <w:iCs w:val="1"/>
                <w:color w:val="0000FF"/>
                <w:w w:val="87"/>
              </w:rPr>
              <w:t>Unresolved Staff Comments</w:t>
            </w:r>
          </w:p>
        </w:tc>
        <w:tc>
          <w:tcPr>
            <w:tcW w:w="7560" w:type="dxa"/>
            <w:vAlign w:val="bottom"/>
            <w:gridSpan w:val="20"/>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Item 2.</w:t>
            </w:r>
          </w:p>
        </w:tc>
        <w:tc>
          <w:tcPr>
            <w:tcW w:w="9560" w:type="dxa"/>
            <w:vAlign w:val="bottom"/>
            <w:gridSpan w:val="31"/>
          </w:tcPr>
          <w:p>
            <w:pPr>
              <w:spacing w:after="0"/>
              <w:rPr>
                <w:sz w:val="20"/>
                <w:szCs w:val="20"/>
                <w:color w:val="auto"/>
              </w:rPr>
            </w:pPr>
            <w:r>
              <w:rPr>
                <w:rFonts w:ascii="Arial" w:cs="Arial" w:eastAsia="Arial" w:hAnsi="Arial"/>
                <w:sz w:val="18"/>
                <w:szCs w:val="18"/>
                <w:i w:val="1"/>
                <w:iCs w:val="1"/>
                <w:color w:val="0000FF"/>
              </w:rPr>
              <w:t>Properties</w:t>
            </w: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10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i w:val="1"/>
                <w:iCs w:val="1"/>
                <w:color w:val="0000FF"/>
                <w:w w:val="88"/>
              </w:rPr>
              <w:t>Legal Proceedings</w:t>
            </w:r>
          </w:p>
        </w:tc>
        <w:tc>
          <w:tcPr>
            <w:tcW w:w="8220" w:type="dxa"/>
            <w:vAlign w:val="bottom"/>
            <w:gridSpan w:val="25"/>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Item 4.</w:t>
            </w:r>
          </w:p>
        </w:tc>
        <w:tc>
          <w:tcPr>
            <w:tcW w:w="9560" w:type="dxa"/>
            <w:vAlign w:val="bottom"/>
            <w:gridSpan w:val="31"/>
          </w:tcPr>
          <w:p>
            <w:pPr>
              <w:spacing w:after="0"/>
              <w:rPr>
                <w:sz w:val="20"/>
                <w:szCs w:val="20"/>
                <w:color w:val="auto"/>
              </w:rPr>
            </w:pPr>
            <w:r>
              <w:rPr>
                <w:rFonts w:ascii="Arial" w:cs="Arial" w:eastAsia="Arial" w:hAnsi="Arial"/>
                <w:sz w:val="18"/>
                <w:szCs w:val="18"/>
                <w:i w:val="1"/>
                <w:iCs w:val="1"/>
                <w:color w:val="0000FF"/>
              </w:rPr>
              <w:t>Mine Safety Disclosures</w:t>
            </w: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1000" w:type="dxa"/>
            <w:vAlign w:val="bottom"/>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bottom w:val="single" w:sz="8" w:color="0000EE"/>
            </w:tcBorders>
            <w:gridSpan w:val="5"/>
          </w:tcPr>
          <w:p>
            <w:pPr>
              <w:jc w:val="center"/>
              <w:spacing w:after="0"/>
              <w:rPr>
                <w:sz w:val="20"/>
                <w:szCs w:val="20"/>
                <w:color w:val="auto"/>
              </w:rPr>
            </w:pPr>
            <w:r>
              <w:rPr>
                <w:rFonts w:ascii="Arial" w:cs="Arial" w:eastAsia="Arial" w:hAnsi="Arial"/>
                <w:sz w:val="18"/>
                <w:szCs w:val="18"/>
                <w:b w:val="1"/>
                <w:bCs w:val="1"/>
                <w:color w:val="0000FF"/>
              </w:rPr>
              <w:t>PART II</w:t>
            </w:r>
          </w:p>
        </w:tc>
        <w:tc>
          <w:tcPr>
            <w:tcW w:w="4940" w:type="dxa"/>
            <w:vAlign w:val="bottom"/>
            <w:gridSpan w:val="9"/>
          </w:tcPr>
          <w:p>
            <w:pPr>
              <w:spacing w:after="0"/>
              <w:rPr>
                <w:sz w:val="19"/>
                <w:szCs w:val="19"/>
                <w:color w:val="auto"/>
              </w:rPr>
            </w:pPr>
          </w:p>
        </w:tc>
        <w:tc>
          <w:tcPr>
            <w:tcW w:w="680" w:type="dxa"/>
            <w:vAlign w:val="bottom"/>
          </w:tcPr>
          <w:p>
            <w:pPr>
              <w:spacing w:after="0"/>
              <w:rPr>
                <w:sz w:val="19"/>
                <w:szCs w:val="19"/>
                <w:color w:val="auto"/>
              </w:rPr>
            </w:pPr>
          </w:p>
        </w:tc>
      </w:tr>
      <w:tr>
        <w:trPr>
          <w:trHeight w:val="438"/>
        </w:trPr>
        <w:tc>
          <w:tcPr>
            <w:tcW w:w="1000" w:type="dxa"/>
            <w:vAlign w:val="bottom"/>
          </w:tcPr>
          <w:p>
            <w:pPr>
              <w:ind w:left="20"/>
              <w:spacing w:after="0"/>
              <w:rPr>
                <w:sz w:val="20"/>
                <w:szCs w:val="20"/>
                <w:color w:val="auto"/>
              </w:rPr>
            </w:pPr>
            <w:r>
              <w:rPr>
                <w:rFonts w:ascii="Arial" w:cs="Arial" w:eastAsia="Arial" w:hAnsi="Arial"/>
                <w:sz w:val="18"/>
                <w:szCs w:val="18"/>
                <w:color w:val="auto"/>
              </w:rPr>
              <w:t>Item 5.</w:t>
            </w:r>
          </w:p>
        </w:tc>
        <w:tc>
          <w:tcPr>
            <w:tcW w:w="9560" w:type="dxa"/>
            <w:vAlign w:val="bottom"/>
            <w:gridSpan w:val="31"/>
          </w:tcPr>
          <w:p>
            <w:pPr>
              <w:spacing w:after="0"/>
              <w:rPr>
                <w:sz w:val="20"/>
                <w:szCs w:val="20"/>
                <w:color w:val="auto"/>
              </w:rPr>
            </w:pPr>
            <w:r>
              <w:rPr>
                <w:rFonts w:ascii="Arial" w:cs="Arial" w:eastAsia="Arial" w:hAnsi="Arial"/>
                <w:sz w:val="18"/>
                <w:szCs w:val="18"/>
                <w:i w:val="1"/>
                <w:iCs w:val="1"/>
                <w:color w:val="0000FF"/>
              </w:rPr>
              <w:t>Market for Registrant’s Common Equity, Related Stockholder Matters and Issuer Purchases of Equity Securities</w:t>
            </w: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6"/>
        </w:trPr>
        <w:tc>
          <w:tcPr>
            <w:tcW w:w="1000" w:type="dxa"/>
            <w:vAlign w:val="bottom"/>
          </w:tcPr>
          <w:p>
            <w:pPr>
              <w:ind w:left="20"/>
              <w:spacing w:after="0"/>
              <w:rPr>
                <w:sz w:val="20"/>
                <w:szCs w:val="20"/>
                <w:color w:val="auto"/>
              </w:rPr>
            </w:pPr>
            <w:r>
              <w:rPr>
                <w:rFonts w:ascii="Arial" w:cs="Arial" w:eastAsia="Arial" w:hAnsi="Arial"/>
                <w:sz w:val="18"/>
                <w:szCs w:val="18"/>
                <w:color w:val="auto"/>
              </w:rPr>
              <w:t>Item 6.</w:t>
            </w:r>
          </w:p>
        </w:tc>
        <w:tc>
          <w:tcPr>
            <w:tcW w:w="8040" w:type="dxa"/>
            <w:vAlign w:val="bottom"/>
            <w:tcBorders>
              <w:top w:val="single" w:sz="8" w:color="0000EE"/>
            </w:tcBorders>
            <w:gridSpan w:val="30"/>
          </w:tcPr>
          <w:p>
            <w:pPr>
              <w:spacing w:after="0"/>
              <w:rPr>
                <w:sz w:val="20"/>
                <w:szCs w:val="20"/>
                <w:color w:val="auto"/>
              </w:rPr>
            </w:pPr>
            <w:r>
              <w:rPr>
                <w:rFonts w:ascii="Arial" w:cs="Arial" w:eastAsia="Arial" w:hAnsi="Arial"/>
                <w:sz w:val="20"/>
                <w:szCs w:val="20"/>
                <w:color w:val="0000FF"/>
              </w:rPr>
              <w:t>[</w:t>
            </w:r>
            <w:r>
              <w:rPr>
                <w:rFonts w:ascii="Arial" w:cs="Arial" w:eastAsia="Arial" w:hAnsi="Arial"/>
                <w:sz w:val="17"/>
                <w:szCs w:val="17"/>
                <w:i w:val="1"/>
                <w:iCs w:val="1"/>
                <w:color w:val="0000FF"/>
              </w:rPr>
              <w:t>Reserved]</w:t>
            </w:r>
          </w:p>
        </w:tc>
        <w:tc>
          <w:tcPr>
            <w:tcW w:w="15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10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Item 7.</w:t>
            </w:r>
          </w:p>
        </w:tc>
        <w:tc>
          <w:tcPr>
            <w:tcW w:w="9560" w:type="dxa"/>
            <w:vAlign w:val="bottom"/>
            <w:gridSpan w:val="31"/>
          </w:tcPr>
          <w:p>
            <w:pPr>
              <w:spacing w:after="0"/>
              <w:rPr>
                <w:sz w:val="20"/>
                <w:szCs w:val="20"/>
                <w:color w:val="auto"/>
              </w:rPr>
            </w:pPr>
            <w:r>
              <w:rPr>
                <w:rFonts w:ascii="Arial" w:cs="Arial" w:eastAsia="Arial" w:hAnsi="Arial"/>
                <w:sz w:val="18"/>
                <w:szCs w:val="18"/>
                <w:i w:val="1"/>
                <w:iCs w:val="1"/>
                <w:color w:val="0000FF"/>
              </w:rPr>
              <w:t>Management’s Discussion and Analysis of Financial Condition and Results of Operations</w:t>
            </w: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Item 7A.</w:t>
            </w:r>
          </w:p>
        </w:tc>
        <w:tc>
          <w:tcPr>
            <w:tcW w:w="4340" w:type="dxa"/>
            <w:vAlign w:val="bottom"/>
            <w:tcBorders>
              <w:top w:val="single" w:sz="8" w:color="0000EE"/>
              <w:bottom w:val="single" w:sz="8" w:color="0000EE"/>
            </w:tcBorders>
            <w:gridSpan w:val="20"/>
          </w:tcPr>
          <w:p>
            <w:pPr>
              <w:spacing w:after="0"/>
              <w:rPr>
                <w:sz w:val="20"/>
                <w:szCs w:val="20"/>
                <w:color w:val="auto"/>
              </w:rPr>
            </w:pPr>
            <w:r>
              <w:rPr>
                <w:rFonts w:ascii="Arial" w:cs="Arial" w:eastAsia="Arial" w:hAnsi="Arial"/>
                <w:sz w:val="18"/>
                <w:szCs w:val="18"/>
                <w:i w:val="1"/>
                <w:iCs w:val="1"/>
                <w:color w:val="0000FF"/>
                <w:w w:val="91"/>
              </w:rPr>
              <w:t>Quantitative and Qualitative Disclosures About Market Risk</w:t>
            </w:r>
          </w:p>
        </w:tc>
        <w:tc>
          <w:tcPr>
            <w:tcW w:w="2100" w:type="dxa"/>
            <w:vAlign w:val="bottom"/>
            <w:tcBorders>
              <w:top w:val="single" w:sz="8" w:color="0000EE"/>
            </w:tcBorders>
            <w:gridSpan w:val="7"/>
          </w:tcPr>
          <w:p>
            <w:pPr>
              <w:spacing w:after="0"/>
              <w:rPr>
                <w:sz w:val="19"/>
                <w:szCs w:val="19"/>
                <w:color w:val="auto"/>
              </w:rPr>
            </w:pPr>
          </w:p>
        </w:tc>
        <w:tc>
          <w:tcPr>
            <w:tcW w:w="3120" w:type="dxa"/>
            <w:vAlign w:val="bottom"/>
            <w:gridSpan w:val="4"/>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Item 8.</w:t>
            </w:r>
          </w:p>
        </w:tc>
        <w:tc>
          <w:tcPr>
            <w:tcW w:w="33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i w:val="1"/>
                <w:iCs w:val="1"/>
                <w:color w:val="0000FF"/>
                <w:w w:val="89"/>
              </w:rPr>
              <w:t>Financial Statements and Supplementary Data</w:t>
            </w:r>
          </w:p>
        </w:tc>
        <w:tc>
          <w:tcPr>
            <w:tcW w:w="6200" w:type="dxa"/>
            <w:vAlign w:val="bottom"/>
            <w:gridSpan w:val="17"/>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Item 9.</w:t>
            </w:r>
          </w:p>
        </w:tc>
        <w:tc>
          <w:tcPr>
            <w:tcW w:w="9560" w:type="dxa"/>
            <w:vAlign w:val="bottom"/>
            <w:gridSpan w:val="31"/>
          </w:tcPr>
          <w:p>
            <w:pPr>
              <w:spacing w:after="0"/>
              <w:rPr>
                <w:sz w:val="20"/>
                <w:szCs w:val="20"/>
                <w:color w:val="auto"/>
              </w:rPr>
            </w:pPr>
            <w:r>
              <w:rPr>
                <w:rFonts w:ascii="Arial" w:cs="Arial" w:eastAsia="Arial" w:hAnsi="Arial"/>
                <w:sz w:val="18"/>
                <w:szCs w:val="18"/>
                <w:i w:val="1"/>
                <w:iCs w:val="1"/>
                <w:color w:val="0000FF"/>
              </w:rPr>
              <w:t>Changes in and Disagreements with Accountants on Accounting and Financial Disclosure</w:t>
            </w:r>
          </w:p>
        </w:tc>
        <w:tc>
          <w:tcPr>
            <w:tcW w:w="6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Item 9A.</w:t>
            </w:r>
          </w:p>
        </w:tc>
        <w:tc>
          <w:tcPr>
            <w:tcW w:w="180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8"/>
                <w:szCs w:val="18"/>
                <w:i w:val="1"/>
                <w:iCs w:val="1"/>
                <w:color w:val="0000FF"/>
                <w:w w:val="89"/>
              </w:rPr>
              <w:t>Controls and Procedures</w:t>
            </w:r>
          </w:p>
        </w:tc>
        <w:tc>
          <w:tcPr>
            <w:tcW w:w="4680" w:type="dxa"/>
            <w:vAlign w:val="bottom"/>
            <w:tcBorders>
              <w:top w:val="single" w:sz="8" w:color="0000EE"/>
            </w:tcBorders>
            <w:gridSpan w:val="18"/>
          </w:tcPr>
          <w:p>
            <w:pPr>
              <w:spacing w:after="0"/>
              <w:rPr>
                <w:sz w:val="19"/>
                <w:szCs w:val="19"/>
                <w:color w:val="auto"/>
              </w:rPr>
            </w:pPr>
          </w:p>
        </w:tc>
        <w:tc>
          <w:tcPr>
            <w:tcW w:w="3080" w:type="dxa"/>
            <w:vAlign w:val="bottom"/>
            <w:gridSpan w:val="3"/>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Item 9B.</w:t>
            </w:r>
          </w:p>
        </w:tc>
        <w:tc>
          <w:tcPr>
            <w:tcW w:w="13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i w:val="1"/>
                <w:iCs w:val="1"/>
                <w:color w:val="0000FF"/>
                <w:w w:val="92"/>
              </w:rPr>
              <w:t>Other Information</w:t>
            </w:r>
          </w:p>
        </w:tc>
        <w:tc>
          <w:tcPr>
            <w:tcW w:w="8240" w:type="dxa"/>
            <w:vAlign w:val="bottom"/>
            <w:gridSpan w:val="26"/>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Item 9C.</w:t>
            </w:r>
          </w:p>
        </w:tc>
        <w:tc>
          <w:tcPr>
            <w:tcW w:w="494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i w:val="1"/>
                <w:iCs w:val="1"/>
                <w:color w:val="0000FF"/>
                <w:w w:val="91"/>
              </w:rPr>
              <w:t>Disclosure Regarding Foreign Jurisdictions that Prevent Inspections</w:t>
            </w:r>
          </w:p>
        </w:tc>
        <w:tc>
          <w:tcPr>
            <w:tcW w:w="4620" w:type="dxa"/>
            <w:vAlign w:val="bottom"/>
            <w:gridSpan w:val="6"/>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438"/>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Borders>
              <w:bottom w:val="single" w:sz="8" w:color="0000EE"/>
            </w:tcBorders>
            <w:gridSpan w:val="9"/>
          </w:tcPr>
          <w:p>
            <w:pPr>
              <w:jc w:val="center"/>
              <w:ind w:right="20"/>
              <w:spacing w:after="0"/>
              <w:rPr>
                <w:sz w:val="20"/>
                <w:szCs w:val="20"/>
                <w:color w:val="auto"/>
              </w:rPr>
            </w:pPr>
            <w:r>
              <w:rPr>
                <w:rFonts w:ascii="Arial" w:cs="Arial" w:eastAsia="Arial" w:hAnsi="Arial"/>
                <w:sz w:val="18"/>
                <w:szCs w:val="18"/>
                <w:b w:val="1"/>
                <w:bCs w:val="1"/>
                <w:color w:val="0000FF"/>
              </w:rPr>
              <w:t>PART III</w:t>
            </w:r>
          </w:p>
        </w:tc>
        <w:tc>
          <w:tcPr>
            <w:tcW w:w="4900" w:type="dxa"/>
            <w:vAlign w:val="bottom"/>
            <w:gridSpan w:val="7"/>
          </w:tcPr>
          <w:p>
            <w:pPr>
              <w:spacing w:after="0"/>
              <w:rPr>
                <w:sz w:val="24"/>
                <w:szCs w:val="24"/>
                <w:color w:val="auto"/>
              </w:rPr>
            </w:pPr>
          </w:p>
        </w:tc>
        <w:tc>
          <w:tcPr>
            <w:tcW w:w="680" w:type="dxa"/>
            <w:vAlign w:val="bottom"/>
          </w:tcPr>
          <w:p>
            <w:pPr>
              <w:spacing w:after="0"/>
              <w:rPr>
                <w:sz w:val="24"/>
                <w:szCs w:val="24"/>
                <w:color w:val="auto"/>
              </w:rPr>
            </w:pPr>
          </w:p>
        </w:tc>
      </w:tr>
      <w:tr>
        <w:trPr>
          <w:trHeight w:val="438"/>
        </w:trPr>
        <w:tc>
          <w:tcPr>
            <w:tcW w:w="1000" w:type="dxa"/>
            <w:vAlign w:val="bottom"/>
          </w:tcPr>
          <w:p>
            <w:pPr>
              <w:ind w:left="20"/>
              <w:spacing w:after="0"/>
              <w:rPr>
                <w:sz w:val="20"/>
                <w:szCs w:val="20"/>
                <w:color w:val="auto"/>
              </w:rPr>
            </w:pPr>
            <w:r>
              <w:rPr>
                <w:rFonts w:ascii="Arial" w:cs="Arial" w:eastAsia="Arial" w:hAnsi="Arial"/>
                <w:sz w:val="18"/>
                <w:szCs w:val="18"/>
                <w:color w:val="auto"/>
              </w:rPr>
              <w:t>Item 10.</w:t>
            </w:r>
          </w:p>
        </w:tc>
        <w:tc>
          <w:tcPr>
            <w:tcW w:w="412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i w:val="1"/>
                <w:iCs w:val="1"/>
                <w:color w:val="0000FF"/>
                <w:w w:val="91"/>
              </w:rPr>
              <w:t>Directors, Executive Officers and Corporate Governance</w:t>
            </w:r>
          </w:p>
        </w:tc>
        <w:tc>
          <w:tcPr>
            <w:tcW w:w="5440" w:type="dxa"/>
            <w:vAlign w:val="bottom"/>
            <w:gridSpan w:val="1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Item 11.</w:t>
            </w:r>
          </w:p>
        </w:tc>
        <w:tc>
          <w:tcPr>
            <w:tcW w:w="17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i w:val="1"/>
                <w:iCs w:val="1"/>
                <w:color w:val="0000FF"/>
                <w:w w:val="88"/>
              </w:rPr>
              <w:t>Executive Compensation</w:t>
            </w:r>
          </w:p>
        </w:tc>
        <w:tc>
          <w:tcPr>
            <w:tcW w:w="7780" w:type="dxa"/>
            <w:vAlign w:val="bottom"/>
            <w:gridSpan w:val="22"/>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Item 12.</w:t>
            </w:r>
          </w:p>
        </w:tc>
        <w:tc>
          <w:tcPr>
            <w:tcW w:w="9560" w:type="dxa"/>
            <w:vAlign w:val="bottom"/>
            <w:gridSpan w:val="31"/>
          </w:tcPr>
          <w:p>
            <w:pPr>
              <w:spacing w:after="0"/>
              <w:rPr>
                <w:sz w:val="20"/>
                <w:szCs w:val="20"/>
                <w:color w:val="auto"/>
              </w:rPr>
            </w:pPr>
            <w:r>
              <w:rPr>
                <w:rFonts w:ascii="Arial" w:cs="Arial" w:eastAsia="Arial" w:hAnsi="Arial"/>
                <w:sz w:val="18"/>
                <w:szCs w:val="18"/>
                <w:i w:val="1"/>
                <w:iCs w:val="1"/>
                <w:color w:val="0000FF"/>
              </w:rPr>
              <w:t>Security Ownership of Certain Beneficial Owners and Management and Related Stockholder Matters</w:t>
            </w:r>
          </w:p>
        </w:tc>
        <w:tc>
          <w:tcPr>
            <w:tcW w:w="6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9"/>
          </w:tcPr>
          <w:p>
            <w:pPr>
              <w:spacing w:after="0"/>
              <w:rPr>
                <w:sz w:val="20"/>
                <w:szCs w:val="20"/>
                <w:color w:val="auto"/>
              </w:rPr>
            </w:pPr>
            <w:r>
              <w:rPr>
                <w:rFonts w:ascii="Arial" w:cs="Arial" w:eastAsia="Arial" w:hAnsi="Arial"/>
                <w:sz w:val="18"/>
                <w:szCs w:val="18"/>
                <w:i w:val="1"/>
                <w:iCs w:val="1"/>
                <w:color w:val="0000FF"/>
              </w:rPr>
              <w:t>Certain Relationships and Related Transactions, and Director Independence</w:t>
            </w:r>
          </w:p>
        </w:tc>
        <w:tc>
          <w:tcPr>
            <w:tcW w:w="2280" w:type="dxa"/>
            <w:vAlign w:val="bottom"/>
            <w:gridSpan w:val="2"/>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Item 14.</w:t>
            </w:r>
          </w:p>
        </w:tc>
        <w:tc>
          <w:tcPr>
            <w:tcW w:w="5500" w:type="dxa"/>
            <w:vAlign w:val="bottom"/>
            <w:tcBorders>
              <w:top w:val="single" w:sz="8" w:color="0000EE"/>
            </w:tcBorders>
            <w:gridSpan w:val="26"/>
          </w:tcPr>
          <w:p>
            <w:pPr>
              <w:spacing w:after="0"/>
              <w:rPr>
                <w:sz w:val="20"/>
                <w:szCs w:val="20"/>
                <w:color w:val="auto"/>
              </w:rPr>
            </w:pPr>
            <w:r>
              <w:rPr>
                <w:rFonts w:ascii="Arial" w:cs="Arial" w:eastAsia="Arial" w:hAnsi="Arial"/>
                <w:sz w:val="18"/>
                <w:szCs w:val="18"/>
                <w:i w:val="1"/>
                <w:iCs w:val="1"/>
                <w:color w:val="0000FF"/>
              </w:rPr>
              <w:t>Principal Accounting Fees and Services</w:t>
            </w:r>
          </w:p>
        </w:tc>
        <w:tc>
          <w:tcPr>
            <w:tcW w:w="4060" w:type="dxa"/>
            <w:vAlign w:val="bottom"/>
            <w:gridSpan w:val="5"/>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3"/>
        </w:trPr>
        <w:tc>
          <w:tcPr>
            <w:tcW w:w="1000" w:type="dxa"/>
            <w:vAlign w:val="bottom"/>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80" w:type="dxa"/>
            <w:vAlign w:val="bottom"/>
            <w:tcBorders>
              <w:top w:val="single" w:sz="8" w:color="0000EE"/>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20" w:type="dxa"/>
            <w:vAlign w:val="bottom"/>
            <w:gridSpan w:val="15"/>
          </w:tcPr>
          <w:p>
            <w:pPr>
              <w:jc w:val="center"/>
              <w:ind w:right="4920"/>
              <w:spacing w:after="0"/>
              <w:rPr>
                <w:sz w:val="20"/>
                <w:szCs w:val="20"/>
                <w:color w:val="auto"/>
              </w:rPr>
            </w:pPr>
            <w:r>
              <w:rPr>
                <w:rFonts w:ascii="Arial" w:cs="Arial" w:eastAsia="Arial" w:hAnsi="Arial"/>
                <w:sz w:val="18"/>
                <w:szCs w:val="18"/>
                <w:b w:val="1"/>
                <w:bCs w:val="1"/>
                <w:color w:val="0000FF"/>
                <w:w w:val="98"/>
              </w:rPr>
              <w:t>PART IV</w:t>
            </w:r>
          </w:p>
        </w:tc>
        <w:tc>
          <w:tcPr>
            <w:tcW w:w="680" w:type="dxa"/>
            <w:vAlign w:val="bottom"/>
          </w:tcPr>
          <w:p>
            <w:pPr>
              <w:spacing w:after="0"/>
              <w:rPr>
                <w:sz w:val="19"/>
                <w:szCs w:val="19"/>
                <w:color w:val="auto"/>
              </w:rPr>
            </w:pPr>
          </w:p>
        </w:tc>
      </w:tr>
      <w:tr>
        <w:trPr>
          <w:trHeight w:val="438"/>
        </w:trPr>
        <w:tc>
          <w:tcPr>
            <w:tcW w:w="1000" w:type="dxa"/>
            <w:vAlign w:val="bottom"/>
          </w:tcPr>
          <w:p>
            <w:pPr>
              <w:ind w:left="20"/>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i w:val="1"/>
                <w:iCs w:val="1"/>
                <w:color w:val="0000FF"/>
                <w:w w:val="89"/>
              </w:rPr>
              <w:t>Exhibits and Financial Statement Schedules</w:t>
            </w:r>
          </w:p>
        </w:tc>
        <w:tc>
          <w:tcPr>
            <w:tcW w:w="780" w:type="dxa"/>
            <w:vAlign w:val="bottom"/>
            <w:gridSpan w:val="3"/>
          </w:tcPr>
          <w:p>
            <w:pPr>
              <w:spacing w:after="0"/>
              <w:rPr>
                <w:sz w:val="24"/>
                <w:szCs w:val="24"/>
                <w:color w:val="auto"/>
              </w:rPr>
            </w:pPr>
          </w:p>
        </w:tc>
        <w:tc>
          <w:tcPr>
            <w:tcW w:w="700" w:type="dxa"/>
            <w:vAlign w:val="bottom"/>
            <w:tcBorders>
              <w:top w:val="single" w:sz="8" w:color="0000EE"/>
            </w:tcBorders>
            <w:gridSpan w:val="7"/>
          </w:tcPr>
          <w:p>
            <w:pPr>
              <w:spacing w:after="0"/>
              <w:rPr>
                <w:sz w:val="24"/>
                <w:szCs w:val="24"/>
                <w:color w:val="auto"/>
              </w:rPr>
            </w:pPr>
          </w:p>
        </w:tc>
        <w:tc>
          <w:tcPr>
            <w:tcW w:w="4920" w:type="dxa"/>
            <w:vAlign w:val="bottom"/>
            <w:gridSpan w:val="8"/>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Item 16.</w:t>
            </w:r>
          </w:p>
        </w:tc>
        <w:tc>
          <w:tcPr>
            <w:tcW w:w="15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i w:val="1"/>
                <w:iCs w:val="1"/>
                <w:color w:val="0000FF"/>
                <w:w w:val="89"/>
              </w:rPr>
              <w:t>Form 10-K Summary</w:t>
            </w:r>
          </w:p>
        </w:tc>
        <w:tc>
          <w:tcPr>
            <w:tcW w:w="8040" w:type="dxa"/>
            <w:vAlign w:val="bottom"/>
            <w:gridSpan w:val="24"/>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23"/>
        </w:trPr>
        <w:tc>
          <w:tcPr>
            <w:tcW w:w="1000" w:type="dxa"/>
            <w:vAlign w:val="bottom"/>
          </w:tcPr>
          <w:p>
            <w:pPr>
              <w:spacing w:after="0"/>
              <w:rPr>
                <w:sz w:val="19"/>
                <w:szCs w:val="19"/>
                <w:color w:val="auto"/>
              </w:rPr>
            </w:pPr>
          </w:p>
        </w:tc>
        <w:tc>
          <w:tcPr>
            <w:tcW w:w="7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i w:val="1"/>
                <w:iCs w:val="1"/>
                <w:color w:val="0000FF"/>
                <w:w w:val="85"/>
              </w:rPr>
              <w:t>Signatures</w:t>
            </w:r>
          </w:p>
        </w:tc>
        <w:tc>
          <w:tcPr>
            <w:tcW w:w="8780" w:type="dxa"/>
            <w:vAlign w:val="bottom"/>
            <w:gridSpan w:val="28"/>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681"/>
        </w:trPr>
        <w:tc>
          <w:tcPr>
            <w:tcW w:w="1000" w:type="dxa"/>
            <w:vAlign w:val="bottom"/>
          </w:tcPr>
          <w:p>
            <w:pPr>
              <w:spacing w:after="0"/>
              <w:rPr>
                <w:sz w:val="24"/>
                <w:szCs w:val="24"/>
                <w:color w:val="auto"/>
              </w:rPr>
            </w:pPr>
          </w:p>
        </w:tc>
        <w:tc>
          <w:tcPr>
            <w:tcW w:w="4940" w:type="dxa"/>
            <w:vAlign w:val="bottom"/>
            <w:gridSpan w:val="25"/>
          </w:tcPr>
          <w:p>
            <w:pPr>
              <w:ind w:left="458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175"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i w:val="1"/>
          <w:iCs w:val="1"/>
          <w:color w:val="auto"/>
        </w:rPr>
        <w:t>As used in this report, the terms “we,” “us,” “our,” “GEO” and the “Company” refer to The GEO Group, Inc., its consolidated subsidiaries and its unconsolidated affiliates, unless otherwise expressly stated or the context otherwise requires.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We specialize in the ownership, leasing and management of secure facilities, processing centers and reentry facilities and the provision of community-based services in the United States, Australia and South Africa. We own, lease and operate a broad range of secure facilities including maximum, medium and minimum-security facilities, processing centers, as well as community-based reentry facilities. We develop new facilities based on contract awards, using our project development expertise and experience to design, construct and finance what we believe are state-of-the-art facilities. We provide innovative technologies, industry-leading monitoring services, and evidence-based supervision and treatment programs for community-based programs. We also provide secure transportation services domestically and in the United Kingdom through our joint venture GEOAmey PECS Ltd. (“GEOAmey”). As of December 31, 2022, our worldwide operations included the management and/or ownership of approximately 82,000 beds at 102 secure and community-based facilities, including idle facilities, and also includes the provision of reentry and electronic monitoring and supervision services for more than 500,000 individuals, including over 195,000 individuals through an array of technology products including radio frequency, GPS, and alcohol monitoring devices.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provide a diversified scope of services on behalf of our government agency partners:</w:t>
      </w:r>
    </w:p>
    <w:p>
      <w:pPr>
        <w:spacing w:after="0" w:line="117" w:lineRule="exact"/>
        <w:rPr>
          <w:sz w:val="20"/>
          <w:szCs w:val="20"/>
          <w:color w:val="auto"/>
        </w:rPr>
      </w:pPr>
    </w:p>
    <w:p>
      <w:pPr>
        <w:ind w:left="900" w:right="1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secure facility management services involve the provision of security, administrative, rehabilitation, education, and food services at secure services facilities;</w:t>
      </w:r>
    </w:p>
    <w:p>
      <w:pPr>
        <w:spacing w:after="0" w:line="61" w:lineRule="exact"/>
        <w:rPr>
          <w:rFonts w:ascii="Arial" w:cs="Arial" w:eastAsia="Arial" w:hAnsi="Arial"/>
          <w:sz w:val="18"/>
          <w:szCs w:val="18"/>
          <w:color w:val="auto"/>
        </w:rPr>
      </w:pPr>
    </w:p>
    <w:p>
      <w:pPr>
        <w:ind w:left="900" w:right="500" w:hanging="383"/>
        <w:spacing w:after="0" w:line="263"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reentry services involve supervision of individuals in community-based programs and reentry centers and the provision of temporary housing, programming, employment assistance and other services with the intention of the successful reintegration of residents into the community;</w:t>
      </w:r>
    </w:p>
    <w:p>
      <w:pPr>
        <w:spacing w:after="0" w:line="74"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provide comprehensive electronic monitoring and supervision services;</w:t>
      </w:r>
    </w:p>
    <w:p>
      <w:pPr>
        <w:spacing w:after="0" w:line="116" w:lineRule="exact"/>
        <w:rPr>
          <w:rFonts w:ascii="Arial" w:cs="Arial" w:eastAsia="Arial" w:hAnsi="Arial"/>
          <w:sz w:val="18"/>
          <w:szCs w:val="18"/>
          <w:color w:val="auto"/>
        </w:rPr>
      </w:pPr>
    </w:p>
    <w:p>
      <w:pPr>
        <w:ind w:left="900" w:right="48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develop new facilities, using our project development experience to design, construct and finance what we believe are state-of-the-art facilities;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provide secure transportation services; and</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services are provided at facilities which we either own, lease or are owned by government.</w:t>
      </w:r>
    </w:p>
    <w:p>
      <w:pPr>
        <w:spacing w:after="0" w:line="225"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GEO operated as a real estate investment trust ("REIT") from January 1, 2013 through December 31, 2020. As a REIT, GEO provided services and conducted other business activities through taxable REIT subsidiaries ("TRSs"). A TRS is a subsidiary of a REIT that is subject to applicable corporate income tax rates and certain qualification requirements. GEO’s use of TRSs permitted us to engage in certain business activities in which the REIT could not engage directly, so long as those activities were conducted in entities that elected to be treated as TRSs under the Internal Revenue Code of 1986, as amended, and enabled GEO to, among other things, provide correctional services at facilities it owns and at facilities owned by its government partners. A TRS is not subject to the distribution requirements applicable to REITs so it may retain income generated by its operations for reinvestment.</w:t>
      </w:r>
    </w:p>
    <w:p>
      <w:pPr>
        <w:spacing w:after="0" w:line="109" w:lineRule="exact"/>
        <w:rPr>
          <w:sz w:val="20"/>
          <w:szCs w:val="20"/>
          <w:color w:val="auto"/>
        </w:rPr>
      </w:pPr>
    </w:p>
    <w:p>
      <w:pPr>
        <w:ind w:right="180" w:firstLine="509"/>
        <w:spacing w:after="0" w:line="271" w:lineRule="auto"/>
        <w:rPr>
          <w:sz w:val="20"/>
          <w:szCs w:val="20"/>
          <w:color w:val="auto"/>
        </w:rPr>
      </w:pPr>
      <w:r>
        <w:rPr>
          <w:rFonts w:ascii="Arial" w:cs="Arial" w:eastAsia="Arial" w:hAnsi="Arial"/>
          <w:sz w:val="17"/>
          <w:szCs w:val="17"/>
          <w:color w:val="auto"/>
        </w:rPr>
        <w:t>On December 2, 2021, we announced that our Board of Directors ("Board") unanimously approved a plan to terminate GEO’s REIT election and become a taxable C Corporation, effective for the year ended December 31, 2021. As a result, we are no longer required to operate under REIT rules, including the requirement to distribute at least 90% of REIT taxable income to our stockholders, which provides us with greater flexibility to use our free cash flow. Effective January 1, 2021, we are subject to federal and state income taxes on our taxable income at applicable tax rates and we are no longer entitled to a tax deduction for dividends paid. GEO operated as a REIT for the 2020 tax year, and existing REIT requirements and limitations, including those established by GEO’s organizational documents, remained in place until December 31, 2020. The Board also voted unanimously to discontinue our quarterly dividend payment and prioritize allocating GEO’s free cash flow to reduce debt.</w:t>
      </w:r>
    </w:p>
    <w:p>
      <w:pPr>
        <w:spacing w:after="0" w:line="127"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As a result of GEO’s Board announcing the change in corporate structure to a taxable C Corporation in fiscal year 2021, we incurred a one-time, non-cash deferred tax charge of approximately $70.8 million during the fourth quarter of 2021. We also incurred approximately $29.3 million in incremental income tax expense in the fourth quarter of 2021 due to the resulting higher corporate tax rate for all of 2021, including a catch-up tax expense of approximately $16.8 million in connection with the first three quarters of 2021.</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Business Segments</w:t>
      </w:r>
    </w:p>
    <w:p>
      <w:pPr>
        <w:spacing w:after="0" w:line="175" w:lineRule="exact"/>
        <w:rPr>
          <w:sz w:val="20"/>
          <w:szCs w:val="20"/>
          <w:color w:val="auto"/>
        </w:rPr>
      </w:pPr>
    </w:p>
    <w:p>
      <w:pPr>
        <w:ind w:right="80" w:firstLine="509"/>
        <w:spacing w:after="0" w:line="287" w:lineRule="auto"/>
        <w:rPr>
          <w:sz w:val="20"/>
          <w:szCs w:val="20"/>
          <w:color w:val="auto"/>
        </w:rPr>
      </w:pPr>
      <w:r>
        <w:rPr>
          <w:rFonts w:ascii="Arial" w:cs="Arial" w:eastAsia="Arial" w:hAnsi="Arial"/>
          <w:sz w:val="16"/>
          <w:szCs w:val="16"/>
          <w:color w:val="auto"/>
        </w:rPr>
        <w:t>We conduct our business through four reportable business segments: our U.S. Secure Services segment; our Electronic Monitoring and Supervision Services segment; our Reentry Services segment and our International Services segment. We have identified these four reportable segments to reflect our current view that we operate four distinct business lines, each of which constitutes a material part of our overall business. We have determined that our previously reportable business segment, Facility Construction and Design, no longer qualifies as a reportable segment as it no longer meets certain quantitative thresholds and has been aggregated with our International Services reportable business segment below. In addition, we appointed a new Chief Executive Officer, the chief operating decision maker, during fiscal 2021. Based on changes to the way our chief operating decision maker views the business and financial results used to allocate resources to our electronic monitoring &amp; supervision services operations, along with the growth of the business, we will report the electronic monitoring and supervision services operation as a separate reportable segment. This new segment will be presented as Electronic Monitoring and Supervision Services. Previously, the electronic monitoring and supervision services operations were included in our GEO Care reportable segment. In addition, the GEO Care reportable segment was renamed Reentry Services and will include services provided to adults for residential and non-residential treatment, educational and community-based programs, pre-release and half-way house programs.</w:t>
      </w:r>
    </w:p>
    <w:p>
      <w:pPr>
        <w:spacing w:after="0" w:line="115" w:lineRule="exact"/>
        <w:rPr>
          <w:sz w:val="20"/>
          <w:szCs w:val="20"/>
          <w:color w:val="auto"/>
        </w:rPr>
      </w:pPr>
    </w:p>
    <w:p>
      <w:pPr>
        <w:ind w:right="100" w:firstLine="554"/>
        <w:spacing w:after="0" w:line="255" w:lineRule="auto"/>
        <w:rPr>
          <w:sz w:val="20"/>
          <w:szCs w:val="20"/>
          <w:color w:val="auto"/>
        </w:rPr>
      </w:pPr>
      <w:r>
        <w:rPr>
          <w:rFonts w:ascii="Arial" w:cs="Arial" w:eastAsia="Arial" w:hAnsi="Arial"/>
          <w:sz w:val="18"/>
          <w:szCs w:val="18"/>
          <w:color w:val="auto"/>
        </w:rPr>
        <w:t>Our U.S. Secure Services segment primarily encompasses our U.S.-based public-private partnership secure services business. Our Electronic Monitoring and Supervision Services segment, which conducts its services in the U.S., consists of our electronic monitoring and supervision services. Our Reentry Services segment consists of various community-based and reentry services. Our International Services segment primarily consists of our public-private partnership secure services operations in Australia and South Africa. Financial information about these segments for years 2022, 2021 and 2020 is contained in Note 15 — Business Segments and Geographic Information included in the notes to our audited consolidated financial statements included in Part II, Item 8 of this Annual Report on Form 10-K.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Divestiture</w:t>
      </w:r>
    </w:p>
    <w:p>
      <w:pPr>
        <w:spacing w:after="0" w:line="225" w:lineRule="exact"/>
        <w:rPr>
          <w:sz w:val="20"/>
          <w:szCs w:val="20"/>
          <w:color w:val="auto"/>
        </w:rPr>
      </w:pPr>
    </w:p>
    <w:p>
      <w:pPr>
        <w:ind w:right="120" w:firstLine="180"/>
        <w:spacing w:after="0" w:line="288" w:lineRule="auto"/>
        <w:rPr>
          <w:sz w:val="20"/>
          <w:szCs w:val="20"/>
          <w:color w:val="auto"/>
        </w:rPr>
      </w:pPr>
      <w:r>
        <w:rPr>
          <w:rFonts w:ascii="Arial" w:cs="Arial" w:eastAsia="Arial" w:hAnsi="Arial"/>
          <w:sz w:val="16"/>
          <w:szCs w:val="16"/>
          <w:color w:val="auto"/>
        </w:rPr>
        <w:t>Effective September 20, 2022, we executed a Share and Unit Sale and Purchase Agreement ("SPA") for the sale of our equity investment interest in the government-owned Ravenhall Correctional Centre ("Centre") project in Australia for approximately $84 million in gross proceeds, pre-tax to an unrelated third party. In accordance with the SPA, we sold our shares/units in GEO Australasia Holdings Pty Ltd, GEO Australasia Finance Holdings Pty Ltd and GEO Australasia Finance Holding Trust, our former wholly owned subsidiaries. These subsidiaries held the contract receivable and related non-recourse debt which were transferred to the buyer and are no longer an asset or outstanding obligation of GEO. These subsidiaries also held restricted cash that was also transferred to the buyer. We continue to manage the operations of the Centre on behalf of the State of Victoria. As a result of the sale, we recorded a gain of approximately $29.3 million, pre-tax. The proceeds, along with available cash on hand, were used to repay all of the remaining outstanding principal of our Term Loan B and its newly issued Tranche 3 Loans. Refer to Note 12 - Debt of the Notes to the audited consolidated financial statements included in Part II, Item 8 of this Annual Report on Form 10-K for further discussion.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Developments</w:t>
      </w:r>
    </w:p>
    <w:p>
      <w:pPr>
        <w:spacing w:after="0" w:line="225" w:lineRule="exact"/>
        <w:rPr>
          <w:sz w:val="20"/>
          <w:szCs w:val="20"/>
          <w:color w:val="auto"/>
        </w:rPr>
      </w:pPr>
    </w:p>
    <w:p>
      <w:pPr>
        <w:ind w:right="1620" w:firstLine="225"/>
        <w:spacing w:after="0" w:line="277" w:lineRule="auto"/>
        <w:rPr>
          <w:sz w:val="20"/>
          <w:szCs w:val="20"/>
          <w:color w:val="auto"/>
        </w:rPr>
      </w:pPr>
      <w:r>
        <w:rPr>
          <w:rFonts w:ascii="Arial" w:cs="Arial" w:eastAsia="Arial" w:hAnsi="Arial"/>
          <w:sz w:val="18"/>
          <w:szCs w:val="18"/>
          <w:color w:val="auto"/>
        </w:rPr>
        <w:t>Effective April 6, 2022, Delaware County, Pennsylvania took over management of the managed-only George W. Hill Correctional Facility.</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Our contract with the BOP for our company-owned North Lake Correctional Facility in Michigan expired at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end of September 2022. As of December 31, 2022, we no longer have any contracts with the BOP for secure correctional facilities.</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 received a contract extension with the USMS extending to September 2023 for our company-leased Western Region Detention Facility in California.</w:t>
      </w:r>
    </w:p>
    <w:p>
      <w:pPr>
        <w:spacing w:after="0" w:line="248"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In October 2022, we signed a five-year contract renewal for the 780-bed Florence West Correctional and Rehabilitation Facility in Arizona.</w:t>
      </w:r>
    </w:p>
    <w:p>
      <w:pPr>
        <w:spacing w:after="0" w:line="23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December 2022, we signed a two-year contract renewal for the 3,400-bed Kingman Correctional and Rehabilitation Facility in Arizona.</w:t>
      </w:r>
    </w:p>
    <w:p>
      <w:pPr>
        <w:spacing w:after="0" w:line="225" w:lineRule="exact"/>
        <w:rPr>
          <w:sz w:val="20"/>
          <w:szCs w:val="20"/>
          <w:color w:val="auto"/>
        </w:rPr>
      </w:pPr>
    </w:p>
    <w:p>
      <w:pPr>
        <w:ind w:right="60" w:firstLine="270"/>
        <w:spacing w:after="0" w:line="277" w:lineRule="auto"/>
        <w:rPr>
          <w:sz w:val="20"/>
          <w:szCs w:val="20"/>
          <w:color w:val="auto"/>
        </w:rPr>
      </w:pPr>
      <w:r>
        <w:rPr>
          <w:rFonts w:ascii="Arial" w:cs="Arial" w:eastAsia="Arial" w:hAnsi="Arial"/>
          <w:sz w:val="18"/>
          <w:szCs w:val="18"/>
          <w:color w:val="auto"/>
        </w:rPr>
        <w:t>During the fourth quarter of 2022, we were notified by the USMS of the agency's intent to exercise the five-year contract option period for our 768-bed Robert Deyton Facility in Georgia.</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the fourth quarter of 2022, we renewed five residential reentry contracts, including four contracts with the BOP.</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5" w:right="359" w:bottom="1440" w:gutter="0" w:footer="0" w:header="0"/>
        </w:sectPr>
      </w:pPr>
    </w:p>
    <w:bookmarkStart w:id="5" w:name="page6"/>
    <w:bookmarkEnd w:id="5"/>
    <w:p>
      <w:pPr>
        <w:ind w:right="360" w:firstLine="225"/>
        <w:spacing w:after="0" w:line="263" w:lineRule="auto"/>
        <w:rPr>
          <w:sz w:val="20"/>
          <w:szCs w:val="20"/>
          <w:color w:val="auto"/>
        </w:rPr>
      </w:pPr>
      <w:r>
        <w:rPr>
          <w:rFonts w:ascii="Arial" w:cs="Arial" w:eastAsia="Arial" w:hAnsi="Arial"/>
          <w:sz w:val="18"/>
          <w:szCs w:val="18"/>
          <w:color w:val="auto"/>
        </w:rPr>
        <w:t>On January 9, 2023, we announced that our Australian subsidiary, GEO Australia, had entered into a contract with the Department of Justice and Community Safety in the State of Victoria for delivery of primary health services across thirteen public prisons. The contract will commence on July 1, 2023 and is expected to generate approximately $33 million in incremental annualized revenue for GEO.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Idle Facilities</w:t>
      </w:r>
    </w:p>
    <w:p>
      <w:pPr>
        <w:spacing w:after="0" w:line="171"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In our Secure Services segment, as of December 31, 2022, we are marketing 10,922 vacant beds with a net book value of approximately $306 million at seven of our idle facilities to potential customers. In our Reentry Services segment, as of December 31, 2022, we are marketing 2,139 vacant beds with a net book value of approximately $43 million at four of our idle facilities to potential customers. The combined annual carrying cost of these idle facilities in 2022 is estimated to be $32.8 million, including depreciation expense of $16.5 million. With the exception of a contract pending due diligence for one of our reentry facilities, we currently do not have any firm commitments or agreements in place to activate these facilities but have ongoing contact with several potential customers. Historically, some facilities have been idle for multiple years before they received a new contract award. The per diem rates that we charge our clients often vary by contract across our portfolio. However, if the eleven idle facilities in our Secure Services and Reentry Services segments were to be activated using our Secure Services and Reentry Services average per diem rate in 2022 (calculated as revenue divided by the number of mandays) and based on the average occupancy rate in our facilities for 2022, we would expect to receive annual incremental revenue of approximately $360 million and an increase in annual earnings per share of approximately $.35 to $.40 per share based on our average operating margin.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of Operations</w:t>
      </w:r>
    </w:p>
    <w:p>
      <w:pPr>
        <w:spacing w:after="0" w:line="175"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We operate each facility in accordance with our company-wide policies and procedures and with the standards and guidelines required under the relevant management contract. For many facilities, the standards and guidelines include those established by the American Correctional Association (“ACA”). The ACA is an independent organization of corrections professionals, which establishes correctional facility standards and guidelines that are generally acknowledged as a benchmark by governmental agencies responsible for correctional facilities. Many of our contracts in the United States require us to seek and maintain ACA accreditation for our facilities. We have sought and received ACA accreditation and re-accreditation for all such facilities. We achieved a median re-accreditation score of 100% as of December 31, 2022. Approximately 53% of our 2022 U.S. Secure Services revenue was derived from ACA accredited facilities for the year ended December 31, 2022. We have been successful in achieving and maintaining accreditation under the National Commission on Correctional Health Care ("NCCHC") in a majority of the facilities that we currently operate. The NCCHC accreditation is a voluntary process which we have used to establish comprehensive health care policies and procedures to meet and adhere to the ACA standards. The NCCHC standards, in most cases, exceed ACA Health Care Standards and we have achieved this accreditation at 20 of our U.S. Secure Services facilities and at one reentry services location. Additionally, B.I. Incorporated ("BI") has achieved a certification for ISO 9001:2008 for the design, production, installation and servicing of products and services produced by the electronic monitoring business units, including electronic home arrest and electronic monitoring technology products and monitoring services, installation services, and automated caseload management services.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175"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October 2022, we issued our fourth Human Rights and Environmental, Social and Governance (“ESG”) report. The Human Rights and ESG report builds on the important milestone we achieved in 2013 when our Board adopted a Global Human Rights Policy by providing disclosures related to how we inform our employees of our commitment to respecting human rights; the criteria we use to assess human rights performance; and our contract compliance program, remedies to shortcomings in human rights performance, and independent verification of our performance by third party organizations. The Human Rights and ESG report also addresses criteria, based on recognized ESG reporting standards, related to the development of our employees; our efforts to advance environmental sustainability in the construction and operation of our facilities; and our adherence to ethical governance practices throughout our company. The report covers the year ended December 31, 2021 with supporting data from 2019-2021 where possible. The report showcases, among other items, our company wide awareness and training programs, our commitment to a safe and humane environment for everyone in our care, employee diversity, addressing recidivism through our GEO Continuum of Care, our engagement efforts with our stakeholders, oversight and contract compliance, conservation measures and enhanced environmental sustainability efforts.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ind w:right="380" w:firstLine="509"/>
        <w:spacing w:after="0" w:line="293" w:lineRule="auto"/>
        <w:rPr>
          <w:sz w:val="20"/>
          <w:szCs w:val="20"/>
          <w:color w:val="auto"/>
        </w:rPr>
      </w:pPr>
      <w:r>
        <w:rPr>
          <w:rFonts w:ascii="Arial" w:cs="Arial" w:eastAsia="Arial" w:hAnsi="Arial"/>
          <w:sz w:val="16"/>
          <w:szCs w:val="16"/>
          <w:color w:val="auto"/>
        </w:rPr>
        <w:t>The ESG report was prepared with reference to the GRI Standards related to General Disclosures, Economic Topics, Environmental Topics and Social Topics based on the Global Reporting Initiative, or GRI, issued by the Global Sustainability Standards Board and the UN Guiding Principles on Business and Human Rights. GRI is an international independent standards organization created to help business, government and other organizations understand and communicate how their operations affect issues of global importance, such as human rights, corruption and climate change. We have referenced the GRI Standards and the UN Guiding Principles on Business and Human Rights as we have recognized the need for a transparent and disciplined enterprise-wide approach. In our pursuit of this approach, we have begun with the following set of ongoing objectives:</w:t>
      </w:r>
    </w:p>
    <w:p>
      <w:pPr>
        <w:spacing w:after="0" w:line="163" w:lineRule="exact"/>
        <w:rPr>
          <w:sz w:val="20"/>
          <w:szCs w:val="20"/>
          <w:color w:val="auto"/>
        </w:rPr>
      </w:pPr>
    </w:p>
    <w:p>
      <w:pPr>
        <w:ind w:left="1020" w:right="5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greater transparency for our stakeholders and the general public with respect to our various efforts in all our facilities aimed at respecting human rights.</w:t>
      </w:r>
    </w:p>
    <w:p>
      <w:pPr>
        <w:spacing w:after="0" w:line="169"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Enhance our ability to flag potential issues in all areas of our operations and compress the time it takes to respond with corrective measures.</w:t>
      </w:r>
    </w:p>
    <w:p>
      <w:pPr>
        <w:spacing w:after="0" w:line="247" w:lineRule="exact"/>
        <w:rPr>
          <w:rFonts w:ascii="Arial" w:cs="Arial" w:eastAsia="Arial" w:hAnsi="Arial"/>
          <w:sz w:val="16"/>
          <w:szCs w:val="16"/>
          <w:color w:val="auto"/>
        </w:rPr>
      </w:pPr>
    </w:p>
    <w:p>
      <w:pPr>
        <w:ind w:left="1020" w:right="1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Use widely accepted methodologies for evaluating performance and setting objectives for improvements in corporate governance, corporate social policy, environmental impact and energy conservation.</w:t>
      </w:r>
    </w:p>
    <w:p>
      <w:pPr>
        <w:spacing w:after="0" w:line="169"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The ESG report may be accessed on our website under "Investors-Latest Reports-Latest ESG Report." The information included in the Human Rights and ESG report is not incorporated by reference into this Annual Report on Form 10-K.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 Overview</w:t>
      </w:r>
    </w:p>
    <w:p>
      <w:pPr>
        <w:spacing w:after="0" w:line="175"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Our primary potential customers include: governmental agencies responsible for local, state and federal secure facilities in the United States; governmental agencies responsible for secure facilities in Australia and South Africa; federal, state and local government agencies in the United States responsible for reentry services for adult offenders; federal, state and local government agencies responsible for monitoring community-based parolees, probationers and pretrial defendants; and other foreign governmental agencies. We achieve organic growth through competitive bidding that begins with the issuance by a government agency of a request for proposal, or RFP. We primarily rely on the RFP process for organic growth in our U.S. and international secure services operations as well as in our reentry services and electronic monitoring and supervision services business.</w:t>
      </w:r>
    </w:p>
    <w:p>
      <w:pPr>
        <w:spacing w:after="0" w:line="176"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For our facility management contracts, our state and local experience has been that a period of approximately 60 to 90 days is generally required from the issuance of a request for proposal to the submission of our response to the request for proposal; that between one and four months elapse between the submission of our response and the agency’s award of a contract; and that between one and four months elapse between the award of a contract and the commencement of facility construction or management of the facility, as applicable.</w:t>
      </w:r>
    </w:p>
    <w:p>
      <w:pPr>
        <w:spacing w:after="0" w:line="185"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For our facility management contracts, our federal experience has been that a period of approximately 60 to 90 days is generally required from the issuance of a request for proposal to the submission of our response to the request for proposal; that between 12 and 18 months elapse between the submission of our response and the agency’s award of a contract; and that between four and 18 weeks elapse between the award of a contract and the commencement of facility construction or management of the facility, as applicable.</w:t>
      </w:r>
    </w:p>
    <w:p>
      <w:pPr>
        <w:spacing w:after="0" w:line="185"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If the local, state or federal facility for which an award has been made must be constructed, our experience is that construction usually takes between nine and 24 months to complete, depending on the size and complexity of the project. Therefore, management of a newly constructed facility typically commences between 10 and 28 months after the governmental agency’s award.</w:t>
      </w:r>
    </w:p>
    <w:p>
      <w:pPr>
        <w:spacing w:after="0" w:line="183"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For the services provided by BI, local, state and federal experience has been that a period of approximately 30 to 90 days is generally required from the issuance of an RFP or Invitation to Bid, or ITB, to the submission of our response; that between one and three months elapse between the submission of our response and the agency’s award of a contract; and that between one and three months elapse between the award of a contract and the commencement of a program or the implementation of program operations, as applicable.</w:t>
      </w:r>
    </w:p>
    <w:p>
      <w:pPr>
        <w:spacing w:after="0" w:line="185"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The term of our local, state and federal contracts range from one to five years and some contracts include provisions for optional renewal terms beyond the initial contract term. Contracts can, and are periodically, extended beyond the initial contract term and optional renewal terms through alternative procurement processes including sole source justification processes, cooperative procurement vehicles and agency decisions to add extension time periods.</w:t>
      </w:r>
    </w:p>
    <w:p>
      <w:pPr>
        <w:spacing w:after="0" w:line="185"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We believe that our long operating history and reputation have earned us credibility with both existing and prospective customers when bidding on new facility management contracts or when renewing existing contracts.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2" w:right="359" w:bottom="1440" w:gutter="0" w:footer="0" w:header="0"/>
        </w:sectPr>
      </w:pPr>
    </w:p>
    <w:bookmarkStart w:id="7" w:name="page8"/>
    <w:bookmarkEnd w:id="7"/>
    <w:p>
      <w:pPr>
        <w:ind w:right="220" w:firstLine="554"/>
        <w:spacing w:after="0" w:line="311" w:lineRule="auto"/>
        <w:rPr>
          <w:sz w:val="20"/>
          <w:szCs w:val="20"/>
          <w:color w:val="auto"/>
        </w:rPr>
      </w:pPr>
      <w:r>
        <w:rPr>
          <w:rFonts w:ascii="Arial" w:cs="Arial" w:eastAsia="Arial" w:hAnsi="Arial"/>
          <w:sz w:val="16"/>
          <w:szCs w:val="16"/>
          <w:color w:val="auto"/>
        </w:rPr>
        <w:t>We also plan to leverage our experience and scale of service offerings to expand the range of public-private partnership services that we provide. We have engaged and intend in the future to engage independent consultants to assist us in developing public-private partnership opportunities and in responding to requests for proposals, monitoring the legislative and business climate, and maintaining relationships with existing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Design, Construction and Finance</w:t>
      </w:r>
    </w:p>
    <w:p>
      <w:pPr>
        <w:spacing w:after="0" w:line="175"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We offer governmental agencies consultation and management services relating to the design and construction of new secure facilities and the redesign and renovation of older facilities including facilities we own, lease or manage as well as facilities we do not own, lease or manage. Domestically, as of December 31, 2022, we have provided services for the design and construction of approximately 20 facilities and for the redesign, renovation and expansion of approximately 21 facilities.</w:t>
      </w:r>
    </w:p>
    <w:p>
      <w:pPr>
        <w:spacing w:after="0" w:line="185"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Contracts to design and construct or to redesign and renovate facilities may be financed in a variety of ways. Governmental agencies may finance the construction of such facilities through any of the following methods:</w:t>
      </w:r>
    </w:p>
    <w:p>
      <w:pPr>
        <w:spacing w:after="0" w:line="169" w:lineRule="exact"/>
        <w:rPr>
          <w:sz w:val="20"/>
          <w:szCs w:val="20"/>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one time general revenue appropriation by the governmental agency for the cost of the new facility;</w:t>
      </w:r>
    </w:p>
    <w:p>
      <w:pPr>
        <w:spacing w:after="0" w:line="224"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obligation bonds that are secured by either a limited or unlimited tax levy by the issuing governmental entity; or</w:t>
      </w:r>
    </w:p>
    <w:p>
      <w:pPr>
        <w:spacing w:after="0" w:line="224" w:lineRule="exact"/>
        <w:rPr>
          <w:rFonts w:ascii="Arial" w:cs="Arial" w:eastAsia="Arial" w:hAnsi="Arial"/>
          <w:sz w:val="18"/>
          <w:szCs w:val="18"/>
          <w:color w:val="auto"/>
        </w:rPr>
      </w:pPr>
    </w:p>
    <w:p>
      <w:pPr>
        <w:ind w:left="1020" w:right="86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bonds or certificates of participation secured by an annual lease payment that is subject to annual or bi-annual legislative appropriations.</w:t>
      </w:r>
    </w:p>
    <w:p>
      <w:pPr>
        <w:spacing w:after="0" w:line="169" w:lineRule="exact"/>
        <w:rPr>
          <w:sz w:val="20"/>
          <w:szCs w:val="20"/>
          <w:color w:val="auto"/>
        </w:rPr>
      </w:pPr>
    </w:p>
    <w:p>
      <w:pPr>
        <w:ind w:right="740" w:firstLine="509"/>
        <w:spacing w:after="0" w:line="277" w:lineRule="auto"/>
        <w:rPr>
          <w:sz w:val="20"/>
          <w:szCs w:val="20"/>
          <w:color w:val="auto"/>
        </w:rPr>
      </w:pPr>
      <w:r>
        <w:rPr>
          <w:rFonts w:ascii="Arial" w:cs="Arial" w:eastAsia="Arial" w:hAnsi="Arial"/>
          <w:sz w:val="18"/>
          <w:szCs w:val="18"/>
          <w:color w:val="auto"/>
        </w:rPr>
        <w:t>We may also act as a source of financing or as a facilitator with respect to the financing of the construction of a facility. In these cases, the construction of such facilities may be financed through various methods including the following:</w:t>
      </w:r>
    </w:p>
    <w:p>
      <w:pPr>
        <w:spacing w:after="0" w:line="169" w:lineRule="exact"/>
        <w:rPr>
          <w:sz w:val="20"/>
          <w:szCs w:val="20"/>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funds from equity offerings of our stock;</w:t>
      </w:r>
    </w:p>
    <w:p>
      <w:pPr>
        <w:spacing w:after="0" w:line="224"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on hand and/or cash flows from our operations;</w:t>
      </w:r>
    </w:p>
    <w:p>
      <w:pPr>
        <w:spacing w:after="0" w:line="224"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borrowings by us from banks or other institutions (which may or may not be subject to government guarantees in the event of contract termination);</w:t>
      </w:r>
    </w:p>
    <w:p>
      <w:pPr>
        <w:spacing w:after="0" w:line="169"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funds from debt offerings of our notes; or</w:t>
      </w:r>
    </w:p>
    <w:p>
      <w:pPr>
        <w:spacing w:after="0" w:line="224"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lease arrangements with third parties.</w:t>
      </w:r>
    </w:p>
    <w:p>
      <w:pPr>
        <w:spacing w:after="0" w:line="225"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If the project is financed using direct governmental appropriations, with proceeds of the sale of bonds or other obligations issued prior to the award of the project, then financing is in place when the contract relating to the construction or renovation project is executed. If the project is financed using project-specific tax-exempt bonds or other obligations, the construction contract is generally subject to the sale of such bonds or obligations. Generally, substantial expenditures for construction will not be made on such a project until the tax-exempt bonds or other obligations are sold; and, if such bonds or obligations are not sold, construction and therefore, management of the facility, may either be delayed until alternative financing is procured or the development of the project will be suspended or entirely canceled. If the project is self-financed by us, then financing is generally in place prior to the commencement of construction.</w:t>
      </w:r>
    </w:p>
    <w:p>
      <w:pPr>
        <w:spacing w:after="0" w:line="193"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Under our construction and design management contracts, we generally agree to be responsible for overall project development and completion. We typically act as the primary developer on construction contracts for facilities and subcontract with bonded National and/or Regional Design Build Contractors. Where possible, we subcontract with construction companies that we have worked with previously. We make use of an in-house staff of architects and operational experts from various service disciplines (e.g. security, medical service, food service, programs and facility maintenance) as part of the team that participates from conceptual design through final construction of the project. The staff coordinates all aspects of the development with subcontractors and provides site-specific services.</w:t>
      </w:r>
    </w:p>
    <w:p>
      <w:pPr>
        <w:spacing w:after="0" w:line="19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When designing a facility, our architects use, with appropriate modifications, prototype designs we have used in developing prior projects. We believe that the use of these designs allows us to reduce the potential of cost overruns and construction delays, thus controlling costs both to construct and to manage the facility. Our facility designs also maintain security because they increase the area under direct surveillance by correctional officers and make use of additional electronic surveillance.</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2" w:right="3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Competitive Strengths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Long-Term Relationships with High-Quality Government Customers</w:t>
      </w:r>
    </w:p>
    <w:p>
      <w:pPr>
        <w:spacing w:after="0" w:line="171" w:lineRule="exact"/>
        <w:rPr>
          <w:sz w:val="20"/>
          <w:szCs w:val="20"/>
          <w:color w:val="auto"/>
        </w:rPr>
      </w:pPr>
    </w:p>
    <w:p>
      <w:pPr>
        <w:jc w:val="both"/>
        <w:ind w:right="120" w:firstLine="509"/>
        <w:spacing w:after="0" w:line="301" w:lineRule="auto"/>
        <w:rPr>
          <w:sz w:val="20"/>
          <w:szCs w:val="20"/>
          <w:color w:val="auto"/>
        </w:rPr>
      </w:pPr>
      <w:r>
        <w:rPr>
          <w:rFonts w:ascii="Arial" w:cs="Arial" w:eastAsia="Arial" w:hAnsi="Arial"/>
          <w:sz w:val="16"/>
          <w:szCs w:val="16"/>
          <w:color w:val="auto"/>
        </w:rPr>
        <w:t>We have developed long-term relationships with our federal, state and other governmental customers, which we believe enhance our ability to win new contracts and retain existing business. We have provided secure management services to the United States Federal Government for 36 years, the State of California for 34 years, the State of Texas for approximately 35 years, various Australian state government entities for 31 years and the State of Florida for approximately 29 years. These customers accounted for approximately 78% of our consolidated revenues for the fiscal year ended December 31, 2022.</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Recurring Revenue with Strong Cash Flow</w:t>
      </w:r>
    </w:p>
    <w:p>
      <w:pPr>
        <w:spacing w:after="0" w:line="171"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Our revenue base has historically been derived from our long-term customer relationships. We have historically been able to expand our revenue base by continuing to reinvest our strong operating cash flow into expansionary projects and through strategic acquisitions that provide scale and further enhance our service offerings. Our consolidated revenues have grown to approximately $2.4 billion in 2022. We expect our operating cash flow to be well in excess of our anticipated annual maintenance capital expenditure needs, which would provide us significant flexibility for the repayment of indebtedness.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Sizeable International Business</w:t>
      </w:r>
    </w:p>
    <w:p>
      <w:pPr>
        <w:spacing w:after="0" w:line="171"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Our international infrastructure, which leverages our operational excellence in the U.S., allows us to aggressively target foreign opportunities that our U.S. based competitors without overseas operations may have difficulty pursuing. We currently have international operations in Australia, South Africa and the United Kingdom. Our international services business generated approximately $187.2 million of revenues, representing approximately 8% of our consolidated revenues for the year ended December 31, 2022. We believe we are well positioned to continue benefiting from foreign governments’ initiatives to enter into public-private partnerships for secure services.</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Experienced, Proven Senior Management Team</w:t>
      </w:r>
    </w:p>
    <w:p>
      <w:pPr>
        <w:spacing w:after="0" w:line="171" w:lineRule="exact"/>
        <w:rPr>
          <w:sz w:val="20"/>
          <w:szCs w:val="20"/>
          <w:color w:val="auto"/>
        </w:rPr>
      </w:pPr>
    </w:p>
    <w:p>
      <w:pPr>
        <w:ind w:right="100" w:firstLine="509"/>
        <w:spacing w:after="0" w:line="291" w:lineRule="auto"/>
        <w:rPr>
          <w:sz w:val="20"/>
          <w:szCs w:val="20"/>
          <w:color w:val="auto"/>
        </w:rPr>
      </w:pPr>
      <w:r>
        <w:rPr>
          <w:rFonts w:ascii="Arial" w:cs="Arial" w:eastAsia="Arial" w:hAnsi="Arial"/>
          <w:sz w:val="16"/>
          <w:szCs w:val="16"/>
          <w:color w:val="auto"/>
        </w:rPr>
        <w:t>Our Executive Chairman and founder, George C. Zoley, Ph.D., has provided senior leadership for our Company for 38 years and has established a track record of growth and profitability. Under his leadership and guidance, our annual consolidated revenues from operations have grown from $207.0 million in 1997 to approximately $2.4 billion in 2022. Dr. Zoley is one of the pioneers of the industry, having developed and opened what we believe to be one of the first public-private partnership secure services facilities in the U.S. in 1986. Our Chief Executive Officer, Jose Gordo has over 21 years of experience in business management, private equity, corporate finance and business law and a long history of working with GEO. Our Chief Financial Officer, Brian R. Evans, has been with our Company for over 22 years and led our recent dispositions, our review and analysis with the Board of our corporate tax structure, and our financing activities. Our top seven senior executives have an average tenure with our Company of approximately 10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Strategies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Provide High Quality, Comprehensive Services and Cost Savings Throughout the Corrections Lifecycle</w:t>
      </w:r>
    </w:p>
    <w:p>
      <w:pPr>
        <w:spacing w:after="0" w:line="171"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Our objective is to provide federal, state and local governmental agencies with a comprehensive offering of high quality, essential services at a lower cost than they themselves could achieve. We believe government agencies facing budgetary constraints will increasingly seek to outsource a greater proportion of their correctional needs to reliable providers that can enhance quality of service at a reduced cost. We believe our expanded and diversified service offerings uniquely position us to bundle our high-quality services and provide a comprehensive continuum of care for our clients, which we believe will lead to lower cost outcomes for our clients and larger scale business opportunities for us.</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Maintain Disciplined Operating Approach</w:t>
      </w:r>
    </w:p>
    <w:p>
      <w:pPr>
        <w:spacing w:after="0" w:line="171"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We refrain from pursuing contracts that we do not believe will yield attractive profit margins in relation to the associated operational risks. In addition, although we engage in facility development from time to time without having a corresponding management contract award in place, we endeavor to do so only where we have determined that there is medium to long-term client demand for a facility in that geographical area. We have also elected not to enter certain international markets with a history of economic and political instability. We believe that our strategy of emphasizing lower risk and higher profit opportunities helps us to consistently deliver strong operational performance, lower our costs and increase our overall profitability.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ind w:left="260"/>
        <w:spacing w:after="0"/>
        <w:rPr>
          <w:sz w:val="20"/>
          <w:szCs w:val="20"/>
          <w:color w:val="auto"/>
        </w:rPr>
      </w:pPr>
      <w:r>
        <w:rPr>
          <w:rFonts w:ascii="Arial" w:cs="Arial" w:eastAsia="Arial" w:hAnsi="Arial"/>
          <w:sz w:val="18"/>
          <w:szCs w:val="18"/>
          <w:b w:val="1"/>
          <w:bCs w:val="1"/>
          <w:i w:val="1"/>
          <w:iCs w:val="1"/>
          <w:color w:val="auto"/>
        </w:rPr>
        <w:t>Pursue International Growth Opportunities</w:t>
      </w:r>
    </w:p>
    <w:p>
      <w:pPr>
        <w:spacing w:after="0" w:line="171"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As a global provider of public-private partnership secure services, we are able to capitalize on opportunities to operate existing or new facilities on behalf of foreign governments. We have seen increased business development opportunities including opportunities to cross sell our expanded service offerings in recent years in the international markets in which we operate. We will continue to actively bid on new international projects in our current markets and in new markets that fit our target profile for profitability and operational risk.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Patents</w:t>
      </w:r>
    </w:p>
    <w:p>
      <w:pPr>
        <w:spacing w:after="0" w:line="25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have numerous United States and foreign patents issued as well as a number of United States patents pending in the electronic monitoring space. We believe these patents protect our intellectual property rights and provide us with a competitive advantage by seeking to prevent our competitors from duplicating our technology and/or products in the electronic monitoring line of business. The remaining duration of our patents range from 18 months to 20 years.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99"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Facilities and Day Reporting Centers</w:t>
      </w:r>
    </w:p>
    <w:p>
      <w:pPr>
        <w:spacing w:after="0" w:line="175" w:lineRule="exact"/>
        <w:rPr>
          <w:sz w:val="20"/>
          <w:szCs w:val="20"/>
          <w:color w:val="auto"/>
        </w:rPr>
      </w:pPr>
    </w:p>
    <w:p>
      <w:pPr>
        <w:ind w:right="400" w:firstLine="509"/>
        <w:spacing w:after="0" w:line="259" w:lineRule="auto"/>
        <w:rPr>
          <w:sz w:val="20"/>
          <w:szCs w:val="20"/>
          <w:color w:val="auto"/>
        </w:rPr>
      </w:pPr>
      <w:r>
        <w:rPr>
          <w:rFonts w:ascii="Arial" w:cs="Arial" w:eastAsia="Arial" w:hAnsi="Arial"/>
          <w:sz w:val="18"/>
          <w:szCs w:val="18"/>
          <w:color w:val="auto"/>
        </w:rPr>
        <w:t>The following table summarizes certain information with respect to our U.S. and international secure services facilities and our reentry services facilities. The information in the table includes the facilities that we (or a subsidiary or joint venture of GEO) owned, operated under a management contract, had an agreement to provide services, had an award to manage or was in the process of constructing or expanding during the year ended December 31,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Primary</w:t>
            </w:r>
          </w:p>
        </w:tc>
        <w:tc>
          <w:tcPr>
            <w:tcW w:w="80" w:type="dxa"/>
            <w:vAlign w:val="bottom"/>
          </w:tcPr>
          <w:p>
            <w:pPr>
              <w:spacing w:after="0"/>
              <w:rPr>
                <w:sz w:val="14"/>
                <w:szCs w:val="14"/>
                <w:color w:val="auto"/>
              </w:rPr>
            </w:pPr>
          </w:p>
        </w:tc>
        <w:tc>
          <w:tcPr>
            <w:tcW w:w="10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Commencement</w:t>
            </w:r>
          </w:p>
        </w:tc>
        <w:tc>
          <w:tcPr>
            <w:tcW w:w="10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Base</w:t>
            </w:r>
          </w:p>
        </w:tc>
        <w:tc>
          <w:tcPr>
            <w:tcW w:w="10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Renewal</w:t>
            </w: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Managed</w:t>
            </w:r>
          </w:p>
        </w:tc>
        <w:tc>
          <w:tcPr>
            <w:tcW w:w="0" w:type="dxa"/>
            <w:vAlign w:val="bottom"/>
          </w:tcPr>
          <w:p>
            <w:pPr>
              <w:spacing w:after="0"/>
              <w:rPr>
                <w:sz w:val="1"/>
                <w:szCs w:val="1"/>
                <w:color w:val="auto"/>
              </w:rPr>
            </w:pPr>
          </w:p>
        </w:tc>
      </w:tr>
      <w:tr>
        <w:trPr>
          <w:trHeight w:val="148"/>
        </w:trPr>
        <w:tc>
          <w:tcPr>
            <w:tcW w:w="16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Facility Name &amp; Location</w:t>
            </w:r>
          </w:p>
        </w:tc>
        <w:tc>
          <w:tcPr>
            <w:tcW w:w="100" w:type="dxa"/>
            <w:vAlign w:val="bottom"/>
          </w:tcPr>
          <w:p>
            <w:pPr>
              <w:spacing w:after="0"/>
              <w:rPr>
                <w:sz w:val="12"/>
                <w:szCs w:val="12"/>
                <w:color w:val="auto"/>
              </w:rPr>
            </w:pPr>
          </w:p>
        </w:tc>
        <w:tc>
          <w:tcPr>
            <w:tcW w:w="10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Capacity(1)</w:t>
            </w: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of Current</w:t>
            </w: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Leased/</w:t>
            </w:r>
          </w:p>
        </w:tc>
        <w:tc>
          <w:tcPr>
            <w:tcW w:w="0" w:type="dxa"/>
            <w:vAlign w:val="bottom"/>
          </w:tcPr>
          <w:p>
            <w:pPr>
              <w:spacing w:after="0"/>
              <w:rPr>
                <w:sz w:val="1"/>
                <w:szCs w:val="1"/>
                <w:color w:val="auto"/>
              </w:rPr>
            </w:pPr>
          </w:p>
        </w:tc>
      </w:tr>
      <w:tr>
        <w:trPr>
          <w:trHeight w:val="185"/>
        </w:trPr>
        <w:tc>
          <w:tcPr>
            <w:tcW w:w="1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Customer</w:t>
            </w:r>
          </w:p>
        </w:tc>
        <w:tc>
          <w:tcPr>
            <w:tcW w:w="8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Contract</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37"/>
        </w:trPr>
        <w:tc>
          <w:tcPr>
            <w:tcW w:w="166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b w:val="1"/>
                <w:bCs w:val="1"/>
                <w:i w:val="1"/>
                <w:iCs w:val="1"/>
                <w:color w:val="auto"/>
                <w:w w:val="87"/>
              </w:rPr>
              <w:t>Secure Services — Western</w:t>
            </w:r>
          </w:p>
        </w:tc>
        <w:tc>
          <w:tcPr>
            <w:tcW w:w="1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660" w:type="dxa"/>
            <w:vAlign w:val="bottom"/>
            <w:shd w:val="clear" w:color="auto" w:fill="CFF0FC"/>
          </w:tcPr>
          <w:p>
            <w:pPr>
              <w:ind w:left="20"/>
              <w:spacing w:after="0"/>
              <w:rPr>
                <w:sz w:val="20"/>
                <w:szCs w:val="20"/>
                <w:color w:val="auto"/>
              </w:rPr>
            </w:pPr>
            <w:r>
              <w:rPr>
                <w:rFonts w:ascii="Arial" w:cs="Arial" w:eastAsia="Arial" w:hAnsi="Arial"/>
                <w:sz w:val="14"/>
                <w:szCs w:val="14"/>
                <w:b w:val="1"/>
                <w:bCs w:val="1"/>
                <w:i w:val="1"/>
                <w:iCs w:val="1"/>
                <w:color w:val="auto"/>
              </w:rPr>
              <w:t>Region:</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660" w:type="dxa"/>
            <w:vAlign w:val="bottom"/>
          </w:tcPr>
          <w:p>
            <w:pPr>
              <w:ind w:left="20"/>
              <w:spacing w:after="0" w:line="143" w:lineRule="exact"/>
              <w:rPr>
                <w:sz w:val="20"/>
                <w:szCs w:val="20"/>
                <w:color w:val="auto"/>
              </w:rPr>
            </w:pPr>
            <w:r>
              <w:rPr>
                <w:rFonts w:ascii="Arial" w:cs="Arial" w:eastAsia="Arial" w:hAnsi="Arial"/>
                <w:sz w:val="14"/>
                <w:szCs w:val="14"/>
                <w:color w:val="auto"/>
              </w:rPr>
              <w:t>Adelanto ICE Processing</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Arial" w:cs="Arial" w:eastAsia="Arial" w:hAnsi="Arial"/>
                <w:sz w:val="14"/>
                <w:szCs w:val="14"/>
                <w:color w:val="auto"/>
                <w:w w:val="88"/>
              </w:rPr>
              <w:t>Federal</w:t>
            </w: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60" w:type="dxa"/>
            <w:vAlign w:val="bottom"/>
          </w:tcPr>
          <w:p>
            <w:pPr>
              <w:ind w:left="20"/>
              <w:spacing w:after="0"/>
              <w:rPr>
                <w:sz w:val="20"/>
                <w:szCs w:val="20"/>
                <w:color w:val="auto"/>
              </w:rPr>
            </w:pPr>
            <w:r>
              <w:rPr>
                <w:rFonts w:ascii="Arial" w:cs="Arial" w:eastAsia="Arial" w:hAnsi="Arial"/>
                <w:sz w:val="14"/>
                <w:szCs w:val="14"/>
                <w:color w:val="auto"/>
              </w:rPr>
              <w:t>Center, Adelanto, CA</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1,940</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ICE</w:t>
            </w: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Detention</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Minimum/Medium</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2"/>
              </w:rPr>
              <w:t>December 2019</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7"/>
              </w:rPr>
              <w:t>5 years</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6"/>
              </w:rPr>
              <w:t>Two, five year</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Owned</w:t>
            </w:r>
          </w:p>
        </w:tc>
        <w:tc>
          <w:tcPr>
            <w:tcW w:w="0" w:type="dxa"/>
            <w:vAlign w:val="bottom"/>
          </w:tcPr>
          <w:p>
            <w:pPr>
              <w:spacing w:after="0"/>
              <w:rPr>
                <w:sz w:val="1"/>
                <w:szCs w:val="1"/>
                <w:color w:val="auto"/>
              </w:rPr>
            </w:pPr>
          </w:p>
        </w:tc>
      </w:tr>
      <w:tr>
        <w:trPr>
          <w:trHeight w:val="143"/>
        </w:trPr>
        <w:tc>
          <w:tcPr>
            <w:tcW w:w="16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Aurora/CE Processing</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88"/>
              </w:rPr>
              <w:t>Federal</w:t>
            </w: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90"/>
              </w:rPr>
              <w:t>September</w:t>
            </w: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Center Aurora, CO (2)</w:t>
            </w:r>
          </w:p>
        </w:tc>
        <w:tc>
          <w:tcPr>
            <w:tcW w:w="11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1,532</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ICE / USMS</w:t>
            </w:r>
          </w:p>
        </w:tc>
        <w:tc>
          <w:tcPr>
            <w:tcW w:w="80" w:type="dxa"/>
            <w:vAlign w:val="bottom"/>
            <w:shd w:val="clear" w:color="auto" w:fill="CFF0FC"/>
          </w:tcPr>
          <w:p>
            <w:pPr>
              <w:spacing w:after="0"/>
              <w:rPr>
                <w:sz w:val="15"/>
                <w:szCs w:val="15"/>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Detention</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All Levels</w:t>
            </w: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2011/October 2012</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1 year</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Four, one-year</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Owned</w:t>
            </w:r>
          </w:p>
        </w:tc>
        <w:tc>
          <w:tcPr>
            <w:tcW w:w="0" w:type="dxa"/>
            <w:vAlign w:val="bottom"/>
          </w:tcPr>
          <w:p>
            <w:pPr>
              <w:spacing w:after="0"/>
              <w:rPr>
                <w:sz w:val="1"/>
                <w:szCs w:val="1"/>
                <w:color w:val="auto"/>
              </w:rPr>
            </w:pPr>
          </w:p>
        </w:tc>
      </w:tr>
      <w:tr>
        <w:trPr>
          <w:trHeight w:val="143"/>
        </w:trPr>
        <w:tc>
          <w:tcPr>
            <w:tcW w:w="1660" w:type="dxa"/>
            <w:vAlign w:val="bottom"/>
          </w:tcPr>
          <w:p>
            <w:pPr>
              <w:ind w:left="20"/>
              <w:spacing w:after="0" w:line="143" w:lineRule="exact"/>
              <w:rPr>
                <w:sz w:val="20"/>
                <w:szCs w:val="20"/>
                <w:color w:val="auto"/>
              </w:rPr>
            </w:pPr>
            <w:r>
              <w:rPr>
                <w:rFonts w:ascii="Arial" w:cs="Arial" w:eastAsia="Arial" w:hAnsi="Arial"/>
                <w:sz w:val="14"/>
                <w:szCs w:val="14"/>
                <w:color w:val="auto"/>
              </w:rPr>
              <w:t>Central Arizona</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ind w:left="20"/>
              <w:spacing w:after="0" w:line="149" w:lineRule="exact"/>
              <w:rPr>
                <w:sz w:val="20"/>
                <w:szCs w:val="20"/>
                <w:color w:val="auto"/>
              </w:rPr>
            </w:pPr>
            <w:r>
              <w:rPr>
                <w:rFonts w:ascii="Arial" w:cs="Arial" w:eastAsia="Arial" w:hAnsi="Arial"/>
                <w:sz w:val="14"/>
                <w:szCs w:val="14"/>
                <w:color w:val="auto"/>
              </w:rPr>
              <w:t>Correctional and</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8"/>
              </w:rPr>
              <w:t>State Sex</w:t>
            </w: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ind w:left="20"/>
              <w:spacing w:after="0" w:line="149" w:lineRule="exact"/>
              <w:rPr>
                <w:sz w:val="20"/>
                <w:szCs w:val="20"/>
                <w:color w:val="auto"/>
              </w:rPr>
            </w:pPr>
            <w:r>
              <w:rPr>
                <w:rFonts w:ascii="Arial" w:cs="Arial" w:eastAsia="Arial" w:hAnsi="Arial"/>
                <w:sz w:val="14"/>
                <w:szCs w:val="14"/>
                <w:color w:val="auto"/>
              </w:rPr>
              <w:t>Rehabilitation Facility</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1"/>
              </w:rPr>
              <w:t>Offender</w:t>
            </w: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60" w:type="dxa"/>
            <w:vAlign w:val="bottom"/>
          </w:tcPr>
          <w:p>
            <w:pPr>
              <w:ind w:left="20"/>
              <w:spacing w:after="0"/>
              <w:rPr>
                <w:sz w:val="20"/>
                <w:szCs w:val="20"/>
                <w:color w:val="auto"/>
              </w:rPr>
            </w:pPr>
            <w:r>
              <w:rPr>
                <w:rFonts w:ascii="Arial" w:cs="Arial" w:eastAsia="Arial" w:hAnsi="Arial"/>
                <w:sz w:val="14"/>
                <w:szCs w:val="14"/>
                <w:color w:val="auto"/>
              </w:rPr>
              <w:t>Florence, AZ</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1,280</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AZ DOC</w:t>
            </w: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Minimum/Medium</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2"/>
              </w:rPr>
              <w:t>December 2006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10 years</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Two, Five-year</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Managed</w:t>
            </w:r>
          </w:p>
        </w:tc>
        <w:tc>
          <w:tcPr>
            <w:tcW w:w="0" w:type="dxa"/>
            <w:vAlign w:val="bottom"/>
          </w:tcPr>
          <w:p>
            <w:pPr>
              <w:spacing w:after="0"/>
              <w:rPr>
                <w:sz w:val="1"/>
                <w:szCs w:val="1"/>
                <w:color w:val="auto"/>
              </w:rPr>
            </w:pPr>
          </w:p>
        </w:tc>
      </w:tr>
      <w:tr>
        <w:trPr>
          <w:trHeight w:val="143"/>
        </w:trPr>
        <w:tc>
          <w:tcPr>
            <w:tcW w:w="16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Central Valley Annex</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88"/>
              </w:rPr>
              <w:t>Federal</w:t>
            </w: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92"/>
              </w:rPr>
              <w:t>December</w:t>
            </w: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97"/>
              </w:rPr>
              <w:t>Two, Five-</w:t>
            </w: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McFarland, CA (2)</w:t>
            </w:r>
          </w:p>
        </w:tc>
        <w:tc>
          <w:tcPr>
            <w:tcW w:w="11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ICE / USMS</w:t>
            </w:r>
          </w:p>
        </w:tc>
        <w:tc>
          <w:tcPr>
            <w:tcW w:w="80" w:type="dxa"/>
            <w:vAlign w:val="bottom"/>
            <w:shd w:val="clear" w:color="auto" w:fill="CFF0FC"/>
          </w:tcPr>
          <w:p>
            <w:pPr>
              <w:spacing w:after="0"/>
              <w:rPr>
                <w:sz w:val="15"/>
                <w:szCs w:val="15"/>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Detention</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Medium</w:t>
            </w: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2019/January 2021</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5 years/1 year</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year/one-year</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Owned</w:t>
            </w:r>
          </w:p>
        </w:tc>
        <w:tc>
          <w:tcPr>
            <w:tcW w:w="0" w:type="dxa"/>
            <w:vAlign w:val="bottom"/>
          </w:tcPr>
          <w:p>
            <w:pPr>
              <w:spacing w:after="0"/>
              <w:rPr>
                <w:sz w:val="1"/>
                <w:szCs w:val="1"/>
                <w:color w:val="auto"/>
              </w:rPr>
            </w:pPr>
          </w:p>
        </w:tc>
      </w:tr>
      <w:tr>
        <w:trPr>
          <w:trHeight w:val="143"/>
        </w:trPr>
        <w:tc>
          <w:tcPr>
            <w:tcW w:w="1660" w:type="dxa"/>
            <w:vAlign w:val="bottom"/>
          </w:tcPr>
          <w:p>
            <w:pPr>
              <w:ind w:left="20"/>
              <w:spacing w:after="0" w:line="143" w:lineRule="exact"/>
              <w:rPr>
                <w:sz w:val="20"/>
                <w:szCs w:val="20"/>
                <w:color w:val="auto"/>
              </w:rPr>
            </w:pPr>
            <w:r>
              <w:rPr>
                <w:rFonts w:ascii="Arial" w:cs="Arial" w:eastAsia="Arial" w:hAnsi="Arial"/>
                <w:sz w:val="14"/>
                <w:szCs w:val="14"/>
                <w:color w:val="auto"/>
              </w:rPr>
              <w:t>Desert View Annex</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Arial" w:cs="Arial" w:eastAsia="Arial" w:hAnsi="Arial"/>
                <w:sz w:val="14"/>
                <w:szCs w:val="14"/>
                <w:color w:val="auto"/>
                <w:w w:val="88"/>
              </w:rPr>
              <w:t>Federal</w:t>
            </w: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60" w:type="dxa"/>
            <w:vAlign w:val="bottom"/>
          </w:tcPr>
          <w:p>
            <w:pPr>
              <w:ind w:left="20"/>
              <w:spacing w:after="0"/>
              <w:rPr>
                <w:sz w:val="20"/>
                <w:szCs w:val="20"/>
                <w:color w:val="auto"/>
              </w:rPr>
            </w:pPr>
            <w:r>
              <w:rPr>
                <w:rFonts w:ascii="Arial" w:cs="Arial" w:eastAsia="Arial" w:hAnsi="Arial"/>
                <w:sz w:val="14"/>
                <w:szCs w:val="14"/>
                <w:color w:val="auto"/>
              </w:rPr>
              <w:t>Adelanto, CA</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ICE</w:t>
            </w: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Detention</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Medium</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2"/>
              </w:rPr>
              <w:t>December 2019</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7"/>
              </w:rPr>
              <w:t>5 years</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Two, Five-year</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Owned</w:t>
            </w:r>
          </w:p>
        </w:tc>
        <w:tc>
          <w:tcPr>
            <w:tcW w:w="0" w:type="dxa"/>
            <w:vAlign w:val="bottom"/>
          </w:tcPr>
          <w:p>
            <w:pPr>
              <w:spacing w:after="0"/>
              <w:rPr>
                <w:sz w:val="1"/>
                <w:szCs w:val="1"/>
                <w:color w:val="auto"/>
              </w:rPr>
            </w:pP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Primary</w:t>
            </w:r>
          </w:p>
        </w:tc>
        <w:tc>
          <w:tcPr>
            <w:tcW w:w="12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Facility</w:t>
            </w:r>
          </w:p>
        </w:tc>
        <w:tc>
          <w:tcPr>
            <w:tcW w:w="10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Commencement</w:t>
            </w:r>
          </w:p>
        </w:tc>
        <w:tc>
          <w:tcPr>
            <w:tcW w:w="10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Base</w:t>
            </w:r>
          </w:p>
        </w:tc>
        <w:tc>
          <w:tcPr>
            <w:tcW w:w="10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Renewal</w:t>
            </w: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Managed</w:t>
            </w:r>
          </w:p>
        </w:tc>
        <w:tc>
          <w:tcPr>
            <w:tcW w:w="0" w:type="dxa"/>
            <w:vAlign w:val="bottom"/>
          </w:tcPr>
          <w:p>
            <w:pPr>
              <w:spacing w:after="0"/>
              <w:rPr>
                <w:sz w:val="1"/>
                <w:szCs w:val="1"/>
                <w:color w:val="auto"/>
              </w:rPr>
            </w:pPr>
          </w:p>
        </w:tc>
      </w:tr>
      <w:tr>
        <w:trPr>
          <w:trHeight w:val="148"/>
        </w:trPr>
        <w:tc>
          <w:tcPr>
            <w:tcW w:w="17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9"/>
              </w:rPr>
              <w:t>Facility Name &amp; Location</w:t>
            </w:r>
          </w:p>
        </w:tc>
        <w:tc>
          <w:tcPr>
            <w:tcW w:w="80" w:type="dxa"/>
            <w:vAlign w:val="bottom"/>
          </w:tcPr>
          <w:p>
            <w:pPr>
              <w:spacing w:after="0"/>
              <w:rPr>
                <w:sz w:val="12"/>
                <w:szCs w:val="12"/>
                <w:color w:val="auto"/>
              </w:rPr>
            </w:pPr>
          </w:p>
        </w:tc>
        <w:tc>
          <w:tcPr>
            <w:tcW w:w="10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Capacity(1)</w:t>
            </w: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of Current</w:t>
            </w: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Leased/</w:t>
            </w:r>
          </w:p>
        </w:tc>
        <w:tc>
          <w:tcPr>
            <w:tcW w:w="0" w:type="dxa"/>
            <w:vAlign w:val="bottom"/>
          </w:tcPr>
          <w:p>
            <w:pPr>
              <w:spacing w:after="0"/>
              <w:rPr>
                <w:sz w:val="1"/>
                <w:szCs w:val="1"/>
                <w:color w:val="auto"/>
              </w:rPr>
            </w:pPr>
          </w:p>
        </w:tc>
      </w:tr>
      <w:tr>
        <w:trPr>
          <w:trHeight w:val="185"/>
        </w:trPr>
        <w:tc>
          <w:tcPr>
            <w:tcW w:w="17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Customer</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Contract</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37"/>
        </w:trPr>
        <w:tc>
          <w:tcPr>
            <w:tcW w:w="170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color w:val="auto"/>
                <w:w w:val="95"/>
              </w:rPr>
              <w:t>El Centro Detention Facility,</w:t>
            </w:r>
          </w:p>
        </w:tc>
        <w:tc>
          <w:tcPr>
            <w:tcW w:w="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60" w:type="dxa"/>
            <w:vAlign w:val="bottom"/>
            <w:shd w:val="clear" w:color="auto" w:fill="CFF0FC"/>
          </w:tcPr>
          <w:p>
            <w:pPr>
              <w:jc w:val="center"/>
              <w:spacing w:after="0" w:line="137" w:lineRule="exact"/>
              <w:rPr>
                <w:sz w:val="20"/>
                <w:szCs w:val="20"/>
                <w:color w:val="auto"/>
              </w:rPr>
            </w:pPr>
            <w:r>
              <w:rPr>
                <w:rFonts w:ascii="Arial" w:cs="Arial" w:eastAsia="Arial" w:hAnsi="Arial"/>
                <w:sz w:val="14"/>
                <w:szCs w:val="14"/>
                <w:color w:val="auto"/>
                <w:w w:val="91"/>
              </w:rPr>
              <w:t>Three, Two-year</w:t>
            </w:r>
          </w:p>
        </w:tc>
        <w:tc>
          <w:tcPr>
            <w:tcW w:w="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CA</w:t>
            </w: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94"/>
              </w:rPr>
              <w:t>options, plus</w:t>
            </w: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512</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USMS</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Federal Detention</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Medium</w:t>
            </w: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December 2019</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7"/>
              </w:rPr>
              <w:t>2 years</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nine-month</w:t>
            </w: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Managed</w:t>
            </w:r>
          </w:p>
        </w:tc>
        <w:tc>
          <w:tcPr>
            <w:tcW w:w="0" w:type="dxa"/>
            <w:vAlign w:val="bottom"/>
          </w:tcPr>
          <w:p>
            <w:pPr>
              <w:spacing w:after="0"/>
              <w:rPr>
                <w:sz w:val="1"/>
                <w:szCs w:val="1"/>
                <w:color w:val="auto"/>
              </w:rPr>
            </w:pPr>
          </w:p>
        </w:tc>
      </w:tr>
      <w:tr>
        <w:trPr>
          <w:trHeight w:val="143"/>
        </w:trPr>
        <w:tc>
          <w:tcPr>
            <w:tcW w:w="1700" w:type="dxa"/>
            <w:vAlign w:val="bottom"/>
          </w:tcPr>
          <w:p>
            <w:pPr>
              <w:ind w:left="20"/>
              <w:spacing w:after="0" w:line="143" w:lineRule="exact"/>
              <w:rPr>
                <w:sz w:val="20"/>
                <w:szCs w:val="20"/>
                <w:color w:val="auto"/>
              </w:rPr>
            </w:pPr>
            <w:r>
              <w:rPr>
                <w:rFonts w:ascii="Arial" w:cs="Arial" w:eastAsia="Arial" w:hAnsi="Arial"/>
                <w:sz w:val="14"/>
                <w:szCs w:val="14"/>
                <w:color w:val="auto"/>
                <w:w w:val="97"/>
              </w:rPr>
              <w:t>Florence West Correctional</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20"/>
              <w:spacing w:after="0" w:line="149" w:lineRule="exact"/>
              <w:rPr>
                <w:sz w:val="20"/>
                <w:szCs w:val="20"/>
                <w:color w:val="auto"/>
              </w:rPr>
            </w:pPr>
            <w:r>
              <w:rPr>
                <w:rFonts w:ascii="Arial" w:cs="Arial" w:eastAsia="Arial" w:hAnsi="Arial"/>
                <w:sz w:val="14"/>
                <w:szCs w:val="14"/>
                <w:color w:val="auto"/>
                <w:w w:val="95"/>
              </w:rPr>
              <w:t>and Rehabilitation Florence,</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1"/>
              </w:rPr>
              <w:t>State</w:t>
            </w: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00" w:type="dxa"/>
            <w:vAlign w:val="bottom"/>
          </w:tcPr>
          <w:p>
            <w:pPr>
              <w:ind w:left="20"/>
              <w:spacing w:after="0"/>
              <w:rPr>
                <w:sz w:val="20"/>
                <w:szCs w:val="20"/>
                <w:color w:val="auto"/>
              </w:rPr>
            </w:pPr>
            <w:r>
              <w:rPr>
                <w:rFonts w:ascii="Arial" w:cs="Arial" w:eastAsia="Arial" w:hAnsi="Arial"/>
                <w:sz w:val="14"/>
                <w:szCs w:val="14"/>
                <w:color w:val="auto"/>
              </w:rPr>
              <w:t>AZ</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AZ DOC</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Minimum</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October 2002</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7"/>
              </w:rPr>
              <w:t>5 years</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One, Five-year</w:t>
            </w:r>
          </w:p>
        </w:tc>
        <w:tc>
          <w:tcPr>
            <w:tcW w:w="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Managed</w:t>
            </w:r>
          </w:p>
        </w:tc>
        <w:tc>
          <w:tcPr>
            <w:tcW w:w="0" w:type="dxa"/>
            <w:vAlign w:val="bottom"/>
          </w:tcPr>
          <w:p>
            <w:pPr>
              <w:spacing w:after="0"/>
              <w:rPr>
                <w:sz w:val="1"/>
                <w:szCs w:val="1"/>
                <w:color w:val="auto"/>
              </w:rPr>
            </w:pPr>
          </w:p>
        </w:tc>
      </w:tr>
      <w:tr>
        <w:trPr>
          <w:trHeight w:val="143"/>
        </w:trPr>
        <w:tc>
          <w:tcPr>
            <w:tcW w:w="17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Golden State Annex</w:t>
            </w: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McFarland, CA</w:t>
            </w:r>
          </w:p>
        </w:tc>
        <w:tc>
          <w:tcPr>
            <w:tcW w:w="11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ICE</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Federal Detention</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Medium</w:t>
            </w: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December 2019</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7"/>
              </w:rPr>
              <w:t>5 years</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Two, Five-year</w:t>
            </w: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700" w:type="dxa"/>
            <w:vAlign w:val="bottom"/>
          </w:tcPr>
          <w:p>
            <w:pPr>
              <w:ind w:left="20"/>
              <w:spacing w:after="0" w:line="143" w:lineRule="exact"/>
              <w:rPr>
                <w:sz w:val="20"/>
                <w:szCs w:val="20"/>
                <w:color w:val="auto"/>
              </w:rPr>
            </w:pPr>
            <w:r>
              <w:rPr>
                <w:rFonts w:ascii="Arial" w:cs="Arial" w:eastAsia="Arial" w:hAnsi="Arial"/>
                <w:sz w:val="14"/>
                <w:szCs w:val="14"/>
                <w:color w:val="auto"/>
              </w:rPr>
              <w:t>Guadalupe County</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20"/>
              <w:spacing w:after="0" w:line="149" w:lineRule="exact"/>
              <w:rPr>
                <w:sz w:val="20"/>
                <w:szCs w:val="20"/>
                <w:color w:val="auto"/>
              </w:rPr>
            </w:pPr>
            <w:r>
              <w:rPr>
                <w:rFonts w:ascii="Arial" w:cs="Arial" w:eastAsia="Arial" w:hAnsi="Arial"/>
                <w:sz w:val="14"/>
                <w:szCs w:val="14"/>
                <w:color w:val="auto"/>
              </w:rPr>
              <w:t>Correctional Facility Santa</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6"/>
              </w:rPr>
              <w:t>Third Party</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00" w:type="dxa"/>
            <w:vAlign w:val="bottom"/>
          </w:tcPr>
          <w:p>
            <w:pPr>
              <w:ind w:left="20"/>
              <w:spacing w:after="0"/>
              <w:rPr>
                <w:sz w:val="20"/>
                <w:szCs w:val="20"/>
                <w:color w:val="auto"/>
              </w:rPr>
            </w:pPr>
            <w:r>
              <w:rPr>
                <w:rFonts w:ascii="Arial" w:cs="Arial" w:eastAsia="Arial" w:hAnsi="Arial"/>
                <w:sz w:val="14"/>
                <w:szCs w:val="14"/>
                <w:color w:val="auto"/>
              </w:rPr>
              <w:t>Rosa, NM (3)</w:t>
            </w:r>
          </w:p>
        </w:tc>
        <w:tc>
          <w:tcPr>
            <w:tcW w:w="80" w:type="dxa"/>
            <w:vAlign w:val="bottom"/>
          </w:tcPr>
          <w:p>
            <w:pPr>
              <w:spacing w:after="0"/>
              <w:rPr>
                <w:sz w:val="15"/>
                <w:szCs w:val="15"/>
                <w:color w:val="auto"/>
              </w:rPr>
            </w:pPr>
          </w:p>
        </w:tc>
        <w:tc>
          <w:tcPr>
            <w:tcW w:w="1080" w:type="dxa"/>
            <w:vAlign w:val="bottom"/>
          </w:tcPr>
          <w:p>
            <w:pPr>
              <w:jc w:val="right"/>
              <w:ind w:right="408"/>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7"/>
              </w:rPr>
              <w:t>Tenant</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7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Kingman Correctional and</w:t>
            </w: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91"/>
              </w:rPr>
              <w:t>State</w:t>
            </w: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Rehabilitation facility,</w:t>
            </w: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Kingman, AZ</w:t>
            </w:r>
          </w:p>
        </w:tc>
        <w:tc>
          <w:tcPr>
            <w:tcW w:w="11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3,400</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AZ DOC</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Minimum/Medium</w:t>
            </w: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January 2008</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10 years</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Two, Five-year</w:t>
            </w: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Managed</w:t>
            </w:r>
          </w:p>
        </w:tc>
        <w:tc>
          <w:tcPr>
            <w:tcW w:w="0" w:type="dxa"/>
            <w:vAlign w:val="bottom"/>
          </w:tcPr>
          <w:p>
            <w:pPr>
              <w:spacing w:after="0"/>
              <w:rPr>
                <w:sz w:val="1"/>
                <w:szCs w:val="1"/>
                <w:color w:val="auto"/>
              </w:rPr>
            </w:pPr>
          </w:p>
        </w:tc>
      </w:tr>
      <w:tr>
        <w:trPr>
          <w:trHeight w:val="143"/>
        </w:trPr>
        <w:tc>
          <w:tcPr>
            <w:tcW w:w="1700" w:type="dxa"/>
            <w:vAlign w:val="bottom"/>
          </w:tcPr>
          <w:p>
            <w:pPr>
              <w:ind w:left="20"/>
              <w:spacing w:after="0" w:line="143" w:lineRule="exact"/>
              <w:rPr>
                <w:sz w:val="20"/>
                <w:szCs w:val="20"/>
                <w:color w:val="auto"/>
              </w:rPr>
            </w:pPr>
            <w:r>
              <w:rPr>
                <w:rFonts w:ascii="Arial" w:cs="Arial" w:eastAsia="Arial" w:hAnsi="Arial"/>
                <w:sz w:val="14"/>
                <w:szCs w:val="14"/>
                <w:color w:val="auto"/>
              </w:rPr>
              <w:t>Lea County Correctional</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line="143" w:lineRule="exact"/>
              <w:rPr>
                <w:sz w:val="20"/>
                <w:szCs w:val="20"/>
                <w:color w:val="auto"/>
              </w:rPr>
            </w:pPr>
            <w:r>
              <w:rPr>
                <w:rFonts w:ascii="Arial" w:cs="Arial" w:eastAsia="Arial" w:hAnsi="Arial"/>
                <w:sz w:val="14"/>
                <w:szCs w:val="14"/>
                <w:color w:val="auto"/>
                <w:w w:val="94"/>
              </w:rPr>
              <w:t>Local/State</w:t>
            </w: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00" w:type="dxa"/>
            <w:vAlign w:val="bottom"/>
          </w:tcPr>
          <w:p>
            <w:pPr>
              <w:ind w:left="20"/>
              <w:spacing w:after="0"/>
              <w:rPr>
                <w:sz w:val="20"/>
                <w:szCs w:val="20"/>
                <w:color w:val="auto"/>
              </w:rPr>
            </w:pPr>
            <w:r>
              <w:rPr>
                <w:rFonts w:ascii="Arial" w:cs="Arial" w:eastAsia="Arial" w:hAnsi="Arial"/>
                <w:sz w:val="14"/>
                <w:szCs w:val="14"/>
                <w:color w:val="auto"/>
              </w:rPr>
              <w:t>Facility Hobbs, NM (2)</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NMCD - IGA</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Medium</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January 1999</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Perpetual</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None</w:t>
            </w:r>
          </w:p>
        </w:tc>
        <w:tc>
          <w:tcPr>
            <w:tcW w:w="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7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McFarland Female</w:t>
            </w: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w w:val="96"/>
              </w:rPr>
              <w:t>Community Reentry Facility</w:t>
            </w: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McFarland, CA</w:t>
            </w:r>
          </w:p>
        </w:tc>
        <w:tc>
          <w:tcPr>
            <w:tcW w:w="11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Idle</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700" w:type="dxa"/>
            <w:vAlign w:val="bottom"/>
          </w:tcPr>
          <w:p>
            <w:pPr>
              <w:ind w:left="20"/>
              <w:spacing w:after="0" w:line="143" w:lineRule="exact"/>
              <w:rPr>
                <w:sz w:val="20"/>
                <w:szCs w:val="20"/>
                <w:color w:val="auto"/>
              </w:rPr>
            </w:pPr>
            <w:r>
              <w:rPr>
                <w:rFonts w:ascii="Arial" w:cs="Arial" w:eastAsia="Arial" w:hAnsi="Arial"/>
                <w:sz w:val="14"/>
                <w:szCs w:val="14"/>
                <w:color w:val="auto"/>
                <w:w w:val="94"/>
              </w:rPr>
              <w:t>Mesa Verde ICE Processing</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line="143" w:lineRule="exact"/>
              <w:rPr>
                <w:sz w:val="20"/>
                <w:szCs w:val="20"/>
                <w:color w:val="auto"/>
              </w:rPr>
            </w:pPr>
            <w:r>
              <w:rPr>
                <w:rFonts w:ascii="Arial" w:cs="Arial" w:eastAsia="Arial" w:hAnsi="Arial"/>
                <w:sz w:val="14"/>
                <w:szCs w:val="14"/>
                <w:color w:val="auto"/>
                <w:w w:val="91"/>
              </w:rPr>
              <w:t>State</w:t>
            </w: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00" w:type="dxa"/>
            <w:vAlign w:val="bottom"/>
          </w:tcPr>
          <w:p>
            <w:pPr>
              <w:ind w:left="20"/>
              <w:spacing w:after="0"/>
              <w:rPr>
                <w:sz w:val="20"/>
                <w:szCs w:val="20"/>
                <w:color w:val="auto"/>
              </w:rPr>
            </w:pPr>
            <w:r>
              <w:rPr>
                <w:rFonts w:ascii="Arial" w:cs="Arial" w:eastAsia="Arial" w:hAnsi="Arial"/>
                <w:sz w:val="14"/>
                <w:szCs w:val="14"/>
                <w:color w:val="auto"/>
              </w:rPr>
              <w:t>Center Bakersfield, CA</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ICE</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Minimum</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0"/>
              </w:rPr>
              <w:t>December 2019</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1"/>
              </w:rPr>
              <w:t>5 Years</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Two, Five year</w:t>
            </w:r>
          </w:p>
        </w:tc>
        <w:tc>
          <w:tcPr>
            <w:tcW w:w="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7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Northwest ICE Processing</w:t>
            </w: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90"/>
              </w:rPr>
              <w:t>Four, One-year</w:t>
            </w: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Center Tacoma, WA</w:t>
            </w:r>
          </w:p>
        </w:tc>
        <w:tc>
          <w:tcPr>
            <w:tcW w:w="11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1,575</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ICE</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Federal Detention</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All Levels</w:t>
            </w: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September 2015</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7"/>
              </w:rPr>
              <w:t>1 Year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plus five-year</w:t>
            </w: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700" w:type="dxa"/>
            <w:vAlign w:val="bottom"/>
          </w:tcPr>
          <w:p>
            <w:pPr>
              <w:ind w:left="20"/>
              <w:spacing w:after="0" w:line="143" w:lineRule="exact"/>
              <w:rPr>
                <w:sz w:val="20"/>
                <w:szCs w:val="20"/>
                <w:color w:val="auto"/>
              </w:rPr>
            </w:pPr>
            <w:r>
              <w:rPr>
                <w:rFonts w:ascii="Arial" w:cs="Arial" w:eastAsia="Arial" w:hAnsi="Arial"/>
                <w:sz w:val="14"/>
                <w:szCs w:val="14"/>
                <w:color w:val="auto"/>
              </w:rPr>
              <w:t>Phoenix West Correctional</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20"/>
              <w:spacing w:after="0" w:line="149" w:lineRule="exact"/>
              <w:rPr>
                <w:sz w:val="20"/>
                <w:szCs w:val="20"/>
                <w:color w:val="auto"/>
              </w:rPr>
            </w:pPr>
            <w:r>
              <w:rPr>
                <w:rFonts w:ascii="Arial" w:cs="Arial" w:eastAsia="Arial" w:hAnsi="Arial"/>
                <w:sz w:val="14"/>
                <w:szCs w:val="14"/>
                <w:color w:val="auto"/>
                <w:w w:val="97"/>
              </w:rPr>
              <w:t>and Rehabilitation Phoenix,</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7"/>
              </w:rPr>
              <w:t>State DWI</w:t>
            </w: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00" w:type="dxa"/>
            <w:vAlign w:val="bottom"/>
          </w:tcPr>
          <w:p>
            <w:pPr>
              <w:ind w:left="20"/>
              <w:spacing w:after="0"/>
              <w:rPr>
                <w:sz w:val="20"/>
                <w:szCs w:val="20"/>
                <w:color w:val="auto"/>
              </w:rPr>
            </w:pPr>
            <w:r>
              <w:rPr>
                <w:rFonts w:ascii="Arial" w:cs="Arial" w:eastAsia="Arial" w:hAnsi="Arial"/>
                <w:sz w:val="14"/>
                <w:szCs w:val="14"/>
                <w:color w:val="auto"/>
              </w:rPr>
              <w:t>AZ</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AZ DOC</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Minimum</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July 2022</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1"/>
              </w:rPr>
              <w:t>5 Years</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None</w:t>
            </w:r>
          </w:p>
        </w:tc>
        <w:tc>
          <w:tcPr>
            <w:tcW w:w="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Managed</w:t>
            </w:r>
          </w:p>
        </w:tc>
        <w:tc>
          <w:tcPr>
            <w:tcW w:w="0" w:type="dxa"/>
            <w:vAlign w:val="bottom"/>
          </w:tcPr>
          <w:p>
            <w:pPr>
              <w:spacing w:after="0"/>
              <w:rPr>
                <w:sz w:val="1"/>
                <w:szCs w:val="1"/>
                <w:color w:val="auto"/>
              </w:rPr>
            </w:pPr>
          </w:p>
        </w:tc>
      </w:tr>
      <w:tr>
        <w:trPr>
          <w:trHeight w:val="143"/>
        </w:trPr>
        <w:tc>
          <w:tcPr>
            <w:tcW w:w="17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Western Region Detention</w:t>
            </w: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93"/>
              </w:rPr>
              <w:t>One, Two-year,</w:t>
            </w: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Facility San Diego, CA</w:t>
            </w: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96"/>
              </w:rPr>
              <w:t>plus six month,</w:t>
            </w: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92"/>
              </w:rPr>
              <w:t>plus three month,</w:t>
            </w: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94"/>
              </w:rPr>
              <w:t>plus one fifteen</w:t>
            </w: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89"/>
              </w:rPr>
              <w:t>1 Year, 10</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96"/>
              </w:rPr>
              <w:t>month, plus two,</w:t>
            </w: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770</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USMS</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Federal Detention</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8"/>
              </w:rPr>
              <w:t>Maximum</w:t>
            </w: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November 2017</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Months</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two year</w:t>
            </w: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7"/>
              </w:rPr>
              <w:t>Leased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1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Facility Name &amp;</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Primary</w:t>
            </w:r>
          </w:p>
        </w:tc>
        <w:tc>
          <w:tcPr>
            <w:tcW w:w="100" w:type="dxa"/>
            <w:vAlign w:val="bottom"/>
          </w:tcPr>
          <w:p>
            <w:pPr>
              <w:spacing w:after="0"/>
              <w:rPr>
                <w:sz w:val="14"/>
                <w:szCs w:val="14"/>
                <w:color w:val="auto"/>
              </w:rPr>
            </w:pPr>
          </w:p>
        </w:tc>
        <w:tc>
          <w:tcPr>
            <w:tcW w:w="8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Facility</w:t>
            </w:r>
          </w:p>
        </w:tc>
        <w:tc>
          <w:tcPr>
            <w:tcW w:w="12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1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Commencement</w:t>
            </w:r>
          </w:p>
        </w:tc>
        <w:tc>
          <w:tcPr>
            <w:tcW w:w="12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Base</w:t>
            </w:r>
          </w:p>
        </w:tc>
        <w:tc>
          <w:tcPr>
            <w:tcW w:w="10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Renewal</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Managed</w:t>
            </w:r>
          </w:p>
        </w:tc>
        <w:tc>
          <w:tcPr>
            <w:tcW w:w="0" w:type="dxa"/>
            <w:vAlign w:val="bottom"/>
          </w:tcPr>
          <w:p>
            <w:pPr>
              <w:spacing w:after="0"/>
              <w:rPr>
                <w:sz w:val="1"/>
                <w:szCs w:val="1"/>
                <w:color w:val="auto"/>
              </w:rPr>
            </w:pPr>
          </w:p>
        </w:tc>
      </w:tr>
      <w:tr>
        <w:trPr>
          <w:trHeight w:val="148"/>
        </w:trPr>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Capacity(1)</w:t>
            </w: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Current</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Leased/</w:t>
            </w:r>
          </w:p>
        </w:tc>
        <w:tc>
          <w:tcPr>
            <w:tcW w:w="0" w:type="dxa"/>
            <w:vAlign w:val="bottom"/>
          </w:tcPr>
          <w:p>
            <w:pPr>
              <w:spacing w:after="0"/>
              <w:rPr>
                <w:sz w:val="1"/>
                <w:szCs w:val="1"/>
                <w:color w:val="auto"/>
              </w:rPr>
            </w:pPr>
          </w:p>
        </w:tc>
      </w:tr>
      <w:tr>
        <w:trPr>
          <w:trHeight w:val="185"/>
        </w:trPr>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Customer</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37"/>
        </w:trPr>
        <w:tc>
          <w:tcPr>
            <w:tcW w:w="160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b w:val="1"/>
                <w:bCs w:val="1"/>
                <w:i w:val="1"/>
                <w:iCs w:val="1"/>
                <w:color w:val="auto"/>
              </w:rPr>
              <w:t>Secure Services —</w:t>
            </w: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600" w:type="dxa"/>
            <w:vAlign w:val="bottom"/>
            <w:shd w:val="clear" w:color="auto" w:fill="CFF0FC"/>
          </w:tcPr>
          <w:p>
            <w:pPr>
              <w:ind w:left="20"/>
              <w:spacing w:after="0"/>
              <w:rPr>
                <w:sz w:val="20"/>
                <w:szCs w:val="20"/>
                <w:color w:val="auto"/>
              </w:rPr>
            </w:pPr>
            <w:r>
              <w:rPr>
                <w:rFonts w:ascii="Arial" w:cs="Arial" w:eastAsia="Arial" w:hAnsi="Arial"/>
                <w:sz w:val="14"/>
                <w:szCs w:val="14"/>
                <w:b w:val="1"/>
                <w:bCs w:val="1"/>
                <w:i w:val="1"/>
                <w:iCs w:val="1"/>
                <w:color w:val="auto"/>
              </w:rPr>
              <w:t>Central Region:</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600" w:type="dxa"/>
            <w:vAlign w:val="bottom"/>
          </w:tcPr>
          <w:p>
            <w:pPr>
              <w:ind w:left="20"/>
              <w:spacing w:after="0" w:line="143" w:lineRule="exact"/>
              <w:rPr>
                <w:sz w:val="20"/>
                <w:szCs w:val="20"/>
                <w:color w:val="auto"/>
              </w:rPr>
            </w:pPr>
            <w:r>
              <w:rPr>
                <w:rFonts w:ascii="Arial" w:cs="Arial" w:eastAsia="Arial" w:hAnsi="Arial"/>
                <w:sz w:val="14"/>
                <w:szCs w:val="14"/>
                <w:color w:val="auto"/>
              </w:rPr>
              <w:t>Big Spring Correctional</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tcPr>
          <w:p>
            <w:pPr>
              <w:ind w:left="20"/>
              <w:spacing w:after="0" w:line="149" w:lineRule="exact"/>
              <w:rPr>
                <w:sz w:val="20"/>
                <w:szCs w:val="20"/>
                <w:color w:val="auto"/>
              </w:rPr>
            </w:pPr>
            <w:r>
              <w:rPr>
                <w:rFonts w:ascii="Arial" w:cs="Arial" w:eastAsia="Arial" w:hAnsi="Arial"/>
                <w:sz w:val="14"/>
                <w:szCs w:val="14"/>
                <w:color w:val="auto"/>
              </w:rPr>
              <w:t>Facility Big Spring, TX</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00" w:type="dxa"/>
            <w:vAlign w:val="bottom"/>
          </w:tcPr>
          <w:p>
            <w:pPr>
              <w:ind w:left="20"/>
              <w:spacing w:after="0"/>
              <w:rPr>
                <w:sz w:val="20"/>
                <w:szCs w:val="20"/>
                <w:color w:val="auto"/>
              </w:rPr>
            </w:pPr>
            <w:r>
              <w:rPr>
                <w:rFonts w:ascii="Arial" w:cs="Arial" w:eastAsia="Arial" w:hAnsi="Arial"/>
                <w:sz w:val="14"/>
                <w:szCs w:val="14"/>
                <w:color w:val="auto"/>
              </w:rPr>
              <w:t>(5)</w:t>
            </w:r>
          </w:p>
        </w:tc>
        <w:tc>
          <w:tcPr>
            <w:tcW w:w="1100" w:type="dxa"/>
            <w:vAlign w:val="bottom"/>
            <w:gridSpan w:val="2"/>
          </w:tcPr>
          <w:p>
            <w:pPr>
              <w:jc w:val="right"/>
              <w:ind w:right="48"/>
              <w:spacing w:after="0"/>
              <w:rPr>
                <w:sz w:val="20"/>
                <w:szCs w:val="20"/>
                <w:color w:val="auto"/>
              </w:rPr>
            </w:pPr>
            <w:r>
              <w:rPr>
                <w:rFonts w:ascii="Arial" w:cs="Arial" w:eastAsia="Arial" w:hAnsi="Arial"/>
                <w:sz w:val="14"/>
                <w:szCs w:val="14"/>
                <w:color w:val="auto"/>
              </w:rPr>
              <w:t>1,732</w:t>
            </w:r>
          </w:p>
        </w:tc>
        <w:tc>
          <w:tcPr>
            <w:tcW w:w="1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Idle</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6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Flightline Correctional</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Facility, TX (5)</w:t>
            </w:r>
          </w:p>
        </w:tc>
        <w:tc>
          <w:tcPr>
            <w:tcW w:w="11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1,800</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Idle</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600" w:type="dxa"/>
            <w:vAlign w:val="bottom"/>
          </w:tcPr>
          <w:p>
            <w:pPr>
              <w:ind w:left="20"/>
              <w:spacing w:after="0" w:line="143" w:lineRule="exact"/>
              <w:rPr>
                <w:sz w:val="20"/>
                <w:szCs w:val="20"/>
                <w:color w:val="auto"/>
              </w:rPr>
            </w:pPr>
            <w:r>
              <w:rPr>
                <w:rFonts w:ascii="Arial" w:cs="Arial" w:eastAsia="Arial" w:hAnsi="Arial"/>
                <w:sz w:val="14"/>
                <w:szCs w:val="14"/>
                <w:color w:val="auto"/>
              </w:rPr>
              <w:t>Brooks County Detention</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3" w:lineRule="exact"/>
              <w:rPr>
                <w:sz w:val="20"/>
                <w:szCs w:val="20"/>
                <w:color w:val="auto"/>
              </w:rPr>
            </w:pPr>
            <w:r>
              <w:rPr>
                <w:rFonts w:ascii="Arial" w:cs="Arial" w:eastAsia="Arial" w:hAnsi="Arial"/>
                <w:sz w:val="14"/>
                <w:szCs w:val="14"/>
                <w:color w:val="auto"/>
              </w:rPr>
              <w:t>Local &amp;</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tcPr>
          <w:p>
            <w:pPr>
              <w:ind w:left="20"/>
              <w:spacing w:after="0" w:line="149" w:lineRule="exact"/>
              <w:rPr>
                <w:sz w:val="20"/>
                <w:szCs w:val="20"/>
                <w:color w:val="auto"/>
              </w:rPr>
            </w:pPr>
            <w:r>
              <w:rPr>
                <w:rFonts w:ascii="Arial" w:cs="Arial" w:eastAsia="Arial" w:hAnsi="Arial"/>
                <w:sz w:val="14"/>
                <w:szCs w:val="14"/>
                <w:color w:val="auto"/>
              </w:rPr>
              <w:t>Center, TX (2)</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00" w:type="dxa"/>
            <w:vAlign w:val="bottom"/>
          </w:tcPr>
          <w:p>
            <w:pPr>
              <w:spacing w:after="0"/>
              <w:rPr>
                <w:sz w:val="15"/>
                <w:szCs w:val="15"/>
                <w:color w:val="auto"/>
              </w:rPr>
            </w:pP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652</w:t>
            </w:r>
          </w:p>
        </w:tc>
        <w:tc>
          <w:tcPr>
            <w:tcW w:w="1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USMS - IGA</w:t>
            </w: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Detention</w:t>
            </w:r>
          </w:p>
        </w:tc>
        <w:tc>
          <w:tcPr>
            <w:tcW w:w="1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Medium</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March 2013</w:t>
            </w:r>
          </w:p>
        </w:tc>
        <w:tc>
          <w:tcPr>
            <w:tcW w:w="1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0"/>
              </w:rPr>
              <w:t>Perpetual</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None</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6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Coastal Bend Detention</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rPr>
              <w:t>Local &amp;</w:t>
            </w:r>
          </w:p>
        </w:tc>
        <w:tc>
          <w:tcPr>
            <w:tcW w:w="1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Center, TX (2)</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95"/>
              </w:rPr>
              <w:t>USMS/Hidalgo</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1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1,176</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County</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Detention</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Medium</w:t>
            </w: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July 2012</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Perpetual</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None</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600" w:type="dxa"/>
            <w:vAlign w:val="bottom"/>
          </w:tcPr>
          <w:p>
            <w:pPr>
              <w:ind w:left="20"/>
              <w:spacing w:after="0" w:line="143" w:lineRule="exact"/>
              <w:rPr>
                <w:sz w:val="20"/>
                <w:szCs w:val="20"/>
                <w:color w:val="auto"/>
              </w:rPr>
            </w:pPr>
            <w:r>
              <w:rPr>
                <w:rFonts w:ascii="Arial" w:cs="Arial" w:eastAsia="Arial" w:hAnsi="Arial"/>
                <w:sz w:val="14"/>
                <w:szCs w:val="14"/>
                <w:color w:val="auto"/>
              </w:rPr>
              <w:t>Eagle Pass Correctional</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3" w:lineRule="exact"/>
              <w:rPr>
                <w:sz w:val="20"/>
                <w:szCs w:val="20"/>
                <w:color w:val="auto"/>
              </w:rPr>
            </w:pPr>
            <w:r>
              <w:rPr>
                <w:rFonts w:ascii="Arial" w:cs="Arial" w:eastAsia="Arial" w:hAnsi="Arial"/>
                <w:sz w:val="14"/>
                <w:szCs w:val="14"/>
                <w:color w:val="auto"/>
                <w:w w:val="88"/>
              </w:rPr>
              <w:t>Federal</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00" w:type="dxa"/>
            <w:vAlign w:val="bottom"/>
          </w:tcPr>
          <w:p>
            <w:pPr>
              <w:ind w:left="20"/>
              <w:spacing w:after="0"/>
              <w:rPr>
                <w:sz w:val="20"/>
                <w:szCs w:val="20"/>
                <w:color w:val="auto"/>
              </w:rPr>
            </w:pPr>
            <w:r>
              <w:rPr>
                <w:rFonts w:ascii="Arial" w:cs="Arial" w:eastAsia="Arial" w:hAnsi="Arial"/>
                <w:sz w:val="14"/>
                <w:szCs w:val="14"/>
                <w:color w:val="auto"/>
              </w:rPr>
              <w:t>Facility, Eagle Pass, TX</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661</w:t>
            </w:r>
          </w:p>
        </w:tc>
        <w:tc>
          <w:tcPr>
            <w:tcW w:w="1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USMS - IGA</w:t>
            </w: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Detention</w:t>
            </w:r>
          </w:p>
        </w:tc>
        <w:tc>
          <w:tcPr>
            <w:tcW w:w="1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Medium</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October 2020</w:t>
            </w:r>
          </w:p>
        </w:tc>
        <w:tc>
          <w:tcPr>
            <w:tcW w:w="1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0"/>
              </w:rPr>
              <w:t>Perpetual</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None</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6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East Hidalgo Detention</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rPr>
              <w:t>Local &amp;</w:t>
            </w:r>
          </w:p>
        </w:tc>
        <w:tc>
          <w:tcPr>
            <w:tcW w:w="1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Center (2)</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1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1,346</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8"/>
              </w:rPr>
              <w:t>USMS - IGA</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Detention</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Medium</w:t>
            </w: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July 2012</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Perpetual</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None</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600" w:type="dxa"/>
            <w:vAlign w:val="bottom"/>
          </w:tcPr>
          <w:p>
            <w:pPr>
              <w:ind w:left="20"/>
              <w:spacing w:after="0" w:line="143" w:lineRule="exact"/>
              <w:rPr>
                <w:sz w:val="20"/>
                <w:szCs w:val="20"/>
                <w:color w:val="auto"/>
              </w:rPr>
            </w:pPr>
            <w:r>
              <w:rPr>
                <w:rFonts w:ascii="Arial" w:cs="Arial" w:eastAsia="Arial" w:hAnsi="Arial"/>
                <w:sz w:val="14"/>
                <w:szCs w:val="14"/>
                <w:color w:val="auto"/>
                <w:w w:val="99"/>
              </w:rPr>
              <w:t>Great Plains Correctional</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00" w:type="dxa"/>
            <w:vAlign w:val="bottom"/>
          </w:tcPr>
          <w:p>
            <w:pPr>
              <w:ind w:left="20"/>
              <w:spacing w:after="0"/>
              <w:rPr>
                <w:sz w:val="20"/>
                <w:szCs w:val="20"/>
                <w:color w:val="auto"/>
              </w:rPr>
            </w:pPr>
            <w:r>
              <w:rPr>
                <w:rFonts w:ascii="Arial" w:cs="Arial" w:eastAsia="Arial" w:hAnsi="Arial"/>
                <w:sz w:val="14"/>
                <w:szCs w:val="14"/>
                <w:color w:val="auto"/>
              </w:rPr>
              <w:t>Facility Hinton, OK (5)</w:t>
            </w:r>
          </w:p>
        </w:tc>
        <w:tc>
          <w:tcPr>
            <w:tcW w:w="1100" w:type="dxa"/>
            <w:vAlign w:val="bottom"/>
            <w:gridSpan w:val="2"/>
          </w:tcPr>
          <w:p>
            <w:pPr>
              <w:jc w:val="right"/>
              <w:ind w:right="48"/>
              <w:spacing w:after="0"/>
              <w:rPr>
                <w:sz w:val="20"/>
                <w:szCs w:val="20"/>
                <w:color w:val="auto"/>
              </w:rPr>
            </w:pPr>
            <w:r>
              <w:rPr>
                <w:rFonts w:ascii="Arial" w:cs="Arial" w:eastAsia="Arial" w:hAnsi="Arial"/>
                <w:sz w:val="14"/>
                <w:szCs w:val="14"/>
                <w:color w:val="auto"/>
              </w:rPr>
              <w:t>1,940</w:t>
            </w:r>
          </w:p>
        </w:tc>
        <w:tc>
          <w:tcPr>
            <w:tcW w:w="1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Idle</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6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Joe Corley Processing</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95"/>
              </w:rPr>
              <w:t>Local</w:t>
            </w:r>
          </w:p>
        </w:tc>
        <w:tc>
          <w:tcPr>
            <w:tcW w:w="1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2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91"/>
              </w:rPr>
              <w:t>July 2008/ September</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92"/>
              </w:rPr>
              <w:t>Perpetual/5</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Center Conroe, TX (2)</w:t>
            </w:r>
          </w:p>
        </w:tc>
        <w:tc>
          <w:tcPr>
            <w:tcW w:w="11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1,517</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USMS / ICE</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Correctional</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Medium</w:t>
            </w:r>
          </w:p>
        </w:tc>
        <w:tc>
          <w:tcPr>
            <w:tcW w:w="144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w w:val="89"/>
              </w:rPr>
              <w:t>2018</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7"/>
              </w:rPr>
              <w:t>Years</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None/Five-year</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600" w:type="dxa"/>
            <w:vAlign w:val="bottom"/>
          </w:tcPr>
          <w:p>
            <w:pPr>
              <w:ind w:left="20"/>
              <w:spacing w:after="0" w:line="143" w:lineRule="exact"/>
              <w:rPr>
                <w:sz w:val="20"/>
                <w:szCs w:val="20"/>
                <w:color w:val="auto"/>
              </w:rPr>
            </w:pPr>
            <w:r>
              <w:rPr>
                <w:rFonts w:ascii="Arial" w:cs="Arial" w:eastAsia="Arial" w:hAnsi="Arial"/>
                <w:sz w:val="14"/>
                <w:szCs w:val="14"/>
                <w:color w:val="auto"/>
              </w:rPr>
              <w:t>Karnes Detention Facility</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3" w:lineRule="exact"/>
              <w:rPr>
                <w:sz w:val="20"/>
                <w:szCs w:val="20"/>
                <w:color w:val="auto"/>
              </w:rPr>
            </w:pPr>
            <w:r>
              <w:rPr>
                <w:rFonts w:ascii="Arial" w:cs="Arial" w:eastAsia="Arial" w:hAnsi="Arial"/>
                <w:sz w:val="14"/>
                <w:szCs w:val="14"/>
                <w:color w:val="auto"/>
              </w:rPr>
              <w:t>Local &amp;</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tcPr>
          <w:p>
            <w:pPr>
              <w:ind w:left="20"/>
              <w:spacing w:after="0" w:line="149" w:lineRule="exact"/>
              <w:rPr>
                <w:sz w:val="20"/>
                <w:szCs w:val="20"/>
                <w:color w:val="auto"/>
              </w:rPr>
            </w:pPr>
            <w:r>
              <w:rPr>
                <w:rFonts w:ascii="Arial" w:cs="Arial" w:eastAsia="Arial" w:hAnsi="Arial"/>
                <w:sz w:val="14"/>
                <w:szCs w:val="14"/>
                <w:color w:val="auto"/>
              </w:rPr>
              <w:t>Karnes City, TX (2)</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00" w:type="dxa"/>
            <w:vAlign w:val="bottom"/>
          </w:tcPr>
          <w:p>
            <w:pPr>
              <w:spacing w:after="0"/>
              <w:rPr>
                <w:sz w:val="15"/>
                <w:szCs w:val="15"/>
                <w:color w:val="auto"/>
              </w:rPr>
            </w:pP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679</w:t>
            </w:r>
          </w:p>
        </w:tc>
        <w:tc>
          <w:tcPr>
            <w:tcW w:w="1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USMS - IGA</w:t>
            </w: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Detention</w:t>
            </w:r>
          </w:p>
        </w:tc>
        <w:tc>
          <w:tcPr>
            <w:tcW w:w="1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All Levels</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February 1998</w:t>
            </w:r>
          </w:p>
        </w:tc>
        <w:tc>
          <w:tcPr>
            <w:tcW w:w="1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0"/>
              </w:rPr>
              <w:t>Perpetual</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None</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6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Karnes County</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Immigration Processing</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1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Center, TX (2)</w:t>
            </w:r>
          </w:p>
        </w:tc>
        <w:tc>
          <w:tcPr>
            <w:tcW w:w="11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1,328</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ICE - IGA</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Detention</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All Levels</w:t>
            </w: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December 2010</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5 years</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Two, Five-Year</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600" w:type="dxa"/>
            <w:vAlign w:val="bottom"/>
          </w:tcPr>
          <w:p>
            <w:pPr>
              <w:ind w:left="20"/>
              <w:spacing w:after="0" w:line="143" w:lineRule="exact"/>
              <w:rPr>
                <w:sz w:val="20"/>
                <w:szCs w:val="20"/>
                <w:color w:val="auto"/>
              </w:rPr>
            </w:pPr>
            <w:r>
              <w:rPr>
                <w:rFonts w:ascii="Arial" w:cs="Arial" w:eastAsia="Arial" w:hAnsi="Arial"/>
                <w:sz w:val="14"/>
                <w:szCs w:val="14"/>
                <w:color w:val="auto"/>
              </w:rPr>
              <w:t>Kinney County Detention</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3" w:lineRule="exact"/>
              <w:rPr>
                <w:sz w:val="20"/>
                <w:szCs w:val="20"/>
                <w:color w:val="auto"/>
              </w:rPr>
            </w:pPr>
            <w:r>
              <w:rPr>
                <w:rFonts w:ascii="Arial" w:cs="Arial" w:eastAsia="Arial" w:hAnsi="Arial"/>
                <w:sz w:val="14"/>
                <w:szCs w:val="14"/>
                <w:color w:val="auto"/>
              </w:rPr>
              <w:t>Local &amp;</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tcPr>
          <w:p>
            <w:pPr>
              <w:ind w:left="20"/>
              <w:spacing w:after="0" w:line="149" w:lineRule="exact"/>
              <w:rPr>
                <w:sz w:val="20"/>
                <w:szCs w:val="20"/>
                <w:color w:val="auto"/>
              </w:rPr>
            </w:pPr>
            <w:r>
              <w:rPr>
                <w:rFonts w:ascii="Arial" w:cs="Arial" w:eastAsia="Arial" w:hAnsi="Arial"/>
                <w:sz w:val="14"/>
                <w:szCs w:val="14"/>
                <w:color w:val="auto"/>
              </w:rPr>
              <w:t>Center, TX (2)</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00" w:type="dxa"/>
            <w:vAlign w:val="bottom"/>
          </w:tcPr>
          <w:p>
            <w:pPr>
              <w:spacing w:after="0"/>
              <w:rPr>
                <w:sz w:val="15"/>
                <w:szCs w:val="15"/>
                <w:color w:val="auto"/>
              </w:rPr>
            </w:pP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384</w:t>
            </w:r>
          </w:p>
        </w:tc>
        <w:tc>
          <w:tcPr>
            <w:tcW w:w="1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USMS - IGA</w:t>
            </w: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Detention</w:t>
            </w:r>
          </w:p>
        </w:tc>
        <w:tc>
          <w:tcPr>
            <w:tcW w:w="1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Medium</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88"/>
              </w:rPr>
              <w:t>September 2013</w:t>
            </w:r>
          </w:p>
        </w:tc>
        <w:tc>
          <w:tcPr>
            <w:tcW w:w="1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0"/>
              </w:rPr>
              <w:t>Perpetual</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None</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Managed</w:t>
            </w:r>
          </w:p>
        </w:tc>
        <w:tc>
          <w:tcPr>
            <w:tcW w:w="0" w:type="dxa"/>
            <w:vAlign w:val="bottom"/>
          </w:tcPr>
          <w:p>
            <w:pPr>
              <w:spacing w:after="0"/>
              <w:rPr>
                <w:sz w:val="1"/>
                <w:szCs w:val="1"/>
                <w:color w:val="auto"/>
              </w:rPr>
            </w:pPr>
          </w:p>
        </w:tc>
      </w:tr>
      <w:tr>
        <w:trPr>
          <w:trHeight w:val="143"/>
        </w:trPr>
        <w:tc>
          <w:tcPr>
            <w:tcW w:w="16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Lawton Correctional</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85"/>
              </w:rPr>
              <w:t>State</w:t>
            </w:r>
          </w:p>
        </w:tc>
        <w:tc>
          <w:tcPr>
            <w:tcW w:w="1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95"/>
              </w:rPr>
              <w:t>Four, Automatic</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Facility Lawton, OK</w:t>
            </w:r>
          </w:p>
        </w:tc>
        <w:tc>
          <w:tcPr>
            <w:tcW w:w="11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2,682</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OK DOC</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Correctional</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Medium</w:t>
            </w: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July 2018</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1 Year</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One-year</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600" w:type="dxa"/>
            <w:vAlign w:val="bottom"/>
          </w:tcPr>
          <w:p>
            <w:pPr>
              <w:ind w:left="20"/>
              <w:spacing w:after="0" w:line="143" w:lineRule="exact"/>
              <w:rPr>
                <w:sz w:val="20"/>
                <w:szCs w:val="20"/>
                <w:color w:val="auto"/>
              </w:rPr>
            </w:pPr>
            <w:r>
              <w:rPr>
                <w:rFonts w:ascii="Arial" w:cs="Arial" w:eastAsia="Arial" w:hAnsi="Arial"/>
                <w:sz w:val="14"/>
                <w:szCs w:val="14"/>
                <w:color w:val="auto"/>
              </w:rPr>
              <w:t>Montgomery Processing</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3" w:lineRule="exact"/>
              <w:rPr>
                <w:sz w:val="20"/>
                <w:szCs w:val="20"/>
                <w:color w:val="auto"/>
              </w:rPr>
            </w:pPr>
            <w:r>
              <w:rPr>
                <w:rFonts w:ascii="Arial" w:cs="Arial" w:eastAsia="Arial" w:hAnsi="Arial"/>
                <w:sz w:val="14"/>
                <w:szCs w:val="14"/>
                <w:color w:val="auto"/>
              </w:rPr>
              <w:t>Local &amp;</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tcPr>
          <w:p>
            <w:pPr>
              <w:ind w:left="20"/>
              <w:spacing w:after="0" w:line="149" w:lineRule="exact"/>
              <w:rPr>
                <w:sz w:val="20"/>
                <w:szCs w:val="20"/>
                <w:color w:val="auto"/>
              </w:rPr>
            </w:pPr>
            <w:r>
              <w:rPr>
                <w:rFonts w:ascii="Arial" w:cs="Arial" w:eastAsia="Arial" w:hAnsi="Arial"/>
                <w:sz w:val="14"/>
                <w:szCs w:val="14"/>
                <w:color w:val="auto"/>
              </w:rPr>
              <w:t>Center Conroe, TX</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00" w:type="dxa"/>
            <w:vAlign w:val="bottom"/>
          </w:tcPr>
          <w:p>
            <w:pPr>
              <w:spacing w:after="0"/>
              <w:rPr>
                <w:sz w:val="15"/>
                <w:szCs w:val="15"/>
                <w:color w:val="auto"/>
              </w:rPr>
            </w:pPr>
          </w:p>
        </w:tc>
        <w:tc>
          <w:tcPr>
            <w:tcW w:w="1100" w:type="dxa"/>
            <w:vAlign w:val="bottom"/>
            <w:gridSpan w:val="2"/>
          </w:tcPr>
          <w:p>
            <w:pPr>
              <w:jc w:val="right"/>
              <w:ind w:right="48"/>
              <w:spacing w:after="0"/>
              <w:rPr>
                <w:sz w:val="20"/>
                <w:szCs w:val="20"/>
                <w:color w:val="auto"/>
              </w:rPr>
            </w:pPr>
            <w:r>
              <w:rPr>
                <w:rFonts w:ascii="Arial" w:cs="Arial" w:eastAsia="Arial" w:hAnsi="Arial"/>
                <w:sz w:val="14"/>
                <w:szCs w:val="14"/>
                <w:color w:val="auto"/>
              </w:rPr>
              <w:t>1,314</w:t>
            </w:r>
          </w:p>
        </w:tc>
        <w:tc>
          <w:tcPr>
            <w:tcW w:w="1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ICE</w:t>
            </w: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Detention</w:t>
            </w:r>
          </w:p>
        </w:tc>
        <w:tc>
          <w:tcPr>
            <w:tcW w:w="1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7"/>
              </w:rPr>
              <w:t>All levels</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October 2018</w:t>
            </w:r>
          </w:p>
        </w:tc>
        <w:tc>
          <w:tcPr>
            <w:tcW w:w="1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1"/>
              </w:rPr>
              <w:t>10 months</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3"/>
              </w:rPr>
              <w:t>Nine, One- year</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1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Facility Name &amp;</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Primary</w:t>
            </w:r>
          </w:p>
        </w:tc>
        <w:tc>
          <w:tcPr>
            <w:tcW w:w="80" w:type="dxa"/>
            <w:vAlign w:val="bottom"/>
          </w:tcPr>
          <w:p>
            <w:pPr>
              <w:spacing w:after="0"/>
              <w:rPr>
                <w:sz w:val="14"/>
                <w:szCs w:val="14"/>
                <w:color w:val="auto"/>
              </w:rPr>
            </w:pP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Facility</w:t>
            </w:r>
          </w:p>
        </w:tc>
        <w:tc>
          <w:tcPr>
            <w:tcW w:w="8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Commencement</w:t>
            </w:r>
          </w:p>
        </w:tc>
        <w:tc>
          <w:tcPr>
            <w:tcW w:w="6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Base</w:t>
            </w:r>
          </w:p>
        </w:tc>
        <w:tc>
          <w:tcPr>
            <w:tcW w:w="60" w:type="dxa"/>
            <w:vAlign w:val="bottom"/>
          </w:tcPr>
          <w:p>
            <w:pPr>
              <w:spacing w:after="0"/>
              <w:rPr>
                <w:sz w:val="14"/>
                <w:szCs w:val="14"/>
                <w:color w:val="auto"/>
              </w:rPr>
            </w:pPr>
          </w:p>
        </w:tc>
        <w:tc>
          <w:tcPr>
            <w:tcW w:w="2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Renewal</w:t>
            </w: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Managed</w:t>
            </w:r>
          </w:p>
        </w:tc>
        <w:tc>
          <w:tcPr>
            <w:tcW w:w="0" w:type="dxa"/>
            <w:vAlign w:val="bottom"/>
          </w:tcPr>
          <w:p>
            <w:pPr>
              <w:spacing w:after="0"/>
              <w:rPr>
                <w:sz w:val="1"/>
                <w:szCs w:val="1"/>
                <w:color w:val="auto"/>
              </w:rPr>
            </w:pPr>
          </w:p>
        </w:tc>
      </w:tr>
      <w:tr>
        <w:trPr>
          <w:trHeight w:val="148"/>
        </w:trPr>
        <w:tc>
          <w:tcPr>
            <w:tcW w:w="14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Capacity(1)</w:t>
            </w: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of Current</w:t>
            </w:r>
          </w:p>
        </w:tc>
        <w:tc>
          <w:tcPr>
            <w:tcW w:w="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Leased/</w:t>
            </w:r>
          </w:p>
        </w:tc>
        <w:tc>
          <w:tcPr>
            <w:tcW w:w="0" w:type="dxa"/>
            <w:vAlign w:val="bottom"/>
          </w:tcPr>
          <w:p>
            <w:pPr>
              <w:spacing w:after="0"/>
              <w:rPr>
                <w:sz w:val="1"/>
                <w:szCs w:val="1"/>
                <w:color w:val="auto"/>
              </w:rPr>
            </w:pPr>
          </w:p>
        </w:tc>
      </w:tr>
      <w:tr>
        <w:trPr>
          <w:trHeight w:val="185"/>
        </w:trPr>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8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Customer</w:t>
            </w:r>
          </w:p>
        </w:tc>
        <w:tc>
          <w:tcPr>
            <w:tcW w:w="8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8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8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Contract</w:t>
            </w:r>
          </w:p>
        </w:tc>
        <w:tc>
          <w:tcPr>
            <w:tcW w:w="6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6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37"/>
        </w:trPr>
        <w:tc>
          <w:tcPr>
            <w:tcW w:w="144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color w:val="auto"/>
                <w:w w:val="96"/>
              </w:rPr>
              <w:t>Rio Grande Processing</w:t>
            </w: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jc w:val="center"/>
              <w:spacing w:after="0" w:line="137" w:lineRule="exact"/>
              <w:rPr>
                <w:sz w:val="20"/>
                <w:szCs w:val="20"/>
                <w:color w:val="auto"/>
              </w:rPr>
            </w:pPr>
            <w:r>
              <w:rPr>
                <w:rFonts w:ascii="Arial" w:cs="Arial" w:eastAsia="Arial" w:hAnsi="Arial"/>
                <w:sz w:val="14"/>
                <w:szCs w:val="14"/>
                <w:color w:val="auto"/>
                <w:w w:val="88"/>
              </w:rPr>
              <w:t>Federal</w:t>
            </w:r>
          </w:p>
        </w:tc>
        <w:tc>
          <w:tcPr>
            <w:tcW w:w="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Center Laredo, TX</w:t>
            </w:r>
          </w:p>
        </w:tc>
        <w:tc>
          <w:tcPr>
            <w:tcW w:w="9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1,900</w:t>
            </w: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8"/>
              </w:rPr>
              <w:t>USMS</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Detention</w:t>
            </w:r>
          </w:p>
        </w:tc>
        <w:tc>
          <w:tcPr>
            <w:tcW w:w="80" w:type="dxa"/>
            <w:vAlign w:val="bottom"/>
            <w:shd w:val="clear" w:color="auto" w:fill="CFF0FC"/>
          </w:tcPr>
          <w:p>
            <w:pPr>
              <w:spacing w:after="0"/>
              <w:rPr>
                <w:sz w:val="15"/>
                <w:szCs w:val="15"/>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Medium</w:t>
            </w: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October 2008</w:t>
            </w:r>
          </w:p>
        </w:tc>
        <w:tc>
          <w:tcPr>
            <w:tcW w:w="60" w:type="dxa"/>
            <w:vAlign w:val="bottom"/>
            <w:shd w:val="clear" w:color="auto" w:fill="CFF0FC"/>
          </w:tcPr>
          <w:p>
            <w:pPr>
              <w:spacing w:after="0"/>
              <w:rPr>
                <w:sz w:val="15"/>
                <w:szCs w:val="15"/>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5 years</w:t>
            </w:r>
          </w:p>
        </w:tc>
        <w:tc>
          <w:tcPr>
            <w:tcW w:w="60" w:type="dxa"/>
            <w:vAlign w:val="bottom"/>
            <w:shd w:val="clear" w:color="auto" w:fill="CFF0FC"/>
          </w:tcPr>
          <w:p>
            <w:pPr>
              <w:spacing w:after="0"/>
              <w:rPr>
                <w:sz w:val="15"/>
                <w:szCs w:val="15"/>
                <w:color w:val="auto"/>
              </w:rPr>
            </w:pPr>
          </w:p>
        </w:tc>
        <w:tc>
          <w:tcPr>
            <w:tcW w:w="23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Three, Five-year</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440" w:type="dxa"/>
            <w:vAlign w:val="bottom"/>
          </w:tcPr>
          <w:p>
            <w:pPr>
              <w:ind w:left="20"/>
              <w:spacing w:after="0" w:line="143" w:lineRule="exact"/>
              <w:rPr>
                <w:sz w:val="20"/>
                <w:szCs w:val="20"/>
                <w:color w:val="auto"/>
              </w:rPr>
            </w:pPr>
            <w:r>
              <w:rPr>
                <w:rFonts w:ascii="Arial" w:cs="Arial" w:eastAsia="Arial" w:hAnsi="Arial"/>
                <w:sz w:val="14"/>
                <w:szCs w:val="14"/>
                <w:color w:val="auto"/>
              </w:rPr>
              <w:t>South Texas ICE</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line="149" w:lineRule="exact"/>
              <w:rPr>
                <w:sz w:val="20"/>
                <w:szCs w:val="20"/>
                <w:color w:val="auto"/>
              </w:rPr>
            </w:pPr>
            <w:r>
              <w:rPr>
                <w:rFonts w:ascii="Arial" w:cs="Arial" w:eastAsia="Arial" w:hAnsi="Arial"/>
                <w:sz w:val="14"/>
                <w:szCs w:val="14"/>
                <w:color w:val="auto"/>
              </w:rPr>
              <w:t>Processing Center</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40" w:type="dxa"/>
            <w:vAlign w:val="bottom"/>
          </w:tcPr>
          <w:p>
            <w:pPr>
              <w:ind w:left="20"/>
              <w:spacing w:after="0"/>
              <w:rPr>
                <w:sz w:val="20"/>
                <w:szCs w:val="20"/>
                <w:color w:val="auto"/>
              </w:rPr>
            </w:pPr>
            <w:r>
              <w:rPr>
                <w:rFonts w:ascii="Arial" w:cs="Arial" w:eastAsia="Arial" w:hAnsi="Arial"/>
                <w:sz w:val="14"/>
                <w:szCs w:val="14"/>
                <w:color w:val="auto"/>
              </w:rPr>
              <w:t>Pearsall, TX</w:t>
            </w:r>
          </w:p>
        </w:tc>
        <w:tc>
          <w:tcPr>
            <w:tcW w:w="960" w:type="dxa"/>
            <w:vAlign w:val="bottom"/>
            <w:gridSpan w:val="2"/>
          </w:tcPr>
          <w:p>
            <w:pPr>
              <w:jc w:val="right"/>
              <w:ind w:right="48"/>
              <w:spacing w:after="0"/>
              <w:rPr>
                <w:sz w:val="20"/>
                <w:szCs w:val="20"/>
                <w:color w:val="auto"/>
              </w:rPr>
            </w:pPr>
            <w:r>
              <w:rPr>
                <w:rFonts w:ascii="Arial" w:cs="Arial" w:eastAsia="Arial" w:hAnsi="Arial"/>
                <w:sz w:val="14"/>
                <w:szCs w:val="14"/>
                <w:color w:val="auto"/>
              </w:rPr>
              <w:t>1,904</w:t>
            </w: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ICE</w:t>
            </w: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Detention</w:t>
            </w:r>
          </w:p>
        </w:tc>
        <w:tc>
          <w:tcPr>
            <w:tcW w:w="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All Levels</w:t>
            </w:r>
          </w:p>
        </w:tc>
        <w:tc>
          <w:tcPr>
            <w:tcW w:w="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4"/>
              </w:rPr>
              <w:t>August 2020</w:t>
            </w:r>
          </w:p>
        </w:tc>
        <w:tc>
          <w:tcPr>
            <w:tcW w:w="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7"/>
              </w:rPr>
              <w:t>1 year</w:t>
            </w:r>
          </w:p>
        </w:tc>
        <w:tc>
          <w:tcPr>
            <w:tcW w:w="6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Arial" w:cs="Arial" w:eastAsia="Arial" w:hAnsi="Arial"/>
                <w:sz w:val="14"/>
                <w:szCs w:val="14"/>
                <w:color w:val="auto"/>
                <w:w w:val="92"/>
              </w:rPr>
              <w:t>Nine, One-year</w:t>
            </w: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4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Val Verde County</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rPr>
              <w:t>Local &amp;</w:t>
            </w: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Detention Facility Del</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Rio, TX (2)</w:t>
            </w:r>
          </w:p>
        </w:tc>
        <w:tc>
          <w:tcPr>
            <w:tcW w:w="9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1,407</w:t>
            </w: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8"/>
              </w:rPr>
              <w:t>USMS - IGA</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Detention</w:t>
            </w:r>
          </w:p>
        </w:tc>
        <w:tc>
          <w:tcPr>
            <w:tcW w:w="80" w:type="dxa"/>
            <w:vAlign w:val="bottom"/>
            <w:shd w:val="clear" w:color="auto" w:fill="CFF0FC"/>
          </w:tcPr>
          <w:p>
            <w:pPr>
              <w:spacing w:after="0"/>
              <w:rPr>
                <w:sz w:val="15"/>
                <w:szCs w:val="15"/>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All Levels</w:t>
            </w: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January 2001</w:t>
            </w:r>
          </w:p>
        </w:tc>
        <w:tc>
          <w:tcPr>
            <w:tcW w:w="60" w:type="dxa"/>
            <w:vAlign w:val="bottom"/>
            <w:shd w:val="clear" w:color="auto" w:fill="CFF0FC"/>
          </w:tcPr>
          <w:p>
            <w:pPr>
              <w:spacing w:after="0"/>
              <w:rPr>
                <w:sz w:val="15"/>
                <w:szCs w:val="15"/>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Perpetual</w:t>
            </w:r>
          </w:p>
        </w:tc>
        <w:tc>
          <w:tcPr>
            <w:tcW w:w="60" w:type="dxa"/>
            <w:vAlign w:val="bottom"/>
            <w:shd w:val="clear" w:color="auto" w:fill="CFF0FC"/>
          </w:tcPr>
          <w:p>
            <w:pPr>
              <w:spacing w:after="0"/>
              <w:rPr>
                <w:sz w:val="15"/>
                <w:szCs w:val="15"/>
                <w:color w:val="auto"/>
              </w:rPr>
            </w:pPr>
          </w:p>
        </w:tc>
        <w:tc>
          <w:tcPr>
            <w:tcW w:w="23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None</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440" w:type="dxa"/>
            <w:vAlign w:val="bottom"/>
          </w:tcPr>
          <w:p>
            <w:pPr>
              <w:ind w:left="20"/>
              <w:spacing w:after="0" w:line="143" w:lineRule="exact"/>
              <w:rPr>
                <w:sz w:val="20"/>
                <w:szCs w:val="20"/>
                <w:color w:val="auto"/>
              </w:rPr>
            </w:pPr>
            <w:r>
              <w:rPr>
                <w:rFonts w:ascii="Arial" w:cs="Arial" w:eastAsia="Arial" w:hAnsi="Arial"/>
                <w:sz w:val="14"/>
                <w:szCs w:val="14"/>
                <w:b w:val="1"/>
                <w:bCs w:val="1"/>
                <w:i w:val="1"/>
                <w:iCs w:val="1"/>
                <w:color w:val="auto"/>
              </w:rPr>
              <w:t>Secure Services —</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Eastern Region:</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Alexandria Staging</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Facility Alexandria, LA</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(2)</w:t>
            </w:r>
          </w:p>
        </w:tc>
        <w:tc>
          <w:tcPr>
            <w:tcW w:w="9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400</w:t>
            </w: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ICE - IGA</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Detention</w:t>
            </w:r>
          </w:p>
        </w:tc>
        <w:tc>
          <w:tcPr>
            <w:tcW w:w="80" w:type="dxa"/>
            <w:vAlign w:val="bottom"/>
            <w:shd w:val="clear" w:color="auto" w:fill="CFF0FC"/>
          </w:tcPr>
          <w:p>
            <w:pPr>
              <w:spacing w:after="0"/>
              <w:rPr>
                <w:sz w:val="15"/>
                <w:szCs w:val="15"/>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Minimum/Medium</w:t>
            </w: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November 2013</w:t>
            </w:r>
          </w:p>
        </w:tc>
        <w:tc>
          <w:tcPr>
            <w:tcW w:w="60" w:type="dxa"/>
            <w:vAlign w:val="bottom"/>
            <w:shd w:val="clear" w:color="auto" w:fill="CFF0FC"/>
          </w:tcPr>
          <w:p>
            <w:pPr>
              <w:spacing w:after="0"/>
              <w:rPr>
                <w:sz w:val="15"/>
                <w:szCs w:val="15"/>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Perpetual</w:t>
            </w:r>
          </w:p>
        </w:tc>
        <w:tc>
          <w:tcPr>
            <w:tcW w:w="60" w:type="dxa"/>
            <w:vAlign w:val="bottom"/>
            <w:shd w:val="clear" w:color="auto" w:fill="CFF0FC"/>
          </w:tcPr>
          <w:p>
            <w:pPr>
              <w:spacing w:after="0"/>
              <w:rPr>
                <w:sz w:val="15"/>
                <w:szCs w:val="15"/>
                <w:color w:val="auto"/>
              </w:rPr>
            </w:pPr>
          </w:p>
        </w:tc>
        <w:tc>
          <w:tcPr>
            <w:tcW w:w="23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None</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440" w:type="dxa"/>
            <w:vAlign w:val="bottom"/>
          </w:tcPr>
          <w:p>
            <w:pPr>
              <w:ind w:left="20"/>
              <w:spacing w:after="0" w:line="143" w:lineRule="exact"/>
              <w:rPr>
                <w:sz w:val="20"/>
                <w:szCs w:val="20"/>
                <w:color w:val="auto"/>
              </w:rPr>
            </w:pPr>
            <w:r>
              <w:rPr>
                <w:rFonts w:ascii="Arial" w:cs="Arial" w:eastAsia="Arial" w:hAnsi="Arial"/>
                <w:sz w:val="14"/>
                <w:szCs w:val="14"/>
                <w:color w:val="auto"/>
              </w:rPr>
              <w:t>Blackwater River</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line="149" w:lineRule="exact"/>
              <w:rPr>
                <w:sz w:val="20"/>
                <w:szCs w:val="20"/>
                <w:color w:val="auto"/>
              </w:rPr>
            </w:pPr>
            <w:r>
              <w:rPr>
                <w:rFonts w:ascii="Arial" w:cs="Arial" w:eastAsia="Arial" w:hAnsi="Arial"/>
                <w:sz w:val="14"/>
                <w:szCs w:val="14"/>
                <w:color w:val="auto"/>
              </w:rPr>
              <w:t>Correctional and</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line="149" w:lineRule="exact"/>
              <w:rPr>
                <w:sz w:val="20"/>
                <w:szCs w:val="20"/>
                <w:color w:val="auto"/>
              </w:rPr>
            </w:pPr>
            <w:r>
              <w:rPr>
                <w:rFonts w:ascii="Arial" w:cs="Arial" w:eastAsia="Arial" w:hAnsi="Arial"/>
                <w:sz w:val="14"/>
                <w:szCs w:val="14"/>
                <w:color w:val="auto"/>
              </w:rPr>
              <w:t>Rehabilitation Facility</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1"/>
              </w:rPr>
              <w:t>State</w:t>
            </w: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40" w:type="dxa"/>
            <w:vAlign w:val="bottom"/>
          </w:tcPr>
          <w:p>
            <w:pPr>
              <w:ind w:left="20"/>
              <w:spacing w:after="0"/>
              <w:rPr>
                <w:sz w:val="20"/>
                <w:szCs w:val="20"/>
                <w:color w:val="auto"/>
              </w:rPr>
            </w:pPr>
            <w:r>
              <w:rPr>
                <w:rFonts w:ascii="Arial" w:cs="Arial" w:eastAsia="Arial" w:hAnsi="Arial"/>
                <w:sz w:val="14"/>
                <w:szCs w:val="14"/>
                <w:color w:val="auto"/>
              </w:rPr>
              <w:t>Milton, FL</w:t>
            </w:r>
          </w:p>
        </w:tc>
        <w:tc>
          <w:tcPr>
            <w:tcW w:w="960" w:type="dxa"/>
            <w:vAlign w:val="bottom"/>
            <w:gridSpan w:val="2"/>
          </w:tcPr>
          <w:p>
            <w:pPr>
              <w:jc w:val="right"/>
              <w:ind w:right="48"/>
              <w:spacing w:after="0"/>
              <w:rPr>
                <w:sz w:val="20"/>
                <w:szCs w:val="20"/>
                <w:color w:val="auto"/>
              </w:rPr>
            </w:pPr>
            <w:r>
              <w:rPr>
                <w:rFonts w:ascii="Arial" w:cs="Arial" w:eastAsia="Arial" w:hAnsi="Arial"/>
                <w:sz w:val="14"/>
                <w:szCs w:val="14"/>
                <w:color w:val="auto"/>
              </w:rPr>
              <w:t>2,000</w:t>
            </w: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FL DMS</w:t>
            </w: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Correctional</w:t>
            </w:r>
          </w:p>
        </w:tc>
        <w:tc>
          <w:tcPr>
            <w:tcW w:w="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4"/>
              </w:rPr>
              <w:t>Medium/close</w:t>
            </w:r>
          </w:p>
        </w:tc>
        <w:tc>
          <w:tcPr>
            <w:tcW w:w="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October 2010</w:t>
            </w:r>
          </w:p>
        </w:tc>
        <w:tc>
          <w:tcPr>
            <w:tcW w:w="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3 years</w:t>
            </w:r>
          </w:p>
        </w:tc>
        <w:tc>
          <w:tcPr>
            <w:tcW w:w="6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Arial" w:cs="Arial" w:eastAsia="Arial" w:hAnsi="Arial"/>
                <w:sz w:val="14"/>
                <w:szCs w:val="14"/>
                <w:color w:val="auto"/>
                <w:w w:val="96"/>
              </w:rPr>
              <w:t>Unlimited, Two-year</w:t>
            </w: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Managed</w:t>
            </w:r>
          </w:p>
        </w:tc>
        <w:tc>
          <w:tcPr>
            <w:tcW w:w="0" w:type="dxa"/>
            <w:vAlign w:val="bottom"/>
          </w:tcPr>
          <w:p>
            <w:pPr>
              <w:spacing w:after="0"/>
              <w:rPr>
                <w:sz w:val="1"/>
                <w:szCs w:val="1"/>
                <w:color w:val="auto"/>
              </w:rPr>
            </w:pPr>
          </w:p>
        </w:tc>
      </w:tr>
      <w:tr>
        <w:trPr>
          <w:trHeight w:val="143"/>
        </w:trPr>
        <w:tc>
          <w:tcPr>
            <w:tcW w:w="14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Broward Transitional</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w w:val="93"/>
              </w:rPr>
              <w:t>Center Deerfield Beach,</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FL</w:t>
            </w:r>
          </w:p>
        </w:tc>
        <w:tc>
          <w:tcPr>
            <w:tcW w:w="9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700</w:t>
            </w: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ICE</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Detention</w:t>
            </w:r>
          </w:p>
        </w:tc>
        <w:tc>
          <w:tcPr>
            <w:tcW w:w="80" w:type="dxa"/>
            <w:vAlign w:val="bottom"/>
            <w:shd w:val="clear" w:color="auto" w:fill="CFF0FC"/>
          </w:tcPr>
          <w:p>
            <w:pPr>
              <w:spacing w:after="0"/>
              <w:rPr>
                <w:sz w:val="15"/>
                <w:szCs w:val="15"/>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Minimum</w:t>
            </w: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September 2021</w:t>
            </w:r>
          </w:p>
        </w:tc>
        <w:tc>
          <w:tcPr>
            <w:tcW w:w="60" w:type="dxa"/>
            <w:vAlign w:val="bottom"/>
            <w:shd w:val="clear" w:color="auto" w:fill="CFF0FC"/>
          </w:tcPr>
          <w:p>
            <w:pPr>
              <w:spacing w:after="0"/>
              <w:rPr>
                <w:sz w:val="15"/>
                <w:szCs w:val="15"/>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7"/>
              </w:rPr>
              <w:t>1 year</w:t>
            </w:r>
          </w:p>
        </w:tc>
        <w:tc>
          <w:tcPr>
            <w:tcW w:w="60" w:type="dxa"/>
            <w:vAlign w:val="bottom"/>
            <w:shd w:val="clear" w:color="auto" w:fill="CFF0FC"/>
          </w:tcPr>
          <w:p>
            <w:pPr>
              <w:spacing w:after="0"/>
              <w:rPr>
                <w:sz w:val="15"/>
                <w:szCs w:val="15"/>
                <w:color w:val="auto"/>
              </w:rPr>
            </w:pPr>
          </w:p>
        </w:tc>
        <w:tc>
          <w:tcPr>
            <w:tcW w:w="23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Four, One-year</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440" w:type="dxa"/>
            <w:vAlign w:val="bottom"/>
          </w:tcPr>
          <w:p>
            <w:pPr>
              <w:ind w:left="20"/>
              <w:spacing w:after="0" w:line="143" w:lineRule="exact"/>
              <w:rPr>
                <w:sz w:val="20"/>
                <w:szCs w:val="20"/>
                <w:color w:val="auto"/>
              </w:rPr>
            </w:pPr>
            <w:r>
              <w:rPr>
                <w:rFonts w:ascii="Arial" w:cs="Arial" w:eastAsia="Arial" w:hAnsi="Arial"/>
                <w:sz w:val="14"/>
                <w:szCs w:val="14"/>
                <w:color w:val="auto"/>
              </w:rPr>
              <w:t>Central Louisiana ICE</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line="149" w:lineRule="exact"/>
              <w:rPr>
                <w:sz w:val="20"/>
                <w:szCs w:val="20"/>
                <w:color w:val="auto"/>
              </w:rPr>
            </w:pPr>
            <w:r>
              <w:rPr>
                <w:rFonts w:ascii="Arial" w:cs="Arial" w:eastAsia="Arial" w:hAnsi="Arial"/>
                <w:sz w:val="14"/>
                <w:szCs w:val="14"/>
                <w:color w:val="auto"/>
                <w:w w:val="91"/>
              </w:rPr>
              <w:t>Processing Center Jena,</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40" w:type="dxa"/>
            <w:vAlign w:val="bottom"/>
          </w:tcPr>
          <w:p>
            <w:pPr>
              <w:ind w:left="20"/>
              <w:spacing w:after="0"/>
              <w:rPr>
                <w:sz w:val="20"/>
                <w:szCs w:val="20"/>
                <w:color w:val="auto"/>
              </w:rPr>
            </w:pPr>
            <w:r>
              <w:rPr>
                <w:rFonts w:ascii="Arial" w:cs="Arial" w:eastAsia="Arial" w:hAnsi="Arial"/>
                <w:sz w:val="14"/>
                <w:szCs w:val="14"/>
                <w:color w:val="auto"/>
              </w:rPr>
              <w:t>LA (2)</w:t>
            </w:r>
          </w:p>
        </w:tc>
        <w:tc>
          <w:tcPr>
            <w:tcW w:w="960" w:type="dxa"/>
            <w:vAlign w:val="bottom"/>
            <w:gridSpan w:val="2"/>
          </w:tcPr>
          <w:p>
            <w:pPr>
              <w:jc w:val="right"/>
              <w:ind w:right="48"/>
              <w:spacing w:after="0"/>
              <w:rPr>
                <w:sz w:val="20"/>
                <w:szCs w:val="20"/>
                <w:color w:val="auto"/>
              </w:rPr>
            </w:pPr>
            <w:r>
              <w:rPr>
                <w:rFonts w:ascii="Arial" w:cs="Arial" w:eastAsia="Arial" w:hAnsi="Arial"/>
                <w:sz w:val="14"/>
                <w:szCs w:val="14"/>
                <w:color w:val="auto"/>
              </w:rPr>
              <w:t>1,160</w:t>
            </w: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ICE - IGA</w:t>
            </w: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Detention</w:t>
            </w:r>
          </w:p>
        </w:tc>
        <w:tc>
          <w:tcPr>
            <w:tcW w:w="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Minimum/Medium</w:t>
            </w:r>
          </w:p>
        </w:tc>
        <w:tc>
          <w:tcPr>
            <w:tcW w:w="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4"/>
              </w:rPr>
              <w:t>November 2013</w:t>
            </w:r>
          </w:p>
        </w:tc>
        <w:tc>
          <w:tcPr>
            <w:tcW w:w="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0"/>
              </w:rPr>
              <w:t>Perpetual</w:t>
            </w:r>
          </w:p>
        </w:tc>
        <w:tc>
          <w:tcPr>
            <w:tcW w:w="6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Arial" w:cs="Arial" w:eastAsia="Arial" w:hAnsi="Arial"/>
                <w:sz w:val="14"/>
                <w:szCs w:val="14"/>
                <w:color w:val="auto"/>
                <w:w w:val="95"/>
              </w:rPr>
              <w:t>None</w:t>
            </w: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4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D. Ray James</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Correctional Facility</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Folkston, GA</w:t>
            </w:r>
          </w:p>
        </w:tc>
        <w:tc>
          <w:tcPr>
            <w:tcW w:w="9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1,900</w:t>
            </w: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Idle</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440" w:type="dxa"/>
            <w:vAlign w:val="bottom"/>
          </w:tcPr>
          <w:p>
            <w:pPr>
              <w:ind w:left="20"/>
              <w:spacing w:after="0" w:line="143" w:lineRule="exact"/>
              <w:rPr>
                <w:sz w:val="20"/>
                <w:szCs w:val="20"/>
                <w:color w:val="auto"/>
              </w:rPr>
            </w:pPr>
            <w:r>
              <w:rPr>
                <w:rFonts w:ascii="Arial" w:cs="Arial" w:eastAsia="Arial" w:hAnsi="Arial"/>
                <w:sz w:val="14"/>
                <w:szCs w:val="14"/>
                <w:color w:val="auto"/>
              </w:rPr>
              <w:t>Folkston ICE</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line="149" w:lineRule="exact"/>
              <w:rPr>
                <w:sz w:val="20"/>
                <w:szCs w:val="20"/>
                <w:color w:val="auto"/>
              </w:rPr>
            </w:pPr>
            <w:r>
              <w:rPr>
                <w:rFonts w:ascii="Arial" w:cs="Arial" w:eastAsia="Arial" w:hAnsi="Arial"/>
                <w:sz w:val="14"/>
                <w:szCs w:val="14"/>
                <w:color w:val="auto"/>
              </w:rPr>
              <w:t>Processing Center (2)</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color w:val="auto"/>
                <w:w w:val="92"/>
              </w:rPr>
              <w:t>Four, One-year, plus one, two-month,</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40" w:type="dxa"/>
            <w:vAlign w:val="bottom"/>
          </w:tcPr>
          <w:p>
            <w:pPr>
              <w:ind w:left="20"/>
              <w:spacing w:after="0"/>
              <w:rPr>
                <w:sz w:val="20"/>
                <w:szCs w:val="20"/>
                <w:color w:val="auto"/>
              </w:rPr>
            </w:pPr>
            <w:r>
              <w:rPr>
                <w:rFonts w:ascii="Arial" w:cs="Arial" w:eastAsia="Arial" w:hAnsi="Arial"/>
                <w:sz w:val="14"/>
                <w:szCs w:val="14"/>
                <w:color w:val="auto"/>
              </w:rPr>
              <w:t>Folkston, GA</w:t>
            </w:r>
          </w:p>
        </w:tc>
        <w:tc>
          <w:tcPr>
            <w:tcW w:w="960" w:type="dxa"/>
            <w:vAlign w:val="bottom"/>
            <w:gridSpan w:val="2"/>
          </w:tcPr>
          <w:p>
            <w:pPr>
              <w:jc w:val="right"/>
              <w:ind w:right="48"/>
              <w:spacing w:after="0"/>
              <w:rPr>
                <w:sz w:val="20"/>
                <w:szCs w:val="20"/>
                <w:color w:val="auto"/>
              </w:rPr>
            </w:pPr>
            <w:r>
              <w:rPr>
                <w:rFonts w:ascii="Arial" w:cs="Arial" w:eastAsia="Arial" w:hAnsi="Arial"/>
                <w:sz w:val="14"/>
                <w:szCs w:val="14"/>
                <w:color w:val="auto"/>
              </w:rPr>
              <w:t>1,118</w:t>
            </w: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ICE - IGA</w:t>
            </w: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Detention</w:t>
            </w:r>
          </w:p>
        </w:tc>
        <w:tc>
          <w:tcPr>
            <w:tcW w:w="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Minimum</w:t>
            </w:r>
          </w:p>
        </w:tc>
        <w:tc>
          <w:tcPr>
            <w:tcW w:w="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2"/>
              </w:rPr>
              <w:t>December 2016</w:t>
            </w:r>
          </w:p>
        </w:tc>
        <w:tc>
          <w:tcPr>
            <w:tcW w:w="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7"/>
              </w:rPr>
              <w:t>1 year</w:t>
            </w:r>
          </w:p>
        </w:tc>
        <w:tc>
          <w:tcPr>
            <w:tcW w:w="6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Arial" w:cs="Arial" w:eastAsia="Arial" w:hAnsi="Arial"/>
                <w:sz w:val="14"/>
                <w:szCs w:val="14"/>
                <w:color w:val="auto"/>
                <w:w w:val="93"/>
              </w:rPr>
              <w:t>plus one, five year</w:t>
            </w: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4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Heritage Trail</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30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90"/>
              </w:rPr>
              <w:t>One, Four-year, plus one, one year,</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Correctional Facility</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30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92"/>
              </w:rPr>
              <w:t>four months and two days extension,</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Plainfield, IN</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91"/>
              </w:rPr>
              <w:t>State</w:t>
            </w: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30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92"/>
              </w:rPr>
              <w:t>plus one year extension, plus five year</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1,066</w:t>
            </w: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IN DOC</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Correctional</w:t>
            </w:r>
          </w:p>
        </w:tc>
        <w:tc>
          <w:tcPr>
            <w:tcW w:w="80" w:type="dxa"/>
            <w:vAlign w:val="bottom"/>
            <w:shd w:val="clear" w:color="auto" w:fill="CFF0FC"/>
          </w:tcPr>
          <w:p>
            <w:pPr>
              <w:spacing w:after="0"/>
              <w:rPr>
                <w:sz w:val="15"/>
                <w:szCs w:val="15"/>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Minimum</w:t>
            </w: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March 2011</w:t>
            </w:r>
          </w:p>
        </w:tc>
        <w:tc>
          <w:tcPr>
            <w:tcW w:w="60" w:type="dxa"/>
            <w:vAlign w:val="bottom"/>
            <w:shd w:val="clear" w:color="auto" w:fill="CFF0FC"/>
          </w:tcPr>
          <w:p>
            <w:pPr>
              <w:spacing w:after="0"/>
              <w:rPr>
                <w:sz w:val="15"/>
                <w:szCs w:val="15"/>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4 years</w:t>
            </w:r>
          </w:p>
        </w:tc>
        <w:tc>
          <w:tcPr>
            <w:tcW w:w="60" w:type="dxa"/>
            <w:vAlign w:val="bottom"/>
            <w:shd w:val="clear" w:color="auto" w:fill="CFF0FC"/>
          </w:tcPr>
          <w:p>
            <w:pPr>
              <w:spacing w:after="0"/>
              <w:rPr>
                <w:sz w:val="15"/>
                <w:szCs w:val="15"/>
                <w:color w:val="auto"/>
              </w:rPr>
            </w:pPr>
          </w:p>
        </w:tc>
        <w:tc>
          <w:tcPr>
            <w:tcW w:w="23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extension</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Managed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1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Facility Name &amp;</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Primary</w:t>
            </w:r>
          </w:p>
        </w:tc>
        <w:tc>
          <w:tcPr>
            <w:tcW w:w="8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Facility</w:t>
            </w:r>
          </w:p>
        </w:tc>
        <w:tc>
          <w:tcPr>
            <w:tcW w:w="8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Commencement</w:t>
            </w:r>
          </w:p>
        </w:tc>
        <w:tc>
          <w:tcPr>
            <w:tcW w:w="8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Base</w:t>
            </w:r>
          </w:p>
        </w:tc>
        <w:tc>
          <w:tcPr>
            <w:tcW w:w="80" w:type="dxa"/>
            <w:vAlign w:val="bottom"/>
          </w:tcPr>
          <w:p>
            <w:pPr>
              <w:spacing w:after="0"/>
              <w:rPr>
                <w:sz w:val="14"/>
                <w:szCs w:val="14"/>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Renewal</w:t>
            </w: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Managed</w:t>
            </w:r>
          </w:p>
        </w:tc>
        <w:tc>
          <w:tcPr>
            <w:tcW w:w="0" w:type="dxa"/>
            <w:vAlign w:val="bottom"/>
          </w:tcPr>
          <w:p>
            <w:pPr>
              <w:spacing w:after="0"/>
              <w:rPr>
                <w:sz w:val="1"/>
                <w:szCs w:val="1"/>
                <w:color w:val="auto"/>
              </w:rPr>
            </w:pPr>
          </w:p>
        </w:tc>
      </w:tr>
      <w:tr>
        <w:trPr>
          <w:trHeight w:val="148"/>
        </w:trPr>
        <w:tc>
          <w:tcPr>
            <w:tcW w:w="1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Capacity(1)</w:t>
            </w: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of Current</w:t>
            </w: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Leased/</w:t>
            </w:r>
          </w:p>
        </w:tc>
        <w:tc>
          <w:tcPr>
            <w:tcW w:w="0" w:type="dxa"/>
            <w:vAlign w:val="bottom"/>
          </w:tcPr>
          <w:p>
            <w:pPr>
              <w:spacing w:after="0"/>
              <w:rPr>
                <w:sz w:val="1"/>
                <w:szCs w:val="1"/>
                <w:color w:val="auto"/>
              </w:rPr>
            </w:pPr>
          </w:p>
        </w:tc>
      </w:tr>
      <w:tr>
        <w:trPr>
          <w:trHeight w:val="185"/>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8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Customer</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8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8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80" w:type="dxa"/>
            <w:vAlign w:val="bottom"/>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37"/>
        </w:trPr>
        <w:tc>
          <w:tcPr>
            <w:tcW w:w="154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color w:val="auto"/>
              </w:rPr>
              <w:t>Lawrenceville</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Correctional and</w:t>
            </w: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Rehabilitation Facility</w:t>
            </w: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85"/>
              </w:rPr>
              <w:t>State</w:t>
            </w: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Lawrenceville, VA</w:t>
            </w:r>
          </w:p>
        </w:tc>
        <w:tc>
          <w:tcPr>
            <w:tcW w:w="10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1,536</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6"/>
              </w:rPr>
              <w:t>VA DOC</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Correctional</w:t>
            </w:r>
          </w:p>
        </w:tc>
        <w:tc>
          <w:tcPr>
            <w:tcW w:w="80" w:type="dxa"/>
            <w:vAlign w:val="bottom"/>
            <w:shd w:val="clear" w:color="auto" w:fill="CFF0FC"/>
          </w:tcPr>
          <w:p>
            <w:pPr>
              <w:spacing w:after="0"/>
              <w:rPr>
                <w:sz w:val="15"/>
                <w:szCs w:val="15"/>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Medium</w:t>
            </w: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August 2018</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7"/>
              </w:rPr>
              <w:t>5 years</w:t>
            </w:r>
          </w:p>
        </w:tc>
        <w:tc>
          <w:tcPr>
            <w:tcW w:w="80" w:type="dxa"/>
            <w:vAlign w:val="bottom"/>
            <w:shd w:val="clear" w:color="auto" w:fill="CFF0FC"/>
          </w:tcPr>
          <w:p>
            <w:pPr>
              <w:spacing w:after="0"/>
              <w:rPr>
                <w:sz w:val="15"/>
                <w:szCs w:val="15"/>
                <w:color w:val="auto"/>
              </w:rPr>
            </w:pPr>
          </w:p>
        </w:tc>
        <w:tc>
          <w:tcPr>
            <w:tcW w:w="18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Ten, One-year extensions</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Managed</w:t>
            </w:r>
          </w:p>
        </w:tc>
        <w:tc>
          <w:tcPr>
            <w:tcW w:w="0" w:type="dxa"/>
            <w:vAlign w:val="bottom"/>
          </w:tcPr>
          <w:p>
            <w:pPr>
              <w:spacing w:after="0"/>
              <w:rPr>
                <w:sz w:val="1"/>
                <w:szCs w:val="1"/>
                <w:color w:val="auto"/>
              </w:rPr>
            </w:pPr>
          </w:p>
        </w:tc>
      </w:tr>
      <w:tr>
        <w:trPr>
          <w:trHeight w:val="143"/>
        </w:trPr>
        <w:tc>
          <w:tcPr>
            <w:tcW w:w="1540" w:type="dxa"/>
            <w:vAlign w:val="bottom"/>
          </w:tcPr>
          <w:p>
            <w:pPr>
              <w:ind w:left="20"/>
              <w:spacing w:after="0" w:line="143" w:lineRule="exact"/>
              <w:rPr>
                <w:sz w:val="20"/>
                <w:szCs w:val="20"/>
                <w:color w:val="auto"/>
              </w:rPr>
            </w:pPr>
            <w:r>
              <w:rPr>
                <w:rFonts w:ascii="Arial" w:cs="Arial" w:eastAsia="Arial" w:hAnsi="Arial"/>
                <w:sz w:val="14"/>
                <w:szCs w:val="14"/>
                <w:color w:val="auto"/>
              </w:rPr>
              <w:t>Moshannon Valley</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ind w:left="20"/>
              <w:spacing w:after="0" w:line="149" w:lineRule="exact"/>
              <w:rPr>
                <w:sz w:val="20"/>
                <w:szCs w:val="20"/>
                <w:color w:val="auto"/>
              </w:rPr>
            </w:pPr>
            <w:r>
              <w:rPr>
                <w:rFonts w:ascii="Arial" w:cs="Arial" w:eastAsia="Arial" w:hAnsi="Arial"/>
                <w:sz w:val="14"/>
                <w:szCs w:val="14"/>
                <w:color w:val="auto"/>
              </w:rPr>
              <w:t>Correctional Facility</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2"/>
              </w:rPr>
              <w:t>Federal</w:t>
            </w: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540" w:type="dxa"/>
            <w:vAlign w:val="bottom"/>
          </w:tcPr>
          <w:p>
            <w:pPr>
              <w:ind w:left="20"/>
              <w:spacing w:after="0"/>
              <w:rPr>
                <w:sz w:val="20"/>
                <w:szCs w:val="20"/>
                <w:color w:val="auto"/>
              </w:rPr>
            </w:pPr>
            <w:r>
              <w:rPr>
                <w:rFonts w:ascii="Arial" w:cs="Arial" w:eastAsia="Arial" w:hAnsi="Arial"/>
                <w:sz w:val="14"/>
                <w:szCs w:val="14"/>
                <w:color w:val="auto"/>
              </w:rPr>
              <w:t>Philipsburg, PA</w:t>
            </w: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1,876</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ICE-IGA</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5"/>
              </w:rPr>
              <w:t>Correctional</w:t>
            </w:r>
          </w:p>
        </w:tc>
        <w:tc>
          <w:tcPr>
            <w:tcW w:w="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Medium</w:t>
            </w:r>
          </w:p>
        </w:tc>
        <w:tc>
          <w:tcPr>
            <w:tcW w:w="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0"/>
              </w:rPr>
              <w:t>September 2021</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2"/>
              </w:rPr>
              <w:t>5 year</w:t>
            </w:r>
          </w:p>
        </w:tc>
        <w:tc>
          <w:tcPr>
            <w:tcW w:w="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5"/>
              </w:rPr>
              <w:t>None</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0"/>
              </w:rPr>
              <w:t>Owned</w:t>
            </w:r>
          </w:p>
        </w:tc>
        <w:tc>
          <w:tcPr>
            <w:tcW w:w="0" w:type="dxa"/>
            <w:vAlign w:val="bottom"/>
          </w:tcPr>
          <w:p>
            <w:pPr>
              <w:spacing w:after="0"/>
              <w:rPr>
                <w:sz w:val="1"/>
                <w:szCs w:val="1"/>
                <w:color w:val="auto"/>
              </w:rPr>
            </w:pPr>
          </w:p>
        </w:tc>
      </w:tr>
      <w:tr>
        <w:trPr>
          <w:trHeight w:val="143"/>
        </w:trPr>
        <w:tc>
          <w:tcPr>
            <w:tcW w:w="15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Moore Haven</w:t>
            </w: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Correctional and</w:t>
            </w: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Rehabilitation Facility</w:t>
            </w: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85"/>
              </w:rPr>
              <w:t>State</w:t>
            </w: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Moore Haven, FL</w:t>
            </w:r>
          </w:p>
        </w:tc>
        <w:tc>
          <w:tcPr>
            <w:tcW w:w="10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985</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FL DMS</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Correctional</w:t>
            </w:r>
          </w:p>
        </w:tc>
        <w:tc>
          <w:tcPr>
            <w:tcW w:w="80" w:type="dxa"/>
            <w:vAlign w:val="bottom"/>
            <w:shd w:val="clear" w:color="auto" w:fill="CFF0FC"/>
          </w:tcPr>
          <w:p>
            <w:pPr>
              <w:spacing w:after="0"/>
              <w:rPr>
                <w:sz w:val="15"/>
                <w:szCs w:val="15"/>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Minimum/ Medium</w:t>
            </w: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July 2021</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7"/>
              </w:rPr>
              <w:t>3 years</w:t>
            </w:r>
          </w:p>
        </w:tc>
        <w:tc>
          <w:tcPr>
            <w:tcW w:w="80" w:type="dxa"/>
            <w:vAlign w:val="bottom"/>
            <w:shd w:val="clear" w:color="auto" w:fill="CFF0FC"/>
          </w:tcPr>
          <w:p>
            <w:pPr>
              <w:spacing w:after="0"/>
              <w:rPr>
                <w:sz w:val="15"/>
                <w:szCs w:val="15"/>
                <w:color w:val="auto"/>
              </w:rPr>
            </w:pPr>
          </w:p>
        </w:tc>
        <w:tc>
          <w:tcPr>
            <w:tcW w:w="18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6"/>
              </w:rPr>
              <w:t>Unlimited, Two-year</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Managed</w:t>
            </w:r>
          </w:p>
        </w:tc>
        <w:tc>
          <w:tcPr>
            <w:tcW w:w="0" w:type="dxa"/>
            <w:vAlign w:val="bottom"/>
          </w:tcPr>
          <w:p>
            <w:pPr>
              <w:spacing w:after="0"/>
              <w:rPr>
                <w:sz w:val="1"/>
                <w:szCs w:val="1"/>
                <w:color w:val="auto"/>
              </w:rPr>
            </w:pPr>
          </w:p>
        </w:tc>
      </w:tr>
      <w:tr>
        <w:trPr>
          <w:trHeight w:val="143"/>
        </w:trPr>
        <w:tc>
          <w:tcPr>
            <w:tcW w:w="1540" w:type="dxa"/>
            <w:vAlign w:val="bottom"/>
          </w:tcPr>
          <w:p>
            <w:pPr>
              <w:ind w:left="20"/>
              <w:spacing w:after="0" w:line="143" w:lineRule="exact"/>
              <w:rPr>
                <w:sz w:val="20"/>
                <w:szCs w:val="20"/>
                <w:color w:val="auto"/>
              </w:rPr>
            </w:pPr>
            <w:r>
              <w:rPr>
                <w:rFonts w:ascii="Arial" w:cs="Arial" w:eastAsia="Arial" w:hAnsi="Arial"/>
                <w:sz w:val="14"/>
                <w:szCs w:val="14"/>
                <w:color w:val="auto"/>
                <w:w w:val="99"/>
              </w:rPr>
              <w:t>New Castle Correctional</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jc w:val="center"/>
              <w:spacing w:after="0" w:line="143" w:lineRule="exact"/>
              <w:rPr>
                <w:sz w:val="20"/>
                <w:szCs w:val="20"/>
                <w:color w:val="auto"/>
              </w:rPr>
            </w:pPr>
            <w:r>
              <w:rPr>
                <w:rFonts w:ascii="Arial" w:cs="Arial" w:eastAsia="Arial" w:hAnsi="Arial"/>
                <w:sz w:val="14"/>
                <w:szCs w:val="14"/>
                <w:color w:val="auto"/>
                <w:w w:val="91"/>
              </w:rPr>
              <w:t>One year, one month and 20</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ind w:left="20"/>
              <w:spacing w:after="0" w:line="149" w:lineRule="exact"/>
              <w:rPr>
                <w:sz w:val="20"/>
                <w:szCs w:val="20"/>
                <w:color w:val="auto"/>
              </w:rPr>
            </w:pPr>
            <w:r>
              <w:rPr>
                <w:rFonts w:ascii="Arial" w:cs="Arial" w:eastAsia="Arial" w:hAnsi="Arial"/>
                <w:sz w:val="14"/>
                <w:szCs w:val="14"/>
                <w:color w:val="auto"/>
              </w:rPr>
              <w:t>Facility New Castle, IN</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1"/>
              </w:rPr>
              <w:t>days, Nine year Seven month</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2"/>
              </w:rPr>
              <w:t>14 days, plus one ninety-day</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5"/>
              </w:rPr>
              <w:t>State</w:t>
            </w: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3"/>
              </w:rPr>
              <w:t>extension, plus one nine-month</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540" w:type="dxa"/>
            <w:vAlign w:val="bottom"/>
          </w:tcPr>
          <w:p>
            <w:pPr>
              <w:spacing w:after="0"/>
              <w:rPr>
                <w:sz w:val="15"/>
                <w:szCs w:val="15"/>
                <w:color w:val="auto"/>
              </w:rPr>
            </w:pP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3,196</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7"/>
              </w:rPr>
              <w:t>IN DOC</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5"/>
              </w:rPr>
              <w:t>Correctional</w:t>
            </w:r>
          </w:p>
        </w:tc>
        <w:tc>
          <w:tcPr>
            <w:tcW w:w="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All Levels</w:t>
            </w:r>
          </w:p>
        </w:tc>
        <w:tc>
          <w:tcPr>
            <w:tcW w:w="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0"/>
              </w:rPr>
              <w:t>September 2005</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7"/>
              </w:rPr>
              <w:t>4 years</w:t>
            </w:r>
          </w:p>
        </w:tc>
        <w:tc>
          <w:tcPr>
            <w:tcW w:w="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4"/>
              </w:rPr>
              <w:t>extension, Three, five-year</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Managed</w:t>
            </w:r>
          </w:p>
        </w:tc>
        <w:tc>
          <w:tcPr>
            <w:tcW w:w="0" w:type="dxa"/>
            <w:vAlign w:val="bottom"/>
          </w:tcPr>
          <w:p>
            <w:pPr>
              <w:spacing w:after="0"/>
              <w:rPr>
                <w:sz w:val="1"/>
                <w:szCs w:val="1"/>
                <w:color w:val="auto"/>
              </w:rPr>
            </w:pPr>
          </w:p>
        </w:tc>
      </w:tr>
      <w:tr>
        <w:trPr>
          <w:trHeight w:val="143"/>
        </w:trPr>
        <w:tc>
          <w:tcPr>
            <w:tcW w:w="15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North Lake Correctional</w:t>
            </w: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Facility Baldwin, MI</w:t>
            </w:r>
          </w:p>
        </w:tc>
        <w:tc>
          <w:tcPr>
            <w:tcW w:w="10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1,800</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Idle</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Owned</w:t>
            </w:r>
          </w:p>
        </w:tc>
        <w:tc>
          <w:tcPr>
            <w:tcW w:w="0" w:type="dxa"/>
            <w:vAlign w:val="bottom"/>
          </w:tcPr>
          <w:p>
            <w:pPr>
              <w:spacing w:after="0"/>
              <w:rPr>
                <w:sz w:val="1"/>
                <w:szCs w:val="1"/>
                <w:color w:val="auto"/>
              </w:rPr>
            </w:pPr>
          </w:p>
        </w:tc>
      </w:tr>
      <w:tr>
        <w:trPr>
          <w:trHeight w:val="143"/>
        </w:trPr>
        <w:tc>
          <w:tcPr>
            <w:tcW w:w="1540" w:type="dxa"/>
            <w:vAlign w:val="bottom"/>
          </w:tcPr>
          <w:p>
            <w:pPr>
              <w:ind w:left="20"/>
              <w:spacing w:after="0" w:line="143" w:lineRule="exact"/>
              <w:rPr>
                <w:sz w:val="20"/>
                <w:szCs w:val="20"/>
                <w:color w:val="auto"/>
              </w:rPr>
            </w:pPr>
            <w:r>
              <w:rPr>
                <w:rFonts w:ascii="Arial" w:cs="Arial" w:eastAsia="Arial" w:hAnsi="Arial"/>
                <w:sz w:val="14"/>
                <w:szCs w:val="14"/>
                <w:color w:val="auto"/>
              </w:rPr>
              <w:t>Pine Prairie ICE</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ind w:left="20"/>
              <w:spacing w:after="0" w:line="149" w:lineRule="exact"/>
              <w:rPr>
                <w:sz w:val="20"/>
                <w:szCs w:val="20"/>
                <w:color w:val="auto"/>
              </w:rPr>
            </w:pPr>
            <w:r>
              <w:rPr>
                <w:rFonts w:ascii="Arial" w:cs="Arial" w:eastAsia="Arial" w:hAnsi="Arial"/>
                <w:sz w:val="14"/>
                <w:szCs w:val="14"/>
                <w:color w:val="auto"/>
              </w:rPr>
              <w:t>Processing Center, LA</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5"/>
              </w:rPr>
              <w:t>State</w:t>
            </w: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6"/>
              </w:rPr>
              <w:t>One-month, plus fifty nine-</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540" w:type="dxa"/>
            <w:vAlign w:val="bottom"/>
          </w:tcPr>
          <w:p>
            <w:pPr>
              <w:ind w:left="20"/>
              <w:spacing w:after="0"/>
              <w:rPr>
                <w:sz w:val="20"/>
                <w:szCs w:val="20"/>
                <w:color w:val="auto"/>
              </w:rPr>
            </w:pPr>
            <w:r>
              <w:rPr>
                <w:rFonts w:ascii="Arial" w:cs="Arial" w:eastAsia="Arial" w:hAnsi="Arial"/>
                <w:sz w:val="14"/>
                <w:szCs w:val="14"/>
                <w:color w:val="auto"/>
              </w:rPr>
              <w:t>(2)</w:t>
            </w: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1,094</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ICE-IGA</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5"/>
              </w:rPr>
              <w:t>Correctional</w:t>
            </w:r>
          </w:p>
        </w:tc>
        <w:tc>
          <w:tcPr>
            <w:tcW w:w="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Medium</w:t>
            </w:r>
          </w:p>
        </w:tc>
        <w:tc>
          <w:tcPr>
            <w:tcW w:w="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8"/>
              </w:rPr>
              <w:t>June 2015</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7"/>
              </w:rPr>
              <w:t>5 years</w:t>
            </w:r>
          </w:p>
        </w:tc>
        <w:tc>
          <w:tcPr>
            <w:tcW w:w="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month extension</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0"/>
              </w:rPr>
              <w:t>Owned</w:t>
            </w:r>
          </w:p>
        </w:tc>
        <w:tc>
          <w:tcPr>
            <w:tcW w:w="0" w:type="dxa"/>
            <w:vAlign w:val="bottom"/>
          </w:tcPr>
          <w:p>
            <w:pPr>
              <w:spacing w:after="0"/>
              <w:rPr>
                <w:sz w:val="1"/>
                <w:szCs w:val="1"/>
                <w:color w:val="auto"/>
              </w:rPr>
            </w:pPr>
          </w:p>
        </w:tc>
      </w:tr>
      <w:tr>
        <w:trPr>
          <w:trHeight w:val="143"/>
        </w:trPr>
        <w:tc>
          <w:tcPr>
            <w:tcW w:w="15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Riverbend Correctional</w:t>
            </w: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and Rehabilitation</w:t>
            </w: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Facility Milledgeville,</w:t>
            </w: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85"/>
              </w:rPr>
              <w:t>State</w:t>
            </w: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GA (5)</w:t>
            </w:r>
          </w:p>
        </w:tc>
        <w:tc>
          <w:tcPr>
            <w:tcW w:w="10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1,500</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GA DOC</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Correctional</w:t>
            </w:r>
          </w:p>
        </w:tc>
        <w:tc>
          <w:tcPr>
            <w:tcW w:w="80" w:type="dxa"/>
            <w:vAlign w:val="bottom"/>
            <w:shd w:val="clear" w:color="auto" w:fill="CFF0FC"/>
          </w:tcPr>
          <w:p>
            <w:pPr>
              <w:spacing w:after="0"/>
              <w:rPr>
                <w:sz w:val="15"/>
                <w:szCs w:val="15"/>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Medium</w:t>
            </w: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July 2010</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1 year</w:t>
            </w:r>
          </w:p>
        </w:tc>
        <w:tc>
          <w:tcPr>
            <w:tcW w:w="80" w:type="dxa"/>
            <w:vAlign w:val="bottom"/>
            <w:shd w:val="clear" w:color="auto" w:fill="CFF0FC"/>
          </w:tcPr>
          <w:p>
            <w:pPr>
              <w:spacing w:after="0"/>
              <w:rPr>
                <w:sz w:val="15"/>
                <w:szCs w:val="15"/>
                <w:color w:val="auto"/>
              </w:rPr>
            </w:pPr>
          </w:p>
        </w:tc>
        <w:tc>
          <w:tcPr>
            <w:tcW w:w="18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Forty, One-year</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Owned</w:t>
            </w:r>
          </w:p>
        </w:tc>
        <w:tc>
          <w:tcPr>
            <w:tcW w:w="0" w:type="dxa"/>
            <w:vAlign w:val="bottom"/>
          </w:tcPr>
          <w:p>
            <w:pPr>
              <w:spacing w:after="0"/>
              <w:rPr>
                <w:sz w:val="1"/>
                <w:szCs w:val="1"/>
                <w:color w:val="auto"/>
              </w:rPr>
            </w:pPr>
          </w:p>
        </w:tc>
      </w:tr>
      <w:tr>
        <w:trPr>
          <w:trHeight w:val="143"/>
        </w:trPr>
        <w:tc>
          <w:tcPr>
            <w:tcW w:w="1540" w:type="dxa"/>
            <w:vAlign w:val="bottom"/>
          </w:tcPr>
          <w:p>
            <w:pPr>
              <w:ind w:left="20"/>
              <w:spacing w:after="0" w:line="143" w:lineRule="exact"/>
              <w:rPr>
                <w:sz w:val="20"/>
                <w:szCs w:val="20"/>
                <w:color w:val="auto"/>
              </w:rPr>
            </w:pPr>
            <w:r>
              <w:rPr>
                <w:rFonts w:ascii="Arial" w:cs="Arial" w:eastAsia="Arial" w:hAnsi="Arial"/>
                <w:sz w:val="14"/>
                <w:szCs w:val="14"/>
                <w:color w:val="auto"/>
              </w:rPr>
              <w:t>Rivers Correctional</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540" w:type="dxa"/>
            <w:vAlign w:val="bottom"/>
          </w:tcPr>
          <w:p>
            <w:pPr>
              <w:ind w:left="20"/>
              <w:spacing w:after="0"/>
              <w:rPr>
                <w:sz w:val="20"/>
                <w:szCs w:val="20"/>
                <w:color w:val="auto"/>
              </w:rPr>
            </w:pPr>
            <w:r>
              <w:rPr>
                <w:rFonts w:ascii="Arial" w:cs="Arial" w:eastAsia="Arial" w:hAnsi="Arial"/>
                <w:sz w:val="14"/>
                <w:szCs w:val="14"/>
                <w:color w:val="auto"/>
              </w:rPr>
              <w:t>Facility Winton, NC</w:t>
            </w: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1,450</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7"/>
              </w:rPr>
              <w:t>Idle</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0"/>
              </w:rPr>
              <w:t>Owned</w:t>
            </w:r>
          </w:p>
        </w:tc>
        <w:tc>
          <w:tcPr>
            <w:tcW w:w="0" w:type="dxa"/>
            <w:vAlign w:val="bottom"/>
          </w:tcPr>
          <w:p>
            <w:pPr>
              <w:spacing w:after="0"/>
              <w:rPr>
                <w:sz w:val="1"/>
                <w:szCs w:val="1"/>
                <w:color w:val="auto"/>
              </w:rPr>
            </w:pPr>
          </w:p>
        </w:tc>
      </w:tr>
      <w:tr>
        <w:trPr>
          <w:trHeight w:val="143"/>
        </w:trPr>
        <w:tc>
          <w:tcPr>
            <w:tcW w:w="15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Robert A. Deyton</w:t>
            </w: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Detention Facility</w:t>
            </w: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92"/>
              </w:rPr>
              <w:t>Federal</w:t>
            </w: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Lovejoy, GA</w:t>
            </w:r>
          </w:p>
        </w:tc>
        <w:tc>
          <w:tcPr>
            <w:tcW w:w="10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768</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8"/>
              </w:rPr>
              <w:t>USMS</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Detention</w:t>
            </w:r>
          </w:p>
        </w:tc>
        <w:tc>
          <w:tcPr>
            <w:tcW w:w="80" w:type="dxa"/>
            <w:vAlign w:val="bottom"/>
            <w:shd w:val="clear" w:color="auto" w:fill="CFF0FC"/>
          </w:tcPr>
          <w:p>
            <w:pPr>
              <w:spacing w:after="0"/>
              <w:rPr>
                <w:sz w:val="15"/>
                <w:szCs w:val="15"/>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Medium</w:t>
            </w: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February 2008</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7"/>
              </w:rPr>
              <w:t>5 years</w:t>
            </w:r>
          </w:p>
        </w:tc>
        <w:tc>
          <w:tcPr>
            <w:tcW w:w="80" w:type="dxa"/>
            <w:vAlign w:val="bottom"/>
            <w:shd w:val="clear" w:color="auto" w:fill="CFF0FC"/>
          </w:tcPr>
          <w:p>
            <w:pPr>
              <w:spacing w:after="0"/>
              <w:rPr>
                <w:sz w:val="15"/>
                <w:szCs w:val="15"/>
                <w:color w:val="auto"/>
              </w:rPr>
            </w:pPr>
          </w:p>
        </w:tc>
        <w:tc>
          <w:tcPr>
            <w:tcW w:w="18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Three, five-year</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7"/>
              </w:rPr>
              <w:t>Leased</w:t>
            </w:r>
          </w:p>
        </w:tc>
        <w:tc>
          <w:tcPr>
            <w:tcW w:w="0" w:type="dxa"/>
            <w:vAlign w:val="bottom"/>
          </w:tcPr>
          <w:p>
            <w:pPr>
              <w:spacing w:after="0"/>
              <w:rPr>
                <w:sz w:val="1"/>
                <w:szCs w:val="1"/>
                <w:color w:val="auto"/>
              </w:rPr>
            </w:pPr>
          </w:p>
        </w:tc>
      </w:tr>
      <w:tr>
        <w:trPr>
          <w:trHeight w:val="143"/>
        </w:trPr>
        <w:tc>
          <w:tcPr>
            <w:tcW w:w="1540" w:type="dxa"/>
            <w:vAlign w:val="bottom"/>
          </w:tcPr>
          <w:p>
            <w:pPr>
              <w:ind w:left="20"/>
              <w:spacing w:after="0" w:line="143" w:lineRule="exact"/>
              <w:rPr>
                <w:sz w:val="20"/>
                <w:szCs w:val="20"/>
                <w:color w:val="auto"/>
              </w:rPr>
            </w:pPr>
            <w:r>
              <w:rPr>
                <w:rFonts w:ascii="Arial" w:cs="Arial" w:eastAsia="Arial" w:hAnsi="Arial"/>
                <w:sz w:val="14"/>
                <w:szCs w:val="14"/>
                <w:color w:val="auto"/>
              </w:rPr>
              <w:t>South Bay Correctional</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jc w:val="center"/>
              <w:spacing w:after="0" w:line="143" w:lineRule="exact"/>
              <w:rPr>
                <w:sz w:val="20"/>
                <w:szCs w:val="20"/>
                <w:color w:val="auto"/>
              </w:rPr>
            </w:pPr>
            <w:r>
              <w:rPr>
                <w:rFonts w:ascii="Arial" w:cs="Arial" w:eastAsia="Arial" w:hAnsi="Arial"/>
                <w:sz w:val="14"/>
                <w:szCs w:val="14"/>
                <w:color w:val="auto"/>
                <w:w w:val="92"/>
              </w:rPr>
              <w:t>Four, Two-year, plus one six-</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ind w:left="20"/>
              <w:spacing w:after="0" w:line="149" w:lineRule="exact"/>
              <w:rPr>
                <w:sz w:val="20"/>
                <w:szCs w:val="20"/>
                <w:color w:val="auto"/>
              </w:rPr>
            </w:pPr>
            <w:r>
              <w:rPr>
                <w:rFonts w:ascii="Arial" w:cs="Arial" w:eastAsia="Arial" w:hAnsi="Arial"/>
                <w:sz w:val="14"/>
                <w:szCs w:val="14"/>
                <w:color w:val="auto"/>
              </w:rPr>
              <w:t>and Rehabilitation</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5"/>
              </w:rPr>
              <w:t>State</w:t>
            </w: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4"/>
              </w:rPr>
              <w:t>month extension, plus two,</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540" w:type="dxa"/>
            <w:vAlign w:val="bottom"/>
          </w:tcPr>
          <w:p>
            <w:pPr>
              <w:ind w:left="20"/>
              <w:spacing w:after="0"/>
              <w:rPr>
                <w:sz w:val="20"/>
                <w:szCs w:val="20"/>
                <w:color w:val="auto"/>
              </w:rPr>
            </w:pPr>
            <w:r>
              <w:rPr>
                <w:rFonts w:ascii="Arial" w:cs="Arial" w:eastAsia="Arial" w:hAnsi="Arial"/>
                <w:sz w:val="14"/>
                <w:szCs w:val="14"/>
                <w:color w:val="auto"/>
              </w:rPr>
              <w:t>Facility South Bay, FL</w:t>
            </w: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1,948</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FL DMS</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5"/>
              </w:rPr>
              <w:t>Correctional</w:t>
            </w:r>
          </w:p>
        </w:tc>
        <w:tc>
          <w:tcPr>
            <w:tcW w:w="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6"/>
              </w:rPr>
              <w:t>Medium/Close</w:t>
            </w:r>
          </w:p>
        </w:tc>
        <w:tc>
          <w:tcPr>
            <w:tcW w:w="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July 2009</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7"/>
              </w:rPr>
              <w:t>3 years</w:t>
            </w:r>
          </w:p>
        </w:tc>
        <w:tc>
          <w:tcPr>
            <w:tcW w:w="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6"/>
              </w:rPr>
              <w:t>two-year</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Managed</w:t>
            </w:r>
          </w:p>
        </w:tc>
        <w:tc>
          <w:tcPr>
            <w:tcW w:w="0" w:type="dxa"/>
            <w:vAlign w:val="bottom"/>
          </w:tcPr>
          <w:p>
            <w:pPr>
              <w:spacing w:after="0"/>
              <w:rPr>
                <w:sz w:val="1"/>
                <w:szCs w:val="1"/>
                <w:color w:val="auto"/>
              </w:rPr>
            </w:pPr>
          </w:p>
        </w:tc>
      </w:tr>
      <w:tr>
        <w:trPr>
          <w:trHeight w:val="143"/>
        </w:trPr>
        <w:tc>
          <w:tcPr>
            <w:tcW w:w="15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South Louisiana ICE</w:t>
            </w: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Processing Center,</w:t>
            </w: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85"/>
              </w:rPr>
              <w:t>State</w:t>
            </w: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4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96"/>
              </w:rPr>
              <w:t>One-month, plus fifty nine-</w:t>
            </w: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LA(2)</w:t>
            </w:r>
          </w:p>
        </w:tc>
        <w:tc>
          <w:tcPr>
            <w:tcW w:w="10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ICE-IGA</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Correctional</w:t>
            </w:r>
          </w:p>
        </w:tc>
        <w:tc>
          <w:tcPr>
            <w:tcW w:w="80" w:type="dxa"/>
            <w:vAlign w:val="bottom"/>
            <w:shd w:val="clear" w:color="auto" w:fill="CFF0FC"/>
          </w:tcPr>
          <w:p>
            <w:pPr>
              <w:spacing w:after="0"/>
              <w:rPr>
                <w:sz w:val="15"/>
                <w:szCs w:val="15"/>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Medium</w:t>
            </w: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8"/>
              </w:rPr>
              <w:t>June 2015</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7"/>
              </w:rPr>
              <w:t>5 years</w:t>
            </w:r>
          </w:p>
        </w:tc>
        <w:tc>
          <w:tcPr>
            <w:tcW w:w="80" w:type="dxa"/>
            <w:vAlign w:val="bottom"/>
            <w:shd w:val="clear" w:color="auto" w:fill="CFF0FC"/>
          </w:tcPr>
          <w:p>
            <w:pPr>
              <w:spacing w:after="0"/>
              <w:rPr>
                <w:sz w:val="15"/>
                <w:szCs w:val="15"/>
                <w:color w:val="auto"/>
              </w:rPr>
            </w:pPr>
          </w:p>
        </w:tc>
        <w:tc>
          <w:tcPr>
            <w:tcW w:w="18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month extension</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Owned</w:t>
            </w:r>
          </w:p>
        </w:tc>
        <w:tc>
          <w:tcPr>
            <w:tcW w:w="0" w:type="dxa"/>
            <w:vAlign w:val="bottom"/>
          </w:tcPr>
          <w:p>
            <w:pPr>
              <w:spacing w:after="0"/>
              <w:rPr>
                <w:sz w:val="1"/>
                <w:szCs w:val="1"/>
                <w:color w:val="auto"/>
              </w:rPr>
            </w:pPr>
          </w:p>
        </w:tc>
      </w:tr>
      <w:tr>
        <w:trPr>
          <w:trHeight w:val="143"/>
        </w:trPr>
        <w:tc>
          <w:tcPr>
            <w:tcW w:w="1540" w:type="dxa"/>
            <w:vAlign w:val="bottom"/>
          </w:tcPr>
          <w:p>
            <w:pPr>
              <w:ind w:left="20"/>
              <w:spacing w:after="0" w:line="143" w:lineRule="exact"/>
              <w:rPr>
                <w:sz w:val="20"/>
                <w:szCs w:val="20"/>
                <w:color w:val="auto"/>
              </w:rPr>
            </w:pPr>
            <w:r>
              <w:rPr>
                <w:rFonts w:ascii="Arial" w:cs="Arial" w:eastAsia="Arial" w:hAnsi="Arial"/>
                <w:sz w:val="14"/>
                <w:szCs w:val="14"/>
                <w:b w:val="1"/>
                <w:bCs w:val="1"/>
                <w:i w:val="1"/>
                <w:iCs w:val="1"/>
                <w:color w:val="auto"/>
              </w:rPr>
              <w:t>Secure Services —</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5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Australia:</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5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Fulham Correctional</w:t>
            </w: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w w:val="96"/>
              </w:rPr>
              <w:t>Centre &amp; Nalu Challenge</w:t>
            </w: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Community Victoria,</w:t>
            </w: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Australia</w:t>
            </w:r>
          </w:p>
        </w:tc>
        <w:tc>
          <w:tcPr>
            <w:tcW w:w="10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922</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VIC DOJ</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State Prison</w:t>
            </w:r>
          </w:p>
        </w:tc>
        <w:tc>
          <w:tcPr>
            <w:tcW w:w="80" w:type="dxa"/>
            <w:vAlign w:val="bottom"/>
            <w:shd w:val="clear" w:color="auto" w:fill="CFF0FC"/>
          </w:tcPr>
          <w:p>
            <w:pPr>
              <w:spacing w:after="0"/>
              <w:rPr>
                <w:sz w:val="15"/>
                <w:szCs w:val="15"/>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Minimum/Medium</w:t>
            </w: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July 2012</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7"/>
              </w:rPr>
              <w:t>4 years</w:t>
            </w:r>
          </w:p>
        </w:tc>
        <w:tc>
          <w:tcPr>
            <w:tcW w:w="80" w:type="dxa"/>
            <w:vAlign w:val="bottom"/>
            <w:shd w:val="clear" w:color="auto" w:fill="CFF0FC"/>
          </w:tcPr>
          <w:p>
            <w:pPr>
              <w:spacing w:after="0"/>
              <w:rPr>
                <w:sz w:val="15"/>
                <w:szCs w:val="15"/>
                <w:color w:val="auto"/>
              </w:rPr>
            </w:pPr>
          </w:p>
        </w:tc>
        <w:tc>
          <w:tcPr>
            <w:tcW w:w="18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Nineteen years, Four months</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Managed</w:t>
            </w:r>
          </w:p>
        </w:tc>
        <w:tc>
          <w:tcPr>
            <w:tcW w:w="0" w:type="dxa"/>
            <w:vAlign w:val="bottom"/>
          </w:tcPr>
          <w:p>
            <w:pPr>
              <w:spacing w:after="0"/>
              <w:rPr>
                <w:sz w:val="1"/>
                <w:szCs w:val="1"/>
                <w:color w:val="auto"/>
              </w:rPr>
            </w:pPr>
          </w:p>
        </w:tc>
      </w:tr>
      <w:tr>
        <w:trPr>
          <w:trHeight w:val="143"/>
        </w:trPr>
        <w:tc>
          <w:tcPr>
            <w:tcW w:w="1540" w:type="dxa"/>
            <w:vAlign w:val="bottom"/>
          </w:tcPr>
          <w:p>
            <w:pPr>
              <w:ind w:left="20"/>
              <w:spacing w:after="0" w:line="143" w:lineRule="exact"/>
              <w:rPr>
                <w:sz w:val="20"/>
                <w:szCs w:val="20"/>
                <w:color w:val="auto"/>
              </w:rPr>
            </w:pPr>
            <w:r>
              <w:rPr>
                <w:rFonts w:ascii="Arial" w:cs="Arial" w:eastAsia="Arial" w:hAnsi="Arial"/>
                <w:sz w:val="14"/>
                <w:szCs w:val="14"/>
                <w:color w:val="auto"/>
              </w:rPr>
              <w:t>Junee Correctional</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ind w:left="20"/>
              <w:spacing w:after="0" w:line="149" w:lineRule="exact"/>
              <w:rPr>
                <w:sz w:val="20"/>
                <w:szCs w:val="20"/>
                <w:color w:val="auto"/>
              </w:rPr>
            </w:pPr>
            <w:r>
              <w:rPr>
                <w:rFonts w:ascii="Arial" w:cs="Arial" w:eastAsia="Arial" w:hAnsi="Arial"/>
                <w:sz w:val="14"/>
                <w:szCs w:val="14"/>
                <w:color w:val="auto"/>
                <w:w w:val="93"/>
              </w:rPr>
              <w:t>Centre New South Wales,</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540" w:type="dxa"/>
            <w:vAlign w:val="bottom"/>
          </w:tcPr>
          <w:p>
            <w:pPr>
              <w:ind w:left="20"/>
              <w:spacing w:after="0"/>
              <w:rPr>
                <w:sz w:val="20"/>
                <w:szCs w:val="20"/>
                <w:color w:val="auto"/>
              </w:rPr>
            </w:pPr>
            <w:r>
              <w:rPr>
                <w:rFonts w:ascii="Arial" w:cs="Arial" w:eastAsia="Arial" w:hAnsi="Arial"/>
                <w:sz w:val="14"/>
                <w:szCs w:val="14"/>
                <w:color w:val="auto"/>
              </w:rPr>
              <w:t>Australia</w:t>
            </w: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1,279</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7"/>
              </w:rPr>
              <w:t>NSW</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State Prison</w:t>
            </w:r>
          </w:p>
        </w:tc>
        <w:tc>
          <w:tcPr>
            <w:tcW w:w="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Minimum/Medium</w:t>
            </w:r>
          </w:p>
        </w:tc>
        <w:tc>
          <w:tcPr>
            <w:tcW w:w="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4"/>
              </w:rPr>
              <w:t>March 2014</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7"/>
              </w:rPr>
              <w:t>5 years</w:t>
            </w:r>
          </w:p>
        </w:tc>
        <w:tc>
          <w:tcPr>
            <w:tcW w:w="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5"/>
              </w:rPr>
              <w:t>Two, Five year</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Managed</w:t>
            </w:r>
          </w:p>
        </w:tc>
        <w:tc>
          <w:tcPr>
            <w:tcW w:w="0" w:type="dxa"/>
            <w:vAlign w:val="bottom"/>
          </w:tcPr>
          <w:p>
            <w:pPr>
              <w:spacing w:after="0"/>
              <w:rPr>
                <w:sz w:val="1"/>
                <w:szCs w:val="1"/>
                <w:color w:val="auto"/>
              </w:rPr>
            </w:pPr>
          </w:p>
        </w:tc>
      </w:tr>
      <w:tr>
        <w:trPr>
          <w:trHeight w:val="143"/>
        </w:trPr>
        <w:tc>
          <w:tcPr>
            <w:tcW w:w="15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Ravenhall Correctional</w:t>
            </w: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Centre Melbourne,</w:t>
            </w: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90"/>
              </w:rPr>
              <w:t>24 years plus 5</w:t>
            </w:r>
          </w:p>
        </w:tc>
        <w:tc>
          <w:tcPr>
            <w:tcW w:w="8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Australia</w:t>
            </w:r>
          </w:p>
        </w:tc>
        <w:tc>
          <w:tcPr>
            <w:tcW w:w="10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1,300</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VIC DOJ</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State Prison</w:t>
            </w:r>
          </w:p>
        </w:tc>
        <w:tc>
          <w:tcPr>
            <w:tcW w:w="80" w:type="dxa"/>
            <w:vAlign w:val="bottom"/>
            <w:shd w:val="clear" w:color="auto" w:fill="CFF0FC"/>
          </w:tcPr>
          <w:p>
            <w:pPr>
              <w:spacing w:after="0"/>
              <w:rPr>
                <w:sz w:val="15"/>
                <w:szCs w:val="15"/>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Medium</w:t>
            </w: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November 2017</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months</w:t>
            </w:r>
          </w:p>
        </w:tc>
        <w:tc>
          <w:tcPr>
            <w:tcW w:w="80" w:type="dxa"/>
            <w:vAlign w:val="bottom"/>
            <w:shd w:val="clear" w:color="auto" w:fill="CFF0FC"/>
          </w:tcPr>
          <w:p>
            <w:pPr>
              <w:spacing w:after="0"/>
              <w:rPr>
                <w:sz w:val="15"/>
                <w:szCs w:val="15"/>
                <w:color w:val="auto"/>
              </w:rPr>
            </w:pPr>
          </w:p>
        </w:tc>
        <w:tc>
          <w:tcPr>
            <w:tcW w:w="18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None</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Managed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Primary</w:t>
            </w:r>
          </w:p>
        </w:tc>
        <w:tc>
          <w:tcPr>
            <w:tcW w:w="12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Facility</w:t>
            </w:r>
          </w:p>
        </w:tc>
        <w:tc>
          <w:tcPr>
            <w:tcW w:w="12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Commencement</w:t>
            </w:r>
          </w:p>
        </w:tc>
        <w:tc>
          <w:tcPr>
            <w:tcW w:w="10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Base</w:t>
            </w:r>
          </w:p>
        </w:tc>
        <w:tc>
          <w:tcPr>
            <w:tcW w:w="10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Renewal</w:t>
            </w: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Managed</w:t>
            </w:r>
          </w:p>
        </w:tc>
        <w:tc>
          <w:tcPr>
            <w:tcW w:w="0" w:type="dxa"/>
            <w:vAlign w:val="bottom"/>
          </w:tcPr>
          <w:p>
            <w:pPr>
              <w:spacing w:after="0"/>
              <w:rPr>
                <w:sz w:val="1"/>
                <w:szCs w:val="1"/>
                <w:color w:val="auto"/>
              </w:rPr>
            </w:pPr>
          </w:p>
        </w:tc>
      </w:tr>
      <w:tr>
        <w:trPr>
          <w:trHeight w:val="148"/>
        </w:trPr>
        <w:tc>
          <w:tcPr>
            <w:tcW w:w="17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9"/>
              </w:rPr>
              <w:t>Facility Name &amp; Location</w:t>
            </w:r>
          </w:p>
        </w:tc>
        <w:tc>
          <w:tcPr>
            <w:tcW w:w="100" w:type="dxa"/>
            <w:vAlign w:val="bottom"/>
          </w:tcPr>
          <w:p>
            <w:pPr>
              <w:spacing w:after="0"/>
              <w:rPr>
                <w:sz w:val="12"/>
                <w:szCs w:val="12"/>
                <w:color w:val="auto"/>
              </w:rPr>
            </w:pPr>
          </w:p>
        </w:tc>
        <w:tc>
          <w:tcPr>
            <w:tcW w:w="11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Capacity(1)</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Current</w:t>
            </w: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Leased/</w:t>
            </w:r>
          </w:p>
        </w:tc>
        <w:tc>
          <w:tcPr>
            <w:tcW w:w="0" w:type="dxa"/>
            <w:vAlign w:val="bottom"/>
          </w:tcPr>
          <w:p>
            <w:pPr>
              <w:spacing w:after="0"/>
              <w:rPr>
                <w:sz w:val="1"/>
                <w:szCs w:val="1"/>
                <w:color w:val="auto"/>
              </w:rPr>
            </w:pPr>
          </w:p>
        </w:tc>
      </w:tr>
      <w:tr>
        <w:trPr>
          <w:trHeight w:val="185"/>
        </w:trPr>
        <w:tc>
          <w:tcPr>
            <w:tcW w:w="1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Customer</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37"/>
        </w:trPr>
        <w:tc>
          <w:tcPr>
            <w:tcW w:w="170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b w:val="1"/>
                <w:bCs w:val="1"/>
                <w:i w:val="1"/>
                <w:iCs w:val="1"/>
                <w:color w:val="auto"/>
                <w:w w:val="97"/>
              </w:rPr>
              <w:t>Secure Services — South</w:t>
            </w:r>
          </w:p>
        </w:tc>
        <w:tc>
          <w:tcPr>
            <w:tcW w:w="10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b w:val="1"/>
                <w:bCs w:val="1"/>
                <w:i w:val="1"/>
                <w:iCs w:val="1"/>
                <w:color w:val="auto"/>
              </w:rPr>
              <w:t>Africa:</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700" w:type="dxa"/>
            <w:vAlign w:val="bottom"/>
          </w:tcPr>
          <w:p>
            <w:pPr>
              <w:ind w:left="20"/>
              <w:spacing w:after="0" w:line="143" w:lineRule="exact"/>
              <w:rPr>
                <w:sz w:val="20"/>
                <w:szCs w:val="20"/>
                <w:color w:val="auto"/>
              </w:rPr>
            </w:pPr>
            <w:r>
              <w:rPr>
                <w:rFonts w:ascii="Arial" w:cs="Arial" w:eastAsia="Arial" w:hAnsi="Arial"/>
                <w:sz w:val="14"/>
                <w:szCs w:val="14"/>
                <w:color w:val="auto"/>
              </w:rPr>
              <w:t>Kutama-Sinthumule</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20"/>
              <w:spacing w:after="0" w:line="149" w:lineRule="exact"/>
              <w:rPr>
                <w:sz w:val="20"/>
                <w:szCs w:val="20"/>
                <w:color w:val="auto"/>
              </w:rPr>
            </w:pPr>
            <w:r>
              <w:rPr>
                <w:rFonts w:ascii="Arial" w:cs="Arial" w:eastAsia="Arial" w:hAnsi="Arial"/>
                <w:sz w:val="14"/>
                <w:szCs w:val="14"/>
                <w:color w:val="auto"/>
              </w:rPr>
              <w:t>Correctional Centre</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20"/>
              <w:spacing w:after="0" w:line="149" w:lineRule="exact"/>
              <w:rPr>
                <w:sz w:val="20"/>
                <w:szCs w:val="20"/>
                <w:color w:val="auto"/>
              </w:rPr>
            </w:pPr>
            <w:r>
              <w:rPr>
                <w:rFonts w:ascii="Arial" w:cs="Arial" w:eastAsia="Arial" w:hAnsi="Arial"/>
                <w:sz w:val="14"/>
                <w:szCs w:val="14"/>
                <w:color w:val="auto"/>
              </w:rPr>
              <w:t>Limpopo Province,</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00" w:type="dxa"/>
            <w:vAlign w:val="bottom"/>
          </w:tcPr>
          <w:p>
            <w:pPr>
              <w:ind w:left="20"/>
              <w:spacing w:after="0"/>
              <w:rPr>
                <w:sz w:val="20"/>
                <w:szCs w:val="20"/>
                <w:color w:val="auto"/>
              </w:rPr>
            </w:pPr>
            <w:r>
              <w:rPr>
                <w:rFonts w:ascii="Arial" w:cs="Arial" w:eastAsia="Arial" w:hAnsi="Arial"/>
                <w:sz w:val="14"/>
                <w:szCs w:val="14"/>
                <w:color w:val="auto"/>
              </w:rPr>
              <w:t>Republic of South Africa</w:t>
            </w:r>
          </w:p>
        </w:tc>
        <w:tc>
          <w:tcPr>
            <w:tcW w:w="1200" w:type="dxa"/>
            <w:vAlign w:val="bottom"/>
            <w:gridSpan w:val="2"/>
          </w:tcPr>
          <w:p>
            <w:pPr>
              <w:jc w:val="right"/>
              <w:ind w:right="68"/>
              <w:spacing w:after="0"/>
              <w:rPr>
                <w:sz w:val="20"/>
                <w:szCs w:val="20"/>
                <w:color w:val="auto"/>
              </w:rPr>
            </w:pPr>
            <w:r>
              <w:rPr>
                <w:rFonts w:ascii="Arial" w:cs="Arial" w:eastAsia="Arial" w:hAnsi="Arial"/>
                <w:sz w:val="14"/>
                <w:szCs w:val="14"/>
                <w:color w:val="auto"/>
              </w:rPr>
              <w:t>3,024</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RSA DCS</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National Prison</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Maximum</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2"/>
              </w:rPr>
              <w:t>February 2002</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25 years</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5"/>
              </w:rPr>
              <w:t>None</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Managed</w:t>
            </w:r>
          </w:p>
        </w:tc>
        <w:tc>
          <w:tcPr>
            <w:tcW w:w="0" w:type="dxa"/>
            <w:vAlign w:val="bottom"/>
          </w:tcPr>
          <w:p>
            <w:pPr>
              <w:spacing w:after="0"/>
              <w:rPr>
                <w:sz w:val="1"/>
                <w:szCs w:val="1"/>
                <w:color w:val="auto"/>
              </w:rPr>
            </w:pPr>
          </w:p>
        </w:tc>
      </w:tr>
      <w:tr>
        <w:trPr>
          <w:trHeight w:val="143"/>
        </w:trPr>
        <w:tc>
          <w:tcPr>
            <w:tcW w:w="17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b w:val="1"/>
                <w:bCs w:val="1"/>
                <w:i w:val="1"/>
                <w:iCs w:val="1"/>
                <w:color w:val="auto"/>
                <w:w w:val="92"/>
              </w:rPr>
              <w:t>Corrections &amp; Detention —</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b w:val="1"/>
                <w:bCs w:val="1"/>
                <w:i w:val="1"/>
                <w:iCs w:val="1"/>
                <w:color w:val="auto"/>
              </w:rPr>
              <w:t>Canada:</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700" w:type="dxa"/>
            <w:vAlign w:val="bottom"/>
          </w:tcPr>
          <w:p>
            <w:pPr>
              <w:ind w:left="20"/>
              <w:spacing w:after="0" w:line="143" w:lineRule="exact"/>
              <w:rPr>
                <w:sz w:val="20"/>
                <w:szCs w:val="20"/>
                <w:color w:val="auto"/>
              </w:rPr>
            </w:pPr>
            <w:r>
              <w:rPr>
                <w:rFonts w:ascii="Arial" w:cs="Arial" w:eastAsia="Arial" w:hAnsi="Arial"/>
                <w:sz w:val="14"/>
                <w:szCs w:val="14"/>
                <w:color w:val="auto"/>
              </w:rPr>
              <w:t>New Brunswick Youth</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20"/>
              <w:spacing w:after="0" w:line="149" w:lineRule="exact"/>
              <w:rPr>
                <w:sz w:val="20"/>
                <w:szCs w:val="20"/>
                <w:color w:val="auto"/>
              </w:rPr>
            </w:pPr>
            <w:r>
              <w:rPr>
                <w:rFonts w:ascii="Arial" w:cs="Arial" w:eastAsia="Arial" w:hAnsi="Arial"/>
                <w:sz w:val="14"/>
                <w:szCs w:val="14"/>
                <w:color w:val="auto"/>
              </w:rPr>
              <w:t>Centre Mirimachi, Canada</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8"/>
              </w:rPr>
              <w:t>Provincial</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00" w:type="dxa"/>
            <w:vAlign w:val="bottom"/>
          </w:tcPr>
          <w:p>
            <w:pPr>
              <w:ind w:left="2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100" w:type="dxa"/>
            <w:vAlign w:val="bottom"/>
          </w:tcPr>
          <w:p>
            <w:pPr>
              <w:jc w:val="right"/>
              <w:ind w:right="408"/>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7"/>
              </w:rPr>
              <w:t>PNB</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7"/>
              </w:rPr>
              <w:t>Juvenile Facility</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All Levels</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October 1997</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25 years</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5"/>
              </w:rPr>
              <w:t>None</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Managed</w:t>
            </w:r>
          </w:p>
        </w:tc>
        <w:tc>
          <w:tcPr>
            <w:tcW w:w="0" w:type="dxa"/>
            <w:vAlign w:val="bottom"/>
          </w:tcPr>
          <w:p>
            <w:pPr>
              <w:spacing w:after="0"/>
              <w:rPr>
                <w:sz w:val="1"/>
                <w:szCs w:val="1"/>
                <w:color w:val="auto"/>
              </w:rPr>
            </w:pPr>
          </w:p>
        </w:tc>
      </w:tr>
      <w:tr>
        <w:trPr>
          <w:trHeight w:val="175"/>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b w:val="1"/>
                <w:bCs w:val="1"/>
                <w:i w:val="1"/>
                <w:iCs w:val="1"/>
                <w:color w:val="auto"/>
              </w:rPr>
              <w:t>Reentry Services:</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700" w:type="dxa"/>
            <w:vAlign w:val="bottom"/>
          </w:tcPr>
          <w:p>
            <w:pPr>
              <w:ind w:left="20"/>
              <w:spacing w:after="0" w:line="143" w:lineRule="exact"/>
              <w:rPr>
                <w:sz w:val="20"/>
                <w:szCs w:val="20"/>
                <w:color w:val="auto"/>
              </w:rPr>
            </w:pPr>
            <w:r>
              <w:rPr>
                <w:rFonts w:ascii="Arial" w:cs="Arial" w:eastAsia="Arial" w:hAnsi="Arial"/>
                <w:sz w:val="14"/>
                <w:szCs w:val="14"/>
                <w:color w:val="auto"/>
              </w:rPr>
              <w:t>ADAPPT, PA</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line="143" w:lineRule="exact"/>
              <w:rPr>
                <w:sz w:val="20"/>
                <w:szCs w:val="20"/>
                <w:color w:val="auto"/>
              </w:rPr>
            </w:pPr>
            <w:r>
              <w:rPr>
                <w:rFonts w:ascii="Arial" w:cs="Arial" w:eastAsia="Arial" w:hAnsi="Arial"/>
                <w:sz w:val="14"/>
                <w:szCs w:val="14"/>
                <w:color w:val="auto"/>
                <w:w w:val="95"/>
              </w:rPr>
              <w:t>Community</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00" w:type="dxa"/>
            <w:vAlign w:val="bottom"/>
          </w:tcPr>
          <w:p>
            <w:pPr>
              <w:spacing w:after="0"/>
              <w:rPr>
                <w:sz w:val="15"/>
                <w:szCs w:val="15"/>
                <w:color w:val="auto"/>
              </w:rPr>
            </w:pPr>
          </w:p>
        </w:tc>
        <w:tc>
          <w:tcPr>
            <w:tcW w:w="1200" w:type="dxa"/>
            <w:vAlign w:val="bottom"/>
            <w:gridSpan w:val="2"/>
          </w:tcPr>
          <w:p>
            <w:pPr>
              <w:jc w:val="right"/>
              <w:ind w:right="68"/>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PA DOC</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Corrections</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5"/>
              </w:rPr>
              <w:t>Community</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2"/>
              </w:rPr>
              <w:t>February 2019</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7"/>
              </w:rPr>
              <w:t>1 year</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Four, One-year</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7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Alabama Therapeutic</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95"/>
              </w:rPr>
              <w:t>Community</w:t>
            </w: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Education Facility, AL</w:t>
            </w:r>
          </w:p>
        </w:tc>
        <w:tc>
          <w:tcPr>
            <w:tcW w:w="12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724</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AL DOC</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Corrections</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Community</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December 2021</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2 years</w:t>
            </w: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Three, one-year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700" w:type="dxa"/>
            <w:vAlign w:val="bottom"/>
          </w:tcPr>
          <w:p>
            <w:pPr>
              <w:ind w:left="20"/>
              <w:spacing w:after="0" w:line="143" w:lineRule="exact"/>
              <w:rPr>
                <w:sz w:val="20"/>
                <w:szCs w:val="20"/>
                <w:color w:val="auto"/>
              </w:rPr>
            </w:pPr>
            <w:r>
              <w:rPr>
                <w:rFonts w:ascii="Arial" w:cs="Arial" w:eastAsia="Arial" w:hAnsi="Arial"/>
                <w:sz w:val="14"/>
                <w:szCs w:val="14"/>
                <w:color w:val="auto"/>
              </w:rPr>
              <w:t>Albert Bo Robinson</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20"/>
              <w:spacing w:after="0" w:line="149" w:lineRule="exact"/>
              <w:rPr>
                <w:sz w:val="20"/>
                <w:szCs w:val="20"/>
                <w:color w:val="auto"/>
              </w:rPr>
            </w:pPr>
            <w:r>
              <w:rPr>
                <w:rFonts w:ascii="Arial" w:cs="Arial" w:eastAsia="Arial" w:hAnsi="Arial"/>
                <w:sz w:val="14"/>
                <w:szCs w:val="14"/>
                <w:color w:val="auto"/>
              </w:rPr>
              <w:t>Assessment &amp; Treatment</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00" w:type="dxa"/>
            <w:vAlign w:val="bottom"/>
          </w:tcPr>
          <w:p>
            <w:pPr>
              <w:ind w:left="20"/>
              <w:spacing w:after="0"/>
              <w:rPr>
                <w:sz w:val="20"/>
                <w:szCs w:val="20"/>
                <w:color w:val="auto"/>
              </w:rPr>
            </w:pPr>
            <w:r>
              <w:rPr>
                <w:rFonts w:ascii="Arial" w:cs="Arial" w:eastAsia="Arial" w:hAnsi="Arial"/>
                <w:sz w:val="14"/>
                <w:szCs w:val="14"/>
                <w:color w:val="auto"/>
              </w:rPr>
              <w:t>Center, NJ</w:t>
            </w:r>
          </w:p>
        </w:tc>
        <w:tc>
          <w:tcPr>
            <w:tcW w:w="1200" w:type="dxa"/>
            <w:vAlign w:val="bottom"/>
            <w:gridSpan w:val="2"/>
          </w:tcPr>
          <w:p>
            <w:pPr>
              <w:jc w:val="right"/>
              <w:ind w:right="68"/>
              <w:spacing w:after="0"/>
              <w:rPr>
                <w:sz w:val="20"/>
                <w:szCs w:val="20"/>
                <w:color w:val="auto"/>
              </w:rPr>
            </w:pPr>
            <w:r>
              <w:rPr>
                <w:rFonts w:ascii="Arial" w:cs="Arial" w:eastAsia="Arial" w:hAnsi="Arial"/>
                <w:sz w:val="14"/>
                <w:szCs w:val="14"/>
                <w:color w:val="auto"/>
              </w:rPr>
              <w:t>900</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7"/>
              </w:rPr>
              <w:t>Idle</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7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Arapahoe County</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95"/>
              </w:rPr>
              <w:t>Community</w:t>
            </w: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Residential Center, CO</w:t>
            </w:r>
          </w:p>
        </w:tc>
        <w:tc>
          <w:tcPr>
            <w:tcW w:w="12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Arapahoe County</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Corrections</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Community</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July 2022</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7"/>
              </w:rPr>
              <w:t>1 year</w:t>
            </w: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None</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700" w:type="dxa"/>
            <w:vAlign w:val="bottom"/>
          </w:tcPr>
          <w:p>
            <w:pPr>
              <w:ind w:left="20"/>
              <w:spacing w:after="0" w:line="143" w:lineRule="exact"/>
              <w:rPr>
                <w:sz w:val="20"/>
                <w:szCs w:val="20"/>
                <w:color w:val="auto"/>
              </w:rPr>
            </w:pPr>
            <w:r>
              <w:rPr>
                <w:rFonts w:ascii="Arial" w:cs="Arial" w:eastAsia="Arial" w:hAnsi="Arial"/>
                <w:sz w:val="14"/>
                <w:szCs w:val="14"/>
                <w:color w:val="auto"/>
              </w:rPr>
              <w:t>Beaumont Transitional</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20"/>
              <w:spacing w:after="0" w:line="149" w:lineRule="exact"/>
              <w:rPr>
                <w:sz w:val="20"/>
                <w:szCs w:val="20"/>
                <w:color w:val="auto"/>
              </w:rPr>
            </w:pPr>
            <w:r>
              <w:rPr>
                <w:rFonts w:ascii="Arial" w:cs="Arial" w:eastAsia="Arial" w:hAnsi="Arial"/>
                <w:sz w:val="14"/>
                <w:szCs w:val="14"/>
                <w:color w:val="auto"/>
              </w:rPr>
              <w:t>Treatment Center</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5"/>
              </w:rPr>
              <w:t>Community</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00" w:type="dxa"/>
            <w:vAlign w:val="bottom"/>
          </w:tcPr>
          <w:p>
            <w:pPr>
              <w:ind w:left="20"/>
              <w:spacing w:after="0"/>
              <w:rPr>
                <w:sz w:val="20"/>
                <w:szCs w:val="20"/>
                <w:color w:val="auto"/>
              </w:rPr>
            </w:pPr>
            <w:r>
              <w:rPr>
                <w:rFonts w:ascii="Arial" w:cs="Arial" w:eastAsia="Arial" w:hAnsi="Arial"/>
                <w:sz w:val="14"/>
                <w:szCs w:val="14"/>
                <w:color w:val="auto"/>
              </w:rPr>
              <w:t>Beaumont, TX</w:t>
            </w:r>
          </w:p>
        </w:tc>
        <w:tc>
          <w:tcPr>
            <w:tcW w:w="1200" w:type="dxa"/>
            <w:vAlign w:val="bottom"/>
            <w:gridSpan w:val="2"/>
          </w:tcPr>
          <w:p>
            <w:pPr>
              <w:jc w:val="right"/>
              <w:ind w:right="68"/>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TDCJ</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Corrections</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5"/>
              </w:rPr>
              <w:t>Community</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88"/>
              </w:rPr>
              <w:t>September 2020</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1"/>
              </w:rPr>
              <w:t>2 years</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1"/>
              </w:rPr>
              <w:t>Three, One-year</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7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Bronx Community reentry</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95"/>
              </w:rPr>
              <w:t>Community</w:t>
            </w: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Center Bronx, NY</w:t>
            </w:r>
          </w:p>
        </w:tc>
        <w:tc>
          <w:tcPr>
            <w:tcW w:w="12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BOP</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Corrections</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Community</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July 2020</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7"/>
              </w:rPr>
              <w:t>1 year</w:t>
            </w: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Nine, One-year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7"/>
              </w:rPr>
              <w:t>Leased</w:t>
            </w:r>
          </w:p>
        </w:tc>
        <w:tc>
          <w:tcPr>
            <w:tcW w:w="0" w:type="dxa"/>
            <w:vAlign w:val="bottom"/>
          </w:tcPr>
          <w:p>
            <w:pPr>
              <w:spacing w:after="0"/>
              <w:rPr>
                <w:sz w:val="1"/>
                <w:szCs w:val="1"/>
                <w:color w:val="auto"/>
              </w:rPr>
            </w:pPr>
          </w:p>
        </w:tc>
      </w:tr>
      <w:tr>
        <w:trPr>
          <w:trHeight w:val="143"/>
        </w:trPr>
        <w:tc>
          <w:tcPr>
            <w:tcW w:w="1700" w:type="dxa"/>
            <w:vAlign w:val="bottom"/>
          </w:tcPr>
          <w:p>
            <w:pPr>
              <w:ind w:left="20"/>
              <w:spacing w:after="0" w:line="143" w:lineRule="exact"/>
              <w:rPr>
                <w:sz w:val="20"/>
                <w:szCs w:val="20"/>
                <w:color w:val="auto"/>
              </w:rPr>
            </w:pPr>
            <w:r>
              <w:rPr>
                <w:rFonts w:ascii="Arial" w:cs="Arial" w:eastAsia="Arial" w:hAnsi="Arial"/>
                <w:sz w:val="14"/>
                <w:szCs w:val="14"/>
                <w:color w:val="auto"/>
                <w:w w:val="95"/>
              </w:rPr>
              <w:t>Casper Reentry Center, WY</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line="143" w:lineRule="exact"/>
              <w:rPr>
                <w:sz w:val="20"/>
                <w:szCs w:val="20"/>
                <w:color w:val="auto"/>
              </w:rPr>
            </w:pPr>
            <w:r>
              <w:rPr>
                <w:rFonts w:ascii="Arial" w:cs="Arial" w:eastAsia="Arial" w:hAnsi="Arial"/>
                <w:sz w:val="14"/>
                <w:szCs w:val="14"/>
                <w:color w:val="auto"/>
                <w:w w:val="95"/>
              </w:rPr>
              <w:t>Community</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91"/>
              </w:rPr>
              <w:t>January 2022/July</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3" w:lineRule="exact"/>
              <w:rPr>
                <w:sz w:val="20"/>
                <w:szCs w:val="20"/>
                <w:color w:val="auto"/>
              </w:rPr>
            </w:pPr>
            <w:r>
              <w:rPr>
                <w:rFonts w:ascii="Arial" w:cs="Arial" w:eastAsia="Arial" w:hAnsi="Arial"/>
                <w:sz w:val="14"/>
                <w:szCs w:val="14"/>
                <w:color w:val="auto"/>
                <w:w w:val="91"/>
              </w:rPr>
              <w:t>Four, One</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Pr>
          <w:p>
            <w:pPr>
              <w:spacing w:after="0"/>
              <w:rPr>
                <w:sz w:val="15"/>
                <w:szCs w:val="15"/>
                <w:color w:val="auto"/>
              </w:rPr>
            </w:pPr>
          </w:p>
        </w:tc>
        <w:tc>
          <w:tcPr>
            <w:tcW w:w="1200" w:type="dxa"/>
            <w:vAlign w:val="bottom"/>
            <w:gridSpan w:val="2"/>
          </w:tcPr>
          <w:p>
            <w:pPr>
              <w:jc w:val="right"/>
              <w:ind w:right="68"/>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BOP/Natrona</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Corrections</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5"/>
              </w:rPr>
              <w:t>Community</w:t>
            </w:r>
          </w:p>
        </w:tc>
        <w:tc>
          <w:tcPr>
            <w:tcW w:w="126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2021</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1 year/2 years</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year/None</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Primary</w:t>
            </w:r>
          </w:p>
        </w:tc>
        <w:tc>
          <w:tcPr>
            <w:tcW w:w="12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Facility</w:t>
            </w:r>
          </w:p>
        </w:tc>
        <w:tc>
          <w:tcPr>
            <w:tcW w:w="10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Commencement</w:t>
            </w:r>
          </w:p>
        </w:tc>
        <w:tc>
          <w:tcPr>
            <w:tcW w:w="10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Base</w:t>
            </w:r>
          </w:p>
        </w:tc>
        <w:tc>
          <w:tcPr>
            <w:tcW w:w="10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Renewal</w:t>
            </w: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Managed</w:t>
            </w:r>
          </w:p>
        </w:tc>
        <w:tc>
          <w:tcPr>
            <w:tcW w:w="0" w:type="dxa"/>
            <w:vAlign w:val="bottom"/>
          </w:tcPr>
          <w:p>
            <w:pPr>
              <w:spacing w:after="0"/>
              <w:rPr>
                <w:sz w:val="1"/>
                <w:szCs w:val="1"/>
                <w:color w:val="auto"/>
              </w:rPr>
            </w:pPr>
          </w:p>
        </w:tc>
      </w:tr>
      <w:tr>
        <w:trPr>
          <w:trHeight w:val="148"/>
        </w:trPr>
        <w:tc>
          <w:tcPr>
            <w:tcW w:w="17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9"/>
              </w:rPr>
              <w:t>Facility Name &amp; Location</w:t>
            </w:r>
          </w:p>
        </w:tc>
        <w:tc>
          <w:tcPr>
            <w:tcW w:w="120" w:type="dxa"/>
            <w:vAlign w:val="bottom"/>
          </w:tcPr>
          <w:p>
            <w:pPr>
              <w:spacing w:after="0"/>
              <w:rPr>
                <w:sz w:val="12"/>
                <w:szCs w:val="12"/>
                <w:color w:val="auto"/>
              </w:rPr>
            </w:pPr>
          </w:p>
        </w:tc>
        <w:tc>
          <w:tcPr>
            <w:tcW w:w="10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Capacity(1)</w:t>
            </w: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of Current</w:t>
            </w: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Leased/</w:t>
            </w:r>
          </w:p>
        </w:tc>
        <w:tc>
          <w:tcPr>
            <w:tcW w:w="0" w:type="dxa"/>
            <w:vAlign w:val="bottom"/>
          </w:tcPr>
          <w:p>
            <w:pPr>
              <w:spacing w:after="0"/>
              <w:rPr>
                <w:sz w:val="1"/>
                <w:szCs w:val="1"/>
                <w:color w:val="auto"/>
              </w:rPr>
            </w:pPr>
          </w:p>
        </w:tc>
      </w:tr>
      <w:tr>
        <w:trPr>
          <w:trHeight w:val="185"/>
        </w:trPr>
        <w:tc>
          <w:tcPr>
            <w:tcW w:w="1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Customer</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Contract</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37"/>
        </w:trPr>
        <w:tc>
          <w:tcPr>
            <w:tcW w:w="170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color w:val="auto"/>
              </w:rPr>
              <w:t>Chester County, PA</w:t>
            </w: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jc w:val="center"/>
              <w:spacing w:after="0" w:line="137" w:lineRule="exact"/>
              <w:rPr>
                <w:sz w:val="20"/>
                <w:szCs w:val="20"/>
                <w:color w:val="auto"/>
              </w:rPr>
            </w:pPr>
            <w:r>
              <w:rPr>
                <w:rFonts w:ascii="Arial" w:cs="Arial" w:eastAsia="Arial" w:hAnsi="Arial"/>
                <w:sz w:val="14"/>
                <w:szCs w:val="14"/>
                <w:color w:val="auto"/>
                <w:w w:val="95"/>
              </w:rPr>
              <w:t>Community</w:t>
            </w:r>
          </w:p>
        </w:tc>
        <w:tc>
          <w:tcPr>
            <w:tcW w:w="1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7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149</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PA DOC</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Corrections</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Community</w:t>
            </w: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February 2019</w:t>
            </w: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1 year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Four, One-year</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700" w:type="dxa"/>
            <w:vAlign w:val="bottom"/>
          </w:tcPr>
          <w:p>
            <w:pPr>
              <w:ind w:left="20"/>
              <w:spacing w:after="0" w:line="143" w:lineRule="exact"/>
              <w:rPr>
                <w:sz w:val="20"/>
                <w:szCs w:val="20"/>
                <w:color w:val="auto"/>
              </w:rPr>
            </w:pPr>
            <w:r>
              <w:rPr>
                <w:rFonts w:ascii="Arial" w:cs="Arial" w:eastAsia="Arial" w:hAnsi="Arial"/>
                <w:sz w:val="14"/>
                <w:szCs w:val="14"/>
                <w:color w:val="auto"/>
              </w:rPr>
              <w:t>Cheyenne Mountain</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00" w:type="dxa"/>
            <w:vAlign w:val="bottom"/>
          </w:tcPr>
          <w:p>
            <w:pPr>
              <w:ind w:left="20"/>
              <w:spacing w:after="0"/>
              <w:rPr>
                <w:sz w:val="20"/>
                <w:szCs w:val="20"/>
                <w:color w:val="auto"/>
              </w:rPr>
            </w:pPr>
            <w:r>
              <w:rPr>
                <w:rFonts w:ascii="Arial" w:cs="Arial" w:eastAsia="Arial" w:hAnsi="Arial"/>
                <w:sz w:val="14"/>
                <w:szCs w:val="14"/>
                <w:color w:val="auto"/>
              </w:rPr>
              <w:t>Recovery Center, CO</w:t>
            </w:r>
          </w:p>
        </w:tc>
        <w:tc>
          <w:tcPr>
            <w:tcW w:w="1200" w:type="dxa"/>
            <w:vAlign w:val="bottom"/>
            <w:gridSpan w:val="2"/>
          </w:tcPr>
          <w:p>
            <w:pPr>
              <w:jc w:val="right"/>
              <w:ind w:right="48"/>
              <w:spacing w:after="0"/>
              <w:rPr>
                <w:sz w:val="20"/>
                <w:szCs w:val="20"/>
                <w:color w:val="auto"/>
              </w:rPr>
            </w:pPr>
            <w:r>
              <w:rPr>
                <w:rFonts w:ascii="Arial" w:cs="Arial" w:eastAsia="Arial" w:hAnsi="Arial"/>
                <w:sz w:val="14"/>
                <w:szCs w:val="14"/>
                <w:color w:val="auto"/>
              </w:rPr>
              <w:t>750</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7"/>
              </w:rPr>
              <w:t>Idle</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75"/>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Coleman Hall, PA</w:t>
            </w:r>
          </w:p>
        </w:tc>
        <w:tc>
          <w:tcPr>
            <w:tcW w:w="12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350</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Idle</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700" w:type="dxa"/>
            <w:vAlign w:val="bottom"/>
          </w:tcPr>
          <w:p>
            <w:pPr>
              <w:ind w:left="20"/>
              <w:spacing w:after="0" w:line="143" w:lineRule="exact"/>
              <w:rPr>
                <w:sz w:val="20"/>
                <w:szCs w:val="20"/>
                <w:color w:val="auto"/>
              </w:rPr>
            </w:pPr>
            <w:r>
              <w:rPr>
                <w:rFonts w:ascii="Arial" w:cs="Arial" w:eastAsia="Arial" w:hAnsi="Arial"/>
                <w:sz w:val="14"/>
                <w:szCs w:val="14"/>
                <w:color w:val="auto"/>
              </w:rPr>
              <w:t>Community Alternatives of</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Arial" w:cs="Arial" w:eastAsia="Arial" w:hAnsi="Arial"/>
                <w:sz w:val="14"/>
                <w:szCs w:val="14"/>
                <w:color w:val="auto"/>
                <w:w w:val="95"/>
              </w:rPr>
              <w:t>Community</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00" w:type="dxa"/>
            <w:vAlign w:val="bottom"/>
          </w:tcPr>
          <w:p>
            <w:pPr>
              <w:ind w:left="20"/>
              <w:spacing w:after="0"/>
              <w:rPr>
                <w:sz w:val="20"/>
                <w:szCs w:val="20"/>
                <w:color w:val="auto"/>
              </w:rPr>
            </w:pPr>
            <w:r>
              <w:rPr>
                <w:rFonts w:ascii="Arial" w:cs="Arial" w:eastAsia="Arial" w:hAnsi="Arial"/>
                <w:sz w:val="14"/>
                <w:szCs w:val="14"/>
                <w:color w:val="auto"/>
              </w:rPr>
              <w:t>El Paso County, CO</w:t>
            </w:r>
          </w:p>
        </w:tc>
        <w:tc>
          <w:tcPr>
            <w:tcW w:w="1200" w:type="dxa"/>
            <w:vAlign w:val="bottom"/>
            <w:gridSpan w:val="2"/>
          </w:tcPr>
          <w:p>
            <w:pPr>
              <w:jc w:val="right"/>
              <w:ind w:right="48"/>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El Paso County</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Corrections</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5"/>
              </w:rPr>
              <w:t>Community</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8"/>
              </w:rPr>
              <w:t>June 2019</w:t>
            </w: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1 year</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Four, One-year</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7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Correctional Alternative</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96"/>
              </w:rPr>
              <w:t>Third Party</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Placement Services, CO</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08"/>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7"/>
              </w:rPr>
              <w:t>Tenant</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700" w:type="dxa"/>
            <w:vAlign w:val="bottom"/>
          </w:tcPr>
          <w:p>
            <w:pPr>
              <w:ind w:left="20"/>
              <w:spacing w:after="0" w:line="143" w:lineRule="exact"/>
              <w:rPr>
                <w:sz w:val="20"/>
                <w:szCs w:val="20"/>
                <w:color w:val="auto"/>
              </w:rPr>
            </w:pPr>
            <w:r>
              <w:rPr>
                <w:rFonts w:ascii="Arial" w:cs="Arial" w:eastAsia="Arial" w:hAnsi="Arial"/>
                <w:sz w:val="14"/>
                <w:szCs w:val="14"/>
                <w:color w:val="auto"/>
              </w:rPr>
              <w:t>Community Alternatives of</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Arial" w:cs="Arial" w:eastAsia="Arial" w:hAnsi="Arial"/>
                <w:sz w:val="14"/>
                <w:szCs w:val="14"/>
                <w:color w:val="auto"/>
                <w:w w:val="95"/>
              </w:rPr>
              <w:t>Community</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00" w:type="dxa"/>
            <w:vAlign w:val="bottom"/>
          </w:tcPr>
          <w:p>
            <w:pPr>
              <w:ind w:left="20"/>
              <w:spacing w:after="0"/>
              <w:rPr>
                <w:sz w:val="20"/>
                <w:szCs w:val="20"/>
                <w:color w:val="auto"/>
              </w:rPr>
            </w:pPr>
            <w:r>
              <w:rPr>
                <w:rFonts w:ascii="Arial" w:cs="Arial" w:eastAsia="Arial" w:hAnsi="Arial"/>
                <w:sz w:val="14"/>
                <w:szCs w:val="14"/>
                <w:color w:val="auto"/>
              </w:rPr>
              <w:t>the Black Hills, SD</w:t>
            </w:r>
          </w:p>
        </w:tc>
        <w:tc>
          <w:tcPr>
            <w:tcW w:w="1200" w:type="dxa"/>
            <w:vAlign w:val="bottom"/>
            <w:gridSpan w:val="2"/>
          </w:tcPr>
          <w:p>
            <w:pPr>
              <w:jc w:val="right"/>
              <w:ind w:right="4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BOP</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Corrections</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5"/>
              </w:rPr>
              <w:t>Community</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October 2021</w:t>
            </w: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1 year</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Four, One-year</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7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w w:val="95"/>
              </w:rPr>
              <w:t>Cordova Center Anchorage,</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92"/>
              </w:rPr>
              <w:t>Nine, One-year</w:t>
            </w: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AK</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95"/>
              </w:rPr>
              <w:t>Community</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91"/>
              </w:rPr>
              <w:t>June 2019/July</w:t>
            </w: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90"/>
              </w:rPr>
              <w:t>renewals/Four,</w:t>
            </w: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8"/>
              </w:rPr>
              <w:t>BOP / AK DOC</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Corrections</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Community</w:t>
            </w:r>
          </w:p>
        </w:tc>
        <w:tc>
          <w:tcPr>
            <w:tcW w:w="126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w w:val="96"/>
              </w:rPr>
              <w:t>2019</w:t>
            </w: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1 year/1 year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One-year</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700" w:type="dxa"/>
            <w:vAlign w:val="bottom"/>
          </w:tcPr>
          <w:p>
            <w:pPr>
              <w:ind w:left="20"/>
              <w:spacing w:after="0" w:line="143" w:lineRule="exact"/>
              <w:rPr>
                <w:sz w:val="20"/>
                <w:szCs w:val="20"/>
                <w:color w:val="auto"/>
              </w:rPr>
            </w:pPr>
            <w:r>
              <w:rPr>
                <w:rFonts w:ascii="Arial" w:cs="Arial" w:eastAsia="Arial" w:hAnsi="Arial"/>
                <w:sz w:val="14"/>
                <w:szCs w:val="14"/>
                <w:color w:val="auto"/>
              </w:rPr>
              <w:t>Delaney Hall, NJ</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Arial" w:cs="Arial" w:eastAsia="Arial" w:hAnsi="Arial"/>
                <w:sz w:val="14"/>
                <w:szCs w:val="14"/>
                <w:color w:val="auto"/>
                <w:w w:val="95"/>
              </w:rPr>
              <w:t>Community</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00" w:type="dxa"/>
            <w:vAlign w:val="bottom"/>
          </w:tcPr>
          <w:p>
            <w:pPr>
              <w:spacing w:after="0"/>
              <w:rPr>
                <w:sz w:val="15"/>
                <w:szCs w:val="15"/>
                <w:color w:val="auto"/>
              </w:rPr>
            </w:pPr>
          </w:p>
        </w:tc>
        <w:tc>
          <w:tcPr>
            <w:tcW w:w="1200" w:type="dxa"/>
            <w:vAlign w:val="bottom"/>
            <w:gridSpan w:val="2"/>
          </w:tcPr>
          <w:p>
            <w:pPr>
              <w:jc w:val="right"/>
              <w:ind w:right="48"/>
              <w:spacing w:after="0"/>
              <w:rPr>
                <w:sz w:val="20"/>
                <w:szCs w:val="20"/>
                <w:color w:val="auto"/>
              </w:rPr>
            </w:pPr>
            <w:r>
              <w:rPr>
                <w:rFonts w:ascii="Arial" w:cs="Arial" w:eastAsia="Arial" w:hAnsi="Arial"/>
                <w:sz w:val="14"/>
                <w:szCs w:val="14"/>
                <w:color w:val="auto"/>
              </w:rPr>
              <w:t>1,200</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0"/>
              </w:rPr>
              <w:t>Essex County</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Corrections</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5"/>
              </w:rPr>
              <w:t>Community</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January 2022</w:t>
            </w: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87"/>
              </w:rPr>
              <w:t>1 Year</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0"/>
              </w:rPr>
              <w:t>One, One-year</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7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El Monte Center El Monte,</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95"/>
              </w:rPr>
              <w:t>Community</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w:t>
            </w:r>
          </w:p>
        </w:tc>
        <w:tc>
          <w:tcPr>
            <w:tcW w:w="12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BOP</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Corrections</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Community</w:t>
            </w: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October 2019</w:t>
            </w: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1 year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Nine, One-year</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Leased</w:t>
            </w:r>
          </w:p>
        </w:tc>
        <w:tc>
          <w:tcPr>
            <w:tcW w:w="0" w:type="dxa"/>
            <w:vAlign w:val="bottom"/>
          </w:tcPr>
          <w:p>
            <w:pPr>
              <w:spacing w:after="0"/>
              <w:rPr>
                <w:sz w:val="1"/>
                <w:szCs w:val="1"/>
                <w:color w:val="auto"/>
              </w:rPr>
            </w:pPr>
          </w:p>
        </w:tc>
      </w:tr>
      <w:tr>
        <w:trPr>
          <w:trHeight w:val="143"/>
        </w:trPr>
        <w:tc>
          <w:tcPr>
            <w:tcW w:w="1700" w:type="dxa"/>
            <w:vAlign w:val="bottom"/>
          </w:tcPr>
          <w:p>
            <w:pPr>
              <w:ind w:left="20"/>
              <w:spacing w:after="0" w:line="143" w:lineRule="exact"/>
              <w:rPr>
                <w:sz w:val="20"/>
                <w:szCs w:val="20"/>
                <w:color w:val="auto"/>
              </w:rPr>
            </w:pPr>
            <w:r>
              <w:rPr>
                <w:rFonts w:ascii="Arial" w:cs="Arial" w:eastAsia="Arial" w:hAnsi="Arial"/>
                <w:sz w:val="14"/>
                <w:szCs w:val="14"/>
                <w:color w:val="auto"/>
              </w:rPr>
              <w:t>Grossman Center</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Arial" w:cs="Arial" w:eastAsia="Arial" w:hAnsi="Arial"/>
                <w:sz w:val="14"/>
                <w:szCs w:val="14"/>
                <w:color w:val="auto"/>
                <w:w w:val="95"/>
              </w:rPr>
              <w:t>Community</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00" w:type="dxa"/>
            <w:vAlign w:val="bottom"/>
          </w:tcPr>
          <w:p>
            <w:pPr>
              <w:ind w:left="20"/>
              <w:spacing w:after="0"/>
              <w:rPr>
                <w:sz w:val="20"/>
                <w:szCs w:val="20"/>
                <w:color w:val="auto"/>
              </w:rPr>
            </w:pPr>
            <w:r>
              <w:rPr>
                <w:rFonts w:ascii="Arial" w:cs="Arial" w:eastAsia="Arial" w:hAnsi="Arial"/>
                <w:sz w:val="14"/>
                <w:szCs w:val="14"/>
                <w:color w:val="auto"/>
              </w:rPr>
              <w:t>Leavenworth, KS</w:t>
            </w:r>
          </w:p>
        </w:tc>
        <w:tc>
          <w:tcPr>
            <w:tcW w:w="1200" w:type="dxa"/>
            <w:vAlign w:val="bottom"/>
            <w:gridSpan w:val="2"/>
          </w:tcPr>
          <w:p>
            <w:pPr>
              <w:jc w:val="right"/>
              <w:ind w:right="48"/>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BOP</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Corrections</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5"/>
              </w:rPr>
              <w:t>Community</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July 2019</w:t>
            </w: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1 year</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Nine, One-year</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7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Las Vegas Community</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Correctional Center Las</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95"/>
              </w:rPr>
              <w:t>Community</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Vegas, NV</w:t>
            </w:r>
          </w:p>
        </w:tc>
        <w:tc>
          <w:tcPr>
            <w:tcW w:w="12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BOP</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Corrections</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Community</w:t>
            </w: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February 2021</w:t>
            </w: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1 year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Four, One-year</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700" w:type="dxa"/>
            <w:vAlign w:val="bottom"/>
          </w:tcPr>
          <w:p>
            <w:pPr>
              <w:ind w:left="20"/>
              <w:spacing w:after="0" w:line="143" w:lineRule="exact"/>
              <w:rPr>
                <w:sz w:val="20"/>
                <w:szCs w:val="20"/>
                <w:color w:val="auto"/>
              </w:rPr>
            </w:pPr>
            <w:r>
              <w:rPr>
                <w:rFonts w:ascii="Arial" w:cs="Arial" w:eastAsia="Arial" w:hAnsi="Arial"/>
                <w:sz w:val="14"/>
                <w:szCs w:val="14"/>
                <w:color w:val="auto"/>
              </w:rPr>
              <w:t>Leidel Comprehensive</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20"/>
              <w:spacing w:after="0" w:line="149" w:lineRule="exact"/>
              <w:rPr>
                <w:sz w:val="20"/>
                <w:szCs w:val="20"/>
                <w:color w:val="auto"/>
              </w:rPr>
            </w:pPr>
            <w:r>
              <w:rPr>
                <w:rFonts w:ascii="Arial" w:cs="Arial" w:eastAsia="Arial" w:hAnsi="Arial"/>
                <w:sz w:val="14"/>
                <w:szCs w:val="14"/>
                <w:color w:val="auto"/>
              </w:rPr>
              <w:t>Sanction Center Houston,</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5"/>
              </w:rPr>
              <w:t>Community</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20"/>
              <w:spacing w:after="0"/>
              <w:rPr>
                <w:sz w:val="20"/>
                <w:szCs w:val="20"/>
                <w:color w:val="auto"/>
              </w:rPr>
            </w:pPr>
            <w:r>
              <w:rPr>
                <w:rFonts w:ascii="Arial" w:cs="Arial" w:eastAsia="Arial" w:hAnsi="Arial"/>
                <w:sz w:val="14"/>
                <w:szCs w:val="14"/>
                <w:color w:val="auto"/>
              </w:rPr>
              <w:t>TX</w:t>
            </w:r>
          </w:p>
        </w:tc>
        <w:tc>
          <w:tcPr>
            <w:tcW w:w="1200" w:type="dxa"/>
            <w:vAlign w:val="bottom"/>
            <w:gridSpan w:val="2"/>
          </w:tcPr>
          <w:p>
            <w:pPr>
              <w:jc w:val="right"/>
              <w:ind w:right="48"/>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BOP</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Corrections</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5"/>
              </w:rPr>
              <w:t>Community</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January 2021</w:t>
            </w: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1 year</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Four, One-year</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Primary</w:t>
            </w:r>
          </w:p>
        </w:tc>
        <w:tc>
          <w:tcPr>
            <w:tcW w:w="12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Facility</w:t>
            </w:r>
          </w:p>
        </w:tc>
        <w:tc>
          <w:tcPr>
            <w:tcW w:w="10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Commencement</w:t>
            </w:r>
          </w:p>
        </w:tc>
        <w:tc>
          <w:tcPr>
            <w:tcW w:w="10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Base</w:t>
            </w:r>
          </w:p>
        </w:tc>
        <w:tc>
          <w:tcPr>
            <w:tcW w:w="10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Renewal</w:t>
            </w: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Managed</w:t>
            </w:r>
          </w:p>
        </w:tc>
        <w:tc>
          <w:tcPr>
            <w:tcW w:w="0" w:type="dxa"/>
            <w:vAlign w:val="bottom"/>
          </w:tcPr>
          <w:p>
            <w:pPr>
              <w:spacing w:after="0"/>
              <w:rPr>
                <w:sz w:val="1"/>
                <w:szCs w:val="1"/>
                <w:color w:val="auto"/>
              </w:rPr>
            </w:pPr>
          </w:p>
        </w:tc>
      </w:tr>
      <w:tr>
        <w:trPr>
          <w:trHeight w:val="148"/>
        </w:trPr>
        <w:tc>
          <w:tcPr>
            <w:tcW w:w="178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9"/>
              </w:rPr>
              <w:t>Facility Name &amp; Location</w:t>
            </w:r>
          </w:p>
        </w:tc>
        <w:tc>
          <w:tcPr>
            <w:tcW w:w="120" w:type="dxa"/>
            <w:vAlign w:val="bottom"/>
          </w:tcPr>
          <w:p>
            <w:pPr>
              <w:spacing w:after="0"/>
              <w:rPr>
                <w:sz w:val="12"/>
                <w:szCs w:val="12"/>
                <w:color w:val="auto"/>
              </w:rPr>
            </w:pPr>
          </w:p>
        </w:tc>
        <w:tc>
          <w:tcPr>
            <w:tcW w:w="10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Capacity(1)</w:t>
            </w: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Current</w:t>
            </w: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Leased/</w:t>
            </w:r>
          </w:p>
        </w:tc>
        <w:tc>
          <w:tcPr>
            <w:tcW w:w="0" w:type="dxa"/>
            <w:vAlign w:val="bottom"/>
          </w:tcPr>
          <w:p>
            <w:pPr>
              <w:spacing w:after="0"/>
              <w:rPr>
                <w:sz w:val="1"/>
                <w:szCs w:val="1"/>
                <w:color w:val="auto"/>
              </w:rPr>
            </w:pPr>
          </w:p>
        </w:tc>
      </w:tr>
      <w:tr>
        <w:trPr>
          <w:trHeight w:val="185"/>
        </w:trPr>
        <w:tc>
          <w:tcPr>
            <w:tcW w:w="1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Customer</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37"/>
        </w:trPr>
        <w:tc>
          <w:tcPr>
            <w:tcW w:w="178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color w:val="auto"/>
              </w:rPr>
              <w:t>Logan Hall, NJ</w:t>
            </w: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jc w:val="center"/>
              <w:spacing w:after="0" w:line="137" w:lineRule="exact"/>
              <w:rPr>
                <w:sz w:val="20"/>
                <w:szCs w:val="20"/>
                <w:color w:val="auto"/>
              </w:rPr>
            </w:pPr>
            <w:r>
              <w:rPr>
                <w:rFonts w:ascii="Arial" w:cs="Arial" w:eastAsia="Arial" w:hAnsi="Arial"/>
                <w:sz w:val="14"/>
                <w:szCs w:val="14"/>
                <w:color w:val="auto"/>
                <w:w w:val="96"/>
              </w:rPr>
              <w:t>Third Party</w:t>
            </w: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388"/>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7"/>
              </w:rPr>
              <w:t>Tenant</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Leased</w:t>
            </w:r>
          </w:p>
        </w:tc>
        <w:tc>
          <w:tcPr>
            <w:tcW w:w="0" w:type="dxa"/>
            <w:vAlign w:val="bottom"/>
          </w:tcPr>
          <w:p>
            <w:pPr>
              <w:spacing w:after="0"/>
              <w:rPr>
                <w:sz w:val="1"/>
                <w:szCs w:val="1"/>
                <w:color w:val="auto"/>
              </w:rPr>
            </w:pPr>
          </w:p>
        </w:tc>
      </w:tr>
      <w:tr>
        <w:trPr>
          <w:trHeight w:val="143"/>
        </w:trPr>
        <w:tc>
          <w:tcPr>
            <w:tcW w:w="1780" w:type="dxa"/>
            <w:vAlign w:val="bottom"/>
          </w:tcPr>
          <w:p>
            <w:pPr>
              <w:ind w:left="20"/>
              <w:spacing w:after="0" w:line="143" w:lineRule="exact"/>
              <w:rPr>
                <w:sz w:val="20"/>
                <w:szCs w:val="20"/>
                <w:color w:val="auto"/>
              </w:rPr>
            </w:pPr>
            <w:r>
              <w:rPr>
                <w:rFonts w:ascii="Arial" w:cs="Arial" w:eastAsia="Arial" w:hAnsi="Arial"/>
                <w:sz w:val="14"/>
                <w:szCs w:val="14"/>
                <w:color w:val="auto"/>
              </w:rPr>
              <w:t>Long Beach Community</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Arial" w:cs="Arial" w:eastAsia="Arial" w:hAnsi="Arial"/>
                <w:sz w:val="14"/>
                <w:szCs w:val="14"/>
                <w:color w:val="auto"/>
                <w:w w:val="91"/>
              </w:rPr>
              <w:t>4 years, 7</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tcPr>
          <w:p>
            <w:pPr>
              <w:ind w:left="20"/>
              <w:spacing w:after="0" w:line="149" w:lineRule="exact"/>
              <w:rPr>
                <w:sz w:val="20"/>
                <w:szCs w:val="20"/>
                <w:color w:val="auto"/>
              </w:rPr>
            </w:pPr>
            <w:r>
              <w:rPr>
                <w:rFonts w:ascii="Arial" w:cs="Arial" w:eastAsia="Arial" w:hAnsi="Arial"/>
                <w:sz w:val="14"/>
                <w:szCs w:val="14"/>
                <w:color w:val="auto"/>
              </w:rPr>
              <w:t>Reentry Center, CA</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5"/>
              </w:rPr>
              <w:t>Community</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1"/>
              </w:rPr>
              <w:t>months, 4 weeks,</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80" w:type="dxa"/>
            <w:vAlign w:val="bottom"/>
          </w:tcPr>
          <w:p>
            <w:pPr>
              <w:spacing w:after="0"/>
              <w:rPr>
                <w:sz w:val="15"/>
                <w:szCs w:val="15"/>
                <w:color w:val="auto"/>
              </w:rPr>
            </w:pP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8"/>
              </w:rPr>
              <w:t>CDCR</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Corrections</w:t>
            </w:r>
          </w:p>
        </w:tc>
        <w:tc>
          <w:tcPr>
            <w:tcW w:w="1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8"/>
              </w:rPr>
              <w:t>Community</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2"/>
              </w:rPr>
              <w:t>November 2019</w:t>
            </w: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 day</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5"/>
              </w:rPr>
              <w:t>None</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1"/>
              </w:rPr>
              <w:t>Leased</w:t>
            </w:r>
          </w:p>
        </w:tc>
        <w:tc>
          <w:tcPr>
            <w:tcW w:w="0" w:type="dxa"/>
            <w:vAlign w:val="bottom"/>
          </w:tcPr>
          <w:p>
            <w:pPr>
              <w:spacing w:after="0"/>
              <w:rPr>
                <w:sz w:val="1"/>
                <w:szCs w:val="1"/>
                <w:color w:val="auto"/>
              </w:rPr>
            </w:pPr>
          </w:p>
        </w:tc>
      </w:tr>
      <w:tr>
        <w:trPr>
          <w:trHeight w:val="143"/>
        </w:trPr>
        <w:tc>
          <w:tcPr>
            <w:tcW w:w="178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Marvin Gardens Center Los</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95"/>
              </w:rPr>
              <w:t>Community</w:t>
            </w: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Angeles, CA</w:t>
            </w:r>
          </w:p>
        </w:tc>
        <w:tc>
          <w:tcPr>
            <w:tcW w:w="11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BOP</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Corrections</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8"/>
              </w:rPr>
              <w:t>Community</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December 2018</w:t>
            </w: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1 year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Four, One year</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Leased</w:t>
            </w:r>
          </w:p>
        </w:tc>
        <w:tc>
          <w:tcPr>
            <w:tcW w:w="0" w:type="dxa"/>
            <w:vAlign w:val="bottom"/>
          </w:tcPr>
          <w:p>
            <w:pPr>
              <w:spacing w:after="0"/>
              <w:rPr>
                <w:sz w:val="1"/>
                <w:szCs w:val="1"/>
                <w:color w:val="auto"/>
              </w:rPr>
            </w:pPr>
          </w:p>
        </w:tc>
      </w:tr>
      <w:tr>
        <w:trPr>
          <w:trHeight w:val="143"/>
        </w:trPr>
        <w:tc>
          <w:tcPr>
            <w:tcW w:w="1780" w:type="dxa"/>
            <w:vAlign w:val="bottom"/>
          </w:tcPr>
          <w:p>
            <w:pPr>
              <w:ind w:left="20"/>
              <w:spacing w:after="0" w:line="143" w:lineRule="exact"/>
              <w:rPr>
                <w:sz w:val="20"/>
                <w:szCs w:val="20"/>
                <w:color w:val="auto"/>
              </w:rPr>
            </w:pPr>
            <w:r>
              <w:rPr>
                <w:rFonts w:ascii="Arial" w:cs="Arial" w:eastAsia="Arial" w:hAnsi="Arial"/>
                <w:sz w:val="14"/>
                <w:szCs w:val="14"/>
                <w:color w:val="auto"/>
              </w:rPr>
              <w:t>Mid Valley House Edinburg,</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Arial" w:cs="Arial" w:eastAsia="Arial" w:hAnsi="Arial"/>
                <w:sz w:val="14"/>
                <w:szCs w:val="14"/>
                <w:color w:val="auto"/>
                <w:w w:val="95"/>
              </w:rPr>
              <w:t>Community</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Arial" w:cs="Arial" w:eastAsia="Arial" w:hAnsi="Arial"/>
                <w:sz w:val="14"/>
                <w:szCs w:val="14"/>
                <w:color w:val="auto"/>
              </w:rPr>
              <w:t>TX</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BOP</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Corrections</w:t>
            </w:r>
          </w:p>
        </w:tc>
        <w:tc>
          <w:tcPr>
            <w:tcW w:w="1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8"/>
              </w:rPr>
              <w:t>Community</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2"/>
              </w:rPr>
              <w:t>December 2020</w:t>
            </w: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1 year</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Nine, One year</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78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Midtown Center Anchorage,</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95"/>
              </w:rPr>
              <w:t>Community</w:t>
            </w: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98"/>
              </w:rPr>
              <w:t>Community</w:t>
            </w: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AK</w:t>
            </w:r>
          </w:p>
        </w:tc>
        <w:tc>
          <w:tcPr>
            <w:tcW w:w="11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AK DOC</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Corrections</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Corrections</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June 2019</w:t>
            </w: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1 year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Four, One year</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780" w:type="dxa"/>
            <w:vAlign w:val="bottom"/>
          </w:tcPr>
          <w:p>
            <w:pPr>
              <w:ind w:left="20"/>
              <w:spacing w:after="0" w:line="143" w:lineRule="exact"/>
              <w:rPr>
                <w:sz w:val="20"/>
                <w:szCs w:val="20"/>
                <w:color w:val="auto"/>
              </w:rPr>
            </w:pPr>
            <w:r>
              <w:rPr>
                <w:rFonts w:ascii="Arial" w:cs="Arial" w:eastAsia="Arial" w:hAnsi="Arial"/>
                <w:sz w:val="14"/>
                <w:szCs w:val="14"/>
                <w:color w:val="auto"/>
                <w:w w:val="98"/>
              </w:rPr>
              <w:t>New Mexico Mens Recovery</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Arial" w:cs="Arial" w:eastAsia="Arial" w:hAnsi="Arial"/>
                <w:sz w:val="14"/>
                <w:szCs w:val="14"/>
                <w:color w:val="auto"/>
                <w:w w:val="95"/>
              </w:rPr>
              <w:t>Community</w:t>
            </w:r>
          </w:p>
        </w:tc>
        <w:tc>
          <w:tcPr>
            <w:tcW w:w="10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4"/>
                <w:szCs w:val="14"/>
                <w:color w:val="auto"/>
                <w:w w:val="98"/>
              </w:rPr>
              <w:t>Community</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Arial" w:cs="Arial" w:eastAsia="Arial" w:hAnsi="Arial"/>
                <w:sz w:val="14"/>
                <w:szCs w:val="14"/>
                <w:color w:val="auto"/>
              </w:rPr>
              <w:t>Academy, NM</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NM DOC</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Corrections</w:t>
            </w:r>
          </w:p>
        </w:tc>
        <w:tc>
          <w:tcPr>
            <w:tcW w:w="1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Corrections</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July 2019</w:t>
            </w: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87"/>
              </w:rPr>
              <w:t>4 years</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5"/>
              </w:rPr>
              <w:t>None</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Managed</w:t>
            </w:r>
          </w:p>
        </w:tc>
        <w:tc>
          <w:tcPr>
            <w:tcW w:w="0" w:type="dxa"/>
            <w:vAlign w:val="bottom"/>
          </w:tcPr>
          <w:p>
            <w:pPr>
              <w:spacing w:after="0"/>
              <w:rPr>
                <w:sz w:val="1"/>
                <w:szCs w:val="1"/>
                <w:color w:val="auto"/>
              </w:rPr>
            </w:pPr>
          </w:p>
        </w:tc>
      </w:tr>
      <w:tr>
        <w:trPr>
          <w:trHeight w:val="143"/>
        </w:trPr>
        <w:tc>
          <w:tcPr>
            <w:tcW w:w="178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New Mexico Womens</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95"/>
              </w:rPr>
              <w:t>Community</w:t>
            </w: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98"/>
              </w:rPr>
              <w:t>Community</w:t>
            </w: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Recovery Academy, NM</w:t>
            </w:r>
          </w:p>
        </w:tc>
        <w:tc>
          <w:tcPr>
            <w:tcW w:w="11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NM DOC</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Corrections</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Corrections</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July 2019</w:t>
            </w: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7"/>
              </w:rPr>
              <w:t>4 years</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None</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Managed</w:t>
            </w:r>
          </w:p>
        </w:tc>
        <w:tc>
          <w:tcPr>
            <w:tcW w:w="0" w:type="dxa"/>
            <w:vAlign w:val="bottom"/>
          </w:tcPr>
          <w:p>
            <w:pPr>
              <w:spacing w:after="0"/>
              <w:rPr>
                <w:sz w:val="1"/>
                <w:szCs w:val="1"/>
                <w:color w:val="auto"/>
              </w:rPr>
            </w:pPr>
          </w:p>
        </w:tc>
      </w:tr>
      <w:tr>
        <w:trPr>
          <w:trHeight w:val="143"/>
        </w:trPr>
        <w:tc>
          <w:tcPr>
            <w:tcW w:w="1780" w:type="dxa"/>
            <w:vAlign w:val="bottom"/>
          </w:tcPr>
          <w:p>
            <w:pPr>
              <w:ind w:left="20"/>
              <w:spacing w:after="0" w:line="143" w:lineRule="exact"/>
              <w:rPr>
                <w:sz w:val="20"/>
                <w:szCs w:val="20"/>
                <w:color w:val="auto"/>
              </w:rPr>
            </w:pPr>
            <w:r>
              <w:rPr>
                <w:rFonts w:ascii="Arial" w:cs="Arial" w:eastAsia="Arial" w:hAnsi="Arial"/>
                <w:sz w:val="14"/>
                <w:szCs w:val="14"/>
                <w:color w:val="auto"/>
              </w:rPr>
              <w:t>Northstar Center Fairbanks,</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Arial" w:cs="Arial" w:eastAsia="Arial" w:hAnsi="Arial"/>
                <w:sz w:val="14"/>
                <w:szCs w:val="14"/>
                <w:color w:val="auto"/>
                <w:w w:val="95"/>
              </w:rPr>
              <w:t>Community</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Arial" w:cs="Arial" w:eastAsia="Arial" w:hAnsi="Arial"/>
                <w:sz w:val="14"/>
                <w:szCs w:val="14"/>
                <w:color w:val="auto"/>
              </w:rPr>
              <w:t>AK</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AK DOC</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Corrections</w:t>
            </w:r>
          </w:p>
        </w:tc>
        <w:tc>
          <w:tcPr>
            <w:tcW w:w="1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8"/>
              </w:rPr>
              <w:t>Community</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July 2022</w:t>
            </w: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1 year</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Three, One year</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1"/>
              </w:rPr>
              <w:t>Leased</w:t>
            </w:r>
          </w:p>
        </w:tc>
        <w:tc>
          <w:tcPr>
            <w:tcW w:w="0" w:type="dxa"/>
            <w:vAlign w:val="bottom"/>
          </w:tcPr>
          <w:p>
            <w:pPr>
              <w:spacing w:after="0"/>
              <w:rPr>
                <w:sz w:val="1"/>
                <w:szCs w:val="1"/>
                <w:color w:val="auto"/>
              </w:rPr>
            </w:pPr>
          </w:p>
        </w:tc>
      </w:tr>
      <w:tr>
        <w:trPr>
          <w:trHeight w:val="143"/>
        </w:trPr>
        <w:tc>
          <w:tcPr>
            <w:tcW w:w="178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w w:val="95"/>
              </w:rPr>
              <w:t>Oakland Center Oakland, CA</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95"/>
              </w:rPr>
              <w:t>Community</w:t>
            </w: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BOP</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Corrections</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8"/>
              </w:rPr>
              <w:t>Community</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February 2020</w:t>
            </w: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1 year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Nine, One year</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780" w:type="dxa"/>
            <w:vAlign w:val="bottom"/>
          </w:tcPr>
          <w:p>
            <w:pPr>
              <w:ind w:left="20"/>
              <w:spacing w:after="0" w:line="143" w:lineRule="exact"/>
              <w:rPr>
                <w:sz w:val="20"/>
                <w:szCs w:val="20"/>
                <w:color w:val="auto"/>
              </w:rPr>
            </w:pPr>
            <w:r>
              <w:rPr>
                <w:rFonts w:ascii="Arial" w:cs="Arial" w:eastAsia="Arial" w:hAnsi="Arial"/>
                <w:sz w:val="14"/>
                <w:szCs w:val="14"/>
                <w:color w:val="auto"/>
                <w:w w:val="97"/>
              </w:rPr>
              <w:t>Parkview Center Anchorage,</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Arial" w:cs="Arial" w:eastAsia="Arial" w:hAnsi="Arial"/>
                <w:sz w:val="14"/>
                <w:szCs w:val="14"/>
                <w:color w:val="auto"/>
                <w:w w:val="95"/>
              </w:rPr>
              <w:t>Community</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Arial" w:cs="Arial" w:eastAsia="Arial" w:hAnsi="Arial"/>
                <w:sz w:val="14"/>
                <w:szCs w:val="14"/>
                <w:color w:val="auto"/>
              </w:rPr>
              <w:t>AK</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AK DOC</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Corrections</w:t>
            </w:r>
          </w:p>
        </w:tc>
        <w:tc>
          <w:tcPr>
            <w:tcW w:w="1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8"/>
              </w:rPr>
              <w:t>Community</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1"/>
              </w:rPr>
              <w:t>June 2020</w:t>
            </w: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1 year</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Three, One year</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78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Philadelphia Residential</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95"/>
              </w:rPr>
              <w:t>Community</w:t>
            </w: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Reentry Center</w:t>
            </w:r>
          </w:p>
        </w:tc>
        <w:tc>
          <w:tcPr>
            <w:tcW w:w="11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BOP</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Corrections</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8"/>
              </w:rPr>
              <w:t>Community</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April 2019</w:t>
            </w: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1 year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Four, One year</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780" w:type="dxa"/>
            <w:vAlign w:val="bottom"/>
          </w:tcPr>
          <w:p>
            <w:pPr>
              <w:ind w:left="20"/>
              <w:spacing w:after="0" w:line="143" w:lineRule="exact"/>
              <w:rPr>
                <w:sz w:val="20"/>
                <w:szCs w:val="20"/>
                <w:color w:val="auto"/>
              </w:rPr>
            </w:pPr>
            <w:r>
              <w:rPr>
                <w:rFonts w:ascii="Arial" w:cs="Arial" w:eastAsia="Arial" w:hAnsi="Arial"/>
                <w:sz w:val="14"/>
                <w:szCs w:val="14"/>
                <w:color w:val="auto"/>
              </w:rPr>
              <w:t>Reality House Brownsville,</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Arial" w:cs="Arial" w:eastAsia="Arial" w:hAnsi="Arial"/>
                <w:sz w:val="14"/>
                <w:szCs w:val="14"/>
                <w:color w:val="auto"/>
                <w:w w:val="95"/>
              </w:rPr>
              <w:t>Community</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80" w:type="dxa"/>
            <w:vAlign w:val="bottom"/>
          </w:tcPr>
          <w:p>
            <w:pPr>
              <w:ind w:left="20"/>
              <w:spacing w:after="0"/>
              <w:rPr>
                <w:sz w:val="20"/>
                <w:szCs w:val="20"/>
                <w:color w:val="auto"/>
              </w:rPr>
            </w:pPr>
            <w:r>
              <w:rPr>
                <w:rFonts w:ascii="Arial" w:cs="Arial" w:eastAsia="Arial" w:hAnsi="Arial"/>
                <w:sz w:val="14"/>
                <w:szCs w:val="14"/>
                <w:color w:val="auto"/>
              </w:rPr>
              <w:t>TX</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BOP</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Corrections</w:t>
            </w:r>
          </w:p>
        </w:tc>
        <w:tc>
          <w:tcPr>
            <w:tcW w:w="1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8"/>
              </w:rPr>
              <w:t>Community</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July 2019</w:t>
            </w: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1 year</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1"/>
              </w:rPr>
              <w:t>Four, One year</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Primary</w:t>
            </w:r>
          </w:p>
        </w:tc>
        <w:tc>
          <w:tcPr>
            <w:tcW w:w="12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Facility</w:t>
            </w:r>
          </w:p>
        </w:tc>
        <w:tc>
          <w:tcPr>
            <w:tcW w:w="12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Security</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Commencement</w:t>
            </w:r>
          </w:p>
        </w:tc>
        <w:tc>
          <w:tcPr>
            <w:tcW w:w="10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Base</w:t>
            </w:r>
          </w:p>
        </w:tc>
        <w:tc>
          <w:tcPr>
            <w:tcW w:w="10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Renewal</w:t>
            </w: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Managed</w:t>
            </w:r>
          </w:p>
        </w:tc>
        <w:tc>
          <w:tcPr>
            <w:tcW w:w="0" w:type="dxa"/>
            <w:vAlign w:val="bottom"/>
          </w:tcPr>
          <w:p>
            <w:pPr>
              <w:spacing w:after="0"/>
              <w:rPr>
                <w:sz w:val="1"/>
                <w:szCs w:val="1"/>
                <w:color w:val="auto"/>
              </w:rPr>
            </w:pPr>
          </w:p>
        </w:tc>
      </w:tr>
      <w:tr>
        <w:trPr>
          <w:trHeight w:val="148"/>
        </w:trPr>
        <w:tc>
          <w:tcPr>
            <w:tcW w:w="1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Facility Name &amp; Location</w:t>
            </w:r>
          </w:p>
        </w:tc>
        <w:tc>
          <w:tcPr>
            <w:tcW w:w="120" w:type="dxa"/>
            <w:vAlign w:val="bottom"/>
          </w:tcPr>
          <w:p>
            <w:pPr>
              <w:spacing w:after="0"/>
              <w:rPr>
                <w:sz w:val="12"/>
                <w:szCs w:val="12"/>
                <w:color w:val="auto"/>
              </w:rPr>
            </w:pPr>
          </w:p>
        </w:tc>
        <w:tc>
          <w:tcPr>
            <w:tcW w:w="10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Capacity(1)</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of Current</w:t>
            </w: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Leased/</w:t>
            </w:r>
          </w:p>
        </w:tc>
        <w:tc>
          <w:tcPr>
            <w:tcW w:w="0" w:type="dxa"/>
            <w:vAlign w:val="bottom"/>
          </w:tcPr>
          <w:p>
            <w:pPr>
              <w:spacing w:after="0"/>
              <w:rPr>
                <w:sz w:val="1"/>
                <w:szCs w:val="1"/>
                <w:color w:val="auto"/>
              </w:rPr>
            </w:pPr>
          </w:p>
        </w:tc>
      </w:tr>
      <w:tr>
        <w:trPr>
          <w:trHeight w:val="185"/>
        </w:trPr>
        <w:tc>
          <w:tcPr>
            <w:tcW w:w="1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Customer</w:t>
            </w: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Level</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Contract</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37"/>
        </w:trPr>
        <w:tc>
          <w:tcPr>
            <w:tcW w:w="174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color w:val="auto"/>
              </w:rPr>
              <w:t>Salt Lake City Center Salt</w:t>
            </w: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center"/>
              <w:spacing w:after="0" w:line="137" w:lineRule="exact"/>
              <w:rPr>
                <w:sz w:val="20"/>
                <w:szCs w:val="20"/>
                <w:color w:val="auto"/>
              </w:rPr>
            </w:pPr>
            <w:r>
              <w:rPr>
                <w:rFonts w:ascii="Arial" w:cs="Arial" w:eastAsia="Arial" w:hAnsi="Arial"/>
                <w:sz w:val="14"/>
                <w:szCs w:val="14"/>
                <w:color w:val="auto"/>
                <w:w w:val="98"/>
              </w:rPr>
              <w:t>Community</w:t>
            </w: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Lake City, UT</w:t>
            </w:r>
          </w:p>
        </w:tc>
        <w:tc>
          <w:tcPr>
            <w:tcW w:w="11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BOP</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Corrections</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Community</w:t>
            </w: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8"/>
              </w:rPr>
              <w:t>June 2019</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1 year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Nine, One-year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740" w:type="dxa"/>
            <w:vAlign w:val="bottom"/>
          </w:tcPr>
          <w:p>
            <w:pPr>
              <w:ind w:left="20"/>
              <w:spacing w:after="0" w:line="143" w:lineRule="exact"/>
              <w:rPr>
                <w:sz w:val="20"/>
                <w:szCs w:val="20"/>
                <w:color w:val="auto"/>
              </w:rPr>
            </w:pPr>
            <w:r>
              <w:rPr>
                <w:rFonts w:ascii="Arial" w:cs="Arial" w:eastAsia="Arial" w:hAnsi="Arial"/>
                <w:sz w:val="14"/>
                <w:szCs w:val="14"/>
                <w:color w:val="auto"/>
              </w:rPr>
              <w:t>Scranton Facility, PA</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8"/>
              </w:rPr>
              <w:t>Community</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40" w:type="dxa"/>
            <w:vAlign w:val="bottom"/>
          </w:tcPr>
          <w:p>
            <w:pPr>
              <w:spacing w:after="0"/>
              <w:rPr>
                <w:sz w:val="15"/>
                <w:szCs w:val="15"/>
                <w:color w:val="auto"/>
              </w:rPr>
            </w:pP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PA DOC</w:t>
            </w:r>
          </w:p>
        </w:tc>
        <w:tc>
          <w:tcPr>
            <w:tcW w:w="1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Corrections</w:t>
            </w:r>
          </w:p>
        </w:tc>
        <w:tc>
          <w:tcPr>
            <w:tcW w:w="1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5"/>
              </w:rPr>
              <w:t>Community</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2"/>
              </w:rPr>
              <w:t>February 2019</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1 year</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Four, One-year</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7"/>
              </w:rPr>
              <w:t>Leased</w:t>
            </w:r>
          </w:p>
        </w:tc>
        <w:tc>
          <w:tcPr>
            <w:tcW w:w="0" w:type="dxa"/>
            <w:vAlign w:val="bottom"/>
          </w:tcPr>
          <w:p>
            <w:pPr>
              <w:spacing w:after="0"/>
              <w:rPr>
                <w:sz w:val="1"/>
                <w:szCs w:val="1"/>
                <w:color w:val="auto"/>
              </w:rPr>
            </w:pPr>
          </w:p>
        </w:tc>
      </w:tr>
      <w:tr>
        <w:trPr>
          <w:trHeight w:val="143"/>
        </w:trPr>
        <w:tc>
          <w:tcPr>
            <w:tcW w:w="17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Seaside Center Nome, AK</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98"/>
              </w:rPr>
              <w:t>Community</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AK DOC</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Corrections</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Community</w:t>
            </w: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8"/>
              </w:rPr>
              <w:t>June 2019</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1 year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Four, One-year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740" w:type="dxa"/>
            <w:vAlign w:val="bottom"/>
          </w:tcPr>
          <w:p>
            <w:pPr>
              <w:ind w:left="20"/>
              <w:spacing w:after="0" w:line="143" w:lineRule="exact"/>
              <w:rPr>
                <w:sz w:val="20"/>
                <w:szCs w:val="20"/>
                <w:color w:val="auto"/>
              </w:rPr>
            </w:pPr>
            <w:r>
              <w:rPr>
                <w:rFonts w:ascii="Arial" w:cs="Arial" w:eastAsia="Arial" w:hAnsi="Arial"/>
                <w:sz w:val="14"/>
                <w:szCs w:val="14"/>
                <w:color w:val="auto"/>
                <w:w w:val="93"/>
              </w:rPr>
              <w:t>Southeast Texas Transitional</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8"/>
              </w:rPr>
              <w:t>Community</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40" w:type="dxa"/>
            <w:vAlign w:val="bottom"/>
          </w:tcPr>
          <w:p>
            <w:pPr>
              <w:ind w:left="20"/>
              <w:spacing w:after="0"/>
              <w:rPr>
                <w:sz w:val="20"/>
                <w:szCs w:val="20"/>
                <w:color w:val="auto"/>
              </w:rPr>
            </w:pPr>
            <w:r>
              <w:rPr>
                <w:rFonts w:ascii="Arial" w:cs="Arial" w:eastAsia="Arial" w:hAnsi="Arial"/>
                <w:sz w:val="14"/>
                <w:szCs w:val="14"/>
                <w:color w:val="auto"/>
              </w:rPr>
              <w:t>Center Houston, TX</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TDCJ</w:t>
            </w:r>
          </w:p>
        </w:tc>
        <w:tc>
          <w:tcPr>
            <w:tcW w:w="1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Corrections</w:t>
            </w:r>
          </w:p>
        </w:tc>
        <w:tc>
          <w:tcPr>
            <w:tcW w:w="1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5"/>
              </w:rPr>
              <w:t>Community</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0"/>
              </w:rPr>
              <w:t>September 2020</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1"/>
              </w:rPr>
              <w:t>2 years</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1"/>
              </w:rPr>
              <w:t>Three One-year</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7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The Harbor, NJ</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98"/>
              </w:rPr>
              <w:t>Community</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NJ DOC</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Corrections</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Community</w:t>
            </w: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July 2022</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2 years</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None</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7"/>
              </w:rPr>
              <w:t>Leased</w:t>
            </w:r>
          </w:p>
        </w:tc>
        <w:tc>
          <w:tcPr>
            <w:tcW w:w="0" w:type="dxa"/>
            <w:vAlign w:val="bottom"/>
          </w:tcPr>
          <w:p>
            <w:pPr>
              <w:spacing w:after="0"/>
              <w:rPr>
                <w:sz w:val="1"/>
                <w:szCs w:val="1"/>
                <w:color w:val="auto"/>
              </w:rPr>
            </w:pPr>
          </w:p>
        </w:tc>
      </w:tr>
      <w:tr>
        <w:trPr>
          <w:trHeight w:val="143"/>
        </w:trPr>
        <w:tc>
          <w:tcPr>
            <w:tcW w:w="1740" w:type="dxa"/>
            <w:vAlign w:val="bottom"/>
          </w:tcPr>
          <w:p>
            <w:pPr>
              <w:ind w:left="20"/>
              <w:spacing w:after="0" w:line="143" w:lineRule="exact"/>
              <w:rPr>
                <w:sz w:val="20"/>
                <w:szCs w:val="20"/>
                <w:color w:val="auto"/>
              </w:rPr>
            </w:pPr>
            <w:r>
              <w:rPr>
                <w:rFonts w:ascii="Arial" w:cs="Arial" w:eastAsia="Arial" w:hAnsi="Arial"/>
                <w:sz w:val="14"/>
                <w:szCs w:val="14"/>
                <w:color w:val="auto"/>
              </w:rPr>
              <w:t>Toler Hall, NJ</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line="143" w:lineRule="exact"/>
              <w:rPr>
                <w:sz w:val="20"/>
                <w:szCs w:val="20"/>
                <w:color w:val="auto"/>
              </w:rPr>
            </w:pPr>
            <w:r>
              <w:rPr>
                <w:rFonts w:ascii="Arial" w:cs="Arial" w:eastAsia="Arial" w:hAnsi="Arial"/>
                <w:sz w:val="14"/>
                <w:szCs w:val="14"/>
                <w:color w:val="auto"/>
                <w:w w:val="96"/>
              </w:rPr>
              <w:t>Third Party</w:t>
            </w: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388"/>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7"/>
              </w:rPr>
              <w:t>Tenant</w:t>
            </w:r>
          </w:p>
        </w:tc>
        <w:tc>
          <w:tcPr>
            <w:tcW w:w="1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7"/>
              </w:rPr>
              <w:t>Leased</w:t>
            </w:r>
          </w:p>
        </w:tc>
        <w:tc>
          <w:tcPr>
            <w:tcW w:w="0" w:type="dxa"/>
            <w:vAlign w:val="bottom"/>
          </w:tcPr>
          <w:p>
            <w:pPr>
              <w:spacing w:after="0"/>
              <w:rPr>
                <w:sz w:val="1"/>
                <w:szCs w:val="1"/>
                <w:color w:val="auto"/>
              </w:rPr>
            </w:pPr>
          </w:p>
        </w:tc>
      </w:tr>
      <w:tr>
        <w:trPr>
          <w:trHeight w:val="143"/>
        </w:trPr>
        <w:tc>
          <w:tcPr>
            <w:tcW w:w="17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Tully House, NJ</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98"/>
              </w:rPr>
              <w:t>Community</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344</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NJ DOC</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Corrections</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Community</w:t>
            </w: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July 2022</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2 years</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None</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740" w:type="dxa"/>
            <w:vAlign w:val="bottom"/>
          </w:tcPr>
          <w:p>
            <w:pPr>
              <w:ind w:left="20"/>
              <w:spacing w:after="0" w:line="143" w:lineRule="exact"/>
              <w:rPr>
                <w:sz w:val="20"/>
                <w:szCs w:val="20"/>
                <w:color w:val="auto"/>
              </w:rPr>
            </w:pPr>
            <w:r>
              <w:rPr>
                <w:rFonts w:ascii="Arial" w:cs="Arial" w:eastAsia="Arial" w:hAnsi="Arial"/>
                <w:sz w:val="14"/>
                <w:szCs w:val="14"/>
                <w:color w:val="auto"/>
              </w:rPr>
              <w:t>Taylor Street Center San</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3" w:lineRule="exact"/>
              <w:rPr>
                <w:sz w:val="20"/>
                <w:szCs w:val="20"/>
                <w:color w:val="auto"/>
              </w:rPr>
            </w:pPr>
            <w:r>
              <w:rPr>
                <w:rFonts w:ascii="Arial" w:cs="Arial" w:eastAsia="Arial" w:hAnsi="Arial"/>
                <w:sz w:val="14"/>
                <w:szCs w:val="14"/>
                <w:color w:val="auto"/>
                <w:w w:val="91"/>
              </w:rPr>
              <w:t>Four, One-</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20"/>
              <w:spacing w:after="0" w:line="149" w:lineRule="exact"/>
              <w:rPr>
                <w:sz w:val="20"/>
                <w:szCs w:val="20"/>
                <w:color w:val="auto"/>
              </w:rPr>
            </w:pPr>
            <w:r>
              <w:rPr>
                <w:rFonts w:ascii="Arial" w:cs="Arial" w:eastAsia="Arial" w:hAnsi="Arial"/>
                <w:sz w:val="14"/>
                <w:szCs w:val="14"/>
                <w:color w:val="auto"/>
              </w:rPr>
              <w:t>Francisco, CA</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8"/>
              </w:rPr>
              <w:t>Community</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7"/>
              </w:rPr>
              <w:t>April 2021/July</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3"/>
              </w:rPr>
              <w:t>year/Two, One-</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40" w:type="dxa"/>
            <w:vAlign w:val="bottom"/>
          </w:tcPr>
          <w:p>
            <w:pPr>
              <w:spacing w:after="0"/>
              <w:rPr>
                <w:sz w:val="15"/>
                <w:szCs w:val="15"/>
                <w:color w:val="auto"/>
              </w:rPr>
            </w:pP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5"/>
              </w:rPr>
              <w:t>BOP / CDCR</w:t>
            </w:r>
          </w:p>
        </w:tc>
        <w:tc>
          <w:tcPr>
            <w:tcW w:w="1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Corrections</w:t>
            </w:r>
          </w:p>
        </w:tc>
        <w:tc>
          <w:tcPr>
            <w:tcW w:w="1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5"/>
              </w:rPr>
              <w:t>Community</w:t>
            </w:r>
          </w:p>
        </w:tc>
        <w:tc>
          <w:tcPr>
            <w:tcW w:w="126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2022</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0"/>
              </w:rPr>
              <w:t>1 year/3 years</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7"/>
              </w:rPr>
              <w:t>year</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7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Tampa Residential Reentry</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98"/>
              </w:rPr>
              <w:t>Community</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Center Tampa, FL</w:t>
            </w:r>
          </w:p>
        </w:tc>
        <w:tc>
          <w:tcPr>
            <w:tcW w:w="11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BOP</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Corrections</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Community</w:t>
            </w: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September 2021</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1 year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Four, One-year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43"/>
        </w:trPr>
        <w:tc>
          <w:tcPr>
            <w:tcW w:w="1740" w:type="dxa"/>
            <w:vAlign w:val="bottom"/>
          </w:tcPr>
          <w:p>
            <w:pPr>
              <w:ind w:left="20"/>
              <w:spacing w:after="0" w:line="143" w:lineRule="exact"/>
              <w:rPr>
                <w:sz w:val="20"/>
                <w:szCs w:val="20"/>
                <w:color w:val="auto"/>
              </w:rPr>
            </w:pPr>
            <w:r>
              <w:rPr>
                <w:rFonts w:ascii="Arial" w:cs="Arial" w:eastAsia="Arial" w:hAnsi="Arial"/>
                <w:sz w:val="14"/>
                <w:szCs w:val="14"/>
                <w:color w:val="auto"/>
              </w:rPr>
              <w:t>Tundra Center Bethel, AK</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8"/>
              </w:rPr>
              <w:t>Community</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40" w:type="dxa"/>
            <w:vAlign w:val="bottom"/>
          </w:tcPr>
          <w:p>
            <w:pPr>
              <w:spacing w:after="0"/>
              <w:rPr>
                <w:sz w:val="15"/>
                <w:szCs w:val="15"/>
                <w:color w:val="auto"/>
              </w:rPr>
            </w:pP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AK DOC</w:t>
            </w:r>
          </w:p>
        </w:tc>
        <w:tc>
          <w:tcPr>
            <w:tcW w:w="1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Corrections</w:t>
            </w:r>
          </w:p>
        </w:tc>
        <w:tc>
          <w:tcPr>
            <w:tcW w:w="1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5"/>
              </w:rPr>
              <w:t>Community</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8"/>
              </w:rPr>
              <w:t>June 2019</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1 year</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Four, One-year</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48"/>
        </w:trPr>
        <w:tc>
          <w:tcPr>
            <w:tcW w:w="1820" w:type="dxa"/>
            <w:vAlign w:val="bottom"/>
            <w:tcBorders>
              <w:top w:val="single" w:sz="8" w:color="CFF0FC"/>
            </w:tcBorders>
            <w:shd w:val="clear" w:color="auto" w:fill="CFF0FC"/>
          </w:tcPr>
          <w:p>
            <w:pPr>
              <w:ind w:left="20"/>
              <w:spacing w:after="0" w:line="149" w:lineRule="exact"/>
              <w:rPr>
                <w:sz w:val="20"/>
                <w:szCs w:val="20"/>
                <w:color w:val="auto"/>
              </w:rPr>
            </w:pPr>
            <w:r>
              <w:rPr>
                <w:rFonts w:ascii="Arial" w:cs="Arial" w:eastAsia="Arial" w:hAnsi="Arial"/>
                <w:sz w:val="14"/>
                <w:szCs w:val="14"/>
                <w:color w:val="auto"/>
              </w:rPr>
              <w:t>Abraxas Academy</w:t>
            </w:r>
          </w:p>
        </w:tc>
        <w:tc>
          <w:tcPr>
            <w:tcW w:w="70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6"/>
              </w:rPr>
              <w:t>Third Party</w:t>
            </w:r>
          </w:p>
        </w:tc>
        <w:tc>
          <w:tcPr>
            <w:tcW w:w="120" w:type="dxa"/>
            <w:vAlign w:val="bottom"/>
            <w:tcBorders>
              <w:top w:val="single" w:sz="8" w:color="CFF0FC"/>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r>
      <w:tr>
        <w:trPr>
          <w:trHeight w:val="189"/>
        </w:trPr>
        <w:tc>
          <w:tcPr>
            <w:tcW w:w="1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Morgantown, PA</w:t>
            </w:r>
          </w:p>
        </w:tc>
        <w:tc>
          <w:tcPr>
            <w:tcW w:w="7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N/A</w:t>
            </w:r>
          </w:p>
        </w:tc>
        <w:tc>
          <w:tcPr>
            <w:tcW w:w="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7"/>
              </w:rPr>
              <w:t>Tenant</w:t>
            </w: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ind w:left="400"/>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ind w:left="320"/>
              <w:spacing w:after="0"/>
              <w:rPr>
                <w:sz w:val="20"/>
                <w:szCs w:val="20"/>
                <w:color w:val="auto"/>
              </w:rPr>
            </w:pPr>
            <w:r>
              <w:rPr>
                <w:rFonts w:ascii="Arial" w:cs="Arial" w:eastAsia="Arial" w:hAnsi="Arial"/>
                <w:sz w:val="14"/>
                <w:szCs w:val="14"/>
                <w:color w:val="auto"/>
              </w:rPr>
              <w:t>Owned</w:t>
            </w:r>
          </w:p>
        </w:tc>
      </w:tr>
      <w:tr>
        <w:trPr>
          <w:trHeight w:val="143"/>
        </w:trPr>
        <w:tc>
          <w:tcPr>
            <w:tcW w:w="1820" w:type="dxa"/>
            <w:vAlign w:val="bottom"/>
          </w:tcPr>
          <w:p>
            <w:pPr>
              <w:ind w:left="20"/>
              <w:spacing w:after="0" w:line="143" w:lineRule="exact"/>
              <w:rPr>
                <w:sz w:val="20"/>
                <w:szCs w:val="20"/>
                <w:color w:val="auto"/>
              </w:rPr>
            </w:pPr>
            <w:r>
              <w:rPr>
                <w:rFonts w:ascii="Arial" w:cs="Arial" w:eastAsia="Arial" w:hAnsi="Arial"/>
                <w:sz w:val="14"/>
                <w:szCs w:val="14"/>
                <w:color w:val="auto"/>
              </w:rPr>
              <w:t>Abraxas I Marienville, PA</w:t>
            </w: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Arial" w:cs="Arial" w:eastAsia="Arial" w:hAnsi="Arial"/>
                <w:sz w:val="14"/>
                <w:szCs w:val="14"/>
                <w:color w:val="auto"/>
                <w:w w:val="96"/>
              </w:rPr>
              <w:t>Third Party</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81"/>
        </w:trPr>
        <w:tc>
          <w:tcPr>
            <w:tcW w:w="1820" w:type="dxa"/>
            <w:vAlign w:val="bottom"/>
          </w:tcPr>
          <w:p>
            <w:pPr>
              <w:spacing w:after="0"/>
              <w:rPr>
                <w:sz w:val="15"/>
                <w:szCs w:val="15"/>
                <w:color w:val="auto"/>
              </w:rPr>
            </w:pPr>
          </w:p>
        </w:tc>
        <w:tc>
          <w:tcPr>
            <w:tcW w:w="700" w:type="dxa"/>
            <w:vAlign w:val="bottom"/>
          </w:tcPr>
          <w:p>
            <w:pPr>
              <w:ind w:left="380"/>
              <w:spacing w:after="0"/>
              <w:rPr>
                <w:sz w:val="20"/>
                <w:szCs w:val="20"/>
                <w:color w:val="auto"/>
              </w:rPr>
            </w:pPr>
            <w:r>
              <w:rPr>
                <w:rFonts w:ascii="Arial" w:cs="Arial" w:eastAsia="Arial" w:hAnsi="Arial"/>
                <w:sz w:val="14"/>
                <w:szCs w:val="14"/>
                <w:color w:val="auto"/>
              </w:rPr>
              <w:t>N/A</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87"/>
              </w:rPr>
              <w:t>Tenant</w:t>
            </w:r>
          </w:p>
        </w:tc>
        <w:tc>
          <w:tcPr>
            <w:tcW w:w="120" w:type="dxa"/>
            <w:vAlign w:val="bottom"/>
          </w:tcPr>
          <w:p>
            <w:pPr>
              <w:spacing w:after="0"/>
              <w:rPr>
                <w:sz w:val="15"/>
                <w:szCs w:val="15"/>
                <w:color w:val="auto"/>
              </w:rPr>
            </w:pPr>
          </w:p>
        </w:tc>
        <w:tc>
          <w:tcPr>
            <w:tcW w:w="1080" w:type="dxa"/>
            <w:vAlign w:val="bottom"/>
          </w:tcPr>
          <w:p>
            <w:pPr>
              <w:ind w:left="42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5"/>
                <w:szCs w:val="15"/>
                <w:color w:val="auto"/>
              </w:rPr>
            </w:pPr>
          </w:p>
        </w:tc>
        <w:tc>
          <w:tcPr>
            <w:tcW w:w="1080" w:type="dxa"/>
            <w:vAlign w:val="bottom"/>
          </w:tcPr>
          <w:p>
            <w:pPr>
              <w:ind w:left="42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5"/>
                <w:szCs w:val="15"/>
                <w:color w:val="auto"/>
              </w:rPr>
            </w:pPr>
          </w:p>
        </w:tc>
        <w:tc>
          <w:tcPr>
            <w:tcW w:w="1060" w:type="dxa"/>
            <w:vAlign w:val="bottom"/>
          </w:tcPr>
          <w:p>
            <w:pPr>
              <w:ind w:left="40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1080" w:type="dxa"/>
            <w:vAlign w:val="bottom"/>
          </w:tcPr>
          <w:p>
            <w:pPr>
              <w:ind w:left="42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1060" w:type="dxa"/>
            <w:vAlign w:val="bottom"/>
          </w:tcPr>
          <w:p>
            <w:pPr>
              <w:ind w:left="42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5"/>
                <w:szCs w:val="15"/>
                <w:color w:val="auto"/>
              </w:rPr>
            </w:pPr>
          </w:p>
        </w:tc>
        <w:tc>
          <w:tcPr>
            <w:tcW w:w="1060" w:type="dxa"/>
            <w:vAlign w:val="bottom"/>
          </w:tcPr>
          <w:p>
            <w:pPr>
              <w:ind w:left="320"/>
              <w:spacing w:after="0"/>
              <w:rPr>
                <w:sz w:val="20"/>
                <w:szCs w:val="20"/>
                <w:color w:val="auto"/>
              </w:rPr>
            </w:pPr>
            <w:r>
              <w:rPr>
                <w:rFonts w:ascii="Arial" w:cs="Arial" w:eastAsia="Arial" w:hAnsi="Arial"/>
                <w:sz w:val="14"/>
                <w:szCs w:val="14"/>
                <w:color w:val="auto"/>
              </w:rPr>
              <w:t>Owned</w:t>
            </w:r>
          </w:p>
        </w:tc>
      </w:tr>
      <w:tr>
        <w:trPr>
          <w:trHeight w:val="143"/>
        </w:trPr>
        <w:tc>
          <w:tcPr>
            <w:tcW w:w="18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Abraxas Ohio Shelby, OH</w:t>
            </w:r>
          </w:p>
        </w:tc>
        <w:tc>
          <w:tcPr>
            <w:tcW w:w="7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96"/>
              </w:rPr>
              <w:t>Third Party</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r>
      <w:tr>
        <w:trPr>
          <w:trHeight w:val="181"/>
        </w:trPr>
        <w:tc>
          <w:tcPr>
            <w:tcW w:w="1820" w:type="dxa"/>
            <w:vAlign w:val="bottom"/>
            <w:shd w:val="clear" w:color="auto" w:fill="CFF0FC"/>
          </w:tcPr>
          <w:p>
            <w:pPr>
              <w:spacing w:after="0"/>
              <w:rPr>
                <w:sz w:val="15"/>
                <w:szCs w:val="15"/>
                <w:color w:val="auto"/>
              </w:rPr>
            </w:pPr>
          </w:p>
        </w:tc>
        <w:tc>
          <w:tcPr>
            <w:tcW w:w="7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N/A</w:t>
            </w: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7"/>
              </w:rPr>
              <w:t>Tenant</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ind w:left="400"/>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ind w:left="320"/>
              <w:spacing w:after="0"/>
              <w:rPr>
                <w:sz w:val="20"/>
                <w:szCs w:val="20"/>
                <w:color w:val="auto"/>
              </w:rPr>
            </w:pPr>
            <w:r>
              <w:rPr>
                <w:rFonts w:ascii="Arial" w:cs="Arial" w:eastAsia="Arial" w:hAnsi="Arial"/>
                <w:sz w:val="14"/>
                <w:szCs w:val="14"/>
                <w:color w:val="auto"/>
              </w:rPr>
              <w:t>Owned</w:t>
            </w:r>
          </w:p>
        </w:tc>
      </w:tr>
      <w:tr>
        <w:trPr>
          <w:trHeight w:val="143"/>
        </w:trPr>
        <w:tc>
          <w:tcPr>
            <w:tcW w:w="1820" w:type="dxa"/>
            <w:vAlign w:val="bottom"/>
          </w:tcPr>
          <w:p>
            <w:pPr>
              <w:ind w:left="20"/>
              <w:spacing w:after="0" w:line="143" w:lineRule="exact"/>
              <w:rPr>
                <w:sz w:val="20"/>
                <w:szCs w:val="20"/>
                <w:color w:val="auto"/>
              </w:rPr>
            </w:pPr>
            <w:r>
              <w:rPr>
                <w:rFonts w:ascii="Arial" w:cs="Arial" w:eastAsia="Arial" w:hAnsi="Arial"/>
                <w:sz w:val="14"/>
                <w:szCs w:val="14"/>
                <w:color w:val="auto"/>
              </w:rPr>
              <w:t>Hector Garza Center San</w:t>
            </w: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81"/>
        </w:trPr>
        <w:tc>
          <w:tcPr>
            <w:tcW w:w="1820" w:type="dxa"/>
            <w:vAlign w:val="bottom"/>
          </w:tcPr>
          <w:p>
            <w:pPr>
              <w:ind w:left="20"/>
              <w:spacing w:after="0"/>
              <w:rPr>
                <w:sz w:val="20"/>
                <w:szCs w:val="20"/>
                <w:color w:val="auto"/>
              </w:rPr>
            </w:pPr>
            <w:r>
              <w:rPr>
                <w:rFonts w:ascii="Arial" w:cs="Arial" w:eastAsia="Arial" w:hAnsi="Arial"/>
                <w:sz w:val="14"/>
                <w:szCs w:val="14"/>
                <w:color w:val="auto"/>
              </w:rPr>
              <w:t>Antonio, TX</w:t>
            </w:r>
          </w:p>
        </w:tc>
        <w:tc>
          <w:tcPr>
            <w:tcW w:w="700" w:type="dxa"/>
            <w:vAlign w:val="bottom"/>
          </w:tcPr>
          <w:p>
            <w:pPr>
              <w:spacing w:after="0"/>
              <w:rPr>
                <w:sz w:val="15"/>
                <w:szCs w:val="15"/>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7"/>
              </w:rPr>
              <w:t>Idle</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ind w:left="320"/>
              <w:spacing w:after="0"/>
              <w:rPr>
                <w:sz w:val="20"/>
                <w:szCs w:val="20"/>
                <w:color w:val="auto"/>
              </w:rPr>
            </w:pPr>
            <w:r>
              <w:rPr>
                <w:rFonts w:ascii="Arial" w:cs="Arial" w:eastAsia="Arial" w:hAnsi="Arial"/>
                <w:sz w:val="14"/>
                <w:szCs w:val="14"/>
                <w:color w:val="auto"/>
              </w:rPr>
              <w:t>Owned</w:t>
            </w:r>
          </w:p>
        </w:tc>
      </w:tr>
      <w:tr>
        <w:trPr>
          <w:trHeight w:val="143"/>
        </w:trPr>
        <w:tc>
          <w:tcPr>
            <w:tcW w:w="18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Southern Peaks Regional</w:t>
            </w:r>
          </w:p>
        </w:tc>
        <w:tc>
          <w:tcPr>
            <w:tcW w:w="7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r>
      <w:tr>
        <w:trPr>
          <w:trHeight w:val="148"/>
        </w:trPr>
        <w:tc>
          <w:tcPr>
            <w:tcW w:w="182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Treatment Center Canon</w:t>
            </w:r>
          </w:p>
        </w:tc>
        <w:tc>
          <w:tcPr>
            <w:tcW w:w="7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96"/>
              </w:rPr>
              <w:t>Third Party</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r>
      <w:tr>
        <w:trPr>
          <w:trHeight w:val="181"/>
        </w:trPr>
        <w:tc>
          <w:tcPr>
            <w:tcW w:w="1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City, CO</w:t>
            </w:r>
          </w:p>
        </w:tc>
        <w:tc>
          <w:tcPr>
            <w:tcW w:w="7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N/A</w:t>
            </w: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7"/>
              </w:rPr>
              <w:t>Tenant</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ind w:left="400"/>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ind w:left="320"/>
              <w:spacing w:after="0"/>
              <w:rPr>
                <w:sz w:val="20"/>
                <w:szCs w:val="20"/>
                <w:color w:val="auto"/>
              </w:rPr>
            </w:pPr>
            <w:r>
              <w:rPr>
                <w:rFonts w:ascii="Arial" w:cs="Arial" w:eastAsia="Arial" w:hAnsi="Arial"/>
                <w:sz w:val="14"/>
                <w:szCs w:val="14"/>
                <w:color w:val="auto"/>
              </w:rPr>
              <w:t>Owned</w:t>
            </w:r>
          </w:p>
        </w:tc>
      </w:tr>
      <w:tr>
        <w:trPr>
          <w:trHeight w:val="143"/>
        </w:trPr>
        <w:tc>
          <w:tcPr>
            <w:tcW w:w="1820" w:type="dxa"/>
            <w:vAlign w:val="bottom"/>
          </w:tcPr>
          <w:p>
            <w:pPr>
              <w:ind w:left="20"/>
              <w:spacing w:after="0" w:line="143" w:lineRule="exact"/>
              <w:rPr>
                <w:sz w:val="20"/>
                <w:szCs w:val="20"/>
                <w:color w:val="auto"/>
              </w:rPr>
            </w:pPr>
            <w:r>
              <w:rPr>
                <w:rFonts w:ascii="Arial" w:cs="Arial" w:eastAsia="Arial" w:hAnsi="Arial"/>
                <w:sz w:val="14"/>
                <w:szCs w:val="14"/>
                <w:color w:val="auto"/>
              </w:rPr>
              <w:t>Southwood Interventions</w:t>
            </w: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Arial" w:cs="Arial" w:eastAsia="Arial" w:hAnsi="Arial"/>
                <w:sz w:val="14"/>
                <w:szCs w:val="14"/>
                <w:color w:val="auto"/>
                <w:w w:val="96"/>
              </w:rPr>
              <w:t>Third Party</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81"/>
        </w:trPr>
        <w:tc>
          <w:tcPr>
            <w:tcW w:w="1820" w:type="dxa"/>
            <w:vAlign w:val="bottom"/>
          </w:tcPr>
          <w:p>
            <w:pPr>
              <w:ind w:left="20"/>
              <w:spacing w:after="0"/>
              <w:rPr>
                <w:sz w:val="20"/>
                <w:szCs w:val="20"/>
                <w:color w:val="auto"/>
              </w:rPr>
            </w:pPr>
            <w:r>
              <w:rPr>
                <w:rFonts w:ascii="Arial" w:cs="Arial" w:eastAsia="Arial" w:hAnsi="Arial"/>
                <w:sz w:val="14"/>
                <w:szCs w:val="14"/>
                <w:color w:val="auto"/>
              </w:rPr>
              <w:t>Chicago, IL</w:t>
            </w:r>
          </w:p>
        </w:tc>
        <w:tc>
          <w:tcPr>
            <w:tcW w:w="700" w:type="dxa"/>
            <w:vAlign w:val="bottom"/>
          </w:tcPr>
          <w:p>
            <w:pPr>
              <w:ind w:left="380"/>
              <w:spacing w:after="0"/>
              <w:rPr>
                <w:sz w:val="20"/>
                <w:szCs w:val="20"/>
                <w:color w:val="auto"/>
              </w:rPr>
            </w:pPr>
            <w:r>
              <w:rPr>
                <w:rFonts w:ascii="Arial" w:cs="Arial" w:eastAsia="Arial" w:hAnsi="Arial"/>
                <w:sz w:val="14"/>
                <w:szCs w:val="14"/>
                <w:color w:val="auto"/>
              </w:rPr>
              <w:t>N/A</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87"/>
              </w:rPr>
              <w:t>Tenant</w:t>
            </w:r>
          </w:p>
        </w:tc>
        <w:tc>
          <w:tcPr>
            <w:tcW w:w="120" w:type="dxa"/>
            <w:vAlign w:val="bottom"/>
          </w:tcPr>
          <w:p>
            <w:pPr>
              <w:spacing w:after="0"/>
              <w:rPr>
                <w:sz w:val="15"/>
                <w:szCs w:val="15"/>
                <w:color w:val="auto"/>
              </w:rPr>
            </w:pPr>
          </w:p>
        </w:tc>
        <w:tc>
          <w:tcPr>
            <w:tcW w:w="1080" w:type="dxa"/>
            <w:vAlign w:val="bottom"/>
          </w:tcPr>
          <w:p>
            <w:pPr>
              <w:ind w:left="42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5"/>
                <w:szCs w:val="15"/>
                <w:color w:val="auto"/>
              </w:rPr>
            </w:pPr>
          </w:p>
        </w:tc>
        <w:tc>
          <w:tcPr>
            <w:tcW w:w="1080" w:type="dxa"/>
            <w:vAlign w:val="bottom"/>
          </w:tcPr>
          <w:p>
            <w:pPr>
              <w:ind w:left="42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5"/>
                <w:szCs w:val="15"/>
                <w:color w:val="auto"/>
              </w:rPr>
            </w:pPr>
          </w:p>
        </w:tc>
        <w:tc>
          <w:tcPr>
            <w:tcW w:w="1060" w:type="dxa"/>
            <w:vAlign w:val="bottom"/>
          </w:tcPr>
          <w:p>
            <w:pPr>
              <w:ind w:left="40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1080" w:type="dxa"/>
            <w:vAlign w:val="bottom"/>
          </w:tcPr>
          <w:p>
            <w:pPr>
              <w:ind w:left="42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1060" w:type="dxa"/>
            <w:vAlign w:val="bottom"/>
          </w:tcPr>
          <w:p>
            <w:pPr>
              <w:ind w:left="42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5"/>
                <w:szCs w:val="15"/>
                <w:color w:val="auto"/>
              </w:rPr>
            </w:pPr>
          </w:p>
        </w:tc>
        <w:tc>
          <w:tcPr>
            <w:tcW w:w="1060" w:type="dxa"/>
            <w:vAlign w:val="bottom"/>
          </w:tcPr>
          <w:p>
            <w:pPr>
              <w:ind w:left="320"/>
              <w:spacing w:after="0"/>
              <w:rPr>
                <w:sz w:val="20"/>
                <w:szCs w:val="20"/>
                <w:color w:val="auto"/>
              </w:rPr>
            </w:pPr>
            <w:r>
              <w:rPr>
                <w:rFonts w:ascii="Arial" w:cs="Arial" w:eastAsia="Arial" w:hAnsi="Arial"/>
                <w:sz w:val="14"/>
                <w:szCs w:val="14"/>
                <w:color w:val="auto"/>
              </w:rPr>
              <w:t>Owned</w:t>
            </w:r>
          </w:p>
        </w:tc>
      </w:tr>
      <w:tr>
        <w:trPr>
          <w:trHeight w:val="143"/>
        </w:trPr>
        <w:tc>
          <w:tcPr>
            <w:tcW w:w="18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Woodridge Interventions</w:t>
            </w:r>
          </w:p>
        </w:tc>
        <w:tc>
          <w:tcPr>
            <w:tcW w:w="7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96"/>
              </w:rPr>
              <w:t>Third Party</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r>
      <w:tr>
        <w:trPr>
          <w:trHeight w:val="181"/>
        </w:trPr>
        <w:tc>
          <w:tcPr>
            <w:tcW w:w="1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Woodridge, IL</w:t>
            </w:r>
          </w:p>
        </w:tc>
        <w:tc>
          <w:tcPr>
            <w:tcW w:w="7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N/A</w:t>
            </w: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7"/>
              </w:rPr>
              <w:t>Tenant</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ind w:left="400"/>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ind w:left="320"/>
              <w:spacing w:after="0"/>
              <w:rPr>
                <w:sz w:val="20"/>
                <w:szCs w:val="20"/>
                <w:color w:val="auto"/>
              </w:rPr>
            </w:pPr>
            <w:r>
              <w:rPr>
                <w:rFonts w:ascii="Arial" w:cs="Arial" w:eastAsia="Arial" w:hAnsi="Arial"/>
                <w:sz w:val="14"/>
                <w:szCs w:val="14"/>
                <w:color w:val="auto"/>
              </w:rPr>
              <w:t>Owned</w:t>
            </w:r>
          </w:p>
        </w:tc>
      </w:tr>
    </w:tbl>
    <w:p>
      <w:pPr>
        <w:spacing w:after="0" w:line="2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2066290</wp:posOffset>
            </wp:positionH>
            <wp:positionV relativeFrom="page">
              <wp:posOffset>516890</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page">
              <wp:posOffset>2828290</wp:posOffset>
            </wp:positionH>
            <wp:positionV relativeFrom="page">
              <wp:posOffset>516890</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page">
              <wp:posOffset>3590290</wp:posOffset>
            </wp:positionH>
            <wp:positionV relativeFrom="page">
              <wp:posOffset>516890</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page">
              <wp:posOffset>4352290</wp:posOffset>
            </wp:positionH>
            <wp:positionV relativeFrom="page">
              <wp:posOffset>516890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page">
              <wp:posOffset>5106035</wp:posOffset>
            </wp:positionH>
            <wp:positionV relativeFrom="page">
              <wp:posOffset>516890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page">
              <wp:posOffset>5850890</wp:posOffset>
            </wp:positionH>
            <wp:positionV relativeFrom="page">
              <wp:posOffset>516890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page">
              <wp:posOffset>6595745</wp:posOffset>
            </wp:positionH>
            <wp:positionV relativeFrom="page">
              <wp:posOffset>516890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right="40" w:firstLine="509"/>
        <w:spacing w:after="0" w:line="263" w:lineRule="auto"/>
        <w:rPr>
          <w:sz w:val="20"/>
          <w:szCs w:val="20"/>
          <w:color w:val="auto"/>
        </w:rPr>
      </w:pPr>
      <w:r>
        <w:rPr>
          <w:rFonts w:ascii="Arial" w:cs="Arial" w:eastAsia="Arial" w:hAnsi="Arial"/>
          <w:sz w:val="18"/>
          <w:szCs w:val="18"/>
          <w:color w:val="auto"/>
        </w:rPr>
        <w:t>The following table summarizes certain information with respect to our reentry Day Reporting Centers, which we refer to as DRCs. The information in the table includes the DRCs that we (or a subsidiary or joint venture of GEO) operated under a management contract or had an agreement to provide services as of December 31,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w:t>
            </w:r>
          </w:p>
        </w:tc>
        <w:tc>
          <w:tcPr>
            <w:tcW w:w="1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Commencement</w:t>
            </w:r>
          </w:p>
        </w:tc>
        <w:tc>
          <w:tcPr>
            <w:tcW w:w="12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Base</w:t>
            </w:r>
          </w:p>
        </w:tc>
        <w:tc>
          <w:tcPr>
            <w:tcW w:w="12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Renewal</w:t>
            </w:r>
          </w:p>
        </w:tc>
        <w:tc>
          <w:tcPr>
            <w:tcW w:w="12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Manage only/</w:t>
            </w:r>
          </w:p>
        </w:tc>
        <w:tc>
          <w:tcPr>
            <w:tcW w:w="0" w:type="dxa"/>
            <w:vAlign w:val="bottom"/>
          </w:tcPr>
          <w:p>
            <w:pPr>
              <w:spacing w:after="0"/>
              <w:rPr>
                <w:sz w:val="1"/>
                <w:szCs w:val="1"/>
                <w:color w:val="auto"/>
              </w:rPr>
            </w:pPr>
          </w:p>
        </w:tc>
      </w:tr>
      <w:tr>
        <w:trPr>
          <w:trHeight w:val="148"/>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DRC Location</w:t>
            </w:r>
          </w:p>
        </w:tc>
        <w:tc>
          <w:tcPr>
            <w:tcW w:w="120" w:type="dxa"/>
            <w:vAlign w:val="bottom"/>
          </w:tcPr>
          <w:p>
            <w:pPr>
              <w:spacing w:after="0"/>
              <w:rPr>
                <w:sz w:val="12"/>
                <w:szCs w:val="12"/>
                <w:color w:val="auto"/>
              </w:rPr>
            </w:pPr>
          </w:p>
        </w:tc>
        <w:tc>
          <w:tcPr>
            <w:tcW w:w="11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reporting</w:t>
            </w:r>
          </w:p>
        </w:tc>
        <w:tc>
          <w:tcPr>
            <w:tcW w:w="1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current</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4"/>
              </w:rPr>
              <w:t>centers</w:t>
            </w:r>
          </w:p>
        </w:tc>
        <w:tc>
          <w:tcPr>
            <w:tcW w:w="14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Customers</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contract</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period</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lease</w:t>
            </w:r>
          </w:p>
        </w:tc>
        <w:tc>
          <w:tcPr>
            <w:tcW w:w="0" w:type="dxa"/>
            <w:vAlign w:val="bottom"/>
          </w:tcPr>
          <w:p>
            <w:pPr>
              <w:spacing w:after="0"/>
              <w:rPr>
                <w:sz w:val="1"/>
                <w:szCs w:val="1"/>
                <w:color w:val="auto"/>
              </w:rPr>
            </w:pPr>
          </w:p>
        </w:tc>
      </w:tr>
      <w:tr>
        <w:trPr>
          <w:trHeight w:val="208"/>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Colorado (4)</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State, County,</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Various,</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1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Local</w:t>
            </w: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2020 – 2023</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 year</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Varies</w:t>
            </w: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Lease</w:t>
            </w:r>
          </w:p>
        </w:tc>
        <w:tc>
          <w:tcPr>
            <w:tcW w:w="0" w:type="dxa"/>
            <w:vAlign w:val="bottom"/>
          </w:tcPr>
          <w:p>
            <w:pPr>
              <w:spacing w:after="0"/>
              <w:rPr>
                <w:sz w:val="1"/>
                <w:szCs w:val="1"/>
                <w:color w:val="auto"/>
              </w:rPr>
            </w:pPr>
          </w:p>
        </w:tc>
      </w:tr>
      <w:tr>
        <w:trPr>
          <w:trHeight w:val="215"/>
        </w:trPr>
        <w:tc>
          <w:tcPr>
            <w:tcW w:w="316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Various,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Lease or Manage</w:t>
            </w: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p>
        </w:tc>
        <w:tc>
          <w:tcPr>
            <w:tcW w:w="1300" w:type="dxa"/>
            <w:vAlign w:val="bottom"/>
            <w:gridSpan w:val="2"/>
          </w:tcPr>
          <w:p>
            <w:pPr>
              <w:jc w:val="right"/>
              <w:ind w:right="68"/>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State, County</w:t>
            </w: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2018 – 2026</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3 years</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One, One-year</w:t>
            </w:r>
          </w:p>
        </w:tc>
        <w:tc>
          <w:tcPr>
            <w:tcW w:w="1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6"/>
              </w:rPr>
              <w:t>only</w:t>
            </w:r>
          </w:p>
        </w:tc>
        <w:tc>
          <w:tcPr>
            <w:tcW w:w="0" w:type="dxa"/>
            <w:vAlign w:val="bottom"/>
          </w:tcPr>
          <w:p>
            <w:pPr>
              <w:spacing w:after="0"/>
              <w:rPr>
                <w:sz w:val="1"/>
                <w:szCs w:val="1"/>
                <w:color w:val="auto"/>
              </w:rPr>
            </w:pPr>
          </w:p>
        </w:tc>
      </w:tr>
      <w:tr>
        <w:trPr>
          <w:trHeight w:val="249"/>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New Jersey</w:t>
            </w:r>
          </w:p>
        </w:tc>
        <w:tc>
          <w:tcPr>
            <w:tcW w:w="13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State, County</w:t>
            </w:r>
          </w:p>
        </w:tc>
        <w:tc>
          <w:tcPr>
            <w:tcW w:w="132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4 years</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One, One-year</w:t>
            </w: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Lease</w:t>
            </w:r>
          </w:p>
        </w:tc>
        <w:tc>
          <w:tcPr>
            <w:tcW w:w="0" w:type="dxa"/>
            <w:vAlign w:val="bottom"/>
          </w:tcPr>
          <w:p>
            <w:pPr>
              <w:spacing w:after="0"/>
              <w:rPr>
                <w:sz w:val="1"/>
                <w:szCs w:val="1"/>
                <w:color w:val="auto"/>
              </w:rPr>
            </w:pPr>
          </w:p>
        </w:tc>
      </w:tr>
      <w:tr>
        <w:trPr>
          <w:trHeight w:val="215"/>
        </w:trPr>
        <w:tc>
          <w:tcPr>
            <w:tcW w:w="3160" w:type="dxa"/>
            <w:vAlign w:val="bottom"/>
          </w:tcPr>
          <w:p>
            <w:pPr>
              <w:ind w:left="20"/>
              <w:spacing w:after="0"/>
              <w:rPr>
                <w:sz w:val="20"/>
                <w:szCs w:val="20"/>
                <w:color w:val="auto"/>
              </w:rPr>
            </w:pPr>
            <w:r>
              <w:rPr>
                <w:rFonts w:ascii="Arial" w:cs="Arial" w:eastAsia="Arial" w:hAnsi="Arial"/>
                <w:sz w:val="18"/>
                <w:szCs w:val="18"/>
                <w:color w:val="auto"/>
              </w:rPr>
              <w:t>Pennsylvania</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Various,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p>
        </w:tc>
        <w:tc>
          <w:tcPr>
            <w:tcW w:w="1300" w:type="dxa"/>
            <w:vAlign w:val="bottom"/>
            <w:gridSpan w:val="2"/>
          </w:tcPr>
          <w:p>
            <w:pPr>
              <w:jc w:val="right"/>
              <w:ind w:right="68"/>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State, County</w:t>
            </w: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2018 – 2025</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 to 5 years</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Varies</w:t>
            </w:r>
          </w:p>
        </w:tc>
        <w:tc>
          <w:tcPr>
            <w:tcW w:w="1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5"/>
              </w:rPr>
              <w:t>Lease</w:t>
            </w:r>
          </w:p>
        </w:tc>
        <w:tc>
          <w:tcPr>
            <w:tcW w:w="0" w:type="dxa"/>
            <w:vAlign w:val="bottom"/>
          </w:tcPr>
          <w:p>
            <w:pPr>
              <w:spacing w:after="0"/>
              <w:rPr>
                <w:sz w:val="1"/>
                <w:szCs w:val="1"/>
                <w:color w:val="auto"/>
              </w:rPr>
            </w:pPr>
          </w:p>
        </w:tc>
      </w:tr>
      <w:tr>
        <w:trPr>
          <w:trHeight w:val="222"/>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Illinois</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Lease or Manage</w:t>
            </w:r>
          </w:p>
        </w:tc>
        <w:tc>
          <w:tcPr>
            <w:tcW w:w="0" w:type="dxa"/>
            <w:vAlign w:val="bottom"/>
          </w:tcPr>
          <w:p>
            <w:pPr>
              <w:spacing w:after="0"/>
              <w:rPr>
                <w:sz w:val="1"/>
                <w:szCs w:val="1"/>
                <w:color w:val="auto"/>
              </w:rPr>
            </w:pPr>
          </w:p>
        </w:tc>
      </w:tr>
      <w:tr>
        <w:trPr>
          <w:trHeight w:val="244"/>
        </w:trPr>
        <w:tc>
          <w:tcPr>
            <w:tcW w:w="31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State, County</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0"/>
              </w:rPr>
              <w:t>2018-2022</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5 years</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One, Five-year</w:t>
            </w: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only</w:t>
            </w:r>
          </w:p>
        </w:tc>
        <w:tc>
          <w:tcPr>
            <w:tcW w:w="0" w:type="dxa"/>
            <w:vAlign w:val="bottom"/>
          </w:tcPr>
          <w:p>
            <w:pPr>
              <w:spacing w:after="0"/>
              <w:rPr>
                <w:sz w:val="1"/>
                <w:szCs w:val="1"/>
                <w:color w:val="auto"/>
              </w:rPr>
            </w:pPr>
          </w:p>
        </w:tc>
      </w:tr>
      <w:tr>
        <w:trPr>
          <w:trHeight w:val="236"/>
        </w:trPr>
        <w:tc>
          <w:tcPr>
            <w:tcW w:w="3160" w:type="dxa"/>
            <w:vAlign w:val="bottom"/>
          </w:tcPr>
          <w:p>
            <w:pPr>
              <w:ind w:left="20"/>
              <w:spacing w:after="0"/>
              <w:rPr>
                <w:sz w:val="20"/>
                <w:szCs w:val="20"/>
                <w:color w:val="auto"/>
              </w:rPr>
            </w:pPr>
            <w:r>
              <w:rPr>
                <w:rFonts w:ascii="Arial" w:cs="Arial" w:eastAsia="Arial" w:hAnsi="Arial"/>
                <w:sz w:val="18"/>
                <w:szCs w:val="18"/>
                <w:color w:val="auto"/>
              </w:rPr>
              <w:t>Kansas</w:t>
            </w:r>
          </w:p>
        </w:tc>
        <w:tc>
          <w:tcPr>
            <w:tcW w:w="1300" w:type="dxa"/>
            <w:vAlign w:val="bottom"/>
            <w:gridSpan w:val="2"/>
          </w:tcPr>
          <w:p>
            <w:pPr>
              <w:jc w:val="right"/>
              <w:ind w:right="68"/>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County</w:t>
            </w:r>
          </w:p>
        </w:tc>
        <w:tc>
          <w:tcPr>
            <w:tcW w:w="13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1 year</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Four, One-year</w:t>
            </w:r>
          </w:p>
        </w:tc>
        <w:tc>
          <w:tcPr>
            <w:tcW w:w="1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5"/>
              </w:rPr>
              <w:t>Lease</w:t>
            </w:r>
          </w:p>
        </w:tc>
        <w:tc>
          <w:tcPr>
            <w:tcW w:w="0" w:type="dxa"/>
            <w:vAlign w:val="bottom"/>
          </w:tcPr>
          <w:p>
            <w:pPr>
              <w:spacing w:after="0"/>
              <w:rPr>
                <w:sz w:val="1"/>
                <w:szCs w:val="1"/>
                <w:color w:val="auto"/>
              </w:rPr>
            </w:pPr>
          </w:p>
        </w:tc>
      </w:tr>
      <w:tr>
        <w:trPr>
          <w:trHeight w:val="249"/>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Louisiana</w:t>
            </w:r>
          </w:p>
        </w:tc>
        <w:tc>
          <w:tcPr>
            <w:tcW w:w="13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State</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0"/>
              </w:rPr>
              <w:t>2020-2022</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 years</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None</w:t>
            </w: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Lease</w:t>
            </w:r>
          </w:p>
        </w:tc>
        <w:tc>
          <w:tcPr>
            <w:tcW w:w="0" w:type="dxa"/>
            <w:vAlign w:val="bottom"/>
          </w:tcPr>
          <w:p>
            <w:pPr>
              <w:spacing w:after="0"/>
              <w:rPr>
                <w:sz w:val="1"/>
                <w:szCs w:val="1"/>
                <w:color w:val="auto"/>
              </w:rPr>
            </w:pPr>
          </w:p>
        </w:tc>
      </w:tr>
      <w:tr>
        <w:trPr>
          <w:trHeight w:val="236"/>
        </w:trPr>
        <w:tc>
          <w:tcPr>
            <w:tcW w:w="3160" w:type="dxa"/>
            <w:vAlign w:val="bottom"/>
          </w:tcPr>
          <w:p>
            <w:pPr>
              <w:ind w:left="20"/>
              <w:spacing w:after="0"/>
              <w:rPr>
                <w:sz w:val="20"/>
                <w:szCs w:val="20"/>
                <w:color w:val="auto"/>
              </w:rPr>
            </w:pPr>
            <w:r>
              <w:rPr>
                <w:rFonts w:ascii="Arial" w:cs="Arial" w:eastAsia="Arial" w:hAnsi="Arial"/>
                <w:sz w:val="18"/>
                <w:szCs w:val="18"/>
                <w:color w:val="auto"/>
              </w:rPr>
              <w:t>Tennessee</w:t>
            </w:r>
          </w:p>
        </w:tc>
        <w:tc>
          <w:tcPr>
            <w:tcW w:w="1300" w:type="dxa"/>
            <w:vAlign w:val="bottom"/>
            <w:gridSpan w:val="2"/>
          </w:tcPr>
          <w:p>
            <w:pPr>
              <w:jc w:val="right"/>
              <w:ind w:right="68"/>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5"/>
              </w:rPr>
              <w:t>State</w:t>
            </w:r>
          </w:p>
        </w:tc>
        <w:tc>
          <w:tcPr>
            <w:tcW w:w="13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Five, One-year</w:t>
            </w:r>
          </w:p>
        </w:tc>
        <w:tc>
          <w:tcPr>
            <w:tcW w:w="1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5"/>
              </w:rPr>
              <w:t>Lease</w:t>
            </w:r>
          </w:p>
        </w:tc>
        <w:tc>
          <w:tcPr>
            <w:tcW w:w="0" w:type="dxa"/>
            <w:vAlign w:val="bottom"/>
          </w:tcPr>
          <w:p>
            <w:pPr>
              <w:spacing w:after="0"/>
              <w:rPr>
                <w:sz w:val="1"/>
                <w:szCs w:val="1"/>
                <w:color w:val="auto"/>
              </w:rPr>
            </w:pPr>
          </w:p>
        </w:tc>
      </w:tr>
      <w:tr>
        <w:trPr>
          <w:trHeight w:val="221"/>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Idaho</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After base, may</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be renewed,</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extended or</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1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State</w:t>
            </w:r>
          </w:p>
        </w:tc>
        <w:tc>
          <w:tcPr>
            <w:tcW w:w="132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89"/>
              </w:rPr>
              <w:t>2020</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 years</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amended</w:t>
            </w: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Lease</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Kentucky</w:t>
            </w:r>
          </w:p>
        </w:tc>
        <w:tc>
          <w:tcPr>
            <w:tcW w:w="1300" w:type="dxa"/>
            <w:vAlign w:val="bottom"/>
            <w:gridSpan w:val="2"/>
          </w:tcPr>
          <w:p>
            <w:pPr>
              <w:jc w:val="right"/>
              <w:ind w:right="68"/>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County</w:t>
            </w:r>
          </w:p>
        </w:tc>
        <w:tc>
          <w:tcPr>
            <w:tcW w:w="13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1 year</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Four, One-year</w:t>
            </w:r>
          </w:p>
        </w:tc>
        <w:tc>
          <w:tcPr>
            <w:tcW w:w="1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5"/>
              </w:rPr>
              <w:t>Lease</w:t>
            </w:r>
          </w:p>
        </w:tc>
        <w:tc>
          <w:tcPr>
            <w:tcW w:w="0" w:type="dxa"/>
            <w:vAlign w:val="bottom"/>
          </w:tcPr>
          <w:p>
            <w:pPr>
              <w:spacing w:after="0"/>
              <w:rPr>
                <w:sz w:val="1"/>
                <w:szCs w:val="1"/>
                <w:color w:val="auto"/>
              </w:rPr>
            </w:pPr>
          </w:p>
        </w:tc>
      </w:tr>
      <w:tr>
        <w:trPr>
          <w:trHeight w:val="660"/>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Customer Legend: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 w:type="dxa"/>
            <w:vAlign w:val="bottom"/>
          </w:tcPr>
          <w:p>
            <w:pPr>
              <w:spacing w:after="0"/>
              <w:rPr>
                <w:sz w:val="14"/>
                <w:szCs w:val="1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Abbreviation</w:t>
            </w:r>
          </w:p>
        </w:tc>
        <w:tc>
          <w:tcPr>
            <w:tcW w:w="1340" w:type="dxa"/>
            <w:vAlign w:val="bottom"/>
          </w:tcPr>
          <w:p>
            <w:pPr>
              <w:spacing w:after="0"/>
              <w:rPr>
                <w:sz w:val="14"/>
                <w:szCs w:val="14"/>
                <w:color w:val="auto"/>
              </w:rPr>
            </w:pPr>
          </w:p>
        </w:tc>
        <w:tc>
          <w:tcPr>
            <w:tcW w:w="9040" w:type="dxa"/>
            <w:vAlign w:val="bottom"/>
          </w:tcPr>
          <w:p>
            <w:pPr>
              <w:ind w:left="1340"/>
              <w:spacing w:after="0"/>
              <w:rPr>
                <w:sz w:val="20"/>
                <w:szCs w:val="20"/>
                <w:color w:val="auto"/>
              </w:rPr>
            </w:pPr>
            <w:r>
              <w:rPr>
                <w:rFonts w:ascii="Arial" w:cs="Arial" w:eastAsia="Arial" w:hAnsi="Arial"/>
                <w:sz w:val="14"/>
                <w:szCs w:val="14"/>
                <w:b w:val="1"/>
                <w:bCs w:val="1"/>
                <w:color w:val="auto"/>
              </w:rPr>
              <w:t>Customer</w:t>
            </w:r>
          </w:p>
        </w:tc>
        <w:tc>
          <w:tcPr>
            <w:tcW w:w="0" w:type="dxa"/>
            <w:vAlign w:val="bottom"/>
          </w:tcPr>
          <w:p>
            <w:pPr>
              <w:spacing w:after="0"/>
              <w:rPr>
                <w:sz w:val="1"/>
                <w:szCs w:val="1"/>
                <w:color w:val="auto"/>
              </w:rPr>
            </w:pPr>
          </w:p>
        </w:tc>
      </w:tr>
      <w:tr>
        <w:trPr>
          <w:trHeight w:val="458"/>
        </w:trPr>
        <w:tc>
          <w:tcPr>
            <w:tcW w:w="40" w:type="dxa"/>
            <w:vAlign w:val="bottom"/>
            <w:shd w:val="clear" w:color="auto" w:fill="CFF0FC"/>
          </w:tcPr>
          <w:p>
            <w:pPr>
              <w:spacing w:after="0"/>
              <w:rPr>
                <w:sz w:val="24"/>
                <w:szCs w:val="24"/>
                <w:color w:val="auto"/>
              </w:rPr>
            </w:pPr>
          </w:p>
        </w:tc>
        <w:tc>
          <w:tcPr>
            <w:tcW w:w="2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 DOC</w:t>
            </w:r>
          </w:p>
        </w:tc>
        <w:tc>
          <w:tcPr>
            <w:tcW w:w="9040" w:type="dxa"/>
            <w:vAlign w:val="bottom"/>
            <w:shd w:val="clear" w:color="auto" w:fill="CFF0FC"/>
          </w:tcPr>
          <w:p>
            <w:pPr>
              <w:ind w:left="1340"/>
              <w:spacing w:after="0"/>
              <w:rPr>
                <w:sz w:val="20"/>
                <w:szCs w:val="20"/>
                <w:color w:val="auto"/>
              </w:rPr>
            </w:pPr>
            <w:r>
              <w:rPr>
                <w:rFonts w:ascii="Arial" w:cs="Arial" w:eastAsia="Arial" w:hAnsi="Arial"/>
                <w:sz w:val="18"/>
                <w:szCs w:val="18"/>
                <w:color w:val="auto"/>
              </w:rPr>
              <w:t>Alabama Department of Corrections</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AK DOC</w:t>
            </w:r>
          </w:p>
        </w:tc>
        <w:tc>
          <w:tcPr>
            <w:tcW w:w="9040" w:type="dxa"/>
            <w:vAlign w:val="bottom"/>
            <w:vMerge w:val="restart"/>
          </w:tcPr>
          <w:p>
            <w:pPr>
              <w:ind w:left="1340"/>
              <w:spacing w:after="0"/>
              <w:rPr>
                <w:sz w:val="20"/>
                <w:szCs w:val="20"/>
                <w:color w:val="auto"/>
              </w:rPr>
            </w:pPr>
            <w:r>
              <w:rPr>
                <w:rFonts w:ascii="Arial" w:cs="Arial" w:eastAsia="Arial" w:hAnsi="Arial"/>
                <w:sz w:val="18"/>
                <w:szCs w:val="18"/>
                <w:color w:val="auto"/>
              </w:rPr>
              <w:t>Alaska Department of Corrections</w:t>
            </w: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AZ DOC</w:t>
            </w:r>
          </w:p>
        </w:tc>
        <w:tc>
          <w:tcPr>
            <w:tcW w:w="9040" w:type="dxa"/>
            <w:vAlign w:val="bottom"/>
            <w:vMerge w:val="restart"/>
            <w:shd w:val="clear" w:color="auto" w:fill="CFF0FC"/>
          </w:tcPr>
          <w:p>
            <w:pPr>
              <w:ind w:left="1340"/>
              <w:spacing w:after="0"/>
              <w:rPr>
                <w:sz w:val="20"/>
                <w:szCs w:val="20"/>
                <w:color w:val="auto"/>
              </w:rPr>
            </w:pPr>
            <w:r>
              <w:rPr>
                <w:rFonts w:ascii="Arial" w:cs="Arial" w:eastAsia="Arial" w:hAnsi="Arial"/>
                <w:sz w:val="18"/>
                <w:szCs w:val="18"/>
                <w:color w:val="auto"/>
              </w:rPr>
              <w:t>Arizona Department of Corrections</w:t>
            </w:r>
          </w:p>
        </w:tc>
        <w:tc>
          <w:tcPr>
            <w:tcW w:w="0" w:type="dxa"/>
            <w:vAlign w:val="bottom"/>
          </w:tcPr>
          <w:p>
            <w:pPr>
              <w:spacing w:after="0"/>
              <w:rPr>
                <w:sz w:val="1"/>
                <w:szCs w:val="1"/>
                <w:color w:val="auto"/>
              </w:rPr>
            </w:pPr>
          </w:p>
        </w:tc>
      </w:tr>
      <w:tr>
        <w:trPr>
          <w:trHeight w:val="93"/>
        </w:trPr>
        <w:tc>
          <w:tcPr>
            <w:tcW w:w="4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904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BOP</w:t>
            </w:r>
          </w:p>
        </w:tc>
        <w:tc>
          <w:tcPr>
            <w:tcW w:w="9040" w:type="dxa"/>
            <w:vAlign w:val="bottom"/>
            <w:vMerge w:val="restart"/>
          </w:tcPr>
          <w:p>
            <w:pPr>
              <w:ind w:left="1340"/>
              <w:spacing w:after="0"/>
              <w:rPr>
                <w:sz w:val="20"/>
                <w:szCs w:val="20"/>
                <w:color w:val="auto"/>
              </w:rPr>
            </w:pPr>
            <w:r>
              <w:rPr>
                <w:rFonts w:ascii="Arial" w:cs="Arial" w:eastAsia="Arial" w:hAnsi="Arial"/>
                <w:sz w:val="18"/>
                <w:szCs w:val="18"/>
                <w:color w:val="auto"/>
              </w:rPr>
              <w:t>Federal Bureau of Prisons</w:t>
            </w: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CDCR</w:t>
            </w:r>
          </w:p>
        </w:tc>
        <w:tc>
          <w:tcPr>
            <w:tcW w:w="9040" w:type="dxa"/>
            <w:vAlign w:val="bottom"/>
            <w:vMerge w:val="restart"/>
            <w:shd w:val="clear" w:color="auto" w:fill="CFF0FC"/>
          </w:tcPr>
          <w:p>
            <w:pPr>
              <w:ind w:left="1340"/>
              <w:spacing w:after="0"/>
              <w:rPr>
                <w:sz w:val="20"/>
                <w:szCs w:val="20"/>
                <w:color w:val="auto"/>
              </w:rPr>
            </w:pPr>
            <w:r>
              <w:rPr>
                <w:rFonts w:ascii="Arial" w:cs="Arial" w:eastAsia="Arial" w:hAnsi="Arial"/>
                <w:sz w:val="18"/>
                <w:szCs w:val="18"/>
                <w:color w:val="auto"/>
              </w:rPr>
              <w:t>California Department of Corrections &amp; Rehabilitation</w:t>
            </w:r>
          </w:p>
        </w:tc>
        <w:tc>
          <w:tcPr>
            <w:tcW w:w="0" w:type="dxa"/>
            <w:vAlign w:val="bottom"/>
          </w:tcPr>
          <w:p>
            <w:pPr>
              <w:spacing w:after="0"/>
              <w:rPr>
                <w:sz w:val="1"/>
                <w:szCs w:val="1"/>
                <w:color w:val="auto"/>
              </w:rPr>
            </w:pPr>
          </w:p>
        </w:tc>
      </w:tr>
      <w:tr>
        <w:trPr>
          <w:trHeight w:val="93"/>
        </w:trPr>
        <w:tc>
          <w:tcPr>
            <w:tcW w:w="4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904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FL DMS</w:t>
            </w:r>
          </w:p>
        </w:tc>
        <w:tc>
          <w:tcPr>
            <w:tcW w:w="9040" w:type="dxa"/>
            <w:vAlign w:val="bottom"/>
            <w:vMerge w:val="restart"/>
          </w:tcPr>
          <w:p>
            <w:pPr>
              <w:ind w:left="1340"/>
              <w:spacing w:after="0"/>
              <w:rPr>
                <w:sz w:val="20"/>
                <w:szCs w:val="20"/>
                <w:color w:val="auto"/>
              </w:rPr>
            </w:pPr>
            <w:r>
              <w:rPr>
                <w:rFonts w:ascii="Arial" w:cs="Arial" w:eastAsia="Arial" w:hAnsi="Arial"/>
                <w:sz w:val="18"/>
                <w:szCs w:val="18"/>
                <w:color w:val="auto"/>
              </w:rPr>
              <w:t>Florida Department of Management Services</w:t>
            </w: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 DOC</w:t>
            </w:r>
          </w:p>
        </w:tc>
        <w:tc>
          <w:tcPr>
            <w:tcW w:w="9040" w:type="dxa"/>
            <w:vAlign w:val="bottom"/>
            <w:vMerge w:val="restart"/>
            <w:shd w:val="clear" w:color="auto" w:fill="CFF0FC"/>
          </w:tcPr>
          <w:p>
            <w:pPr>
              <w:ind w:left="1340"/>
              <w:spacing w:after="0"/>
              <w:rPr>
                <w:sz w:val="20"/>
                <w:szCs w:val="20"/>
                <w:color w:val="auto"/>
              </w:rPr>
            </w:pPr>
            <w:r>
              <w:rPr>
                <w:rFonts w:ascii="Arial" w:cs="Arial" w:eastAsia="Arial" w:hAnsi="Arial"/>
                <w:sz w:val="18"/>
                <w:szCs w:val="18"/>
                <w:color w:val="auto"/>
              </w:rPr>
              <w:t>Georgia Department of Corrections</w:t>
            </w:r>
          </w:p>
        </w:tc>
        <w:tc>
          <w:tcPr>
            <w:tcW w:w="0" w:type="dxa"/>
            <w:vAlign w:val="bottom"/>
          </w:tcPr>
          <w:p>
            <w:pPr>
              <w:spacing w:after="0"/>
              <w:rPr>
                <w:sz w:val="1"/>
                <w:szCs w:val="1"/>
                <w:color w:val="auto"/>
              </w:rPr>
            </w:pPr>
          </w:p>
        </w:tc>
      </w:tr>
      <w:tr>
        <w:trPr>
          <w:trHeight w:val="93"/>
        </w:trPr>
        <w:tc>
          <w:tcPr>
            <w:tcW w:w="4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904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ICE</w:t>
            </w:r>
          </w:p>
        </w:tc>
        <w:tc>
          <w:tcPr>
            <w:tcW w:w="9040" w:type="dxa"/>
            <w:vAlign w:val="bottom"/>
            <w:vMerge w:val="restart"/>
          </w:tcPr>
          <w:p>
            <w:pPr>
              <w:ind w:left="1340"/>
              <w:spacing w:after="0"/>
              <w:rPr>
                <w:sz w:val="20"/>
                <w:szCs w:val="20"/>
                <w:color w:val="auto"/>
              </w:rPr>
            </w:pPr>
            <w:r>
              <w:rPr>
                <w:rFonts w:ascii="Arial" w:cs="Arial" w:eastAsia="Arial" w:hAnsi="Arial"/>
                <w:sz w:val="18"/>
                <w:szCs w:val="18"/>
                <w:color w:val="auto"/>
              </w:rPr>
              <w:t>U.S. Immigration &amp; Customs Enforcement</w:t>
            </w: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 DOC</w:t>
            </w:r>
          </w:p>
        </w:tc>
        <w:tc>
          <w:tcPr>
            <w:tcW w:w="9040" w:type="dxa"/>
            <w:vAlign w:val="bottom"/>
            <w:vMerge w:val="restart"/>
            <w:shd w:val="clear" w:color="auto" w:fill="CFF0FC"/>
          </w:tcPr>
          <w:p>
            <w:pPr>
              <w:ind w:left="1340"/>
              <w:spacing w:after="0"/>
              <w:rPr>
                <w:sz w:val="20"/>
                <w:szCs w:val="20"/>
                <w:color w:val="auto"/>
              </w:rPr>
            </w:pPr>
            <w:r>
              <w:rPr>
                <w:rFonts w:ascii="Arial" w:cs="Arial" w:eastAsia="Arial" w:hAnsi="Arial"/>
                <w:sz w:val="18"/>
                <w:szCs w:val="18"/>
                <w:color w:val="auto"/>
              </w:rPr>
              <w:t>Indiana Department of Correction</w:t>
            </w:r>
          </w:p>
        </w:tc>
        <w:tc>
          <w:tcPr>
            <w:tcW w:w="0" w:type="dxa"/>
            <w:vAlign w:val="bottom"/>
          </w:tcPr>
          <w:p>
            <w:pPr>
              <w:spacing w:after="0"/>
              <w:rPr>
                <w:sz w:val="1"/>
                <w:szCs w:val="1"/>
                <w:color w:val="auto"/>
              </w:rPr>
            </w:pPr>
          </w:p>
        </w:tc>
      </w:tr>
      <w:tr>
        <w:trPr>
          <w:trHeight w:val="228"/>
        </w:trPr>
        <w:tc>
          <w:tcPr>
            <w:tcW w:w="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904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IGA</w:t>
            </w:r>
          </w:p>
        </w:tc>
        <w:tc>
          <w:tcPr>
            <w:tcW w:w="9040" w:type="dxa"/>
            <w:vAlign w:val="bottom"/>
            <w:vMerge w:val="restart"/>
          </w:tcPr>
          <w:p>
            <w:pPr>
              <w:ind w:left="1340"/>
              <w:spacing w:after="0"/>
              <w:rPr>
                <w:sz w:val="20"/>
                <w:szCs w:val="20"/>
                <w:color w:val="auto"/>
              </w:rPr>
            </w:pPr>
            <w:r>
              <w:rPr>
                <w:rFonts w:ascii="Arial" w:cs="Arial" w:eastAsia="Arial" w:hAnsi="Arial"/>
                <w:sz w:val="18"/>
                <w:szCs w:val="18"/>
                <w:color w:val="auto"/>
              </w:rPr>
              <w:t>Inter-governmental Agreement</w:t>
            </w: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NJ DOC</w:t>
            </w:r>
          </w:p>
        </w:tc>
        <w:tc>
          <w:tcPr>
            <w:tcW w:w="9040" w:type="dxa"/>
            <w:vAlign w:val="bottom"/>
            <w:vMerge w:val="restart"/>
            <w:shd w:val="clear" w:color="auto" w:fill="CFF0FC"/>
          </w:tcPr>
          <w:p>
            <w:pPr>
              <w:ind w:left="1340"/>
              <w:spacing w:after="0"/>
              <w:rPr>
                <w:sz w:val="20"/>
                <w:szCs w:val="20"/>
                <w:color w:val="auto"/>
              </w:rPr>
            </w:pPr>
            <w:r>
              <w:rPr>
                <w:rFonts w:ascii="Arial" w:cs="Arial" w:eastAsia="Arial" w:hAnsi="Arial"/>
                <w:sz w:val="18"/>
                <w:szCs w:val="18"/>
                <w:color w:val="auto"/>
              </w:rPr>
              <w:t>New Jersey Department of Corrections</w:t>
            </w:r>
          </w:p>
        </w:tc>
        <w:tc>
          <w:tcPr>
            <w:tcW w:w="0" w:type="dxa"/>
            <w:vAlign w:val="bottom"/>
          </w:tcPr>
          <w:p>
            <w:pPr>
              <w:spacing w:after="0"/>
              <w:rPr>
                <w:sz w:val="1"/>
                <w:szCs w:val="1"/>
                <w:color w:val="auto"/>
              </w:rPr>
            </w:pPr>
          </w:p>
        </w:tc>
      </w:tr>
      <w:tr>
        <w:trPr>
          <w:trHeight w:val="228"/>
        </w:trPr>
        <w:tc>
          <w:tcPr>
            <w:tcW w:w="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904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NM DOC</w:t>
            </w:r>
          </w:p>
        </w:tc>
        <w:tc>
          <w:tcPr>
            <w:tcW w:w="9040" w:type="dxa"/>
            <w:vAlign w:val="bottom"/>
            <w:vMerge w:val="restart"/>
          </w:tcPr>
          <w:p>
            <w:pPr>
              <w:ind w:left="1340"/>
              <w:spacing w:after="0"/>
              <w:rPr>
                <w:sz w:val="20"/>
                <w:szCs w:val="20"/>
                <w:color w:val="auto"/>
              </w:rPr>
            </w:pPr>
            <w:r>
              <w:rPr>
                <w:rFonts w:ascii="Arial" w:cs="Arial" w:eastAsia="Arial" w:hAnsi="Arial"/>
                <w:sz w:val="18"/>
                <w:szCs w:val="18"/>
                <w:color w:val="auto"/>
              </w:rPr>
              <w:t>New Mexico Department of Corrections</w:t>
            </w: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NSW</w:t>
            </w:r>
          </w:p>
        </w:tc>
        <w:tc>
          <w:tcPr>
            <w:tcW w:w="9040" w:type="dxa"/>
            <w:vAlign w:val="bottom"/>
            <w:vMerge w:val="restart"/>
            <w:shd w:val="clear" w:color="auto" w:fill="CFF0FC"/>
          </w:tcPr>
          <w:p>
            <w:pPr>
              <w:ind w:left="1340"/>
              <w:spacing w:after="0"/>
              <w:rPr>
                <w:sz w:val="20"/>
                <w:szCs w:val="20"/>
                <w:color w:val="auto"/>
              </w:rPr>
            </w:pPr>
            <w:r>
              <w:rPr>
                <w:rFonts w:ascii="Arial" w:cs="Arial" w:eastAsia="Arial" w:hAnsi="Arial"/>
                <w:sz w:val="18"/>
                <w:szCs w:val="18"/>
                <w:color w:val="auto"/>
              </w:rPr>
              <w:t>Commissioner of Corrective Services for New South Wales, Australia</w:t>
            </w:r>
          </w:p>
        </w:tc>
        <w:tc>
          <w:tcPr>
            <w:tcW w:w="0" w:type="dxa"/>
            <w:vAlign w:val="bottom"/>
          </w:tcPr>
          <w:p>
            <w:pPr>
              <w:spacing w:after="0"/>
              <w:rPr>
                <w:sz w:val="1"/>
                <w:szCs w:val="1"/>
                <w:color w:val="auto"/>
              </w:rPr>
            </w:pPr>
          </w:p>
        </w:tc>
      </w:tr>
      <w:tr>
        <w:trPr>
          <w:trHeight w:val="93"/>
        </w:trPr>
        <w:tc>
          <w:tcPr>
            <w:tcW w:w="4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904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OK DOC</w:t>
            </w:r>
          </w:p>
        </w:tc>
        <w:tc>
          <w:tcPr>
            <w:tcW w:w="9040" w:type="dxa"/>
            <w:vAlign w:val="bottom"/>
            <w:vMerge w:val="restart"/>
          </w:tcPr>
          <w:p>
            <w:pPr>
              <w:ind w:left="1340"/>
              <w:spacing w:after="0"/>
              <w:rPr>
                <w:sz w:val="20"/>
                <w:szCs w:val="20"/>
                <w:color w:val="auto"/>
              </w:rPr>
            </w:pPr>
            <w:r>
              <w:rPr>
                <w:rFonts w:ascii="Arial" w:cs="Arial" w:eastAsia="Arial" w:hAnsi="Arial"/>
                <w:sz w:val="18"/>
                <w:szCs w:val="18"/>
                <w:color w:val="auto"/>
              </w:rPr>
              <w:t>Oklahoma Department of Corrections</w:t>
            </w: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 DOC</w:t>
            </w:r>
          </w:p>
        </w:tc>
        <w:tc>
          <w:tcPr>
            <w:tcW w:w="9040" w:type="dxa"/>
            <w:vAlign w:val="bottom"/>
            <w:vMerge w:val="restart"/>
            <w:shd w:val="clear" w:color="auto" w:fill="CFF0FC"/>
          </w:tcPr>
          <w:p>
            <w:pPr>
              <w:ind w:left="1340"/>
              <w:spacing w:after="0"/>
              <w:rPr>
                <w:sz w:val="20"/>
                <w:szCs w:val="20"/>
                <w:color w:val="auto"/>
              </w:rPr>
            </w:pPr>
            <w:r>
              <w:rPr>
                <w:rFonts w:ascii="Arial" w:cs="Arial" w:eastAsia="Arial" w:hAnsi="Arial"/>
                <w:sz w:val="18"/>
                <w:szCs w:val="18"/>
                <w:color w:val="auto"/>
              </w:rPr>
              <w:t>Pennsylvania Department of Corrections</w:t>
            </w:r>
          </w:p>
        </w:tc>
        <w:tc>
          <w:tcPr>
            <w:tcW w:w="0" w:type="dxa"/>
            <w:vAlign w:val="bottom"/>
          </w:tcPr>
          <w:p>
            <w:pPr>
              <w:spacing w:after="0"/>
              <w:rPr>
                <w:sz w:val="1"/>
                <w:szCs w:val="1"/>
                <w:color w:val="auto"/>
              </w:rPr>
            </w:pPr>
          </w:p>
        </w:tc>
      </w:tr>
      <w:tr>
        <w:trPr>
          <w:trHeight w:val="228"/>
        </w:trPr>
        <w:tc>
          <w:tcPr>
            <w:tcW w:w="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904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RSA DCS</w:t>
            </w:r>
          </w:p>
        </w:tc>
        <w:tc>
          <w:tcPr>
            <w:tcW w:w="9040" w:type="dxa"/>
            <w:vAlign w:val="bottom"/>
            <w:vMerge w:val="restart"/>
          </w:tcPr>
          <w:p>
            <w:pPr>
              <w:ind w:left="1340"/>
              <w:spacing w:after="0"/>
              <w:rPr>
                <w:sz w:val="20"/>
                <w:szCs w:val="20"/>
                <w:color w:val="auto"/>
              </w:rPr>
            </w:pPr>
            <w:r>
              <w:rPr>
                <w:rFonts w:ascii="Arial" w:cs="Arial" w:eastAsia="Arial" w:hAnsi="Arial"/>
                <w:sz w:val="18"/>
                <w:szCs w:val="18"/>
                <w:color w:val="auto"/>
              </w:rPr>
              <w:t>Republic of South Africa Department of Correctional Services</w:t>
            </w: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TDCJ</w:t>
            </w:r>
          </w:p>
        </w:tc>
        <w:tc>
          <w:tcPr>
            <w:tcW w:w="9040" w:type="dxa"/>
            <w:vAlign w:val="bottom"/>
            <w:vMerge w:val="restart"/>
            <w:shd w:val="clear" w:color="auto" w:fill="CFF0FC"/>
          </w:tcPr>
          <w:p>
            <w:pPr>
              <w:ind w:left="1340"/>
              <w:spacing w:after="0"/>
              <w:rPr>
                <w:sz w:val="20"/>
                <w:szCs w:val="20"/>
                <w:color w:val="auto"/>
              </w:rPr>
            </w:pPr>
            <w:r>
              <w:rPr>
                <w:rFonts w:ascii="Arial" w:cs="Arial" w:eastAsia="Arial" w:hAnsi="Arial"/>
                <w:sz w:val="18"/>
                <w:szCs w:val="18"/>
                <w:color w:val="auto"/>
              </w:rPr>
              <w:t>Texas Department of Criminal Justice</w:t>
            </w:r>
          </w:p>
        </w:tc>
        <w:tc>
          <w:tcPr>
            <w:tcW w:w="0" w:type="dxa"/>
            <w:vAlign w:val="bottom"/>
          </w:tcPr>
          <w:p>
            <w:pPr>
              <w:spacing w:after="0"/>
              <w:rPr>
                <w:sz w:val="1"/>
                <w:szCs w:val="1"/>
                <w:color w:val="auto"/>
              </w:rPr>
            </w:pPr>
          </w:p>
        </w:tc>
      </w:tr>
      <w:tr>
        <w:trPr>
          <w:trHeight w:val="228"/>
        </w:trPr>
        <w:tc>
          <w:tcPr>
            <w:tcW w:w="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904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USMS</w:t>
            </w:r>
          </w:p>
        </w:tc>
        <w:tc>
          <w:tcPr>
            <w:tcW w:w="9040" w:type="dxa"/>
            <w:vAlign w:val="bottom"/>
            <w:vMerge w:val="restart"/>
          </w:tcPr>
          <w:p>
            <w:pPr>
              <w:ind w:left="1340"/>
              <w:spacing w:after="0"/>
              <w:rPr>
                <w:sz w:val="20"/>
                <w:szCs w:val="20"/>
                <w:color w:val="auto"/>
              </w:rPr>
            </w:pPr>
            <w:r>
              <w:rPr>
                <w:rFonts w:ascii="Arial" w:cs="Arial" w:eastAsia="Arial" w:hAnsi="Arial"/>
                <w:sz w:val="18"/>
                <w:szCs w:val="18"/>
                <w:color w:val="auto"/>
              </w:rPr>
              <w:t>United States Marshals Service</w:t>
            </w: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VA DOC</w:t>
            </w:r>
          </w:p>
        </w:tc>
        <w:tc>
          <w:tcPr>
            <w:tcW w:w="9040" w:type="dxa"/>
            <w:vAlign w:val="bottom"/>
            <w:vMerge w:val="restart"/>
            <w:shd w:val="clear" w:color="auto" w:fill="CFF0FC"/>
          </w:tcPr>
          <w:p>
            <w:pPr>
              <w:ind w:left="1340"/>
              <w:spacing w:after="0"/>
              <w:rPr>
                <w:sz w:val="20"/>
                <w:szCs w:val="20"/>
                <w:color w:val="auto"/>
              </w:rPr>
            </w:pPr>
            <w:r>
              <w:rPr>
                <w:rFonts w:ascii="Arial" w:cs="Arial" w:eastAsia="Arial" w:hAnsi="Arial"/>
                <w:sz w:val="18"/>
                <w:szCs w:val="18"/>
                <w:color w:val="auto"/>
              </w:rPr>
              <w:t>Virginia Department of Corrections</w:t>
            </w:r>
          </w:p>
        </w:tc>
        <w:tc>
          <w:tcPr>
            <w:tcW w:w="0" w:type="dxa"/>
            <w:vAlign w:val="bottom"/>
          </w:tcPr>
          <w:p>
            <w:pPr>
              <w:spacing w:after="0"/>
              <w:rPr>
                <w:sz w:val="1"/>
                <w:szCs w:val="1"/>
                <w:color w:val="auto"/>
              </w:rPr>
            </w:pPr>
          </w:p>
        </w:tc>
      </w:tr>
      <w:tr>
        <w:trPr>
          <w:trHeight w:val="93"/>
        </w:trPr>
        <w:tc>
          <w:tcPr>
            <w:tcW w:w="4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904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VIC DOJ</w:t>
            </w:r>
          </w:p>
        </w:tc>
        <w:tc>
          <w:tcPr>
            <w:tcW w:w="9040" w:type="dxa"/>
            <w:vAlign w:val="bottom"/>
            <w:vMerge w:val="restart"/>
          </w:tcPr>
          <w:p>
            <w:pPr>
              <w:ind w:left="1340"/>
              <w:spacing w:after="0"/>
              <w:rPr>
                <w:sz w:val="20"/>
                <w:szCs w:val="20"/>
                <w:color w:val="auto"/>
              </w:rPr>
            </w:pPr>
            <w:r>
              <w:rPr>
                <w:rFonts w:ascii="Arial" w:cs="Arial" w:eastAsia="Arial" w:hAnsi="Arial"/>
                <w:sz w:val="18"/>
                <w:szCs w:val="18"/>
                <w:color w:val="auto"/>
              </w:rPr>
              <w:t>Department of Justice of the State of Victoria, Australia</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9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Capacity as used in the table refers to operational capacity consisting of total beds for all facilities.</w:t>
      </w:r>
    </w:p>
    <w:p>
      <w:pPr>
        <w:spacing w:after="0" w:line="23" w:lineRule="exact"/>
        <w:rPr>
          <w:rFonts w:ascii="Arial" w:cs="Arial" w:eastAsia="Arial" w:hAnsi="Arial"/>
          <w:sz w:val="18"/>
          <w:szCs w:val="18"/>
          <w:color w:val="auto"/>
        </w:rPr>
      </w:pPr>
    </w:p>
    <w:p>
      <w:pPr>
        <w:ind w:left="520" w:right="720" w:hanging="512"/>
        <w:spacing w:after="0" w:line="250"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GEO provides services at these facilities through various Inter-Governmental Agreements, or IGAs, through the various counties and other jurisdictions.</w:t>
      </w: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contract for this facility only required GEO to provide maintenance services and was terminated towards the end of 2022.</w:t>
      </w:r>
    </w:p>
    <w:p>
      <w:pPr>
        <w:spacing w:after="0" w:line="8" w:lineRule="exact"/>
        <w:rPr>
          <w:rFonts w:ascii="Arial" w:cs="Arial" w:eastAsia="Arial" w:hAnsi="Arial"/>
          <w:sz w:val="18"/>
          <w:szCs w:val="18"/>
          <w:color w:val="auto"/>
        </w:rPr>
      </w:pPr>
    </w:p>
    <w:p>
      <w:pPr>
        <w:ind w:left="520" w:right="180" w:hanging="512"/>
        <w:spacing w:after="0" w:line="281" w:lineRule="auto"/>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Colorado Day Reporting Centers provide many of the same services as the full-service Day Reporting Centers, but rather than providing these services through comprehensive treatment plans dictated by the governing authority, these services are provided on a fee for service basis. Such services may be connected to government agency contracts and would be reimbursed by those agencies. Other services are offered directly to offenders allowing them to meet court-ordered requirements and are paid by the offender as the service is provided.</w:t>
      </w:r>
    </w:p>
    <w:p>
      <w:pPr>
        <w:spacing w:after="0" w:line="1" w:lineRule="exact"/>
        <w:rPr>
          <w:rFonts w:ascii="Arial" w:cs="Arial" w:eastAsia="Arial" w:hAnsi="Arial"/>
          <w:sz w:val="16"/>
          <w:szCs w:val="16"/>
          <w:color w:val="auto"/>
        </w:rPr>
      </w:pPr>
    </w:p>
    <w:p>
      <w:pPr>
        <w:ind w:left="520" w:right="140" w:hanging="512"/>
        <w:spacing w:after="0" w:line="260"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GEO treats these facilities as owned due to GEO’s ownership of the facilities and improvements and the long-term ground leases GEO has in place for these facilities.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Contracts — Terminations, Renewals and Competitive Re-bids</w:t>
      </w:r>
    </w:p>
    <w:p>
      <w:pPr>
        <w:spacing w:after="0" w:line="175" w:lineRule="exact"/>
        <w:rPr>
          <w:sz w:val="20"/>
          <w:szCs w:val="20"/>
          <w:color w:val="auto"/>
        </w:rPr>
      </w:pPr>
    </w:p>
    <w:p>
      <w:pPr>
        <w:ind w:right="120" w:firstLine="509"/>
        <w:spacing w:after="0" w:line="270" w:lineRule="auto"/>
        <w:rPr>
          <w:sz w:val="20"/>
          <w:szCs w:val="20"/>
          <w:color w:val="auto"/>
        </w:rPr>
      </w:pPr>
      <w:r>
        <w:rPr>
          <w:rFonts w:ascii="Arial" w:cs="Arial" w:eastAsia="Arial" w:hAnsi="Arial"/>
          <w:sz w:val="17"/>
          <w:szCs w:val="17"/>
          <w:color w:val="auto"/>
        </w:rPr>
        <w:t>Generally, we may lose our facility management contracts due to one of three reasons: the termination by a government customer with or without cause at any time; the failure by a customer to renew a contract with us upon the expiration of the then current term; or our failure to win the right to continue to operate under a contract that has been competitively re-bid in a procurement process upon its termination or expiration. Our facility management contracts typically allow a contracting governmental agency to terminate a contract with or without cause at any time by giving us written notice ranging from 30 to 180 days. If government agencies were to use these provisions to terminate, or renegotiate the terms of their agreements with us, our financial condition and results of operations could be materially adversely affected. See “Risk Factors — “We are subject to the loss of our facility management contracts, due to terminations, non-renewals or competitive re-bids, which could adversely affect our results of operations and liquidity, including our ability to secure new facility management contracts from other government customers”.</w:t>
      </w:r>
    </w:p>
    <w:p>
      <w:pPr>
        <w:spacing w:after="0" w:line="182"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Aside from our customers’ unilateral right to terminate our facility management contracts with them at any time for any reason, there are two points during the typical lifecycle of a contract which may result in the loss by us of a facility management contract with our customers. We refer to these points as contract “renewals” and contract “re-bids.” Many of our facility management contracts with our government customers have an initial fixed term and subsequent renewal rights for one or more additional periods at the unilateral option of the customer. We count each government customer’s right to renew a particular facility management contract for an additional period as a separate “renewal.” For example, a five-year initial fixed term contract with customer options to renew for five separate additional one-year periods would, if fully exercised, be counted as five separate renewals, with one renewal coming in each of the five years following the initial term. As of December 31, 2022, 47 of our facility management contracts representing approximately 27,000 beds are scheduled to expire on or before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408" w:gutter="0" w:footer="0" w:header="0"/>
        </w:sectPr>
      </w:pPr>
    </w:p>
    <w:bookmarkStart w:id="18" w:name="page19"/>
    <w:bookmarkEnd w:id="18"/>
    <w:p>
      <w:pPr>
        <w:ind w:right="20"/>
        <w:spacing w:after="0" w:line="271" w:lineRule="auto"/>
        <w:rPr>
          <w:sz w:val="20"/>
          <w:szCs w:val="20"/>
          <w:color w:val="auto"/>
        </w:rPr>
      </w:pPr>
      <w:r>
        <w:rPr>
          <w:rFonts w:ascii="Arial" w:cs="Arial" w:eastAsia="Arial" w:hAnsi="Arial"/>
          <w:sz w:val="17"/>
          <w:szCs w:val="17"/>
          <w:color w:val="auto"/>
        </w:rPr>
        <w:t>December 31, 2023, unless renewed by the customer at its sole option in certain cases, or unless renewed by mutual agreement in other cases. These contracts represented approximately 29% of our consolidated revenues for the year ended December 31, 2022. We undertake substantial efforts to renew our facility management contracts. Our average historical facility management contract renewal rate prior to President Biden’s Executive Order was approximately 90%. The Executive Order has led to several contract non-renewals as previously discussed. We cannot assure you that our customers will in fact exercise their renewal options under existing contracts. In addition, in connection with contract renewals, either we or the contracting government agency have typically requested changes or adjustments to contractual terms. As a result, contract renewals may be made on terms that are more or less favorable to us than those in existence prior to the renewals.</w:t>
      </w:r>
    </w:p>
    <w:p>
      <w:pPr>
        <w:spacing w:after="0" w:line="181" w:lineRule="exact"/>
        <w:rPr>
          <w:sz w:val="20"/>
          <w:szCs w:val="20"/>
          <w:color w:val="auto"/>
        </w:rPr>
      </w:pPr>
    </w:p>
    <w:p>
      <w:pPr>
        <w:jc w:val="both"/>
        <w:ind w:right="200" w:firstLine="509"/>
        <w:spacing w:after="0" w:line="286" w:lineRule="auto"/>
        <w:rPr>
          <w:sz w:val="20"/>
          <w:szCs w:val="20"/>
          <w:color w:val="auto"/>
        </w:rPr>
      </w:pPr>
      <w:r>
        <w:rPr>
          <w:rFonts w:ascii="Arial" w:cs="Arial" w:eastAsia="Arial" w:hAnsi="Arial"/>
          <w:sz w:val="16"/>
          <w:szCs w:val="16"/>
          <w:color w:val="auto"/>
        </w:rPr>
        <w:t>We define competitive re-bids as contracts currently under our management which we believe, based on our experience with the customer and the facility involved, will be re-bid to us and other potential service providers in a competitive procurement process upon the expiration or termination of our contract, assuming all renewal options are exercised. Our determination of which contracts we believe will be competitively re-bid may in some cases be subjective and judgmental, based largely on our knowledge of the dynamics involving a particular contract, the customer and the facility involved.</w:t>
      </w:r>
    </w:p>
    <w:p>
      <w:pPr>
        <w:ind w:right="80"/>
        <w:spacing w:after="0" w:line="251" w:lineRule="auto"/>
        <w:rPr>
          <w:sz w:val="20"/>
          <w:szCs w:val="20"/>
          <w:color w:val="auto"/>
        </w:rPr>
      </w:pPr>
      <w:r>
        <w:rPr>
          <w:rFonts w:ascii="Arial" w:cs="Arial" w:eastAsia="Arial" w:hAnsi="Arial"/>
          <w:sz w:val="18"/>
          <w:szCs w:val="18"/>
          <w:color w:val="auto"/>
        </w:rPr>
        <w:t>Competitive re-bids may result from the expiration of the term of a contract, including the initial fixed term plus any renewal periods, or the early termination of a contract by a customer. Competitive re-bids are often required by applicable federal or state procurement laws periodically in order to encourage competitive pricing and other terms for the government customer. Potential bidders in competitive re-bid situations include us, other private operators and other government entities. While we are pleased with our historical win rate on competitive re-bids and are committed to continuing to bid competitively on appropriate future competitive re-bid opportunities, we cannot in fact assure you that we will prevail in future competitive re-bid situations. Also, we cannot assure you that any competitive re-bids we win will be on terms more favorable to us than those in existence with respect to the expiring contract.</w:t>
      </w:r>
    </w:p>
    <w:p>
      <w:pPr>
        <w:spacing w:after="0" w:line="196"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As of December 31, 2022, 11 of our facility management contracts may be subject to competitive re-bid in 2023. These contracts in the aggregate represented approximately 6% and approximately $139 million of our 2022 consolidated revenues. The following table sets forth the number of facility management contracts that we currently believe will be subject to competitive re-bid in each of the next five years and thereafter, and the total number of beds relating to those potential competitive re-bid situations during each period: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jc w:val="center"/>
              <w:ind w:right="2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8"/>
        </w:trPr>
        <w:tc>
          <w:tcPr>
            <w:tcW w:w="7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2"/>
                <w:szCs w:val="12"/>
                <w:color w:val="auto"/>
              </w:rPr>
            </w:pPr>
          </w:p>
        </w:tc>
        <w:tc>
          <w:tcPr>
            <w:tcW w:w="1660" w:type="dxa"/>
            <w:vAlign w:val="bottom"/>
            <w:vMerge w:val="restart"/>
          </w:tcPr>
          <w:p>
            <w:pPr>
              <w:jc w:val="right"/>
              <w:ind w:right="596"/>
              <w:spacing w:after="0"/>
              <w:rPr>
                <w:sz w:val="20"/>
                <w:szCs w:val="20"/>
                <w:color w:val="auto"/>
              </w:rPr>
            </w:pPr>
            <w:r>
              <w:rPr>
                <w:rFonts w:ascii="Arial" w:cs="Arial" w:eastAsia="Arial" w:hAnsi="Arial"/>
                <w:sz w:val="14"/>
                <w:szCs w:val="14"/>
                <w:b w:val="1"/>
                <w:bCs w:val="1"/>
                <w:color w:val="auto"/>
              </w:rPr>
              <w:t>Re-bid</w:t>
            </w:r>
          </w:p>
        </w:tc>
        <w:tc>
          <w:tcPr>
            <w:tcW w:w="180" w:type="dxa"/>
            <w:vAlign w:val="bottom"/>
          </w:tcPr>
          <w:p>
            <w:pPr>
              <w:spacing w:after="0"/>
              <w:rPr>
                <w:sz w:val="12"/>
                <w:szCs w:val="12"/>
                <w:color w:val="auto"/>
              </w:rPr>
            </w:pPr>
          </w:p>
        </w:tc>
        <w:tc>
          <w:tcPr>
            <w:tcW w:w="16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2"/>
              </w:rPr>
              <w:t>Beds up for</w:t>
            </w:r>
          </w:p>
        </w:tc>
        <w:tc>
          <w:tcPr>
            <w:tcW w:w="0" w:type="dxa"/>
            <w:vAlign w:val="bottom"/>
          </w:tcPr>
          <w:p>
            <w:pPr>
              <w:spacing w:after="0"/>
              <w:rPr>
                <w:sz w:val="1"/>
                <w:szCs w:val="1"/>
                <w:color w:val="auto"/>
              </w:rPr>
            </w:pPr>
          </w:p>
        </w:tc>
      </w:tr>
      <w:tr>
        <w:trPr>
          <w:trHeight w:val="185"/>
        </w:trPr>
        <w:tc>
          <w:tcPr>
            <w:tcW w:w="76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6"/>
              </w:rPr>
              <w:t>Re-bid</w:t>
            </w:r>
          </w:p>
        </w:tc>
        <w:tc>
          <w:tcPr>
            <w:tcW w:w="0" w:type="dxa"/>
            <w:vAlign w:val="bottom"/>
          </w:tcPr>
          <w:p>
            <w:pPr>
              <w:spacing w:after="0"/>
              <w:rPr>
                <w:sz w:val="1"/>
                <w:szCs w:val="1"/>
                <w:color w:val="auto"/>
              </w:rPr>
            </w:pPr>
          </w:p>
        </w:tc>
      </w:tr>
      <w:tr>
        <w:trPr>
          <w:trHeight w:val="23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FF0FC"/>
          </w:tcPr>
          <w:p>
            <w:pPr>
              <w:spacing w:after="0"/>
              <w:rPr>
                <w:sz w:val="20"/>
                <w:szCs w:val="20"/>
                <w:color w:val="auto"/>
              </w:rPr>
            </w:pPr>
          </w:p>
        </w:tc>
        <w:tc>
          <w:tcPr>
            <w:tcW w:w="16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20"/>
                <w:szCs w:val="20"/>
                <w:color w:val="auto"/>
              </w:rPr>
            </w:pPr>
          </w:p>
        </w:tc>
        <w:tc>
          <w:tcPr>
            <w:tcW w:w="162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7,721</w:t>
            </w:r>
          </w:p>
        </w:tc>
        <w:tc>
          <w:tcPr>
            <w:tcW w:w="0" w:type="dxa"/>
            <w:vAlign w:val="bottom"/>
          </w:tcPr>
          <w:p>
            <w:pPr>
              <w:spacing w:after="0"/>
              <w:rPr>
                <w:sz w:val="1"/>
                <w:szCs w:val="1"/>
                <w:color w:val="auto"/>
              </w:rPr>
            </w:pPr>
          </w:p>
        </w:tc>
      </w:tr>
      <w:tr>
        <w:trPr>
          <w:trHeight w:val="236"/>
        </w:trPr>
        <w:tc>
          <w:tcPr>
            <w:tcW w:w="7600" w:type="dxa"/>
            <w:vAlign w:val="bottom"/>
          </w:tcPr>
          <w:p>
            <w:pPr>
              <w:ind w:left="20"/>
              <w:spacing w:after="0"/>
              <w:rPr>
                <w:sz w:val="20"/>
                <w:szCs w:val="20"/>
                <w:color w:val="auto"/>
              </w:rPr>
            </w:pPr>
            <w:r>
              <w:rPr>
                <w:rFonts w:ascii="Arial" w:cs="Arial" w:eastAsia="Arial" w:hAnsi="Arial"/>
                <w:sz w:val="18"/>
                <w:szCs w:val="18"/>
                <w:color w:val="auto"/>
              </w:rPr>
              <w:t>2024</w:t>
            </w:r>
          </w:p>
        </w:tc>
        <w:tc>
          <w:tcPr>
            <w:tcW w:w="1840" w:type="dxa"/>
            <w:vAlign w:val="bottom"/>
            <w:gridSpan w:val="2"/>
          </w:tcPr>
          <w:p>
            <w:pPr>
              <w:jc w:val="right"/>
              <w:ind w:right="36"/>
              <w:spacing w:after="0"/>
              <w:rPr>
                <w:sz w:val="20"/>
                <w:szCs w:val="20"/>
                <w:color w:val="auto"/>
              </w:rPr>
            </w:pPr>
            <w:r>
              <w:rPr>
                <w:rFonts w:ascii="Arial" w:cs="Arial" w:eastAsia="Arial" w:hAnsi="Arial"/>
                <w:sz w:val="18"/>
                <w:szCs w:val="18"/>
                <w:color w:val="auto"/>
              </w:rPr>
              <w:t>16</w:t>
            </w:r>
          </w:p>
        </w:tc>
        <w:tc>
          <w:tcPr>
            <w:tcW w:w="1800" w:type="dxa"/>
            <w:vAlign w:val="bottom"/>
            <w:gridSpan w:val="2"/>
          </w:tcPr>
          <w:p>
            <w:pPr>
              <w:jc w:val="right"/>
              <w:ind w:right="42"/>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84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16</w:t>
            </w:r>
          </w:p>
        </w:tc>
        <w:tc>
          <w:tcPr>
            <w:tcW w:w="1800" w:type="dxa"/>
            <w:vAlign w:val="bottom"/>
            <w:gridSpan w:val="2"/>
            <w:shd w:val="clear" w:color="auto" w:fill="CFF0FC"/>
          </w:tcPr>
          <w:p>
            <w:pPr>
              <w:jc w:val="right"/>
              <w:ind w:right="42"/>
              <w:spacing w:after="0"/>
              <w:rPr>
                <w:sz w:val="20"/>
                <w:szCs w:val="20"/>
                <w:color w:val="auto"/>
              </w:rPr>
            </w:pPr>
            <w:r>
              <w:rPr>
                <w:rFonts w:ascii="Arial" w:cs="Arial" w:eastAsia="Arial" w:hAnsi="Arial"/>
                <w:sz w:val="18"/>
                <w:szCs w:val="18"/>
                <w:color w:val="auto"/>
              </w:rPr>
              <w:t>5,915</w:t>
            </w:r>
          </w:p>
        </w:tc>
        <w:tc>
          <w:tcPr>
            <w:tcW w:w="0" w:type="dxa"/>
            <w:vAlign w:val="bottom"/>
          </w:tcPr>
          <w:p>
            <w:pPr>
              <w:spacing w:after="0"/>
              <w:rPr>
                <w:sz w:val="1"/>
                <w:szCs w:val="1"/>
                <w:color w:val="auto"/>
              </w:rPr>
            </w:pPr>
          </w:p>
        </w:tc>
      </w:tr>
      <w:tr>
        <w:trPr>
          <w:trHeight w:val="236"/>
        </w:trPr>
        <w:tc>
          <w:tcPr>
            <w:tcW w:w="7600" w:type="dxa"/>
            <w:vAlign w:val="bottom"/>
          </w:tcPr>
          <w:p>
            <w:pPr>
              <w:ind w:left="20"/>
              <w:spacing w:after="0"/>
              <w:rPr>
                <w:sz w:val="20"/>
                <w:szCs w:val="20"/>
                <w:color w:val="auto"/>
              </w:rPr>
            </w:pPr>
            <w:r>
              <w:rPr>
                <w:rFonts w:ascii="Arial" w:cs="Arial" w:eastAsia="Arial" w:hAnsi="Arial"/>
                <w:sz w:val="18"/>
                <w:szCs w:val="18"/>
                <w:color w:val="auto"/>
              </w:rPr>
              <w:t>2026</w:t>
            </w:r>
          </w:p>
        </w:tc>
        <w:tc>
          <w:tcPr>
            <w:tcW w:w="1840" w:type="dxa"/>
            <w:vAlign w:val="bottom"/>
            <w:gridSpan w:val="2"/>
          </w:tcPr>
          <w:p>
            <w:pPr>
              <w:jc w:val="right"/>
              <w:ind w:right="36"/>
              <w:spacing w:after="0"/>
              <w:rPr>
                <w:sz w:val="20"/>
                <w:szCs w:val="20"/>
                <w:color w:val="auto"/>
              </w:rPr>
            </w:pPr>
            <w:r>
              <w:rPr>
                <w:rFonts w:ascii="Arial" w:cs="Arial" w:eastAsia="Arial" w:hAnsi="Arial"/>
                <w:sz w:val="18"/>
                <w:szCs w:val="18"/>
                <w:color w:val="auto"/>
              </w:rPr>
              <w:t>14</w:t>
            </w:r>
          </w:p>
        </w:tc>
        <w:tc>
          <w:tcPr>
            <w:tcW w:w="1800" w:type="dxa"/>
            <w:vAlign w:val="bottom"/>
            <w:gridSpan w:val="2"/>
          </w:tcPr>
          <w:p>
            <w:pPr>
              <w:jc w:val="right"/>
              <w:ind w:right="42"/>
              <w:spacing w:after="0"/>
              <w:rPr>
                <w:sz w:val="20"/>
                <w:szCs w:val="20"/>
                <w:color w:val="auto"/>
              </w:rPr>
            </w:pPr>
            <w:r>
              <w:rPr>
                <w:rFonts w:ascii="Arial" w:cs="Arial" w:eastAsia="Arial" w:hAnsi="Arial"/>
                <w:sz w:val="18"/>
                <w:szCs w:val="18"/>
                <w:color w:val="auto"/>
              </w:rPr>
              <w:t>11,558</w:t>
            </w: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184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8</w:t>
            </w:r>
          </w:p>
        </w:tc>
        <w:tc>
          <w:tcPr>
            <w:tcW w:w="1800" w:type="dxa"/>
            <w:vAlign w:val="bottom"/>
            <w:gridSpan w:val="2"/>
            <w:shd w:val="clear" w:color="auto" w:fill="CFF0FC"/>
          </w:tcPr>
          <w:p>
            <w:pPr>
              <w:jc w:val="right"/>
              <w:ind w:right="42"/>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236"/>
        </w:trPr>
        <w:tc>
          <w:tcPr>
            <w:tcW w:w="76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40" w:type="dxa"/>
            <w:vAlign w:val="bottom"/>
            <w:gridSpan w:val="2"/>
          </w:tcPr>
          <w:p>
            <w:pPr>
              <w:jc w:val="right"/>
              <w:ind w:right="36"/>
              <w:spacing w:after="0"/>
              <w:rPr>
                <w:sz w:val="20"/>
                <w:szCs w:val="20"/>
                <w:color w:val="auto"/>
              </w:rPr>
            </w:pPr>
            <w:r>
              <w:rPr>
                <w:rFonts w:ascii="Arial" w:cs="Arial" w:eastAsia="Arial" w:hAnsi="Arial"/>
                <w:sz w:val="18"/>
                <w:szCs w:val="18"/>
                <w:color w:val="auto"/>
              </w:rPr>
              <w:t>24</w:t>
            </w:r>
          </w:p>
        </w:tc>
        <w:tc>
          <w:tcPr>
            <w:tcW w:w="1800" w:type="dxa"/>
            <w:vAlign w:val="bottom"/>
            <w:gridSpan w:val="2"/>
          </w:tcPr>
          <w:p>
            <w:pPr>
              <w:jc w:val="right"/>
              <w:ind w:right="42"/>
              <w:spacing w:after="0"/>
              <w:rPr>
                <w:sz w:val="20"/>
                <w:szCs w:val="20"/>
                <w:color w:val="auto"/>
              </w:rPr>
            </w:pPr>
            <w:r>
              <w:rPr>
                <w:rFonts w:ascii="Arial" w:cs="Arial" w:eastAsia="Arial" w:hAnsi="Arial"/>
                <w:sz w:val="18"/>
                <w:szCs w:val="18"/>
                <w:color w:val="auto"/>
              </w:rPr>
              <w:t>18,831</w:t>
            </w:r>
          </w:p>
        </w:tc>
        <w:tc>
          <w:tcPr>
            <w:tcW w:w="0" w:type="dxa"/>
            <w:vAlign w:val="bottom"/>
          </w:tcPr>
          <w:p>
            <w:pPr>
              <w:spacing w:after="0"/>
              <w:rPr>
                <w:sz w:val="1"/>
                <w:szCs w:val="1"/>
                <w:color w:val="auto"/>
              </w:rPr>
            </w:pPr>
          </w:p>
        </w:tc>
      </w:tr>
      <w:tr>
        <w:trPr>
          <w:trHeight w:val="276"/>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shd w:val="clear" w:color="auto" w:fill="CFF0FC"/>
          </w:tcPr>
          <w:p>
            <w:pPr>
              <w:spacing w:after="0"/>
              <w:rPr>
                <w:sz w:val="24"/>
                <w:szCs w:val="24"/>
                <w:color w:val="auto"/>
              </w:rPr>
            </w:pPr>
          </w:p>
        </w:tc>
        <w:tc>
          <w:tcPr>
            <w:tcW w:w="166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89</w:t>
            </w:r>
          </w:p>
        </w:tc>
        <w:tc>
          <w:tcPr>
            <w:tcW w:w="18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51,129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5998845</wp:posOffset>
            </wp:positionH>
            <wp:positionV relativeFrom="paragraph">
              <wp:posOffset>-24765</wp:posOffset>
            </wp:positionV>
            <wp:extent cx="1111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-7620</wp:posOffset>
            </wp:positionV>
            <wp:extent cx="1111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We compete primarily on the basis of the quality and range of services we offer; our experience domestically and internationally in the design, construction, and management of public-private partnerships for secure service facilities; our reputation; and our pricing. We compete directly with the public sector, where governmental agencies responsible for the operation of secure services, processing services, community-based services and reentry facilities are often seeking to retain projects that might otherwise become a public-private partnership. In the private sector, our U.S. Secure Services and International Services business segments compete with a number of companies, including, but not limited to: Core Civic; Management and Training Corporation; Emerald Companies; LaSalle Southwest Corrections; Group 4 Securicor; Sodexo Justice Services (formerly Kaylx); and Serco. Our Reentry Services and Electronic Monitoring and Supervision Services business segments compete with a number of different small-to-medium sized companies, reflecting the highly fragmented nature of the community-based services industry. BI’s electronic monitoring business competes with a number of companies, including, but not limited to: G4 Justice Services, LLC and 3M Electronic Monitoring, a 3M Company. Some of our competitors are larger and have more resources than we do. We also compete in some markets with small local companies that may have a better knowledge of the local conditions and may be better able to gain political and public acceptance.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ind w:right="220" w:firstLine="509"/>
        <w:spacing w:after="0" w:line="307" w:lineRule="auto"/>
        <w:rPr>
          <w:sz w:val="20"/>
          <w:szCs w:val="20"/>
          <w:color w:val="auto"/>
        </w:rPr>
      </w:pPr>
      <w:r>
        <w:rPr>
          <w:rFonts w:ascii="Arial" w:cs="Arial" w:eastAsia="Arial" w:hAnsi="Arial"/>
          <w:sz w:val="17"/>
          <w:szCs w:val="17"/>
          <w:color w:val="auto"/>
        </w:rPr>
        <w:t>The Company’s key human capital management objectives are to attract, retain and develop the highest quality talent. To support these objectives, the Company’s human resources programs are designed to develop talent to prepare them for critical roles and leadership positions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9" w:name="page20"/>
    <w:bookmarkEnd w:id="19"/>
    <w:p>
      <w:pPr>
        <w:ind w:right="300"/>
        <w:spacing w:after="0" w:line="263" w:lineRule="auto"/>
        <w:rPr>
          <w:sz w:val="20"/>
          <w:szCs w:val="20"/>
          <w:color w:val="auto"/>
        </w:rPr>
      </w:pPr>
      <w:r>
        <w:rPr>
          <w:rFonts w:ascii="Arial" w:cs="Arial" w:eastAsia="Arial" w:hAnsi="Arial"/>
          <w:sz w:val="18"/>
          <w:szCs w:val="18"/>
          <w:color w:val="auto"/>
        </w:rPr>
        <w:t>for the future; reward and support employees through competitive pay, benefit, and perquisite programs; enhance the Company’s culture through efforts aimed at making the workplace more engaging and inclusive; acquire talent and facilitate internal talent mobility to create a high-performing, diverse workforce; and evolve and invest in technology, tools, and resources to enable employees at work.</w:t>
      </w:r>
    </w:p>
    <w:p>
      <w:pPr>
        <w:spacing w:after="0" w:line="183"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At December 31, 2022, we had approximately 15,800 full-time employees. Of our full-time employees, approximately 470 were employed at our corporate headquarters and regional offices and approximately 15,300 were employed at facilities and international offices. We employ personnel in positions of management, administrative and clerical, security, educational services, human resource services, health services and general maintenance at our various locations.</w:t>
      </w:r>
    </w:p>
    <w:p>
      <w:pPr>
        <w:spacing w:after="0" w:line="185" w:lineRule="exact"/>
        <w:rPr>
          <w:sz w:val="20"/>
          <w:szCs w:val="20"/>
          <w:color w:val="auto"/>
        </w:rPr>
      </w:pPr>
    </w:p>
    <w:p>
      <w:pPr>
        <w:ind w:right="180" w:firstLine="509"/>
        <w:spacing w:after="0" w:line="256" w:lineRule="auto"/>
        <w:rPr>
          <w:sz w:val="20"/>
          <w:szCs w:val="20"/>
          <w:color w:val="auto"/>
        </w:rPr>
      </w:pPr>
      <w:r>
        <w:rPr>
          <w:rFonts w:ascii="Arial" w:cs="Arial" w:eastAsia="Arial" w:hAnsi="Arial"/>
          <w:sz w:val="18"/>
          <w:szCs w:val="18"/>
          <w:color w:val="auto"/>
        </w:rPr>
        <w:t>Approximately 6,000 and 1,400 employees are covered by collective bargaining agreements in the United States and at international offices, respectively. GEO welcomes the participation of labor unions in our facilities and respects the rights of individual employees to choose whether or not to join labor organizations. We actively participate in the collective bargaining process, negotiate in good faith and maintain excellent working relationships with each of the unions representing our employees. As a result, over the years, GEO has not experienced any significant or major labor actions, such as strikes or work stoppages.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Training</w:t>
      </w:r>
    </w:p>
    <w:p>
      <w:pPr>
        <w:spacing w:after="0" w:line="225"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GEO has a robust training program for staff at all levels of the organization. Our training of managerial, administrative, and security staff is based on the standards set by the American Correctional Association. Training includes classroom learning, practical exercises, course examinations, and on-the-job training. GEO’s corporate policy also mandates that every new employee receive orientation training prior to undertaking any assignments</w:t>
      </w:r>
    </w:p>
    <w:p>
      <w:pPr>
        <w:spacing w:after="0" w:line="148" w:lineRule="exact"/>
        <w:rPr>
          <w:sz w:val="20"/>
          <w:szCs w:val="20"/>
          <w:color w:val="auto"/>
        </w:rPr>
      </w:pPr>
    </w:p>
    <w:p>
      <w:pPr>
        <w:ind w:right="180" w:firstLine="509"/>
        <w:spacing w:after="0" w:line="296" w:lineRule="auto"/>
        <w:rPr>
          <w:sz w:val="20"/>
          <w:szCs w:val="20"/>
          <w:color w:val="auto"/>
        </w:rPr>
      </w:pPr>
      <w:r>
        <w:rPr>
          <w:rFonts w:ascii="Arial" w:cs="Arial" w:eastAsia="Arial" w:hAnsi="Arial"/>
          <w:sz w:val="16"/>
          <w:szCs w:val="16"/>
          <w:color w:val="auto"/>
        </w:rPr>
        <w:t>Under the laws applicable to most of our operations, and internal company policies, our correctional officers are required to complete a minimum amount of training. We generally require at least 40 hours of pre-service training before an employee is allowed to assume their duties plus an additional 120 hours of training during their first year of employment in our domestic facilities, consistent with ACA standards and/or applicable state laws. In addition to the usual 160 hours of training in the first year, most states require 40 or 80 hours of on-the-job training. Florida law requires that correctional officers receive 520 hours of training. We believe that our training programs meet or exceed all applicable requirements.</w:t>
      </w:r>
    </w:p>
    <w:p>
      <w:pPr>
        <w:spacing w:after="0" w:line="160"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Our training program for domestic facilities typically begins with approximately 40 hours of instruction regarding our policies, operational procedures and management philosophy. Training continues with an additional 120 hours of instruction covering legal issues, rights of individuals within our care, techniques of communication and supervision, interpersonal skills and job training relating to the particular position to be held. Each of our employees who has contact with individuals within our care receives a minimum of 40 hours of additional training each year, and each manager receives at least 24 hours of training each year.</w:t>
      </w:r>
    </w:p>
    <w:p>
      <w:pPr>
        <w:spacing w:after="0" w:line="191"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At least 160 hours of training are required for our employees in Australia and South Africa before such employees are allowed to work in positions that will bring them into contact with individuals within our care. Our employees in Australia and South Africa receive a minimum of 40 hours of refresher training each year</w:t>
      </w:r>
    </w:p>
    <w:p>
      <w:pPr>
        <w:spacing w:after="0" w:line="183"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With respect to BI and the Intensive Supervision and Appearance Program (“ISAP”) services contract, new employees are required to complete training requirements as outlined in the contract within 14 days of hire and prior to being assigned autonomous ISAP related duties. These employees receive 25 hours of refresher training annually thereafter. Program managers for our ISAP contract must receive 24 hours of additional initial training. BI’s monitoring services maintains its own comprehensive certification and training program for all monitoring service specialists. We require all new personnel hired for a position in monitoring operations to complete a seven-week training program. Successful completion of our training program and a final certification is required of all of our personnel performing monitoring operations. We require that certification is achieved prior to being permitted to work independently in the call center.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wellness and employee resources</w:t>
      </w:r>
    </w:p>
    <w:p>
      <w:pPr>
        <w:spacing w:after="0" w:line="225"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GEO’s benefit offerings are designed to meet the varied and evolving needs of a diverse workforce across businesses and geographies. GEO offers a comprehensive employee benefits program that is competitive for each of the various locations in which we operate across the United States which are designed to develop, attract and retain personnel. The variety of our benefit offerings is designed to provide individual employees with the flexibility to choose coverage options and benefits that best meet their needs and address their priorities.</w:t>
      </w:r>
    </w:p>
    <w:p>
      <w:pPr>
        <w:spacing w:after="0" w:line="170" w:lineRule="exact"/>
        <w:rPr>
          <w:sz w:val="20"/>
          <w:szCs w:val="20"/>
          <w:color w:val="auto"/>
        </w:rPr>
      </w:pPr>
    </w:p>
    <w:p>
      <w:pPr>
        <w:ind w:right="160" w:firstLine="509"/>
        <w:spacing w:after="0" w:line="307" w:lineRule="auto"/>
        <w:rPr>
          <w:sz w:val="20"/>
          <w:szCs w:val="20"/>
          <w:color w:val="auto"/>
        </w:rPr>
      </w:pPr>
      <w:r>
        <w:rPr>
          <w:rFonts w:ascii="Arial" w:cs="Arial" w:eastAsia="Arial" w:hAnsi="Arial"/>
          <w:sz w:val="17"/>
          <w:szCs w:val="17"/>
          <w:color w:val="auto"/>
        </w:rPr>
        <w:t>As the COVID-19 pandemic has impacted communities across the United States and around the world, our employees have also been impacted by the spread of COVID-19. Ensuring the health and safety of our employees and all those in our care has always been our number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0" w:name="page21"/>
    <w:bookmarkEnd w:id="20"/>
    <w:p>
      <w:pPr>
        <w:ind w:right="20"/>
        <w:spacing w:after="0" w:line="307" w:lineRule="auto"/>
        <w:rPr>
          <w:sz w:val="20"/>
          <w:szCs w:val="20"/>
          <w:color w:val="auto"/>
        </w:rPr>
      </w:pPr>
      <w:r>
        <w:rPr>
          <w:rFonts w:ascii="Arial" w:cs="Arial" w:eastAsia="Arial" w:hAnsi="Arial"/>
          <w:sz w:val="17"/>
          <w:szCs w:val="17"/>
          <w:color w:val="auto"/>
        </w:rPr>
        <w:t>one priority. We advise our employees to remain home if they exhibit flu-like symptoms, and we have exercised and continue to exercise flexible paid leave and paid time off policies to allow for employees to remain home if they exhibit flu-like symptoms or to care for a family member.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Career Growth and Development</w:t>
      </w:r>
    </w:p>
    <w:p>
      <w:pPr>
        <w:spacing w:after="0" w:line="225" w:lineRule="exact"/>
        <w:rPr>
          <w:sz w:val="20"/>
          <w:szCs w:val="20"/>
          <w:color w:val="auto"/>
        </w:rPr>
      </w:pPr>
    </w:p>
    <w:p>
      <w:pPr>
        <w:ind w:right="160" w:firstLine="509"/>
        <w:spacing w:after="0" w:line="293" w:lineRule="auto"/>
        <w:rPr>
          <w:sz w:val="20"/>
          <w:szCs w:val="20"/>
          <w:color w:val="auto"/>
        </w:rPr>
      </w:pPr>
      <w:r>
        <w:rPr>
          <w:rFonts w:ascii="Arial" w:cs="Arial" w:eastAsia="Arial" w:hAnsi="Arial"/>
          <w:sz w:val="16"/>
          <w:szCs w:val="16"/>
          <w:color w:val="auto"/>
        </w:rPr>
        <w:t>GEO employees and their family members (parent, spouse and child) are eligible to further pursue their educational goals by receiving reduced tuition rates on a variety of accredited on-line degree programs in business, education, healthcare and other disciplines provided at 14 different higher education institutions. A tuition reimbursement program is also available for GEO employees pursuing their education as they work to develop their skills and enhance their job performance. Tuition reimbursement is provided to eligible employees for courses offered by accredited colleges, universities, and secretarial and trade schools. Separately, GEO’s subsidiary, BI, offers an education assistance program to its full-time employees with at least one year of service. Employees who enroll in the program are eligible to receive up to $3,500 a year in tuition reimbursement.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and Inclusion</w:t>
      </w:r>
    </w:p>
    <w:p>
      <w:pPr>
        <w:spacing w:after="0" w:line="22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all areas of our business, GEO strives to achieve wider racial and ethnic diversity. Across our organization, under-represented minorities of the United States of America – including African Americans, Hispanic and Latino, Asian, Pacific Islander, Native Hawaiian and Native American/Alaskan – account for approximately 66% of our U.S. employees. Minorities comprise 42% of GEO’s corporate workforce, 71% of our facility security staff, and 29% of those serving in management positions as directors or above.</w:t>
      </w:r>
    </w:p>
    <w:p>
      <w:pPr>
        <w:spacing w:after="0" w:line="18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Additionally, women comprise an equal portion of GEO’s U.S. workforce and play a significant role in our leadership and management. Women are also involved at the highest levels of our organization. Of the ten members of GEO’s Board of Directors in 2022, three are women. In 2018, the organization 2020 Women on Boards recognized GEO Group as a Winning Company for its commitment to Board diversity. Winning Companies champion Board diversity by having 20% or more of their Board seats held by women.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Regulations and Legal Considerations</w:t>
      </w:r>
    </w:p>
    <w:p>
      <w:pPr>
        <w:spacing w:after="0" w:line="175"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Many governmental agencies are required to enter into a competitive bidding procedure before awarding contracts for products or services. The laws of certain jurisdictions may also require us to award subcontracts on a competitive basis or to subcontract or partner with businesses owned by women or members of minority groups.</w:t>
      </w:r>
    </w:p>
    <w:p>
      <w:pPr>
        <w:spacing w:after="0" w:line="183"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Certain states, such as Florida, deem correctional officers to be peace officers and require our personnel to be licensed and subject to background investigation. State law also typically requires correctional officers to meet certain training standards.</w:t>
      </w:r>
    </w:p>
    <w:p>
      <w:pPr>
        <w:spacing w:after="0" w:line="169"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The failure to comply with any applicable laws, rules or regulations or the loss of any required license could have a material adverse effect on our business, financial condition and results of operations. Furthermore, our current and future operations may be subject to additional regulations as a result of, among other factors, new statutes and regulations and changes in the manner in which existing statutes and regulations are or may be interpreted or applied. Any such additional regulations could have a material adverse effect on our business, financial condition and results of operations.</w:t>
      </w:r>
    </w:p>
    <w:p>
      <w:pPr>
        <w:spacing w:after="0" w:line="156"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We do not know of any existing environmental law, regulation nor condition that reasonably would be expected to have a material adverse effect on our business, capital expenditures or operating results. However, future changes to environmental laws and regulations may impact our operations and could result in increased costs.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75"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The nature of our business exposes us to various types of third-party legal claims, including, but not limited to, civil rights claims relating to conditions of confinement and/or mistreatment, sexual misconduct claims brought by individuals within our care, medical malpractice claims,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contractual claims and claims for personal injury or other damages resulting from contact with our facilities, programs, electronic monitoring products, personnel or individuals within our care, including damages arising from an escape of an individual in our care or from a disturbance or riot at a facility. In addition, our management contracts generally require us to indemnify the governmental agency against any damages to which the governmental agency may be subject in connection with such claims or litigation. We maintain a broad program of insurance coverage for these general types of claims, except for claims relating to employment matters, for which we carry no insurance. There can be no assurance that our insurance coverage will be adequate to cover all claims to which we may be exposed. It is our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general practice to bring merged or acquired companies into our corporate master policies in order to take advantage of certain economies of scale.</w:t>
      </w:r>
    </w:p>
    <w:p>
      <w:pPr>
        <w:spacing w:after="0" w:line="236"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On October 1, 2021, GEO formed a wholly owned captive insurance subsidiary, Florina Insurance Company, Inc. (“Florina”), to enhance our risk financing strategies. Florina is incorporated in the state of Vermont and is licensed and regulated by the state of Vermont, including with respect to its insurance programs, levels of liquidity and other requirements. GEO began procuring insurance policies to cover deductibles for workers’ compensation, general liability, automobile liability, medical professional liability and directors' and officers’ liability as well as procuring insurance policies for its excess liability, directors’ and officers’ excess liability and excess medical professional liability through Florina effective October 1, 2021. Florina holds cash and investments in order to meet solvency requirements and meet financial obligations as presented, including an investment portfolio of marketable fixed income and equity securities.</w:t>
      </w:r>
    </w:p>
    <w:p>
      <w:pPr>
        <w:spacing w:after="0" w:line="193" w:lineRule="exact"/>
        <w:rPr>
          <w:sz w:val="20"/>
          <w:szCs w:val="20"/>
          <w:color w:val="auto"/>
        </w:rPr>
      </w:pPr>
    </w:p>
    <w:p>
      <w:pPr>
        <w:ind w:right="120" w:firstLine="509"/>
        <w:spacing w:after="0" w:line="296" w:lineRule="auto"/>
        <w:rPr>
          <w:sz w:val="20"/>
          <w:szCs w:val="20"/>
          <w:color w:val="auto"/>
        </w:rPr>
      </w:pPr>
      <w:r>
        <w:rPr>
          <w:rFonts w:ascii="Arial" w:cs="Arial" w:eastAsia="Arial" w:hAnsi="Arial"/>
          <w:sz w:val="16"/>
          <w:szCs w:val="16"/>
          <w:color w:val="auto"/>
        </w:rPr>
        <w:t>We currently maintain a general liability policy and excess liability policies with total limits of $75.0 million per occurrence and $95.0 million total general liability annual aggregate limits covering the operations of U.S. Secure Services, Reentry Services and Electronic and Supervision Services. We have an occurence based insurance program with a specific loss limit of $40.0 million per occurrence and in the aggregate related to medical professional liability claims arising out of correctional healthcare services. We are uninsured for any claims in excess of these limits. We also maintain insurance to cover property and other casualty risks including, workers’ compensation, environmental liability, cybersecurity liability and automobile liability.</w:t>
      </w:r>
    </w:p>
    <w:p>
      <w:pPr>
        <w:spacing w:after="0" w:line="160"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For most casualty insurance policies, we carry substantial deductibles or self-insured retentions of $4.0 million per occurrence for general liability and $5 million per occurrence for medical professional liability, $2.0 million per occurrence for workers’ compensation, $2.5 million per occurrence for directors' and officers’ liability and $1.0 million per occurrence for automobile liability. In addition, certain of our facilities located in Florida and other high-risk hurricane areas carry substantial windstorm deductibles. Since hurricanes are considered unpredictable future events, no reserves have been established to pre-fund for potential windstorm damage. Limited commercial availability of certain types of insurance relating to windstorm exposure in coastal areas and earthquake exposure mainly in California and the Pacific Northwest may prevent us from insuring some of its facilities to full replacement value.</w:t>
      </w:r>
    </w:p>
    <w:p>
      <w:pPr>
        <w:spacing w:after="0" w:line="193"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With respect to operations in South Africa and Australia, we utilize a combination of locally-procured insurance and global policies to meet contractual insurance requirements and protect us. In addition to these policies, our Australian subsidiary carries tail insurance on a general liability policy related to a discontinued contract.</w:t>
      </w:r>
    </w:p>
    <w:p>
      <w:pPr>
        <w:spacing w:after="0" w:line="209"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Of the insurance policies discussed above, our most significant insurance reserves relate to workers’ compensation, general liability and auto claims. These reserves, which include Florina’s reserves and GEO’s legacy reserves, are undiscounted and were $79.0 million and $74.2 million as of December 31, 2022 and 2021, respectively, and are included in Accrued Expenses in the accompanying Consolidated Balance Sheets. We use statistical and actuarial methods to estimate amounts for claims that have been reported but not paid and claims incurred but not reported. In applying these methods and assessing their results, we consider such factors as historical frequency and severity of claims at each of our facilities, claim development, payment patterns and changes in the nature of our business, among other factors. Such factors are analyzed for each of our business segments. Our estimates may be impacted by such factors as increases in the market price for medical services and unpredictability of the size of jury awards. We also may experience variability between our estimates and the actual settlement due to limitations inherent in the estimation process, including our ability to estimate costs of processing and settling claims in a timely manner as well as our ability to accurately estimate our exposure at the onset of a claim. Because we have high deductible insurance policies, the amount of our insurance expense is dependent on our ability to control our claims experience. If actual losses related to insurance claims significantly differ from our estimates, our financial condition, results of operations and cash flows could be materially adversely impacted.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175"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Our international operations for fiscal years 2022, 2021 and 2020 consisted of the operations of our wholly-owned Australian subsidiary and South African Custodial Management Pty. Limited which we refer to as SACM and our consolidated joint venture in South Africa, which we refer to as SACS. In Australia, our wholly owned subsidiary, GEO Australia, currently manages three facilities. We operate one facility in South Africa through SACM. We also provide secure transportation services through our joint venture GEOAmey. See Item 7 for more discussion related to the results of our international operations. Financial information about our operations in different geographic regions appears in Note-15 Business Segments and Geographic Information in the notes to our audited consolidated financial statements included in Part II, Item 8 of this annual report on Form 10-K.</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Business Concentration</w:t>
      </w:r>
    </w:p>
    <w:p>
      <w:pPr>
        <w:spacing w:after="0" w:line="175"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Except for the major customers noted in the following table, no other single customer made up greater than 10% of our consolidated revenues for these years.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Customer</w:t>
            </w:r>
          </w:p>
        </w:tc>
        <w:tc>
          <w:tcPr>
            <w:tcW w:w="120" w:type="dxa"/>
            <w:vAlign w:val="bottom"/>
          </w:tcPr>
          <w:p>
            <w:pPr>
              <w:spacing w:after="0"/>
              <w:rPr>
                <w:sz w:val="16"/>
                <w:szCs w:val="16"/>
                <w:color w:val="auto"/>
              </w:rPr>
            </w:pPr>
          </w:p>
        </w:tc>
        <w:tc>
          <w:tcPr>
            <w:tcW w:w="15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224"/>
        </w:trPr>
        <w:tc>
          <w:tcPr>
            <w:tcW w:w="6480" w:type="dxa"/>
            <w:vAlign w:val="bottom"/>
          </w:tcPr>
          <w:p>
            <w:pPr>
              <w:ind w:left="20"/>
              <w:spacing w:after="0"/>
              <w:rPr>
                <w:sz w:val="20"/>
                <w:szCs w:val="20"/>
                <w:color w:val="auto"/>
              </w:rPr>
            </w:pPr>
            <w:r>
              <w:rPr>
                <w:rFonts w:ascii="Arial" w:cs="Arial" w:eastAsia="Arial" w:hAnsi="Arial"/>
                <w:sz w:val="18"/>
                <w:szCs w:val="18"/>
                <w:color w:val="auto"/>
              </w:rPr>
              <w:t>Various agencies of the U.S. Federal Government:</w:t>
            </w:r>
          </w:p>
        </w:tc>
        <w:tc>
          <w:tcPr>
            <w:tcW w:w="120" w:type="dxa"/>
            <w:vAlign w:val="bottom"/>
          </w:tcPr>
          <w:p>
            <w:pPr>
              <w:spacing w:after="0"/>
              <w:rPr>
                <w:sz w:val="19"/>
                <w:szCs w:val="19"/>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64 %</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58 %</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56 %</w:t>
            </w:r>
          </w:p>
        </w:tc>
      </w:tr>
    </w:tbl>
    <w:p>
      <w:pPr>
        <w:spacing w:after="0" w:line="241"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Credit risk related to accounts receivable is reflective of the related revenues. The margins on our federal contracts are above the company average due to the fact that they are for company-owned facilities.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 xml:space="preserve">Additional information about us can be found at </w:t>
      </w:r>
      <w:r>
        <w:rPr>
          <w:rFonts w:ascii="Arial" w:cs="Arial" w:eastAsia="Arial" w:hAnsi="Arial"/>
          <w:sz w:val="18"/>
          <w:szCs w:val="18"/>
          <w:i w:val="1"/>
          <w:iCs w:val="1"/>
          <w:color w:val="auto"/>
        </w:rPr>
        <w:t>www.geogroup.com.</w:t>
      </w:r>
      <w:r>
        <w:rPr>
          <w:rFonts w:ascii="Arial" w:cs="Arial" w:eastAsia="Arial" w:hAnsi="Arial"/>
          <w:sz w:val="18"/>
          <w:szCs w:val="18"/>
          <w:color w:val="auto"/>
        </w:rPr>
        <w:t xml:space="preserve"> We make available on our website, free of charge, access to our Annual Report on Form 10-K, Quarterly Reports on Form 10-Q, Current Reports on Form 8-K, our annual proxy statement on Schedule 14A and amendments to those materials filed or furnished pursuant to Section 13(a) or 15(d) of the Securities Exchange Act of 1934, as amended, as soon as reasonably practicable after we electronically submit such materials to the Securities and Exchange Commission, or the SEC. In addition, the SEC makes available on its website, free of charge, reports, proxy and information statements, and other information regarding issuers that file electronically with the SEC, including GEO. The SEC’s website is located at http://www.sec.gov. Information provided on our website or on the SEC’s website is not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Summary of Risk Factors</w:t>
      </w:r>
    </w:p>
    <w:p>
      <w:pPr>
        <w:spacing w:after="0" w:line="225"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auto"/>
        </w:rPr>
        <w:t>The risk factors summarized and detailed below could materially adversely affect our business, financial condition, or results of operations, impair our future prospects and/or cause the price of our common stock to decline. Additional risks not currently known to us or those we currently deem to be immaterial may also materially and adversely affect our business operations. Material risks that may affect our business, operating results and financial condition include, but are not necessarily limited to, those relating to:</w:t>
      </w:r>
    </w:p>
    <w:p>
      <w:pPr>
        <w:spacing w:after="0" w:line="21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Public-Private Partnerships</w:t>
      </w:r>
    </w:p>
    <w:p>
      <w:pPr>
        <w:spacing w:after="0" w:line="117" w:lineRule="exact"/>
        <w:rPr>
          <w:sz w:val="20"/>
          <w:szCs w:val="20"/>
          <w:color w:val="auto"/>
        </w:rPr>
      </w:pPr>
    </w:p>
    <w:p>
      <w:pPr>
        <w:ind w:left="1140" w:hanging="38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 and political opposition to the use of public-private partnerships could have a material adverse effect on our business.</w:t>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Our High Level of Indebtedness</w:t>
      </w:r>
    </w:p>
    <w:p>
      <w:pPr>
        <w:spacing w:after="0" w:line="117" w:lineRule="exact"/>
        <w:rPr>
          <w:sz w:val="20"/>
          <w:szCs w:val="20"/>
          <w:color w:val="auto"/>
        </w:rPr>
      </w:pPr>
    </w:p>
    <w:p>
      <w:pPr>
        <w:ind w:left="1140" w:hanging="383"/>
        <w:spacing w:after="0"/>
        <w:tabs>
          <w:tab w:leader="none" w:pos="11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level of indebtedness could adversely affect our financial condition and prevent us from fulfilling our debt service obligations.</w:t>
      </w:r>
    </w:p>
    <w:p>
      <w:pPr>
        <w:spacing w:after="0" w:line="128" w:lineRule="exact"/>
        <w:rPr>
          <w:rFonts w:ascii="Arial" w:cs="Arial" w:eastAsia="Arial" w:hAnsi="Arial"/>
          <w:sz w:val="17"/>
          <w:szCs w:val="17"/>
          <w:color w:val="auto"/>
        </w:rPr>
      </w:pPr>
    </w:p>
    <w:p>
      <w:pPr>
        <w:ind w:left="1140" w:hanging="38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still incur more indebtedness which could further exacerbate the risks we face.</w:t>
      </w:r>
    </w:p>
    <w:p>
      <w:pPr>
        <w:spacing w:after="0" w:line="116" w:lineRule="exact"/>
        <w:rPr>
          <w:rFonts w:ascii="Arial" w:cs="Arial" w:eastAsia="Arial" w:hAnsi="Arial"/>
          <w:sz w:val="18"/>
          <w:szCs w:val="18"/>
          <w:color w:val="auto"/>
        </w:rPr>
      </w:pPr>
    </w:p>
    <w:p>
      <w:pPr>
        <w:ind w:left="1140" w:right="400" w:hanging="383"/>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borrowing costs and access to capital and credit markets could be adversely affected by a downgrade or potential downgrade of our credit ratings.</w:t>
      </w:r>
    </w:p>
    <w:p>
      <w:pPr>
        <w:spacing w:after="0" w:line="61" w:lineRule="exact"/>
        <w:rPr>
          <w:rFonts w:ascii="Arial" w:cs="Arial" w:eastAsia="Arial" w:hAnsi="Arial"/>
          <w:sz w:val="18"/>
          <w:szCs w:val="18"/>
          <w:color w:val="auto"/>
        </w:rPr>
      </w:pPr>
    </w:p>
    <w:p>
      <w:pPr>
        <w:ind w:left="1140" w:right="580" w:hanging="383"/>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covenants in the indentures governing our outstanding second lien notes, senior notes and our exchange credit agreement impose significant operating and financial restrictions.</w:t>
      </w:r>
    </w:p>
    <w:p>
      <w:pPr>
        <w:spacing w:after="0" w:line="61" w:lineRule="exact"/>
        <w:rPr>
          <w:rFonts w:ascii="Arial" w:cs="Arial" w:eastAsia="Arial" w:hAnsi="Arial"/>
          <w:sz w:val="18"/>
          <w:szCs w:val="18"/>
          <w:color w:val="auto"/>
        </w:rPr>
      </w:pPr>
    </w:p>
    <w:p>
      <w:pPr>
        <w:ind w:left="1140" w:hanging="38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Servicing our indebtedness will require a significant amount of cash.</w:t>
      </w:r>
    </w:p>
    <w:p>
      <w:pPr>
        <w:spacing w:after="0" w:line="116" w:lineRule="exact"/>
        <w:rPr>
          <w:rFonts w:ascii="Arial" w:cs="Arial" w:eastAsia="Arial" w:hAnsi="Arial"/>
          <w:sz w:val="18"/>
          <w:szCs w:val="18"/>
          <w:color w:val="auto"/>
        </w:rPr>
      </w:pPr>
    </w:p>
    <w:p>
      <w:pPr>
        <w:ind w:left="1140" w:hanging="38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interest rates would adversely affect cash flows.</w:t>
      </w:r>
    </w:p>
    <w:p>
      <w:pPr>
        <w:spacing w:after="0" w:line="116" w:lineRule="exact"/>
        <w:rPr>
          <w:rFonts w:ascii="Arial" w:cs="Arial" w:eastAsia="Arial" w:hAnsi="Arial"/>
          <w:sz w:val="18"/>
          <w:szCs w:val="18"/>
          <w:color w:val="auto"/>
        </w:rPr>
      </w:pPr>
    </w:p>
    <w:p>
      <w:pPr>
        <w:ind w:left="1140" w:hanging="38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depend on distributions from our subsidiaries to make payments on our indebtedness.</w:t>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COVID-19 and its Impact on our Business</w:t>
      </w:r>
    </w:p>
    <w:p>
      <w:pPr>
        <w:spacing w:after="0" w:line="117" w:lineRule="exact"/>
        <w:rPr>
          <w:sz w:val="20"/>
          <w:szCs w:val="20"/>
          <w:color w:val="auto"/>
        </w:rPr>
      </w:pPr>
    </w:p>
    <w:p>
      <w:pPr>
        <w:ind w:left="5540" w:right="4340" w:hanging="4783"/>
        <w:spacing w:after="0" w:line="527" w:lineRule="auto"/>
        <w:tabs>
          <w:tab w:leader="none" w:pos="1137"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COVID-19 has and we expect it will continue to have an impact on our business.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95"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Risks Related to Our Business and Services</w:t>
      </w:r>
    </w:p>
    <w:p>
      <w:pPr>
        <w:spacing w:after="0" w:line="117" w:lineRule="exact"/>
        <w:rPr>
          <w:sz w:val="20"/>
          <w:szCs w:val="20"/>
          <w:color w:val="auto"/>
        </w:rPr>
      </w:pPr>
    </w:p>
    <w:p>
      <w:pPr>
        <w:ind w:left="880" w:hanging="383"/>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or a significant decrease in revenues from, our limited number of customers could seriously harm our financial condition and results of operations.</w:t>
      </w:r>
    </w:p>
    <w:p>
      <w:pPr>
        <w:spacing w:after="0" w:line="61" w:lineRule="exact"/>
        <w:rPr>
          <w:rFonts w:ascii="Arial" w:cs="Arial" w:eastAsia="Arial" w:hAnsi="Arial"/>
          <w:sz w:val="18"/>
          <w:szCs w:val="18"/>
          <w:color w:val="auto"/>
        </w:rPr>
      </w:pPr>
    </w:p>
    <w:p>
      <w:pPr>
        <w:ind w:left="880" w:hanging="38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occupancy levels could cause a decrease in revenues and profitability.</w:t>
      </w:r>
    </w:p>
    <w:p>
      <w:pPr>
        <w:spacing w:after="0" w:line="116" w:lineRule="exact"/>
        <w:rPr>
          <w:rFonts w:ascii="Arial" w:cs="Arial" w:eastAsia="Arial" w:hAnsi="Arial"/>
          <w:sz w:val="18"/>
          <w:szCs w:val="18"/>
          <w:color w:val="auto"/>
        </w:rPr>
      </w:pPr>
    </w:p>
    <w:p>
      <w:pPr>
        <w:ind w:left="880" w:hanging="38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 budgetary constraints may have a material adverse impact on us.</w:t>
      </w:r>
    </w:p>
    <w:p>
      <w:pPr>
        <w:spacing w:after="0" w:line="116" w:lineRule="exact"/>
        <w:rPr>
          <w:rFonts w:ascii="Arial" w:cs="Arial" w:eastAsia="Arial" w:hAnsi="Arial"/>
          <w:sz w:val="18"/>
          <w:szCs w:val="18"/>
          <w:color w:val="auto"/>
        </w:rPr>
      </w:pPr>
    </w:p>
    <w:p>
      <w:pPr>
        <w:ind w:left="880" w:hanging="38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our facility management contracts could adversely affect our results of operations and liquidity.</w:t>
      </w:r>
    </w:p>
    <w:p>
      <w:pPr>
        <w:spacing w:after="0" w:line="116" w:lineRule="exact"/>
        <w:rPr>
          <w:rFonts w:ascii="Arial" w:cs="Arial" w:eastAsia="Arial" w:hAnsi="Arial"/>
          <w:sz w:val="18"/>
          <w:szCs w:val="18"/>
          <w:color w:val="auto"/>
        </w:rPr>
      </w:pPr>
    </w:p>
    <w:p>
      <w:pPr>
        <w:jc w:val="both"/>
        <w:ind w:left="880" w:right="120" w:hanging="383"/>
        <w:spacing w:after="0" w:line="263"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growth depends on our ability to secure contracts to develop and manage new secure facilities, processing centers, and community based facilities and to secure contracts to provide electronic monitoring services, community based reentry services and monitoring and supervisions services, the demand for which is outside our control.</w:t>
      </w:r>
    </w:p>
    <w:p>
      <w:pPr>
        <w:spacing w:after="0" w:line="74" w:lineRule="exact"/>
        <w:rPr>
          <w:rFonts w:ascii="Arial" w:cs="Arial" w:eastAsia="Arial" w:hAnsi="Arial"/>
          <w:sz w:val="18"/>
          <w:szCs w:val="18"/>
          <w:color w:val="auto"/>
        </w:rPr>
      </w:pPr>
    </w:p>
    <w:p>
      <w:pPr>
        <w:ind w:left="880" w:hanging="38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for contracts may adversely affect the profitability of our business.</w:t>
      </w:r>
    </w:p>
    <w:p>
      <w:pPr>
        <w:spacing w:after="0" w:line="116" w:lineRule="exact"/>
        <w:rPr>
          <w:rFonts w:ascii="Arial" w:cs="Arial" w:eastAsia="Arial" w:hAnsi="Arial"/>
          <w:sz w:val="18"/>
          <w:szCs w:val="18"/>
          <w:color w:val="auto"/>
        </w:rPr>
      </w:pPr>
    </w:p>
    <w:p>
      <w:pPr>
        <w:ind w:left="880" w:hanging="38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dependent on government appropriations.</w:t>
      </w:r>
    </w:p>
    <w:p>
      <w:pPr>
        <w:spacing w:after="0" w:line="116" w:lineRule="exact"/>
        <w:rPr>
          <w:rFonts w:ascii="Arial" w:cs="Arial" w:eastAsia="Arial" w:hAnsi="Arial"/>
          <w:sz w:val="18"/>
          <w:szCs w:val="18"/>
          <w:color w:val="auto"/>
        </w:rPr>
      </w:pPr>
    </w:p>
    <w:p>
      <w:pPr>
        <w:ind w:left="880" w:hanging="38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publicity may negatively impact our ability to retain existing contracts and obtain new contracts.</w:t>
      </w:r>
    </w:p>
    <w:p>
      <w:pPr>
        <w:spacing w:after="0" w:line="116" w:lineRule="exact"/>
        <w:rPr>
          <w:rFonts w:ascii="Arial" w:cs="Arial" w:eastAsia="Arial" w:hAnsi="Arial"/>
          <w:sz w:val="18"/>
          <w:szCs w:val="18"/>
          <w:color w:val="auto"/>
        </w:rPr>
      </w:pPr>
    </w:p>
    <w:p>
      <w:pPr>
        <w:ind w:left="880" w:hanging="38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incur significant start-up and operating costs on new contracts before receiving related revenues.</w:t>
      </w:r>
    </w:p>
    <w:p>
      <w:pPr>
        <w:spacing w:after="0" w:line="116" w:lineRule="exact"/>
        <w:rPr>
          <w:rFonts w:ascii="Arial" w:cs="Arial" w:eastAsia="Arial" w:hAnsi="Arial"/>
          <w:sz w:val="18"/>
          <w:szCs w:val="18"/>
          <w:color w:val="auto"/>
        </w:rPr>
      </w:pPr>
    </w:p>
    <w:p>
      <w:pPr>
        <w:ind w:left="880" w:hanging="38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Catastrophic events could disrupt operations and otherwise materially adversely affect our business.</w:t>
      </w:r>
    </w:p>
    <w:p>
      <w:pPr>
        <w:spacing w:after="0" w:line="116" w:lineRule="exact"/>
        <w:rPr>
          <w:rFonts w:ascii="Arial" w:cs="Arial" w:eastAsia="Arial" w:hAnsi="Arial"/>
          <w:sz w:val="18"/>
          <w:szCs w:val="18"/>
          <w:color w:val="auto"/>
        </w:rPr>
      </w:pPr>
    </w:p>
    <w:p>
      <w:pPr>
        <w:ind w:left="880" w:hanging="383"/>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international operations expose us to risks that could materially adversely affect our financial conditions and results of operations.</w:t>
      </w:r>
    </w:p>
    <w:p>
      <w:pPr>
        <w:spacing w:after="0" w:line="139" w:lineRule="exact"/>
        <w:rPr>
          <w:rFonts w:ascii="Arial" w:cs="Arial" w:eastAsia="Arial" w:hAnsi="Arial"/>
          <w:sz w:val="16"/>
          <w:szCs w:val="16"/>
          <w:color w:val="auto"/>
        </w:rPr>
      </w:pPr>
    </w:p>
    <w:p>
      <w:pPr>
        <w:ind w:left="880" w:hanging="38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dependent upon our senior management and our ability to attract and retain sufficient qualified personnel.</w:t>
      </w:r>
    </w:p>
    <w:p>
      <w:pPr>
        <w:spacing w:after="0" w:line="116" w:lineRule="exact"/>
        <w:rPr>
          <w:rFonts w:ascii="Arial" w:cs="Arial" w:eastAsia="Arial" w:hAnsi="Arial"/>
          <w:sz w:val="18"/>
          <w:szCs w:val="18"/>
          <w:color w:val="auto"/>
        </w:rPr>
      </w:pPr>
    </w:p>
    <w:p>
      <w:pPr>
        <w:ind w:left="880" w:right="480" w:hanging="383"/>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developments in our relationship with our employees could adversely affect our business, financial condition or results of operations.</w:t>
      </w:r>
    </w:p>
    <w:p>
      <w:pPr>
        <w:spacing w:after="0" w:line="61" w:lineRule="exact"/>
        <w:rPr>
          <w:rFonts w:ascii="Arial" w:cs="Arial" w:eastAsia="Arial" w:hAnsi="Arial"/>
          <w:sz w:val="18"/>
          <w:szCs w:val="18"/>
          <w:color w:val="auto"/>
        </w:rPr>
      </w:pPr>
    </w:p>
    <w:p>
      <w:pPr>
        <w:ind w:left="880" w:hanging="38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profitability may be adversely affected by inflation.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Corporate Tax Structure</w:t>
      </w:r>
    </w:p>
    <w:p>
      <w:pPr>
        <w:spacing w:after="0" w:line="117" w:lineRule="exact"/>
        <w:rPr>
          <w:sz w:val="20"/>
          <w:szCs w:val="20"/>
          <w:color w:val="auto"/>
        </w:rPr>
      </w:pPr>
    </w:p>
    <w:p>
      <w:pPr>
        <w:ind w:left="880" w:hanging="383"/>
        <w:spacing w:after="0"/>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obligations to pay income taxes have increased beginning with our income taxes for the year ended December 31, 2021.</w:t>
      </w:r>
    </w:p>
    <w:p>
      <w:pPr>
        <w:spacing w:after="0" w:line="128" w:lineRule="exact"/>
        <w:rPr>
          <w:rFonts w:ascii="Arial" w:cs="Arial" w:eastAsia="Arial" w:hAnsi="Arial"/>
          <w:sz w:val="17"/>
          <w:szCs w:val="17"/>
          <w:color w:val="auto"/>
        </w:rPr>
      </w:pPr>
    </w:p>
    <w:p>
      <w:pPr>
        <w:ind w:left="880" w:right="20" w:hanging="38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fail to realize the anticipated benefits of terminating our REIT election and becoming a taxable C Corporation for our fiscal year ended December 31, 2021 or those benefits may take longer to realize than expected.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Real Estate and Construction Matters</w:t>
      </w:r>
    </w:p>
    <w:p>
      <w:pPr>
        <w:spacing w:after="0" w:line="117" w:lineRule="exact"/>
        <w:rPr>
          <w:sz w:val="20"/>
          <w:szCs w:val="20"/>
          <w:color w:val="auto"/>
        </w:rPr>
      </w:pPr>
    </w:p>
    <w:p>
      <w:pPr>
        <w:ind w:left="880" w:hanging="38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Various risks associated with the ownership of real estate may adversely affect our results of operations.</w:t>
      </w:r>
    </w:p>
    <w:p>
      <w:pPr>
        <w:spacing w:after="0" w:line="116" w:lineRule="exact"/>
        <w:rPr>
          <w:rFonts w:ascii="Arial" w:cs="Arial" w:eastAsia="Arial" w:hAnsi="Arial"/>
          <w:sz w:val="18"/>
          <w:szCs w:val="18"/>
          <w:color w:val="auto"/>
        </w:rPr>
      </w:pPr>
    </w:p>
    <w:p>
      <w:pPr>
        <w:ind w:left="880" w:hanging="38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related to facility construction and development activities may increase our costs.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Capital Markets and its Impact on our Business</w:t>
      </w:r>
    </w:p>
    <w:p>
      <w:pPr>
        <w:spacing w:after="0" w:line="117" w:lineRule="exact"/>
        <w:rPr>
          <w:sz w:val="20"/>
          <w:szCs w:val="20"/>
          <w:color w:val="auto"/>
        </w:rPr>
      </w:pPr>
    </w:p>
    <w:p>
      <w:pPr>
        <w:ind w:left="880" w:hanging="38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conditions in the capital markets could prevent us from obtaining financing.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Electronic Monitoring Products and Technology</w:t>
      </w:r>
    </w:p>
    <w:p>
      <w:pPr>
        <w:spacing w:after="0" w:line="117" w:lineRule="exact"/>
        <w:rPr>
          <w:sz w:val="20"/>
          <w:szCs w:val="20"/>
          <w:color w:val="auto"/>
        </w:rPr>
      </w:pPr>
    </w:p>
    <w:p>
      <w:pPr>
        <w:ind w:left="880" w:hanging="383"/>
        <w:spacing w:after="0"/>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Technological changes could cause our electronic monitoring products and technology to become obsolete or require a redesign.</w:t>
      </w:r>
    </w:p>
    <w:p>
      <w:pPr>
        <w:spacing w:after="0" w:line="128" w:lineRule="exact"/>
        <w:rPr>
          <w:rFonts w:ascii="Arial" w:cs="Arial" w:eastAsia="Arial" w:hAnsi="Arial"/>
          <w:sz w:val="17"/>
          <w:szCs w:val="17"/>
          <w:color w:val="auto"/>
        </w:rPr>
      </w:pPr>
    </w:p>
    <w:p>
      <w:pPr>
        <w:ind w:left="880" w:right="20" w:hanging="383"/>
        <w:spacing w:after="0" w:line="307" w:lineRule="auto"/>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negative changes in the level of acceptance of or resistance to the use of electronic monitoring products and services by government customers could have a material adverse effect on our business, financial condition and results of operations.</w:t>
      </w:r>
    </w:p>
    <w:p>
      <w:pPr>
        <w:spacing w:after="0" w:line="39" w:lineRule="exact"/>
        <w:rPr>
          <w:rFonts w:ascii="Arial" w:cs="Arial" w:eastAsia="Arial" w:hAnsi="Arial"/>
          <w:sz w:val="17"/>
          <w:szCs w:val="17"/>
          <w:color w:val="auto"/>
        </w:rPr>
      </w:pPr>
    </w:p>
    <w:p>
      <w:pPr>
        <w:ind w:left="880" w:hanging="383"/>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electronic monitoring products and services could be harmed due to our dependence on a limited number of third-party suppliers.</w:t>
      </w:r>
    </w:p>
    <w:p>
      <w:pPr>
        <w:spacing w:after="0" w:line="139" w:lineRule="exact"/>
        <w:rPr>
          <w:rFonts w:ascii="Arial" w:cs="Arial" w:eastAsia="Arial" w:hAnsi="Arial"/>
          <w:sz w:val="16"/>
          <w:szCs w:val="16"/>
          <w:color w:val="auto"/>
        </w:rPr>
      </w:pPr>
    </w:p>
    <w:p>
      <w:pPr>
        <w:ind w:left="880" w:hanging="38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inability to acquire, protect or maintain our intellectual property could harm our ability to compete or grow.</w:t>
      </w:r>
    </w:p>
    <w:p>
      <w:pPr>
        <w:spacing w:after="0" w:line="116" w:lineRule="exact"/>
        <w:rPr>
          <w:rFonts w:ascii="Arial" w:cs="Arial" w:eastAsia="Arial" w:hAnsi="Arial"/>
          <w:sz w:val="18"/>
          <w:szCs w:val="18"/>
          <w:color w:val="auto"/>
        </w:rPr>
      </w:pPr>
    </w:p>
    <w:p>
      <w:pPr>
        <w:ind w:left="880" w:hanging="38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electronic monitoring products could infringe on the intellectual property rights of others.</w:t>
      </w:r>
    </w:p>
    <w:p>
      <w:pPr>
        <w:spacing w:after="0" w:line="116" w:lineRule="exact"/>
        <w:rPr>
          <w:rFonts w:ascii="Arial" w:cs="Arial" w:eastAsia="Arial" w:hAnsi="Arial"/>
          <w:sz w:val="18"/>
          <w:szCs w:val="18"/>
          <w:color w:val="auto"/>
        </w:rPr>
      </w:pPr>
    </w:p>
    <w:p>
      <w:pPr>
        <w:ind w:left="880" w:hanging="38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subject to costly product liability claims from the use of our electronic monitoring products.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580" w:top="799" w:right="579" w:bottom="1440" w:gutter="0" w:footer="0" w:header="0"/>
        </w:sectPr>
      </w:pPr>
    </w:p>
    <w:bookmarkStart w:id="24" w:name="page25"/>
    <w:bookmarkEnd w:id="24"/>
    <w:p>
      <w:pPr>
        <w:ind w:left="260"/>
        <w:spacing w:after="0"/>
        <w:rPr>
          <w:sz w:val="20"/>
          <w:szCs w:val="20"/>
          <w:color w:val="auto"/>
        </w:rPr>
      </w:pPr>
      <w:r>
        <w:rPr>
          <w:rFonts w:ascii="Arial" w:cs="Arial" w:eastAsia="Arial" w:hAnsi="Arial"/>
          <w:sz w:val="18"/>
          <w:szCs w:val="18"/>
          <w:b w:val="1"/>
          <w:bCs w:val="1"/>
          <w:i w:val="1"/>
          <w:iCs w:val="1"/>
          <w:color w:val="auto"/>
        </w:rPr>
        <w:t>Risks Related to Information Technology and Cybersecurity</w:t>
      </w:r>
    </w:p>
    <w:p>
      <w:pPr>
        <w:spacing w:after="0" w:line="117" w:lineRule="exact"/>
        <w:rPr>
          <w:sz w:val="20"/>
          <w:szCs w:val="20"/>
          <w:color w:val="auto"/>
        </w:rPr>
      </w:pPr>
    </w:p>
    <w:p>
      <w:pPr>
        <w:ind w:left="1140" w:hanging="383"/>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interruption, delay or failure of the provision of our services or information systems could adversely affect our business.</w:t>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Acquisitions and Dispositions</w:t>
      </w:r>
    </w:p>
    <w:p>
      <w:pPr>
        <w:spacing w:after="0" w:line="117" w:lineRule="exact"/>
        <w:rPr>
          <w:sz w:val="20"/>
          <w:szCs w:val="20"/>
          <w:color w:val="auto"/>
        </w:rPr>
      </w:pPr>
    </w:p>
    <w:p>
      <w:pPr>
        <w:ind w:left="1140" w:hanging="383"/>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successfully identify or consummate acquisitions or dispositions.</w:t>
      </w:r>
    </w:p>
    <w:p>
      <w:pPr>
        <w:spacing w:after="0" w:line="116" w:lineRule="exact"/>
        <w:rPr>
          <w:rFonts w:ascii="Arial" w:cs="Arial" w:eastAsia="Arial" w:hAnsi="Arial"/>
          <w:sz w:val="18"/>
          <w:szCs w:val="18"/>
          <w:color w:val="auto"/>
        </w:rPr>
      </w:pPr>
    </w:p>
    <w:p>
      <w:pPr>
        <w:ind w:left="1140" w:hanging="383"/>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goodwill or other intangible assets may become impaired.</w:t>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Legal, Regulatory and Compliance Matters</w:t>
      </w:r>
    </w:p>
    <w:p>
      <w:pPr>
        <w:spacing w:after="0" w:line="117" w:lineRule="exact"/>
        <w:rPr>
          <w:sz w:val="20"/>
          <w:szCs w:val="20"/>
          <w:color w:val="auto"/>
        </w:rPr>
      </w:pPr>
    </w:p>
    <w:p>
      <w:pPr>
        <w:ind w:left="1140" w:hanging="383"/>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comply with regulations and contractual requirements could have a material adverse effect.</w:t>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Corporate Social Responsibility</w:t>
      </w:r>
    </w:p>
    <w:p>
      <w:pPr>
        <w:spacing w:after="0" w:line="117" w:lineRule="exact"/>
        <w:rPr>
          <w:sz w:val="20"/>
          <w:szCs w:val="20"/>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subject to risks related to corporate social responsibility.</w:t>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117" w:lineRule="exact"/>
        <w:rPr>
          <w:sz w:val="20"/>
          <w:szCs w:val="20"/>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market price of our common stock may vary substantially.</w:t>
      </w:r>
    </w:p>
    <w:p>
      <w:pPr>
        <w:spacing w:after="0" w:line="116" w:lineRule="exact"/>
        <w:rPr>
          <w:rFonts w:ascii="Arial" w:cs="Arial" w:eastAsia="Arial" w:hAnsi="Arial"/>
          <w:sz w:val="18"/>
          <w:szCs w:val="18"/>
          <w:color w:val="auto"/>
        </w:rPr>
      </w:pPr>
    </w:p>
    <w:p>
      <w:pPr>
        <w:ind w:left="1140" w:right="140" w:hanging="383"/>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Future sales or issuances of shares of our common stock could adversely affect the market price of our common stock and may be dilutive to current shareholders.</w:t>
      </w:r>
    </w:p>
    <w:p>
      <w:pPr>
        <w:spacing w:after="0" w:line="61" w:lineRule="exact"/>
        <w:rPr>
          <w:rFonts w:ascii="Arial" w:cs="Arial" w:eastAsia="Arial" w:hAnsi="Arial"/>
          <w:sz w:val="18"/>
          <w:szCs w:val="18"/>
          <w:color w:val="auto"/>
        </w:rPr>
      </w:pPr>
    </w:p>
    <w:p>
      <w:pPr>
        <w:ind w:left="1140" w:right="320" w:hanging="383"/>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maintain effective internal controls in accordance with Section 404 of the Sarbanes-Oxley Act of 2002 could have an adverse effect on our business and the trading price of our common stock.</w:t>
      </w:r>
    </w:p>
    <w:p>
      <w:pPr>
        <w:spacing w:after="0" w:line="331" w:lineRule="exact"/>
        <w:rPr>
          <w:sz w:val="20"/>
          <w:szCs w:val="20"/>
          <w:color w:val="auto"/>
        </w:rPr>
      </w:pPr>
    </w:p>
    <w:p>
      <w:pPr>
        <w:ind w:right="40" w:firstLine="749"/>
        <w:spacing w:after="0" w:line="279" w:lineRule="auto"/>
        <w:rPr>
          <w:sz w:val="20"/>
          <w:szCs w:val="20"/>
          <w:color w:val="auto"/>
        </w:rPr>
      </w:pPr>
      <w:r>
        <w:rPr>
          <w:rFonts w:ascii="Arial" w:cs="Arial" w:eastAsia="Arial" w:hAnsi="Arial"/>
          <w:sz w:val="17"/>
          <w:szCs w:val="17"/>
          <w:color w:val="auto"/>
        </w:rPr>
        <w:t xml:space="preserve">The following are certain risks to which our business operations are subject. Any of these risks could materially adversely affect our business, financial condition, or results of operations. These risks could also cause our actual results to differ materially from those indicated in the forward-looking statements contained herein and elsewhere. </w:t>
      </w:r>
      <w:r>
        <w:rPr>
          <w:rFonts w:ascii="Arial" w:cs="Arial" w:eastAsia="Arial" w:hAnsi="Arial"/>
          <w:sz w:val="17"/>
          <w:szCs w:val="17"/>
          <w:i w:val="1"/>
          <w:iCs w:val="1"/>
          <w:color w:val="auto"/>
        </w:rPr>
        <w:t>The risks described below are not the only risks we face. Additional risks not currently known to us or those we</w:t>
      </w:r>
      <w:r>
        <w:rPr>
          <w:rFonts w:ascii="Arial" w:cs="Arial" w:eastAsia="Arial" w:hAnsi="Arial"/>
          <w:sz w:val="17"/>
          <w:szCs w:val="17"/>
          <w:color w:val="auto"/>
        </w:rPr>
        <w:t xml:space="preserve"> </w:t>
      </w:r>
      <w:r>
        <w:rPr>
          <w:rFonts w:ascii="Arial" w:cs="Arial" w:eastAsia="Arial" w:hAnsi="Arial"/>
          <w:sz w:val="17"/>
          <w:szCs w:val="17"/>
          <w:i w:val="1"/>
          <w:iCs w:val="1"/>
          <w:color w:val="auto"/>
        </w:rPr>
        <w:t>currently deem to be immaterial may also materially and adversely affect our business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Public-Private Partnerships</w:t>
      </w:r>
    </w:p>
    <w:p>
      <w:pPr>
        <w:spacing w:after="0" w:line="25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Public and political opposition to the use of public-private partnerships for secure facilities, processing centers and community reentry centers could result in our inability to obtain new contracts or the loss of existing contracts, impact our ability to obtain or refinance debt financing or enter into commercial arrangements, which could have a material adverse effect on our business, financial condition, results of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ind w:right="40" w:firstLine="749"/>
        <w:spacing w:after="0" w:line="270" w:lineRule="auto"/>
        <w:rPr>
          <w:sz w:val="20"/>
          <w:szCs w:val="20"/>
          <w:color w:val="auto"/>
        </w:rPr>
      </w:pPr>
      <w:r>
        <w:rPr>
          <w:rFonts w:ascii="Arial" w:cs="Arial" w:eastAsia="Arial" w:hAnsi="Arial"/>
          <w:sz w:val="17"/>
          <w:szCs w:val="17"/>
          <w:color w:val="auto"/>
        </w:rPr>
        <w:t>The management and operation of secure facilities, processing centers and community reentry centers under public-private partnerships has not achieved complete acceptance by either government agencies or the public. Some governmental agencies have limitations on their ability to delegate their traditional management responsibilities for such facilities and centers to private sector companies or they may be instructed by a governmental agency or authority overseeing them to reduce their utilization or scope of public-private partnerships or undertake additional reviews of their public-private partnerships. Any report prepared by or requested by a governmental agency or public official, investigation or inquiry, public statement by any governmental agency or public official, policy or legislative change by any federal, state or local government, or other similar occurrence or action, that seeks to, or purports to, prohibit, eliminate, or otherwise restrict or limit in any way, the federal government’s (or any state or local government’s) ability to contract with private sector companies for the operation of these facilities and centers, could adversely impact our ability to maintain or renew existing contracts or to obtain new contracts.</w:t>
      </w:r>
    </w:p>
    <w:p>
      <w:pPr>
        <w:spacing w:after="0" w:line="178"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On January 26, 2021, President Biden signed an Executive Order directing the United States Attorney General not to renew Department of Justice contracts with privately operated criminal detention facilities. Two agencies of the DOJ, the BOP and USMS, utilize our services. The BOP houses inmates who have been convicted, and the USMS is generally responsible for detainees who are awaiting trial. As a result of the Executive Order, the majority of our contracts with the BOP have not been renewed. With respect to the USMS, it may determine to conduct a review of the possible application of the Executive Order on their facilities acquired primarily through intergovernmental agreements, and to a lesser extent, direct contracts. President Biden’s administration may implement further executive orders or directives relating to federal criminal justice policies and immigration policies which may impact the federal government’s use of public-private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99" w:right="379" w:bottom="1440" w:gutter="0" w:footer="0" w:header="0"/>
        </w:sectPr>
      </w:pPr>
    </w:p>
    <w:bookmarkStart w:id="25" w:name="page26"/>
    <w:bookmarkEnd w:id="25"/>
    <w:p>
      <w:pPr>
        <w:jc w:val="both"/>
        <w:ind w:right="100"/>
        <w:spacing w:after="0" w:line="277" w:lineRule="auto"/>
        <w:rPr>
          <w:sz w:val="20"/>
          <w:szCs w:val="20"/>
          <w:color w:val="auto"/>
        </w:rPr>
      </w:pPr>
      <w:r>
        <w:rPr>
          <w:rFonts w:ascii="Arial" w:cs="Arial" w:eastAsia="Arial" w:hAnsi="Arial"/>
          <w:sz w:val="18"/>
          <w:szCs w:val="18"/>
          <w:color w:val="auto"/>
        </w:rPr>
        <w:t>partnerships with respect to correctional and detention needs, including with respect to our contracts, and/or may impact the budget and spending priorities of federal agencies, including ICE.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Various state partners have or may choose in the future to undertake a review of their utilization of public-private partnerships. For</w:t>
      </w:r>
    </w:p>
    <w:p>
      <w:pPr>
        <w:spacing w:after="0" w:line="23"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color w:val="auto"/>
        </w:rPr>
        <w:t>example, California enacted legislation aimed at phasing out public-private partnership contracts for the operation of secure facilities within California and facilities outside of the state of California housing state of California inmates. We have public-private partnership contracts in place with ICE and the U.S. Marshals Service relating to facilities located in California. Additionally, we and the U.S. Department of Justice filed separate legal actions challenging the constitutionality of the attempted ban on new federal contracts entered into after the effective date of the California law. On September 26, 2022, in an 8-3 en banc decision, the Ninth Circuit Court of Appeals held that AB-32 violates the U.S. Constitution Supremacy Clause and that AB-32 is preempted.</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Currently, the State of Washington has enacted legislation similar to the California law. GEO’s contract for the company-owned 1,575-bed Northwest ICE Processing Center in Washington has a renewal option period that expires in 2025. The facility generated approximately $66 million in annualized revenues for GEO in fiscal year 2022. On April 29, 2021, we filed a lawsuit in the U.S. District Court for the Western District of Washington against the State of Washington for declaratory and injunctive relief challenging the State of Washington's law. The court has entered a stay in this action pending the final resolution of the AB-32 appeal.</w:t>
      </w:r>
    </w:p>
    <w:p>
      <w:pPr>
        <w:spacing w:after="0" w:line="1" w:lineRule="exact"/>
        <w:rPr>
          <w:sz w:val="20"/>
          <w:szCs w:val="20"/>
          <w:color w:val="auto"/>
        </w:rPr>
      </w:pPr>
    </w:p>
    <w:p>
      <w:pPr>
        <w:ind w:firstLine="749"/>
        <w:spacing w:after="0" w:line="267" w:lineRule="auto"/>
        <w:rPr>
          <w:sz w:val="20"/>
          <w:szCs w:val="20"/>
          <w:color w:val="auto"/>
        </w:rPr>
      </w:pPr>
      <w:r>
        <w:rPr>
          <w:rFonts w:ascii="Arial" w:cs="Arial" w:eastAsia="Arial" w:hAnsi="Arial"/>
          <w:sz w:val="17"/>
          <w:szCs w:val="17"/>
          <w:color w:val="auto"/>
        </w:rPr>
        <w:t>In addition, the movement toward using public-private partnerships for such facilities and centers has encountered resistance from groups which believe that such facilities and centers should only be operated by governmental agencies. For example, several financial institutions, including some of our lenders, had announced that they will not be renewing existing agreements or entering into new agreements with companies that operate such facilities and centers pursuant to public-private partnerships. Some of these same institutions have ceased their equity analyst coverage of our company. Proposed and future legislation could indirectly impose additional financial restrictions with respect to our business. As an example, the New York State Legislation is considering a proposed bill that prohibits New York state chartered banking institutions from investing in and providing financing for privately operated secure facilities. If this bill is ultimately signed into law by the New York governor, certain banks may be restricted from conducting financing activities with us and the secure services sector generally. This bill or any similar bills, regulations and laws that may be proposed in the future may be subject to legal actions and the resolution of such legal actions may take several years, making it difficult to anticipate the overall financial impact on us, our business, financial condition or results of operations. If other financial institutions or third parties that currently provide us with financing or that we do business with decide in the future to cease providing us with financing or doing business with us, such determinations could have a material adverse effect on our business, financial condition and results of operations.</w:t>
      </w:r>
    </w:p>
    <w:p>
      <w:pPr>
        <w:spacing w:after="0" w:line="181"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Increased public and political opposition to the use of public-private partnerships for our facilities and centers in any of the markets in which we operate, as a result of these or other factors, could have a material adverse effect on our business, financial condition, results of operations and the market price of our securities.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High Level of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level of indebtedness could adversely affect our financial condition and prevent us from fulfilling our debt service obligations.</w:t>
      </w:r>
    </w:p>
    <w:p>
      <w:pPr>
        <w:spacing w:after="0" w:line="225" w:lineRule="exact"/>
        <w:rPr>
          <w:sz w:val="20"/>
          <w:szCs w:val="20"/>
          <w:color w:val="auto"/>
        </w:rPr>
      </w:pPr>
    </w:p>
    <w:p>
      <w:pPr>
        <w:ind w:right="20" w:firstLine="749"/>
        <w:spacing w:after="0" w:line="270" w:lineRule="auto"/>
        <w:rPr>
          <w:sz w:val="20"/>
          <w:szCs w:val="20"/>
          <w:color w:val="auto"/>
        </w:rPr>
      </w:pPr>
      <w:r>
        <w:rPr>
          <w:rFonts w:ascii="Arial" w:cs="Arial" w:eastAsia="Arial" w:hAnsi="Arial"/>
          <w:sz w:val="17"/>
          <w:szCs w:val="17"/>
          <w:color w:val="auto"/>
        </w:rPr>
        <w:t>We have a significant amount of indebtedness. Our total consolidated indebtedness as of December 31, 2022 and 2021 was approximately $2.0 billion and $2.7 billion, respectively, excluding non-recourse debt of $310.0 million for the year ended December 31, 2021, and finance lease obligations of $2.0 million and $3.8 million, for the years ended December 31, 2022 and 2021, respectively. We had no non-recourse debt as of December 31, 2022. As of December 31, 2022 and 2021, we had $77.6 million and $95.8 million, respectively, outstanding in letters of credit and $30.0 million and $784.9 million, respectively, in borrowings outstanding under our revolver. As of December 31, 2022, we had the ability to borrow $226.4 million under our revolver, after applying the limitations and restrictions in our debt covenants and subject to our satisfying the relevant borrowing conditions under our senior credit facility with respect to the incurrence of additional indebtedness. At December 31, 2022, we also had approximately AUD 53 million (or $36.1 million based on exchange rates at December 31, 2022) in letters of credit outstanding under our Australian letter of credit facility in connection with certain performance guarantees related to the Ravenhall Prison Project.</w:t>
      </w:r>
    </w:p>
    <w:p>
      <w:pPr>
        <w:spacing w:after="0" w:line="39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substantial indebtedness could have important consequences. For example, it could:</w:t>
      </w:r>
    </w:p>
    <w:p>
      <w:pPr>
        <w:spacing w:after="0" w:line="225" w:lineRule="exact"/>
        <w:rPr>
          <w:sz w:val="20"/>
          <w:szCs w:val="20"/>
          <w:color w:val="auto"/>
        </w:rPr>
      </w:pPr>
    </w:p>
    <w:p>
      <w:pPr>
        <w:ind w:left="1140" w:hanging="383"/>
        <w:spacing w:after="0"/>
        <w:tabs>
          <w:tab w:leader="none" w:pos="1140" w:val="left"/>
        </w:tabs>
        <w:numPr>
          <w:ilvl w:val="0"/>
          <w:numId w:val="21"/>
        </w:numPr>
        <w:rPr>
          <w:rFonts w:ascii="Arial" w:cs="Arial" w:eastAsia="Arial" w:hAnsi="Arial"/>
          <w:sz w:val="14"/>
          <w:szCs w:val="14"/>
          <w:color w:val="auto"/>
        </w:rPr>
      </w:pPr>
      <w:r>
        <w:rPr>
          <w:rFonts w:ascii="Arial" w:cs="Arial" w:eastAsia="Arial" w:hAnsi="Arial"/>
          <w:sz w:val="18"/>
          <w:szCs w:val="18"/>
          <w:color w:val="auto"/>
        </w:rPr>
        <w:t>make it more difficult for us to satisfy our obligations with respect to our senior notes and our other debt and liabilities;</w:t>
      </w:r>
    </w:p>
    <w:p>
      <w:pPr>
        <w:spacing w:after="0" w:line="116" w:lineRule="exact"/>
        <w:rPr>
          <w:rFonts w:ascii="Arial" w:cs="Arial" w:eastAsia="Arial" w:hAnsi="Arial"/>
          <w:sz w:val="14"/>
          <w:szCs w:val="14"/>
          <w:color w:val="auto"/>
        </w:rPr>
      </w:pPr>
    </w:p>
    <w:p>
      <w:pPr>
        <w:ind w:left="1140" w:right="700" w:hanging="383"/>
        <w:spacing w:after="0" w:line="307" w:lineRule="auto"/>
        <w:tabs>
          <w:tab w:leader="none" w:pos="1140" w:val="left"/>
        </w:tabs>
        <w:numPr>
          <w:ilvl w:val="0"/>
          <w:numId w:val="21"/>
        </w:numPr>
        <w:rPr>
          <w:rFonts w:ascii="Arial" w:cs="Arial" w:eastAsia="Arial" w:hAnsi="Arial"/>
          <w:sz w:val="13"/>
          <w:szCs w:val="13"/>
          <w:color w:val="auto"/>
        </w:rPr>
      </w:pPr>
      <w:r>
        <w:rPr>
          <w:rFonts w:ascii="Arial" w:cs="Arial" w:eastAsia="Arial" w:hAnsi="Arial"/>
          <w:sz w:val="17"/>
          <w:szCs w:val="17"/>
          <w:color w:val="auto"/>
        </w:rPr>
        <w:t>require us to dedicate a substantial portion of our cash flow from operations to payments on our indebtedness, thereby reducing the availability of our cash flow to fund working capital, capital expenditures, and other general corporate purposes;</w:t>
      </w:r>
    </w:p>
    <w:p>
      <w:pPr>
        <w:spacing w:after="0" w:line="39" w:lineRule="exact"/>
        <w:rPr>
          <w:rFonts w:ascii="Arial" w:cs="Arial" w:eastAsia="Arial" w:hAnsi="Arial"/>
          <w:sz w:val="13"/>
          <w:szCs w:val="13"/>
          <w:color w:val="auto"/>
        </w:rPr>
      </w:pPr>
    </w:p>
    <w:p>
      <w:pPr>
        <w:ind w:left="1140" w:hanging="383"/>
        <w:spacing w:after="0"/>
        <w:tabs>
          <w:tab w:leader="none" w:pos="1140" w:val="left"/>
        </w:tabs>
        <w:numPr>
          <w:ilvl w:val="0"/>
          <w:numId w:val="21"/>
        </w:numPr>
        <w:rPr>
          <w:rFonts w:ascii="Arial" w:cs="Arial" w:eastAsia="Arial" w:hAnsi="Arial"/>
          <w:sz w:val="14"/>
          <w:szCs w:val="14"/>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16" w:lineRule="exact"/>
        <w:rPr>
          <w:rFonts w:ascii="Arial" w:cs="Arial" w:eastAsia="Arial" w:hAnsi="Arial"/>
          <w:sz w:val="14"/>
          <w:szCs w:val="14"/>
          <w:color w:val="auto"/>
        </w:rPr>
      </w:pPr>
    </w:p>
    <w:p>
      <w:pPr>
        <w:ind w:left="1140" w:hanging="383"/>
        <w:spacing w:after="0"/>
        <w:tabs>
          <w:tab w:leader="none" w:pos="1140" w:val="left"/>
        </w:tabs>
        <w:numPr>
          <w:ilvl w:val="0"/>
          <w:numId w:val="21"/>
        </w:numPr>
        <w:rPr>
          <w:rFonts w:ascii="Arial" w:cs="Arial" w:eastAsia="Arial" w:hAnsi="Arial"/>
          <w:sz w:val="14"/>
          <w:szCs w:val="14"/>
          <w:color w:val="auto"/>
        </w:rPr>
      </w:pPr>
      <w:r>
        <w:rPr>
          <w:rFonts w:ascii="Arial" w:cs="Arial" w:eastAsia="Arial" w:hAnsi="Arial"/>
          <w:sz w:val="18"/>
          <w:szCs w:val="18"/>
          <w:color w:val="auto"/>
        </w:rPr>
        <w:t>increase our vulnerability to adverse economic and industry conditions;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ind w:left="1140" w:hanging="383"/>
        <w:spacing w:after="0"/>
        <w:tabs>
          <w:tab w:leader="none" w:pos="1140" w:val="left"/>
        </w:tabs>
        <w:numPr>
          <w:ilvl w:val="0"/>
          <w:numId w:val="22"/>
        </w:numPr>
        <w:rPr>
          <w:rFonts w:ascii="Arial" w:cs="Arial" w:eastAsia="Arial" w:hAnsi="Arial"/>
          <w:sz w:val="14"/>
          <w:szCs w:val="14"/>
          <w:color w:val="auto"/>
        </w:rPr>
      </w:pPr>
      <w:r>
        <w:rPr>
          <w:rFonts w:ascii="Arial" w:cs="Arial" w:eastAsia="Arial" w:hAnsi="Arial"/>
          <w:sz w:val="18"/>
          <w:szCs w:val="18"/>
          <w:color w:val="auto"/>
        </w:rPr>
        <w:t>place us at a competitive disadvantage compared to competitors that may be less leveraged;</w:t>
      </w:r>
    </w:p>
    <w:p>
      <w:pPr>
        <w:spacing w:after="0" w:line="116" w:lineRule="exact"/>
        <w:rPr>
          <w:rFonts w:ascii="Arial" w:cs="Arial" w:eastAsia="Arial" w:hAnsi="Arial"/>
          <w:sz w:val="14"/>
          <w:szCs w:val="14"/>
          <w:color w:val="auto"/>
        </w:rPr>
      </w:pPr>
    </w:p>
    <w:p>
      <w:pPr>
        <w:ind w:left="1140" w:hanging="383"/>
        <w:spacing w:after="0"/>
        <w:tabs>
          <w:tab w:leader="none" w:pos="1140" w:val="left"/>
        </w:tabs>
        <w:numPr>
          <w:ilvl w:val="0"/>
          <w:numId w:val="22"/>
        </w:numPr>
        <w:rPr>
          <w:rFonts w:ascii="Arial" w:cs="Arial" w:eastAsia="Arial" w:hAnsi="Arial"/>
          <w:sz w:val="14"/>
          <w:szCs w:val="14"/>
          <w:color w:val="auto"/>
        </w:rPr>
      </w:pPr>
      <w:r>
        <w:rPr>
          <w:rFonts w:ascii="Arial" w:cs="Arial" w:eastAsia="Arial" w:hAnsi="Arial"/>
          <w:sz w:val="18"/>
          <w:szCs w:val="18"/>
          <w:color w:val="auto"/>
        </w:rPr>
        <w:t>restrict us from pursuing strategic acquisitions or exploiting certain business opportunities;</w:t>
      </w:r>
    </w:p>
    <w:p>
      <w:pPr>
        <w:spacing w:after="0" w:line="116" w:lineRule="exact"/>
        <w:rPr>
          <w:rFonts w:ascii="Arial" w:cs="Arial" w:eastAsia="Arial" w:hAnsi="Arial"/>
          <w:sz w:val="14"/>
          <w:szCs w:val="14"/>
          <w:color w:val="auto"/>
        </w:rPr>
      </w:pPr>
    </w:p>
    <w:p>
      <w:pPr>
        <w:ind w:left="1140" w:hanging="383"/>
        <w:spacing w:after="0"/>
        <w:tabs>
          <w:tab w:leader="none" w:pos="1140" w:val="left"/>
        </w:tabs>
        <w:numPr>
          <w:ilvl w:val="0"/>
          <w:numId w:val="22"/>
        </w:numPr>
        <w:rPr>
          <w:rFonts w:ascii="Arial" w:cs="Arial" w:eastAsia="Arial" w:hAnsi="Arial"/>
          <w:sz w:val="14"/>
          <w:szCs w:val="14"/>
          <w:color w:val="auto"/>
        </w:rPr>
      </w:pPr>
      <w:r>
        <w:rPr>
          <w:rFonts w:ascii="Arial" w:cs="Arial" w:eastAsia="Arial" w:hAnsi="Arial"/>
          <w:sz w:val="18"/>
          <w:szCs w:val="18"/>
          <w:color w:val="auto"/>
        </w:rPr>
        <w:t>limit our ability to borrow additional funds or refinance existing indebtedness on favorable terms; and</w:t>
      </w:r>
    </w:p>
    <w:p>
      <w:pPr>
        <w:spacing w:after="0" w:line="116" w:lineRule="exact"/>
        <w:rPr>
          <w:rFonts w:ascii="Arial" w:cs="Arial" w:eastAsia="Arial" w:hAnsi="Arial"/>
          <w:sz w:val="14"/>
          <w:szCs w:val="14"/>
          <w:color w:val="auto"/>
        </w:rPr>
      </w:pPr>
    </w:p>
    <w:p>
      <w:pPr>
        <w:ind w:left="1140" w:hanging="383"/>
        <w:spacing w:after="0"/>
        <w:tabs>
          <w:tab w:leader="none" w:pos="1140" w:val="left"/>
        </w:tabs>
        <w:numPr>
          <w:ilvl w:val="0"/>
          <w:numId w:val="22"/>
        </w:numPr>
        <w:rPr>
          <w:rFonts w:ascii="Arial" w:cs="Arial" w:eastAsia="Arial" w:hAnsi="Arial"/>
          <w:sz w:val="14"/>
          <w:szCs w:val="14"/>
          <w:color w:val="auto"/>
        </w:rPr>
      </w:pPr>
      <w:r>
        <w:rPr>
          <w:rFonts w:ascii="Arial" w:cs="Arial" w:eastAsia="Arial" w:hAnsi="Arial"/>
          <w:sz w:val="18"/>
          <w:szCs w:val="18"/>
          <w:color w:val="auto"/>
        </w:rPr>
        <w:t>require us to sell assets or take other actions to service our debt obligations.</w:t>
      </w:r>
    </w:p>
    <w:p>
      <w:pPr>
        <w:spacing w:after="0" w:line="117" w:lineRule="exact"/>
        <w:rPr>
          <w:sz w:val="20"/>
          <w:szCs w:val="20"/>
          <w:color w:val="auto"/>
        </w:rPr>
      </w:pPr>
    </w:p>
    <w:p>
      <w:pPr>
        <w:ind w:right="20" w:firstLine="749"/>
        <w:spacing w:after="0" w:line="285" w:lineRule="auto"/>
        <w:rPr>
          <w:sz w:val="20"/>
          <w:szCs w:val="20"/>
          <w:color w:val="auto"/>
        </w:rPr>
      </w:pPr>
      <w:r>
        <w:rPr>
          <w:rFonts w:ascii="Arial" w:cs="Arial" w:eastAsia="Arial" w:hAnsi="Arial"/>
          <w:sz w:val="16"/>
          <w:szCs w:val="16"/>
          <w:color w:val="auto"/>
        </w:rPr>
        <w:t>If we are unable to meet our debt service obligations, we may need to reduce capital expenditures, restructure or refinance our indebtedness, obtain additional equity financing or sell assets. The term loans and revolving credit commitments under our exchange credit agreement mature in March 2027 and the revolver under our senior credit facility matures in May 2024. Our 10.500% Public Second Lien Notes and our 9.500% Private Second Lien Notes mature in June 2028 and December 2028, respectively. Additionally, our outstanding three series of senior notes mature in October 2024, February 2026 and April 2026. Beginning in 2019, several financial institutions, including some of our lenders under our senior credit facility, announced that they will not be renewing existing agreements or entering into new agreements with companies that operate secure services facilities and centers pursuant to public-private partnerships. We may not continue to have access to the debt and capital markets on a cost-effective basis, or at all. For example, certain lenders in our lending syndicate under our senior credit facility have indicated that they will not renew their lending commitments to us when such commitments expire in 2024 because we are a private operator of secure correctional and detention facilities, processing centers, and reentry centers. Certain lenders also have publicly disclosed that they will no longer loan money to one of our key competitors. Although we successfully closed on a debt restructuring transaction that resulted in entering into our exchange credit agreement and the issuance of the second lien notes, financial institutions may be unwilling to engage with us in the future and this may restrict our access to the debt and capital markets to support our operations or refinance our indebtedness, including by obtaining debt financing, equity financing or selling assets on satisfactory terms, or at all. This could materially increase the cost of capital and as a result have a material adverse effect on our business, financial condition and results of operations. In addition, our ability to incur additional indebtedness will be restricted by the terms of our exchange credit agreement, and the indentures governing our 10.500% Public Second Lien Notes due 2028, 9.500% Private Second Lien Notes, 6.50% Exchangeable Senior Notes, the 6.00% Senior Notes, and the 5.875% Senior Notes.</w:t>
      </w:r>
    </w:p>
    <w:p>
      <w:pPr>
        <w:spacing w:after="0" w:line="172" w:lineRule="exact"/>
        <w:rPr>
          <w:sz w:val="20"/>
          <w:szCs w:val="20"/>
          <w:color w:val="auto"/>
        </w:rPr>
      </w:pPr>
    </w:p>
    <w:p>
      <w:pPr>
        <w:ind w:right="440" w:firstLine="404"/>
        <w:spacing w:after="0" w:line="277" w:lineRule="auto"/>
        <w:rPr>
          <w:sz w:val="20"/>
          <w:szCs w:val="20"/>
          <w:color w:val="auto"/>
        </w:rPr>
      </w:pPr>
      <w:r>
        <w:rPr>
          <w:rFonts w:ascii="Arial" w:cs="Arial" w:eastAsia="Arial" w:hAnsi="Arial"/>
          <w:sz w:val="18"/>
          <w:szCs w:val="18"/>
          <w:b w:val="1"/>
          <w:bCs w:val="1"/>
          <w:i w:val="1"/>
          <w:iCs w:val="1"/>
          <w:color w:val="auto"/>
        </w:rPr>
        <w:t>We are incurring significant indebtedness in connection with substantial ongoing capital expenditures. Capital expenditures for existing and future projects may materially strain our liquidity.</w:t>
      </w:r>
    </w:p>
    <w:p>
      <w:pPr>
        <w:spacing w:after="0" w:line="169" w:lineRule="exact"/>
        <w:rPr>
          <w:sz w:val="20"/>
          <w:szCs w:val="20"/>
          <w:color w:val="auto"/>
        </w:rPr>
      </w:pPr>
    </w:p>
    <w:p>
      <w:pPr>
        <w:ind w:firstLine="749"/>
        <w:spacing w:after="0" w:line="284" w:lineRule="auto"/>
        <w:rPr>
          <w:sz w:val="20"/>
          <w:szCs w:val="20"/>
          <w:color w:val="auto"/>
        </w:rPr>
      </w:pPr>
      <w:r>
        <w:rPr>
          <w:rFonts w:ascii="Arial" w:cs="Arial" w:eastAsia="Arial" w:hAnsi="Arial"/>
          <w:sz w:val="16"/>
          <w:szCs w:val="16"/>
          <w:color w:val="auto"/>
        </w:rPr>
        <w:t>We currently have several active projects that we anticipate spending approximately $77 to $88 million on capital expenditures in 2023. Included in these projects are planned expenditures in our Electronic Monitoring and Supervision Services segment related to technology including approximately $7 million for the transition from Code Division Multiple Access (CDMA) to Long Term Evolution (LTE) technology. Of these projects, we estimate that $45 to $48 million are related to facility maintenance costs. We intend to finance these and future projects using our own funds, including cash on hand, cash flow from operations and borrowings under the revolver. In addition to these current estimated capital requirements for 2023, we are currently in the process of bidding on, or evaluating potential bids for the design, construction and management of a number of new projects. In the event that we win bids for these projects and decide to self-finance their construction, our capital requirements in 2023 could materially increase. As of December 31, 2022, we had the ability to borrow $226.4 million under the revolver after applying the limitations and restrictions in our debt covenants and subject to our satisfying the relevant borrowing conditions under the senior credit facility. In addition, we have the ability to increase the senior credit facility by an additional $450 million, subject to lender demand and prevailing market conditions and satisfying the relevant borrowing conditions thereunder. While we believe we currently have adequate borrowing capacity under our senior credit facility to fund our operations and all of our committed capital expenditure projects, we may need additional borrowings or financing from other sources in order to complete potential capital expenditures related to new projects in the future. We cannot assure you that such borrowings or financing will be made available to us on satisfactory terms, or at all. In addition, the large capital commitments that these projects will require over the next 12-18 month period may materially strain our liquidity and our borrowing capacity for other purposes. Capital constraints caused by these projects may also cause us to have to entirely refinance our existing indebtedness or incur more indebtedness. Such financing may have terms less favorable than those we currently have in place, or not be available to us at all. In addition, the concurrent development of these and other large capital projects exposes us to material risks. For example, we may not complete some or all of the projects on time or on budget, which could cause us to absorb any losses associated with any delays.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Despite current indebtedness levels, we may still incur more indebtedness, which could further exacerbate the risks described above.</w:t>
      </w:r>
    </w:p>
    <w:p>
      <w:pPr>
        <w:spacing w:after="0" w:line="236" w:lineRule="exact"/>
        <w:rPr>
          <w:sz w:val="20"/>
          <w:szCs w:val="20"/>
          <w:color w:val="auto"/>
        </w:rPr>
      </w:pPr>
    </w:p>
    <w:p>
      <w:pPr>
        <w:ind w:right="40" w:firstLine="749"/>
        <w:spacing w:after="0" w:line="273" w:lineRule="auto"/>
        <w:rPr>
          <w:sz w:val="20"/>
          <w:szCs w:val="20"/>
          <w:color w:val="auto"/>
        </w:rPr>
      </w:pPr>
      <w:r>
        <w:rPr>
          <w:rFonts w:ascii="Arial" w:cs="Arial" w:eastAsia="Arial" w:hAnsi="Arial"/>
          <w:sz w:val="17"/>
          <w:szCs w:val="17"/>
          <w:color w:val="auto"/>
        </w:rPr>
        <w:t>The terms of the indentures governing the 10.500% Public Second Lien Notes, 9.500% Private Second Lien Notes, 6.50% Exchangeable Senior Notes, the 6.00% Senior Notes, and the 5.875% Senior Notes and our exchange credit agreement and our senior credit facility restrict our ability to incur, but do not prohibit us from incurring, significant additional indebtedness in the future. As of December 31, 2022, we had the ability to borrow an additional $226.4 million under the revolver portion of our exchange credit agreement after applying the limitations and restrictions in our debt covenants and subject to our satisfying the relevant borrowing conditions under the senior credit facility. Also, we may refinance all or a portion of our indebtedness, including borrowings under our exchange credit agreement, the 10.500% Public</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jc w:val="both"/>
        <w:ind w:right="240"/>
        <w:spacing w:after="0" w:line="311" w:lineRule="auto"/>
        <w:rPr>
          <w:sz w:val="20"/>
          <w:szCs w:val="20"/>
          <w:color w:val="auto"/>
        </w:rPr>
      </w:pPr>
      <w:r>
        <w:rPr>
          <w:rFonts w:ascii="Arial" w:cs="Arial" w:eastAsia="Arial" w:hAnsi="Arial"/>
          <w:sz w:val="16"/>
          <w:szCs w:val="16"/>
          <w:color w:val="auto"/>
        </w:rPr>
        <w:t>Second Lien Notes, 9.500% Private Second Lien Notes, 6.50% Exchangeable Senior Notes, the 6.00% Senior Notes, and the 5.875% Senior Notes. The terms of such refinancing may be less restrictive and permit us to incur more indebtedness than we can now. If new indebtedness is added to our and our subsidiaries’ current debt levels, the related risks that we and they now face related to our significant level of indebtedness could intensify.</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borrowing costs and access to capital and credit markets could be adversely affected by a downgrade or potential downgrade of our credit ratings.</w:t>
      </w:r>
    </w:p>
    <w:p>
      <w:pPr>
        <w:spacing w:after="0" w:line="259"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Rating agencies routinely evaluate us, and their ratings of our long-term and short-term debt are based upon a number of factors, including our cash generating capability, levels of indebtedness, policies with respect to shareholder distributions and financial strength generally, as well as factors beyond our control, such as the then-current state of the economy and our industry generally. Any downgrade of our credit ratings by a credit rating agency, whether as a result of our actions or factors which are beyond our control, can increase our future borrowing costs, impair our ability to access capital and credit markets on terms commercially acceptable to us or at all and result in a reduction in our liquidity. Our borrowing costs and access to capital markets also can be adversely affected if a credit rating agency announces that our ratings are under review for a potential downgrade. An increase in our borrowing costs, limitations on our ability to access the global capital and credit markets or a reduction in our liquidity can adversely affect our financial condition, results of operations and cash flows.</w:t>
      </w:r>
    </w:p>
    <w:p>
      <w:pPr>
        <w:spacing w:after="0" w:line="200" w:lineRule="exact"/>
        <w:rPr>
          <w:sz w:val="20"/>
          <w:szCs w:val="20"/>
          <w:color w:val="auto"/>
        </w:rPr>
      </w:pPr>
    </w:p>
    <w:p>
      <w:pPr>
        <w:spacing w:after="0" w:line="225"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b w:val="1"/>
          <w:bCs w:val="1"/>
          <w:i w:val="1"/>
          <w:iCs w:val="1"/>
          <w:color w:val="auto"/>
        </w:rPr>
        <w:t>The covenants in the indentures governing the 10.500% Public Second Lien Notes, 9.500% Private Second Lien Notes, 6.50% Exchangeable Senior Notes, the 6.00% Senior Notes, and the 5.875% Senior Notes and the covenants in our Exchange Credit Agreement and our senior credit facility impose significant operating and financial restrictions which may adversely affect our ability to operate our business.</w:t>
      </w:r>
    </w:p>
    <w:p>
      <w:pPr>
        <w:spacing w:after="0" w:line="148" w:lineRule="exact"/>
        <w:rPr>
          <w:sz w:val="20"/>
          <w:szCs w:val="20"/>
          <w:color w:val="auto"/>
        </w:rPr>
      </w:pPr>
    </w:p>
    <w:p>
      <w:pPr>
        <w:ind w:right="220" w:firstLine="749"/>
        <w:spacing w:after="0" w:line="259" w:lineRule="auto"/>
        <w:rPr>
          <w:sz w:val="20"/>
          <w:szCs w:val="20"/>
          <w:color w:val="auto"/>
        </w:rPr>
      </w:pPr>
      <w:r>
        <w:rPr>
          <w:rFonts w:ascii="Arial" w:cs="Arial" w:eastAsia="Arial" w:hAnsi="Arial"/>
          <w:sz w:val="18"/>
          <w:szCs w:val="18"/>
          <w:color w:val="auto"/>
        </w:rPr>
        <w:t>The indentures governing the 10.500% Public Second Lien Notes, 9.500% Private Second Lien Notes, 6.50% Exchangeable Senior Notes, the 6.00% Senior Notes, and the 5.875% Senior Notes and our Exchange Credit Agreement and our senior credit facility impose significant operating and financial restrictions on us and certain of our subsidiaries, which we refer to as restricted subsidiaries. These restrictions limit our ability to, among other things:</w:t>
      </w:r>
    </w:p>
    <w:p>
      <w:pPr>
        <w:spacing w:after="0" w:line="212" w:lineRule="exact"/>
        <w:rPr>
          <w:sz w:val="20"/>
          <w:szCs w:val="20"/>
          <w:color w:val="auto"/>
        </w:rPr>
      </w:pPr>
    </w:p>
    <w:p>
      <w:pPr>
        <w:ind w:left="1140" w:hanging="383"/>
        <w:spacing w:after="0"/>
        <w:tabs>
          <w:tab w:leader="none" w:pos="1140" w:val="left"/>
        </w:tabs>
        <w:numPr>
          <w:ilvl w:val="0"/>
          <w:numId w:val="23"/>
        </w:numPr>
        <w:rPr>
          <w:rFonts w:ascii="Arial" w:cs="Arial" w:eastAsia="Arial" w:hAnsi="Arial"/>
          <w:sz w:val="14"/>
          <w:szCs w:val="14"/>
          <w:color w:val="auto"/>
        </w:rPr>
      </w:pPr>
      <w:r>
        <w:rPr>
          <w:rFonts w:ascii="Arial" w:cs="Arial" w:eastAsia="Arial" w:hAnsi="Arial"/>
          <w:sz w:val="18"/>
          <w:szCs w:val="18"/>
          <w:color w:val="auto"/>
        </w:rPr>
        <w:t>incur additional indebtedness;</w:t>
      </w:r>
    </w:p>
    <w:p>
      <w:pPr>
        <w:spacing w:after="0" w:line="116" w:lineRule="exact"/>
        <w:rPr>
          <w:rFonts w:ascii="Arial" w:cs="Arial" w:eastAsia="Arial" w:hAnsi="Arial"/>
          <w:sz w:val="14"/>
          <w:szCs w:val="14"/>
          <w:color w:val="auto"/>
        </w:rPr>
      </w:pPr>
    </w:p>
    <w:p>
      <w:pPr>
        <w:ind w:left="1140" w:right="260" w:hanging="383"/>
        <w:spacing w:after="0" w:line="277" w:lineRule="auto"/>
        <w:tabs>
          <w:tab w:leader="none" w:pos="1140" w:val="left"/>
        </w:tabs>
        <w:numPr>
          <w:ilvl w:val="0"/>
          <w:numId w:val="23"/>
        </w:numPr>
        <w:rPr>
          <w:rFonts w:ascii="Arial" w:cs="Arial" w:eastAsia="Arial" w:hAnsi="Arial"/>
          <w:sz w:val="14"/>
          <w:szCs w:val="14"/>
          <w:color w:val="auto"/>
        </w:rPr>
      </w:pPr>
      <w:r>
        <w:rPr>
          <w:rFonts w:ascii="Arial" w:cs="Arial" w:eastAsia="Arial" w:hAnsi="Arial"/>
          <w:sz w:val="18"/>
          <w:szCs w:val="18"/>
          <w:color w:val="auto"/>
        </w:rPr>
        <w:t>pay dividends and or distributions on our capital stock, repurchase, redeem or retire our capital stock, prepay subordinated indebtedness, make investments;</w:t>
      </w:r>
    </w:p>
    <w:p>
      <w:pPr>
        <w:spacing w:after="0" w:line="61" w:lineRule="exact"/>
        <w:rPr>
          <w:rFonts w:ascii="Arial" w:cs="Arial" w:eastAsia="Arial" w:hAnsi="Arial"/>
          <w:sz w:val="14"/>
          <w:szCs w:val="14"/>
          <w:color w:val="auto"/>
        </w:rPr>
      </w:pPr>
    </w:p>
    <w:p>
      <w:pPr>
        <w:ind w:left="1140" w:hanging="383"/>
        <w:spacing w:after="0"/>
        <w:tabs>
          <w:tab w:leader="none" w:pos="1140" w:val="left"/>
        </w:tabs>
        <w:numPr>
          <w:ilvl w:val="0"/>
          <w:numId w:val="23"/>
        </w:numPr>
        <w:rPr>
          <w:rFonts w:ascii="Arial" w:cs="Arial" w:eastAsia="Arial" w:hAnsi="Arial"/>
          <w:sz w:val="14"/>
          <w:szCs w:val="14"/>
          <w:color w:val="auto"/>
        </w:rPr>
      </w:pPr>
      <w:r>
        <w:rPr>
          <w:rFonts w:ascii="Arial" w:cs="Arial" w:eastAsia="Arial" w:hAnsi="Arial"/>
          <w:sz w:val="18"/>
          <w:szCs w:val="18"/>
          <w:color w:val="auto"/>
        </w:rPr>
        <w:t>issue preferred stock of subsidiaries;</w:t>
      </w:r>
    </w:p>
    <w:p>
      <w:pPr>
        <w:spacing w:after="0" w:line="116" w:lineRule="exact"/>
        <w:rPr>
          <w:rFonts w:ascii="Arial" w:cs="Arial" w:eastAsia="Arial" w:hAnsi="Arial"/>
          <w:sz w:val="14"/>
          <w:szCs w:val="14"/>
          <w:color w:val="auto"/>
        </w:rPr>
      </w:pPr>
    </w:p>
    <w:p>
      <w:pPr>
        <w:ind w:left="1140" w:hanging="383"/>
        <w:spacing w:after="0"/>
        <w:tabs>
          <w:tab w:leader="none" w:pos="1140" w:val="left"/>
        </w:tabs>
        <w:numPr>
          <w:ilvl w:val="0"/>
          <w:numId w:val="23"/>
        </w:numPr>
        <w:rPr>
          <w:rFonts w:ascii="Arial" w:cs="Arial" w:eastAsia="Arial" w:hAnsi="Arial"/>
          <w:sz w:val="14"/>
          <w:szCs w:val="14"/>
          <w:color w:val="auto"/>
        </w:rPr>
      </w:pPr>
      <w:r>
        <w:rPr>
          <w:rFonts w:ascii="Arial" w:cs="Arial" w:eastAsia="Arial" w:hAnsi="Arial"/>
          <w:sz w:val="18"/>
          <w:szCs w:val="18"/>
          <w:color w:val="auto"/>
        </w:rPr>
        <w:t>guarantee other indebtedness;</w:t>
      </w:r>
    </w:p>
    <w:p>
      <w:pPr>
        <w:spacing w:after="0" w:line="116" w:lineRule="exact"/>
        <w:rPr>
          <w:rFonts w:ascii="Arial" w:cs="Arial" w:eastAsia="Arial" w:hAnsi="Arial"/>
          <w:sz w:val="14"/>
          <w:szCs w:val="14"/>
          <w:color w:val="auto"/>
        </w:rPr>
      </w:pPr>
    </w:p>
    <w:p>
      <w:pPr>
        <w:ind w:left="1140" w:hanging="383"/>
        <w:spacing w:after="0"/>
        <w:tabs>
          <w:tab w:leader="none" w:pos="1140" w:val="left"/>
        </w:tabs>
        <w:numPr>
          <w:ilvl w:val="0"/>
          <w:numId w:val="23"/>
        </w:numPr>
        <w:rPr>
          <w:rFonts w:ascii="Arial" w:cs="Arial" w:eastAsia="Arial" w:hAnsi="Arial"/>
          <w:sz w:val="14"/>
          <w:szCs w:val="14"/>
          <w:color w:val="auto"/>
        </w:rPr>
      </w:pPr>
      <w:r>
        <w:rPr>
          <w:rFonts w:ascii="Arial" w:cs="Arial" w:eastAsia="Arial" w:hAnsi="Arial"/>
          <w:sz w:val="18"/>
          <w:szCs w:val="18"/>
          <w:color w:val="auto"/>
        </w:rPr>
        <w:t>create liens on our assets;</w:t>
      </w:r>
    </w:p>
    <w:p>
      <w:pPr>
        <w:spacing w:after="0" w:line="116" w:lineRule="exact"/>
        <w:rPr>
          <w:rFonts w:ascii="Arial" w:cs="Arial" w:eastAsia="Arial" w:hAnsi="Arial"/>
          <w:sz w:val="14"/>
          <w:szCs w:val="14"/>
          <w:color w:val="auto"/>
        </w:rPr>
      </w:pPr>
    </w:p>
    <w:p>
      <w:pPr>
        <w:ind w:left="1140" w:hanging="383"/>
        <w:spacing w:after="0"/>
        <w:tabs>
          <w:tab w:leader="none" w:pos="1140" w:val="left"/>
        </w:tabs>
        <w:numPr>
          <w:ilvl w:val="0"/>
          <w:numId w:val="23"/>
        </w:numPr>
        <w:rPr>
          <w:rFonts w:ascii="Arial" w:cs="Arial" w:eastAsia="Arial" w:hAnsi="Arial"/>
          <w:sz w:val="14"/>
          <w:szCs w:val="14"/>
          <w:color w:val="auto"/>
        </w:rPr>
      </w:pPr>
      <w:r>
        <w:rPr>
          <w:rFonts w:ascii="Arial" w:cs="Arial" w:eastAsia="Arial" w:hAnsi="Arial"/>
          <w:sz w:val="18"/>
          <w:szCs w:val="18"/>
          <w:color w:val="auto"/>
        </w:rPr>
        <w:t>transfer and sell assets;</w:t>
      </w:r>
    </w:p>
    <w:p>
      <w:pPr>
        <w:spacing w:after="0" w:line="116" w:lineRule="exact"/>
        <w:rPr>
          <w:rFonts w:ascii="Arial" w:cs="Arial" w:eastAsia="Arial" w:hAnsi="Arial"/>
          <w:sz w:val="14"/>
          <w:szCs w:val="14"/>
          <w:color w:val="auto"/>
        </w:rPr>
      </w:pPr>
    </w:p>
    <w:p>
      <w:pPr>
        <w:ind w:left="1140" w:hanging="383"/>
        <w:spacing w:after="0"/>
        <w:tabs>
          <w:tab w:leader="none" w:pos="1140" w:val="left"/>
        </w:tabs>
        <w:numPr>
          <w:ilvl w:val="0"/>
          <w:numId w:val="23"/>
        </w:numPr>
        <w:rPr>
          <w:rFonts w:ascii="Arial" w:cs="Arial" w:eastAsia="Arial" w:hAnsi="Arial"/>
          <w:sz w:val="14"/>
          <w:szCs w:val="14"/>
          <w:color w:val="auto"/>
        </w:rPr>
      </w:pPr>
      <w:r>
        <w:rPr>
          <w:rFonts w:ascii="Arial" w:cs="Arial" w:eastAsia="Arial" w:hAnsi="Arial"/>
          <w:sz w:val="18"/>
          <w:szCs w:val="18"/>
          <w:color w:val="auto"/>
        </w:rPr>
        <w:t>make capital expenditures above certain limits;</w:t>
      </w:r>
    </w:p>
    <w:p>
      <w:pPr>
        <w:spacing w:after="0" w:line="116" w:lineRule="exact"/>
        <w:rPr>
          <w:rFonts w:ascii="Arial" w:cs="Arial" w:eastAsia="Arial" w:hAnsi="Arial"/>
          <w:sz w:val="14"/>
          <w:szCs w:val="14"/>
          <w:color w:val="auto"/>
        </w:rPr>
      </w:pPr>
    </w:p>
    <w:p>
      <w:pPr>
        <w:ind w:left="1140" w:hanging="383"/>
        <w:spacing w:after="0"/>
        <w:tabs>
          <w:tab w:leader="none" w:pos="1140" w:val="left"/>
        </w:tabs>
        <w:numPr>
          <w:ilvl w:val="0"/>
          <w:numId w:val="23"/>
        </w:numPr>
        <w:rPr>
          <w:rFonts w:ascii="Arial" w:cs="Arial" w:eastAsia="Arial" w:hAnsi="Arial"/>
          <w:sz w:val="14"/>
          <w:szCs w:val="14"/>
          <w:color w:val="auto"/>
        </w:rPr>
      </w:pPr>
      <w:r>
        <w:rPr>
          <w:rFonts w:ascii="Arial" w:cs="Arial" w:eastAsia="Arial" w:hAnsi="Arial"/>
          <w:sz w:val="18"/>
          <w:szCs w:val="18"/>
          <w:color w:val="auto"/>
        </w:rPr>
        <w:t>create or permit restrictions on the ability of our restricted subsidiaries to pay dividends or make other distributions to us;</w:t>
      </w:r>
    </w:p>
    <w:p>
      <w:pPr>
        <w:spacing w:after="0" w:line="116" w:lineRule="exact"/>
        <w:rPr>
          <w:rFonts w:ascii="Arial" w:cs="Arial" w:eastAsia="Arial" w:hAnsi="Arial"/>
          <w:sz w:val="14"/>
          <w:szCs w:val="14"/>
          <w:color w:val="auto"/>
        </w:rPr>
      </w:pPr>
    </w:p>
    <w:p>
      <w:pPr>
        <w:ind w:left="1140" w:hanging="383"/>
        <w:spacing w:after="0"/>
        <w:tabs>
          <w:tab w:leader="none" w:pos="1140" w:val="left"/>
        </w:tabs>
        <w:numPr>
          <w:ilvl w:val="0"/>
          <w:numId w:val="23"/>
        </w:numPr>
        <w:rPr>
          <w:rFonts w:ascii="Arial" w:cs="Arial" w:eastAsia="Arial" w:hAnsi="Arial"/>
          <w:sz w:val="14"/>
          <w:szCs w:val="14"/>
          <w:color w:val="auto"/>
        </w:rPr>
      </w:pPr>
      <w:r>
        <w:rPr>
          <w:rFonts w:ascii="Arial" w:cs="Arial" w:eastAsia="Arial" w:hAnsi="Arial"/>
          <w:sz w:val="18"/>
          <w:szCs w:val="18"/>
          <w:color w:val="auto"/>
        </w:rPr>
        <w:t>enter into sale/leaseback transactions;</w:t>
      </w:r>
    </w:p>
    <w:p>
      <w:pPr>
        <w:spacing w:after="0" w:line="116" w:lineRule="exact"/>
        <w:rPr>
          <w:rFonts w:ascii="Arial" w:cs="Arial" w:eastAsia="Arial" w:hAnsi="Arial"/>
          <w:sz w:val="14"/>
          <w:szCs w:val="14"/>
          <w:color w:val="auto"/>
        </w:rPr>
      </w:pPr>
    </w:p>
    <w:p>
      <w:pPr>
        <w:ind w:left="1140" w:hanging="383"/>
        <w:spacing w:after="0"/>
        <w:tabs>
          <w:tab w:leader="none" w:pos="1140" w:val="left"/>
        </w:tabs>
        <w:numPr>
          <w:ilvl w:val="0"/>
          <w:numId w:val="23"/>
        </w:numPr>
        <w:rPr>
          <w:rFonts w:ascii="Arial" w:cs="Arial" w:eastAsia="Arial" w:hAnsi="Arial"/>
          <w:sz w:val="14"/>
          <w:szCs w:val="14"/>
          <w:color w:val="auto"/>
        </w:rPr>
      </w:pPr>
      <w:r>
        <w:rPr>
          <w:rFonts w:ascii="Arial" w:cs="Arial" w:eastAsia="Arial" w:hAnsi="Arial"/>
          <w:sz w:val="18"/>
          <w:szCs w:val="18"/>
          <w:color w:val="auto"/>
        </w:rPr>
        <w:t>enter into transactions with affiliates; and</w:t>
      </w:r>
    </w:p>
    <w:p>
      <w:pPr>
        <w:spacing w:after="0" w:line="116" w:lineRule="exact"/>
        <w:rPr>
          <w:rFonts w:ascii="Arial" w:cs="Arial" w:eastAsia="Arial" w:hAnsi="Arial"/>
          <w:sz w:val="14"/>
          <w:szCs w:val="14"/>
          <w:color w:val="auto"/>
        </w:rPr>
      </w:pPr>
    </w:p>
    <w:p>
      <w:pPr>
        <w:ind w:left="1140" w:hanging="383"/>
        <w:spacing w:after="0"/>
        <w:tabs>
          <w:tab w:leader="none" w:pos="1140" w:val="left"/>
        </w:tabs>
        <w:numPr>
          <w:ilvl w:val="0"/>
          <w:numId w:val="23"/>
        </w:numPr>
        <w:rPr>
          <w:rFonts w:ascii="Arial" w:cs="Arial" w:eastAsia="Arial" w:hAnsi="Arial"/>
          <w:sz w:val="14"/>
          <w:szCs w:val="14"/>
          <w:color w:val="auto"/>
        </w:rPr>
      </w:pPr>
      <w:r>
        <w:rPr>
          <w:rFonts w:ascii="Arial" w:cs="Arial" w:eastAsia="Arial" w:hAnsi="Arial"/>
          <w:sz w:val="18"/>
          <w:szCs w:val="18"/>
          <w:color w:val="auto"/>
        </w:rPr>
        <w:t>merge or consolidate with another company or sell all or substantially all of our assets.</w:t>
      </w:r>
    </w:p>
    <w:p>
      <w:pPr>
        <w:spacing w:after="0" w:line="225"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These restrictions could limit our ability to finance our future operations or capital needs, make acquisitions or pursue available business opportunities. In addition, our Exchange Credit Agreement requires us to maintain specified financial ratios and satisfy certain financial covenants, including maintaining a maximum total leverage ratio, a maximum first lien coverage ratio, a minimum interest coverage ratio and a cap on the amount of unrestricted cash that our foreign subsidiaries may hold as of the last day of any fiscal quarter. We may be required to take action to reduce our indebtedness or to act in a manner contrary to our business objectives to meet these ratios and satisfy these covenants. We could also incur additional indebtedness having even more restrictive covenants. Our failure to comply with any of the covenants under our Exchange Credit Agreement, our senior credit facility, the 10.500% Public Second Lien Notes, 9.500% Private Second Lien Notes, 6.50% Exchangeable Senior Notes, the 6.00% Senior Notes, the 5.875% Senior Notes, or any other indebtedness could prevent us from being able to draw on the Revolver, cause an event of default under such documents and result in an acceleration of all of our outstanding indebtedness. If all of our outstanding indebtedness were to be accelerated, we likely would not be able to simultaneously satisfy all of our obligations under such indebtedness, which would materially adversely affect our financial condition and results of operations.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8" w:name="page29"/>
    <w:bookmarkEnd w:id="28"/>
    <w:p>
      <w:pPr>
        <w:ind w:right="120"/>
        <w:spacing w:after="0" w:line="277" w:lineRule="auto"/>
        <w:rPr>
          <w:sz w:val="20"/>
          <w:szCs w:val="20"/>
          <w:color w:val="auto"/>
        </w:rPr>
      </w:pPr>
      <w:r>
        <w:rPr>
          <w:rFonts w:ascii="Arial" w:cs="Arial" w:eastAsia="Arial" w:hAnsi="Arial"/>
          <w:sz w:val="18"/>
          <w:szCs w:val="18"/>
          <w:b w:val="1"/>
          <w:bCs w:val="1"/>
          <w:i w:val="1"/>
          <w:iCs w:val="1"/>
          <w:color w:val="auto"/>
        </w:rPr>
        <w:t>Servicing our indebtedness will require a significant amount of cash. Our ability to generate cash depends on many factors beyond our control and we may not be able to generate the cash required to service our indebtedness.</w:t>
      </w:r>
    </w:p>
    <w:p>
      <w:pPr>
        <w:spacing w:after="0" w:line="169" w:lineRule="exact"/>
        <w:rPr>
          <w:sz w:val="20"/>
          <w:szCs w:val="20"/>
          <w:color w:val="auto"/>
        </w:rPr>
      </w:pPr>
    </w:p>
    <w:p>
      <w:pPr>
        <w:ind w:right="160" w:firstLine="749"/>
        <w:spacing w:after="0" w:line="341" w:lineRule="auto"/>
        <w:rPr>
          <w:sz w:val="20"/>
          <w:szCs w:val="20"/>
          <w:color w:val="auto"/>
        </w:rPr>
      </w:pPr>
      <w:r>
        <w:rPr>
          <w:rFonts w:ascii="Arial" w:cs="Arial" w:eastAsia="Arial" w:hAnsi="Arial"/>
          <w:sz w:val="16"/>
          <w:szCs w:val="16"/>
          <w:color w:val="auto"/>
        </w:rPr>
        <w:t>Our ability to make payments on our indebtedness and to fund planned capital expenditures will depend on our ability to generate cash in the future. This, to a certain extent, is subject to general economic, financial, competitive, legislative, regulatory and other factors that are beyond our control.</w:t>
      </w:r>
    </w:p>
    <w:p>
      <w:pPr>
        <w:spacing w:after="0" w:line="124" w:lineRule="exact"/>
        <w:rPr>
          <w:sz w:val="20"/>
          <w:szCs w:val="20"/>
          <w:color w:val="auto"/>
        </w:rPr>
      </w:pPr>
    </w:p>
    <w:p>
      <w:pPr>
        <w:ind w:right="20" w:firstLine="749"/>
        <w:spacing w:after="0" w:line="286" w:lineRule="auto"/>
        <w:rPr>
          <w:sz w:val="20"/>
          <w:szCs w:val="20"/>
          <w:color w:val="auto"/>
        </w:rPr>
      </w:pPr>
      <w:r>
        <w:rPr>
          <w:rFonts w:ascii="Arial" w:cs="Arial" w:eastAsia="Arial" w:hAnsi="Arial"/>
          <w:sz w:val="16"/>
          <w:szCs w:val="16"/>
          <w:color w:val="auto"/>
        </w:rPr>
        <w:t>Our business may not be able to generate sufficient cash flow from operations or future borrowings may not be available to us under our Exchange Credit Agreement or senior credit facility or otherwise in an amount sufficient to enable us to pay our indebtedness or debt securities, including the 10.500% Public Second Lien Notes, 9.500% Private Second Lien Notes, 6.50% Exchangeable Senior Notes, the 6.00% Senior Notes, and the 5.875% Senior Notes, or to fund our other liquidity needs. As a result, we may need to refinance all or a portion of our indebtedness on or before maturity. However, we may not be able to complete such refinancing on commercially reasonable terms or at all. If for any reason we are unable to meet our debt service obligations, we would be in default under the terms of the agreements governing our outstanding debt. If such a default were to occur, the lenders under the Exchange Credit Agreement and senior credit facility, and holders of the 10.500% Public Second Lien Notes, 9.500% Private Second Lien Notes, 6.50% Exchangeable Senior Notes, the 6.00% Senior Notes, and the 5.875% Senior Notes could elect to declare all amounts outstanding immediately due and payable, and the lenders would not be obligated to continue to advance funds under the Exchange Credit Agreement or senior credit facility. If the amounts outstanding under the Exchange Credit Agreement, the senior credit facility or other agreements governing our outstanding debt, were accelerated, our assets may not be sufficient to repay in full the money owed to our lenders and holders of the 10.500% Public Second Lien Notes, 9.500% Private Second Lien Notes, 6.50% Exchangeable Senior Notes, the 6.00% Senior Notes, and the 5.875% Senior Notes and any other debt holders.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portions of our senior indebtedness have floating interest rates, an increase in interest rates would adversely affect cash flows.</w:t>
      </w:r>
    </w:p>
    <w:p>
      <w:pPr>
        <w:spacing w:after="0" w:line="236"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Borrowings under our Exchange Credit Agreement bear interest at a variable rate using a spread over SOFR. As a result, to the extent our exposure to increases in interest rates is not eliminated through interest rate protection agreements, such increases will result in higher debt service costs which will adversely affect our cash flows. We currently do not have interest rate protection agreements in place to protect against interest rate fluctuations on borrowings under our Exchange Credit Agreement. As of December 31, 2022, we had $1,113.2 million of indebtedness outstanding under our Exchange Credit Agreement, and a one percent increase in the interest rate applicable to our Exchange Credit Agreement would increase our annual interest expense by approximately $11 million.</w:t>
      </w:r>
    </w:p>
    <w:p>
      <w:pPr>
        <w:spacing w:after="0" w:line="191" w:lineRule="exact"/>
        <w:rPr>
          <w:sz w:val="20"/>
          <w:szCs w:val="20"/>
          <w:color w:val="auto"/>
        </w:rPr>
      </w:pPr>
    </w:p>
    <w:p>
      <w:pPr>
        <w:jc w:val="both"/>
        <w:ind w:firstLine="674"/>
        <w:spacing w:after="0" w:line="286" w:lineRule="auto"/>
        <w:rPr>
          <w:sz w:val="20"/>
          <w:szCs w:val="20"/>
          <w:color w:val="auto"/>
        </w:rPr>
      </w:pPr>
      <w:r>
        <w:rPr>
          <w:rFonts w:ascii="Arial" w:cs="Arial" w:eastAsia="Arial" w:hAnsi="Arial"/>
          <w:sz w:val="16"/>
          <w:szCs w:val="16"/>
          <w:color w:val="auto"/>
        </w:rPr>
        <w:t>Additionally, on July 27, 2017, the Financial Conduct Authority (the authority that regulates LIBOR) announced that it intends to stop compelling banks to submit rates for the calculation of LIBOR after 2021 and it is unclear whether new methods of calculating LIBOR will be established. If LIBOR ceases to exist, our borrowings will bear interest at an alternative base rate plus a spread, and our ability to borrow in currencies other than U.S. dollars will be limited, in each case until such a time as a comparable or successor reference rate for LIBOR is approved by the administrative agent, or agreed to by the Company and the lenders under our Senior Credit Facility. However, for U.S. dollar LIBOR, the relevant date was deferred to June 30, 2023 for certain tenors (including overnight and one, three, six and 12 months), at which time the LIBOR administrator will cease publication of U.S. dollar LIBOR. Despite this deferral, the LIBOR administrator has advised that no new contracts using U.S. dollar LIBOR should be entered into after December 31, 2021. These actions indicate that the continuation of U.S. LIBOR on the current basis cannot be guaranteed after June 30, 2023. Moreover, it is possible that U.S. LIBOR will be discontinued or modified prior to June 30, 2023. The U.S. Federal Reserve, in conjunction with the Alternative Reference Rates Committee, a steering committee consisting of large U.S. financial institutions, is considering replacing U.S. dollar LIBOR with the Secured Overnight Financing Rate (SOFR), a new index calculated with a broad set of short-term repurchase agreements backed by treasury securities. It is not possible to predict the effect of these changes, other reforms or the establishment of alternative reference rates in the United States or elsewhere. To the extent these interest rates increase, our interest expense will increase, which could adversely affect our financial condition, operating results and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distributions from our subsidiaries to make payments on our indebtedness. These distributions may not be made.</w:t>
      </w:r>
    </w:p>
    <w:p>
      <w:pPr>
        <w:spacing w:after="0" w:line="171"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A substantial portion of our business is conducted by our subsidiaries. Therefore, our ability to meet our payment obligations on our indebtedness is substantially dependent on the earnings of certain of our subsidiaries and the payment of funds to us by our subsidiaries as dividends, loans, advances or other payments. Our subsidiaries are separate and distinct legal entities and, unless they expressly guarantee any indebtedness of ours, they are not obligated to make funds available for payment of our indebtedness in the form of loans, distributions or otherwise. Our subsidiaries’ ability to make any such loans, distributions or other payments to us will depend on their earnings, business results, the terms of their existing and any future indebtedness, tax considerations and legal or contractual restrictions to which they may be subject. If our subsidiaries do not make such payments to us, our ability to repay our indebtedness may be materially adversely affected. For the year ended December 31, 2022, our subsidiaries accounted for 57.1% of our consolidated revenues, and as of December 31, 2022, our subsidiaries accounted for 91.6 % of our total assets.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sectPr>
      </w:pPr>
    </w:p>
    <w:bookmarkStart w:id="29" w:name="page30"/>
    <w:bookmarkEnd w:id="29"/>
    <w:p>
      <w:pPr>
        <w:ind w:right="820"/>
        <w:spacing w:after="0" w:line="277" w:lineRule="auto"/>
        <w:rPr>
          <w:sz w:val="20"/>
          <w:szCs w:val="20"/>
          <w:color w:val="auto"/>
        </w:rPr>
      </w:pPr>
      <w:r>
        <w:rPr>
          <w:rFonts w:ascii="Arial" w:cs="Arial" w:eastAsia="Arial" w:hAnsi="Arial"/>
          <w:sz w:val="18"/>
          <w:szCs w:val="18"/>
          <w:b w:val="1"/>
          <w:bCs w:val="1"/>
          <w:i w:val="1"/>
          <w:iCs w:val="1"/>
          <w:color w:val="auto"/>
        </w:rPr>
        <w:t>We may not be able to satisfy our repurchase obligations in the event of a change of control or fundamental change because the terms of our indebtedness or lack of funds may prevent us from doing so.</w:t>
      </w:r>
    </w:p>
    <w:p>
      <w:pPr>
        <w:spacing w:after="0" w:line="169" w:lineRule="exact"/>
        <w:rPr>
          <w:sz w:val="20"/>
          <w:szCs w:val="20"/>
          <w:color w:val="auto"/>
        </w:rPr>
      </w:pPr>
    </w:p>
    <w:p>
      <w:pPr>
        <w:ind w:right="60" w:firstLine="749"/>
        <w:spacing w:after="0" w:line="267" w:lineRule="auto"/>
        <w:rPr>
          <w:sz w:val="20"/>
          <w:szCs w:val="20"/>
          <w:color w:val="auto"/>
        </w:rPr>
      </w:pPr>
      <w:r>
        <w:rPr>
          <w:rFonts w:ascii="Arial" w:cs="Arial" w:eastAsia="Arial" w:hAnsi="Arial"/>
          <w:sz w:val="17"/>
          <w:szCs w:val="17"/>
          <w:color w:val="auto"/>
        </w:rPr>
        <w:t>Upon a change of control as specified in the indentures governing the terms of our second lien notes and senior notes, each holder of the 10.500% Public Second Lien Notes, 9.500% Private Second Lien Notes, 6.50% Exchangeable Senior Notes, the 6.00% Senior Notes, and the 5.875% Senior Notes will have the right to require us to repurchase their notes at 101% of their principal amount, plus accrued and unpaid interest, and liquidated damages, if any, to the date of repurchase. Upon a fundamental change as specified in the indenture governing the terms of the 6.50% Exchangeable Senior Notes, each holder of the 6.50% Exchangeable Senior Notes will have the right to require us to purchase for cash any or all of their notes at a purchase price equal to 100% of the principal amount of the notes to be purchased, plus accrued and unpaid interest. In addition, upon exchange of the 6.50% Exchangeable Senior Notes, we may be required to make cash payments in respect of the notes being exchanged. The terms of the Exchange Credit Agreement and senior credit facility limit our ability to repurchase the notes in the event of a change of control or fundamental change. Any future agreement governing any of our indebtedness may contain similar restrictions and provisions. Accordingly, it is possible that restrictions in the Exchange Credit Agreement and senior credit facility or other indebtedness that may be incurred in the future will not allow the required repurchase of the 10.500% Public Second Lien Notes, 9.500% Second Lien Notes, 6.50% Exchangeable Senior Notes, the 6.00% Senior Notes, and the 5.875% Senior Notes upon a change of control or fundamental change. Even if such repurchase is permitted by the terms of our then existing indebtedness, we may not have sufficient funds available to satisfy our repurchase obligations. Our failure to purchase any of the second lien notes and senior notes would be a default under the indenture governing such notes, which in turn would trigger a default under the Exchange Credit Agreement and the indentures governing the other second lien notes and senior notes.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conditional exchange features of the 6.5% Exchangeable Senior Notes, if triggered, may adversely affect our financial condition.</w:t>
      </w:r>
    </w:p>
    <w:p>
      <w:pPr>
        <w:spacing w:after="0" w:line="236"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If one of the exchange contingencies of the 6.5% Exchangeable Senior Notes is triggered, holders of the 6.5% Exchangeable Senior Notes will be entitled to exchange the 6.5% Exchangeable Senior Notes at any time during specified periods. If one or more holders elect to exchange their 6.5% Exchangeable Senior Notes, we would be required to settle a portion of or all of our exchange obligation through the payment of cash, which could adversely affect our liquidity and various aspects of our business (including our credit ratings and the trading price of the 6.5% Exchangeable Senior Notes). In addition, even if holders do not elect to exchange their 6.5% Exchangeable Senior Notes , we could be required under applicable accounting rules to reclassify all or a portion of the outstanding principal of the 6.5% Exchangeable Senior Notes as a current rather than long-term liability, which would result in a material reduction of our net working capital.</w:t>
      </w:r>
    </w:p>
    <w:p>
      <w:pPr>
        <w:spacing w:after="0" w:line="193"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b w:val="1"/>
          <w:bCs w:val="1"/>
          <w:i w:val="1"/>
          <w:iCs w:val="1"/>
          <w:color w:val="auto"/>
        </w:rPr>
        <w:t>The second lien notes and the related guarantees are effectively subordinated to our and our subsidiary guarantors’ current senior secured indebtedness that is secured by a first-priority lien on the collateral to the extent of the value of the collateral and structurally subordinated to the indebtedness of our subsidiaries that do not guarantee the second lien notes.</w:t>
      </w:r>
    </w:p>
    <w:p>
      <w:pPr>
        <w:spacing w:after="0" w:line="183" w:lineRule="exact"/>
        <w:rPr>
          <w:sz w:val="20"/>
          <w:szCs w:val="20"/>
          <w:color w:val="auto"/>
        </w:rPr>
      </w:pPr>
    </w:p>
    <w:p>
      <w:pPr>
        <w:ind w:right="20" w:firstLine="509"/>
        <w:spacing w:after="0" w:line="285" w:lineRule="auto"/>
        <w:rPr>
          <w:sz w:val="20"/>
          <w:szCs w:val="20"/>
          <w:color w:val="auto"/>
        </w:rPr>
      </w:pPr>
      <w:r>
        <w:rPr>
          <w:rFonts w:ascii="Arial" w:cs="Arial" w:eastAsia="Arial" w:hAnsi="Arial"/>
          <w:sz w:val="16"/>
          <w:szCs w:val="16"/>
          <w:color w:val="auto"/>
        </w:rPr>
        <w:t>The second lien notes and the related guarantees are secured on a second-priority basis by the collateral and therefore will be effectively subordinated to our current secured indebtedness that is secured by first-priority liens on the collateral to the extent of the value of the collateral. Such indebtedness includes the loans and other obligations incurred under the Exchange Credit Agreement, which are secured by first-priority liens on the same collateral that secures the second lien notes. In addition, a portion of the collateral that secures the second lien notes also secures the loans and other obligations under the senior credit facility on a first-priority basis. As such, the second lien notes are effectively subordinated to the loans and other obligations under the senior credit facility to the extent of the value of that portion of the collateral. As of December 31, 2022, the Company and the Initial Guarantors would have had total consolidated indebtedness of approximately $2,046 million, (excluding $77.6 million of existing letters of credit, but including Capital Lease Obligations of $2.0 million and other debt of $40.9 million) primarily consisting of $1,113 million of secured indebtedness under the Exchange Credit Agreement with $226.4 million of additional availability, no secured indebtedness under the senior credit facility, $23.2 million of the 5.875% Senior Notes, $110.9 million of the 6.00% Senior Notes, $230.0 million of the 6.5% Exchangeable Senior Notes, $239.1 million of the 9.500% Private Second Lien Notes, and $286.5 million of the 10.500% Public Second Lien Notes. In addition, the indentures governing the outstanding notes, the Exchange Credit Agreement and the senior credit facility will allow us and our subsidiary guarantors to incur a significant amount of additional indebtedness, including indebtedness secured by a first-priority lien on the collateral. In the event we or the guarantors become the subject of a bankruptcy, liquidation, dissolution, reorganization or similar proceeding, our assets and the assets of the guarantors securing indebtedness on a first-priority basis could not be used to pay you until after all such first-lien secured claims against us and the guarantors have been fully paid.</w:t>
      </w:r>
    </w:p>
    <w:p>
      <w:pPr>
        <w:spacing w:after="0" w:line="175" w:lineRule="exact"/>
        <w:rPr>
          <w:sz w:val="20"/>
          <w:szCs w:val="20"/>
          <w:color w:val="auto"/>
        </w:rPr>
      </w:pPr>
    </w:p>
    <w:p>
      <w:pPr>
        <w:ind w:right="1340" w:firstLine="509"/>
        <w:spacing w:after="0" w:line="277" w:lineRule="auto"/>
        <w:rPr>
          <w:sz w:val="20"/>
          <w:szCs w:val="20"/>
          <w:color w:val="auto"/>
        </w:rPr>
      </w:pPr>
      <w:r>
        <w:rPr>
          <w:rFonts w:ascii="Arial" w:cs="Arial" w:eastAsia="Arial" w:hAnsi="Arial"/>
          <w:sz w:val="18"/>
          <w:szCs w:val="18"/>
          <w:color w:val="auto"/>
        </w:rPr>
        <w:t>In addition, the second lien notes and the related guarantees are structurally subordinated to all existing and future liabilities of our subsidiaries that do not guarantee the second lien notes, including the trade payables of such subsidiaries.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be difficult to realize the value of the collateral securing the second lien notes and related guarantees.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appraisal of the value of the collateral securing the second lien noes and the related guarantees was made in connection with the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sectPr>
      </w:pPr>
    </w:p>
    <w:bookmarkStart w:id="30" w:name="page31"/>
    <w:bookmarkEnd w:id="30"/>
    <w:p>
      <w:pPr>
        <w:spacing w:after="0" w:line="267" w:lineRule="auto"/>
        <w:rPr>
          <w:sz w:val="20"/>
          <w:szCs w:val="20"/>
          <w:color w:val="auto"/>
        </w:rPr>
      </w:pPr>
      <w:r>
        <w:rPr>
          <w:rFonts w:ascii="Arial" w:cs="Arial" w:eastAsia="Arial" w:hAnsi="Arial"/>
          <w:sz w:val="17"/>
          <w:szCs w:val="17"/>
          <w:color w:val="auto"/>
        </w:rPr>
        <w:t>exchange offers the Company completed in August 2022 and the fair market value of the collateral is subject to fluctuations based on factors that include, among others, market and other economic conditions, including the availability of suitable buyers. By its nature, some or all of the collateral may be illiquid and may have no readily ascertainable market value. We cannot assure you that the fair market value of the collateral as of December 31, 2022, exceeds, or at any other point in time will exceed, the principal amount of the debt secured thereby. The value of the collateral and the guarantees could be impaired in the future as a result of changing economic conditions, our failure to implement our business strategy, competition, liabilities and other future events. Accordingly, there may not be sufficient collateral to pay all or any of the amounts due on the second lien notes or the other debt secured by the collateral, including the obligations under the Exchange Credit Agreement and senior credit facility. Any claim for the difference between the amount, if any, realized by holders of first-priority liens or holders of the second lien notes from the sale of the collateral and the obligations of the Company and guarantors under the second lien notes will rank equally in right of payment with all of our other unsecured unsubordinated indebtedness and other obligations, including trade payables, the 5.875% Senior Notes and the 6.00% Senior Notes. Additionally, in the event that a bankruptcy or insolvency proceeding is commenced by or against us, if the value of the collateral is less than the amount of principal and accrued and unpaid interest on the applicable second lien notes and all other obligations secured by a lien of equal or higher priority to the lien securing the second lien notes, interest may cease to accrue on such second lien notes from and after the date such proceedings are commenced or initiated. Also, any disposition of the collateral during a bankruptcy or insolvency proceeding outside of the ordinary course of our business would require approval from the bankruptcy court (which may not be given under certain circumstances).</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the extent that third parties enjoy prior liens on any of the collateral or are able to attach liens to any of the collateral, such third</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parties may have rights and remedies with respect to the collateral that, if exercised, could adversely affect the value of the collateral. Additionally, the terms of the indentures governing the second lien notes allow us to (i) issue additional secured indebtedness, including additional debt that may rank pari passu in right of payment with and secured on an equal and ratable basis with the Company’s first lien secured obligations or pari passu in right of payment with and secured on an equal and ratable basis with the second lien notes, and (ii) to incur refinancing indebtedness in certain circumstances. The indentures governing the second lien notes do not require that we maintain the current level of collateral value or maintain a specific ratio of indebtedness to asset values. Thus, the issuance of any such additional debt and refinancing indebtedness may have the effect of significantly diluting the ability of noteholders to recover payment in full of the second lien notes from the then-existing pool of collateral. Releases of collateral from the liens securing the second lien notes will be permitted under certain circumstances.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future, the obligation to grant additional security over assets, or a particular type or class of assets, whether as a result of the</w:t>
      </w:r>
    </w:p>
    <w:p>
      <w:pPr>
        <w:spacing w:after="0" w:line="2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acquisition or creation of future assets or subsidiaries, the designation of a previously unrestricted subsidiary or otherwise, will be subject to the provisions of the applicable indentures governing the second lien notes and related security documents. Furthermore, upon enforcement against any collateral or during a bankruptcy insolvency proceeding, the claims of the holders of the second lien notes, to the proceeds thereof will rank junior to any first-priority liens on such collateral, including those securing the obligations under the Exchange Credit Agreement and the senior credit facility. Enforcement of the security interests in the collateral is subject to practical problems generally associated with the realization of security interests in collateral. For example, the consent of a third party may be necessary to obtain or enforce a security interest in a contract and such consent may not be provided. Also, the consents of any third parties may not necessarily be given when required to facilitate a foreclosure or realization on the collateral. Accordingly, the Second Lien Collateral Trustee may not have the ability to foreclose or realize upon those assets and the value of the collateral may significantly decrease.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 and its Impact on our Business</w:t>
      </w:r>
    </w:p>
    <w:p>
      <w:pPr>
        <w:spacing w:after="0" w:line="296" w:lineRule="exact"/>
        <w:rPr>
          <w:sz w:val="20"/>
          <w:szCs w:val="20"/>
          <w:color w:val="auto"/>
        </w:rPr>
      </w:pPr>
    </w:p>
    <w:p>
      <w:pPr>
        <w:ind w:right="340"/>
        <w:spacing w:after="0" w:line="307" w:lineRule="auto"/>
        <w:rPr>
          <w:sz w:val="20"/>
          <w:szCs w:val="20"/>
          <w:color w:val="auto"/>
        </w:rPr>
      </w:pPr>
      <w:r>
        <w:rPr>
          <w:rFonts w:ascii="Arial" w:cs="Arial" w:eastAsia="Arial" w:hAnsi="Arial"/>
          <w:sz w:val="17"/>
          <w:szCs w:val="17"/>
          <w:b w:val="1"/>
          <w:bCs w:val="1"/>
          <w:i w:val="1"/>
          <w:iCs w:val="1"/>
          <w:color w:val="auto"/>
        </w:rPr>
        <w:t>The current pandemic of the novel coronavirus, or COVID-19, has and we expect it will continue to adversely impact and disrupt our business, and such impacts may have a material adverse effect on our results of operations, financial condition and liquidity.</w:t>
      </w:r>
    </w:p>
    <w:p>
      <w:pPr>
        <w:spacing w:after="0" w:line="147" w:lineRule="exact"/>
        <w:rPr>
          <w:sz w:val="20"/>
          <w:szCs w:val="20"/>
          <w:color w:val="auto"/>
        </w:rPr>
      </w:pPr>
    </w:p>
    <w:p>
      <w:pPr>
        <w:ind w:right="80" w:firstLine="749"/>
        <w:spacing w:after="0" w:line="287" w:lineRule="auto"/>
        <w:rPr>
          <w:sz w:val="20"/>
          <w:szCs w:val="20"/>
          <w:color w:val="auto"/>
        </w:rPr>
      </w:pPr>
      <w:r>
        <w:rPr>
          <w:rFonts w:ascii="Arial" w:cs="Arial" w:eastAsia="Arial" w:hAnsi="Arial"/>
          <w:sz w:val="16"/>
          <w:szCs w:val="16"/>
          <w:color w:val="auto"/>
        </w:rPr>
        <w:t>Most of our facilities have experienced cases of COVID-19 in both our staff and individuals entrusted to our care. We have taken a number of comprehensive steps and measures to mitigate the transmission and risks of COVID-19 which we have outlined in our annual report on Form 10-K for the year ended December 31, 2022. This includes issuing guidance to all of our facilities that is consistent with the guidance issued for correctional and detention facilities by the Centers for Disease Control and Prevention; as the guidance has evolved updating our policies and procedures to include best practices for the prevention, assessment, and management of COVID-19, the implementation of quarantine and cohorting procedures to isolate confirmed and presumptive cases of COVID-19; ordering and receiving COVID-19 swab kits; purchasing and distributing personal protective equipment, including facemasks to all staff and individuals in our care at our facilities; increasing the frequency of distribution of personal hygiene products, including soap, shampoo and body wash and tissue paper; and administering COVID-19 vaccines and boosters in accordance with applicable guidelines on vaccine and booster distribution. We will continue to evaluate and refine these steps and measures as appropriate and necessary based on updated guidance by the CDC and best practices. Additionally, we have increased our spending on personal protective equipment, diagnostic testing, medical expenses, temperature scanners, protective plexiglass barriers and increased sanitation as a result of COVID-19. However, these steps and measures as well as the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ind w:right="120"/>
        <w:spacing w:after="0" w:line="218" w:lineRule="exact"/>
        <w:rPr>
          <w:sz w:val="20"/>
          <w:szCs w:val="20"/>
          <w:color w:val="auto"/>
        </w:rPr>
      </w:pPr>
      <w:r>
        <w:rPr>
          <w:rFonts w:ascii="Arial" w:cs="Arial" w:eastAsia="Arial" w:hAnsi="Arial"/>
          <w:sz w:val="18"/>
          <w:szCs w:val="18"/>
          <w:color w:val="auto"/>
        </w:rPr>
        <w:t>implementation of the COVID-19 vaccine and booster roll</w:t>
      </w:r>
      <w:r>
        <w:rPr>
          <w:rFonts w:ascii="MS PGothic" w:cs="MS PGothic" w:eastAsia="MS PGothic" w:hAnsi="MS PGothic"/>
          <w:sz w:val="18"/>
          <w:szCs w:val="18"/>
          <w:color w:val="auto"/>
        </w:rPr>
        <w:t>‑</w:t>
      </w:r>
      <w:r>
        <w:rPr>
          <w:rFonts w:ascii="Arial" w:cs="Arial" w:eastAsia="Arial" w:hAnsi="Arial"/>
          <w:sz w:val="18"/>
          <w:szCs w:val="18"/>
          <w:color w:val="auto"/>
        </w:rPr>
        <w:t>out in the jurisdictions we operate in and the ultimate effectiveness of the COVID-19 vaccine and boosters may prove to be insufficient in stopping or slowing the transmission of COVID-19 and the risks it poses to our staff and individuals entrusted to our care or may result in us spending more in additional expenditures than currently contemplated. If we were to be unable to fully staff our secure facilities, processing centers and community reentry centers due to confirmed or suspected COVID-19 cases, it could result in negative consequences, including fines, other penalties, or contract cancellations. Additionally, our government partners could require us to transfer inmates or detainees to other facilities in the event of a COVID-19 outbreak at one of our facilities.</w:t>
      </w:r>
    </w:p>
    <w:p>
      <w:pPr>
        <w:spacing w:after="0" w:line="206" w:lineRule="exact"/>
        <w:rPr>
          <w:sz w:val="20"/>
          <w:szCs w:val="20"/>
          <w:color w:val="auto"/>
        </w:rPr>
      </w:pPr>
    </w:p>
    <w:p>
      <w:pPr>
        <w:ind w:firstLine="494"/>
        <w:spacing w:after="0" w:line="286" w:lineRule="auto"/>
        <w:rPr>
          <w:sz w:val="20"/>
          <w:szCs w:val="20"/>
          <w:color w:val="auto"/>
        </w:rPr>
      </w:pPr>
      <w:r>
        <w:rPr>
          <w:rFonts w:ascii="Arial" w:cs="Arial" w:eastAsia="Arial" w:hAnsi="Arial"/>
          <w:sz w:val="16"/>
          <w:szCs w:val="16"/>
          <w:color w:val="auto"/>
        </w:rPr>
        <w:t>Certain states and cities in the U.S. have also responded to COVID-19 by instituting quarantines, restrictions on travel, “shelter in place” rules, and restrictions on types of businesses that may continue to operate. As a result, the COVID-19 pandemic has negatively impacted almost every industry directly or indirectly. Even though we have continued our operations as an essential government service provider, in early 2020, we began to observe negative impacts from the pandemic on our performance in our secure services business as a result of declines in crossings and apprehensions along the Southwest border, a decrease in court sentencing at the federal level and reduced operational capacity to promote social distancing protocols. In addition to court mandates related to COVID-19 that limit capacity utilization at certain facilities, a driver of low utilization across ICE facilities have been the Title 42 COVID-19 related restrictions that have been in place at the Southwest border since March 2020. Additionally, our reentry services business conducted through our Reentry Services business segment has also been negatively impacted, specifically our residential reentry centers were impacted due to lower levels of referrals by federal, state and local agencies. Throughout the pandemic, new intake at residential reentry centers have significantly slowed down as governmental agencies across the country have opted for non-residential alternatives, including furloughs, home confinement and day reporting. We expect that the COVID-19 pandemic will continue to have an impact on our populations for at least part of 2023, depending on various factors. While we experienced a significant increase in COVID-19 cases in 2022, consistent with the spread of the Omicron variant across the country, we are currently seeing a significant decline in cases among our staff and the individuals in our care.</w:t>
      </w:r>
    </w:p>
    <w:p>
      <w:pPr>
        <w:spacing w:after="0" w:line="170"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The effects of COVID-19 on our business, as well as actions we have taken or may take, or decisions we have made or may make, as a consequence of COVID-19, may result in legal claims or litigation against us. Litigation can be costly, regardless of the outcome. Any financial liability, litigation costs or reputational damage caused by COVID-19 related litigation could have a material adverse impact on our business, financial condition and results of operations.</w:t>
      </w:r>
    </w:p>
    <w:p>
      <w:pPr>
        <w:spacing w:after="0" w:line="185" w:lineRule="exact"/>
        <w:rPr>
          <w:sz w:val="20"/>
          <w:szCs w:val="20"/>
          <w:color w:val="auto"/>
        </w:rPr>
      </w:pPr>
    </w:p>
    <w:p>
      <w:pPr>
        <w:ind w:right="100" w:firstLine="749"/>
        <w:spacing w:after="0" w:line="254" w:lineRule="auto"/>
        <w:rPr>
          <w:sz w:val="20"/>
          <w:szCs w:val="20"/>
          <w:color w:val="auto"/>
        </w:rPr>
      </w:pPr>
      <w:r>
        <w:rPr>
          <w:rFonts w:ascii="Arial" w:cs="Arial" w:eastAsia="Arial" w:hAnsi="Arial"/>
          <w:sz w:val="18"/>
          <w:szCs w:val="18"/>
          <w:color w:val="auto"/>
        </w:rPr>
        <w:t>The COVID-19 pandemic has had repercussions across regional and global economies and financial markets. The outbreak of COVID-19 in many countries, including the United States, has significantly adversely impacted global economic activity and has contributed to significant volatility and negative pressure in financial markets. Depending on the magnitude and duration of the COVID-19 pandemic, the adverse impact of the COVID-19 pandemic on our business, results of operations, financial condition and liquidity could be material. Even when the COVID-19 pandemic has subsided, we may continue to experience significant adverse effects to our business as a result of its global economic impact, including any economic recession or downturn and the possibility this will result in government budgetary constraints or any changes to a government’s willingness to maintain or grow public-private partnerships in the future.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Services</w:t>
      </w:r>
    </w:p>
    <w:p>
      <w:pPr>
        <w:spacing w:after="0" w:line="296" w:lineRule="exact"/>
        <w:rPr>
          <w:sz w:val="20"/>
          <w:szCs w:val="20"/>
          <w:color w:val="auto"/>
        </w:rPr>
      </w:pPr>
    </w:p>
    <w:p>
      <w:pPr>
        <w:ind w:right="560"/>
        <w:spacing w:after="0" w:line="307" w:lineRule="auto"/>
        <w:rPr>
          <w:sz w:val="20"/>
          <w:szCs w:val="20"/>
          <w:color w:val="auto"/>
        </w:rPr>
      </w:pPr>
      <w:r>
        <w:rPr>
          <w:rFonts w:ascii="Arial" w:cs="Arial" w:eastAsia="Arial" w:hAnsi="Arial"/>
          <w:sz w:val="17"/>
          <w:szCs w:val="17"/>
          <w:b w:val="1"/>
          <w:bCs w:val="1"/>
          <w:i w:val="1"/>
          <w:iCs w:val="1"/>
          <w:color w:val="auto"/>
        </w:rPr>
        <w:t>We partner with a limited number of governmental customers who account for a significant portion of our revenues. The loss of, or a significant decrease in revenues from, these customers could seriously harm our financial condition and results of operations.</w:t>
      </w:r>
    </w:p>
    <w:p>
      <w:pPr>
        <w:spacing w:after="0" w:line="147" w:lineRule="exact"/>
        <w:rPr>
          <w:sz w:val="20"/>
          <w:szCs w:val="20"/>
          <w:color w:val="auto"/>
        </w:rPr>
      </w:pPr>
    </w:p>
    <w:p>
      <w:pPr>
        <w:ind w:right="60" w:firstLine="749"/>
        <w:spacing w:after="0" w:line="286" w:lineRule="auto"/>
        <w:rPr>
          <w:sz w:val="20"/>
          <w:szCs w:val="20"/>
          <w:color w:val="auto"/>
        </w:rPr>
      </w:pPr>
      <w:r>
        <w:rPr>
          <w:rFonts w:ascii="Arial" w:cs="Arial" w:eastAsia="Arial" w:hAnsi="Arial"/>
          <w:sz w:val="16"/>
          <w:szCs w:val="16"/>
          <w:color w:val="auto"/>
        </w:rPr>
        <w:t>We currently derive, and expect to continue to derive, a significant portion of our revenues from a limited number of governmental agencies. Of our governmental partners, three federal governmental agencies with correctional and detention responsibilities, the BOP, ICE, and the U.S. Marshals Service, accounted for 63.9% and 57.5% of our total consolidated revenues for the year ended December 31, 2022 and 2021, respectively, through multiple individual contracts, with the BOP accounting for 3.8% and 8.6% of our total consolidated revenues for 2022 and 2021, respectively, ICE accounting for</w:t>
      </w:r>
    </w:p>
    <w:p>
      <w:pPr>
        <w:spacing w:after="0" w:line="277" w:lineRule="auto"/>
        <w:rPr>
          <w:sz w:val="20"/>
          <w:szCs w:val="20"/>
          <w:color w:val="auto"/>
        </w:rPr>
      </w:pPr>
      <w:r>
        <w:rPr>
          <w:rFonts w:ascii="Arial" w:cs="Arial" w:eastAsia="Arial" w:hAnsi="Arial"/>
          <w:sz w:val="17"/>
          <w:szCs w:val="17"/>
          <w:color w:val="auto"/>
        </w:rPr>
        <w:t>43.9% and 33.1% of our total consolidated revenues for 2022 and 2021, respectively, and the U.S. Marshals Service accounting for 16.2% and 15.9% of our total consolidated revenues for 2022 and 2021, respectively. However, no individual contract with these clients accounted for more than 10.0% of our total consolidated revenues for 2022 except for our contract with ISAP that accounted for 17.0% of our consolidated revenues.</w:t>
      </w:r>
    </w:p>
    <w:p>
      <w:pPr>
        <w:spacing w:after="0" w:line="172" w:lineRule="exact"/>
        <w:rPr>
          <w:sz w:val="20"/>
          <w:szCs w:val="20"/>
          <w:color w:val="auto"/>
        </w:rPr>
      </w:pPr>
    </w:p>
    <w:p>
      <w:pPr>
        <w:jc w:val="both"/>
        <w:ind w:right="20" w:firstLine="629"/>
        <w:spacing w:after="0" w:line="311" w:lineRule="auto"/>
        <w:rPr>
          <w:sz w:val="20"/>
          <w:szCs w:val="20"/>
          <w:color w:val="auto"/>
        </w:rPr>
      </w:pPr>
      <w:r>
        <w:rPr>
          <w:rFonts w:ascii="Arial" w:cs="Arial" w:eastAsia="Arial" w:hAnsi="Arial"/>
          <w:sz w:val="16"/>
          <w:szCs w:val="16"/>
          <w:color w:val="auto"/>
        </w:rPr>
        <w:t>As of December 31, 2022, GEO has no company-owned facilities under direct contract with the BOP for secure services. GEO has three company-owned/company leased facilities under direct contracts with USMS, which have current contract option periods that expire between February 28, 2023 and September 30, 2023. These facilities combined represented approximately 6% of our revenues for the year ended December 31, 2022.</w:t>
      </w:r>
    </w:p>
    <w:p>
      <w:pPr>
        <w:spacing w:after="0" w:line="148" w:lineRule="exact"/>
        <w:rPr>
          <w:sz w:val="20"/>
          <w:szCs w:val="20"/>
          <w:color w:val="auto"/>
        </w:rPr>
      </w:pPr>
    </w:p>
    <w:p>
      <w:pPr>
        <w:ind w:right="60" w:firstLine="749"/>
        <w:spacing w:after="0" w:line="286" w:lineRule="auto"/>
        <w:rPr>
          <w:sz w:val="20"/>
          <w:szCs w:val="20"/>
          <w:color w:val="auto"/>
        </w:rPr>
      </w:pPr>
      <w:r>
        <w:rPr>
          <w:rFonts w:ascii="Arial" w:cs="Arial" w:eastAsia="Arial" w:hAnsi="Arial"/>
          <w:sz w:val="17"/>
          <w:szCs w:val="17"/>
          <w:color w:val="auto"/>
        </w:rPr>
        <w:t>Our revenues depend on our governmental customers receiving sufficient funding and providing us with timely payment under the terms of our contracts. If the applicable governmental customers do not receive sufficient appropriations to cover their contractual obligations, they may delay or reduce payment to us or terminate their contracts with us. With respect to our federal government customers, any future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ind w:right="40"/>
        <w:spacing w:after="0" w:line="259" w:lineRule="auto"/>
        <w:rPr>
          <w:sz w:val="20"/>
          <w:szCs w:val="20"/>
          <w:color w:val="auto"/>
        </w:rPr>
      </w:pPr>
      <w:r>
        <w:rPr>
          <w:rFonts w:ascii="Arial" w:cs="Arial" w:eastAsia="Arial" w:hAnsi="Arial"/>
          <w:sz w:val="18"/>
          <w:szCs w:val="18"/>
          <w:color w:val="auto"/>
        </w:rPr>
        <w:t>impasse or struggle impacting the federal government’s ability to reach agreement on the federal budget, debt ceiling or any future federal government shut-downs could result in material payment delays, payment reductions or contract terminations. Additionally, our governmental customers may request in the future that we reduce our per diem contract rates or forego increases to those rates as a way for those governmental customers to control their spending and address their budgetary shortfalls.</w:t>
      </w:r>
    </w:p>
    <w:p>
      <w:pPr>
        <w:spacing w:after="0" w:line="185" w:lineRule="exact"/>
        <w:rPr>
          <w:sz w:val="20"/>
          <w:szCs w:val="20"/>
          <w:color w:val="auto"/>
        </w:rPr>
      </w:pPr>
    </w:p>
    <w:p>
      <w:pPr>
        <w:ind w:right="20" w:firstLine="749"/>
        <w:spacing w:after="0" w:line="285" w:lineRule="auto"/>
        <w:rPr>
          <w:sz w:val="20"/>
          <w:szCs w:val="20"/>
          <w:color w:val="auto"/>
        </w:rPr>
      </w:pPr>
      <w:r>
        <w:rPr>
          <w:rFonts w:ascii="Arial" w:cs="Arial" w:eastAsia="Arial" w:hAnsi="Arial"/>
          <w:sz w:val="16"/>
          <w:szCs w:val="16"/>
          <w:color w:val="auto"/>
        </w:rPr>
        <w:t>Our governmental customers may also from time to time adopt, implement or modify certain policies or directives that may adversely affect our business. Our federal, state or local governmental partners may in the future choose to undertake a review of their utilization of public-private partnerships, or may re-negotiate, cancel or decide not to renew our existing contracts with them. For example, on January 26, 2021, President Biden signed an Executive Order directing the United States Attorney General not to renew Department of Justice contracts with privately operated criminal detention facilities. President Biden’s administration may implement further executive orders or directives relating to federal criminal justice policies and immigration policies which may impact the federal government’s use of public-private partnerships with respect to correctional and detention needs, including with respect to our contracts, and/or may impact the budget and spending priorities of federal agencies, including ICE. Various state partners have or may choose in the future to undertake a review of their utilization of public-private partnerships. For example, California enacted legislation aimed at phasing out public-private partnership contracts for the operation of secure facilities within California and facilities outside of the state of California housing state of California inmates. We have public-private partnership contracts in place with ICE and the U.S. Marshals Service relating to facilities located in California. Additionally, we and the U.S. Department of Justice filed separate legal actions challenging the constitutionality of the attempted ban on new federal contracts entered into after the effective date of the California law. On September 26, 2022, in an 8-3 en banc decision, the Ninth Circuit Court of Appeals held that AB-32 violates the U.S. Constitution Supremacy Clause and that AB-32 is preempted. Currently, the State of Arizona, the State of New Mexico have proposed, and the State of Washington has enacted legislation similar to the California law. Delaware County, Pennsylvania took over the management of GEO’s managed-only contract for the 1,883-bed George W. Hill Correctional facility located in Thornton, Pennsylvania effective April 2022. The Pennsylvania facility generated approximately $47 million in annualized revenue for GEO during the year ended December 31, 2021.</w:t>
      </w:r>
    </w:p>
    <w:p>
      <w:pPr>
        <w:spacing w:after="0" w:line="199" w:lineRule="exact"/>
        <w:rPr>
          <w:sz w:val="20"/>
          <w:szCs w:val="20"/>
          <w:color w:val="auto"/>
        </w:rPr>
      </w:pPr>
    </w:p>
    <w:p>
      <w:pPr>
        <w:ind w:right="240" w:firstLine="749"/>
        <w:spacing w:after="0" w:line="263" w:lineRule="auto"/>
        <w:rPr>
          <w:sz w:val="20"/>
          <w:szCs w:val="20"/>
          <w:color w:val="auto"/>
        </w:rPr>
      </w:pPr>
      <w:r>
        <w:rPr>
          <w:rFonts w:ascii="Arial" w:cs="Arial" w:eastAsia="Arial" w:hAnsi="Arial"/>
          <w:sz w:val="18"/>
          <w:szCs w:val="18"/>
          <w:color w:val="auto"/>
        </w:rPr>
        <w:t>The loss of, or a significant decrease in, our current contracts with the ICE, the U.S. Marshals Service or any other significant customers could seriously harm our financial condition and results of operations. We expect these federal and state agencies and a relatively small group of other governmental customers to continue to account for a significant percentage of our revenues.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occupancy levels could cause a decrease in revenues and profitability.</w:t>
      </w:r>
    </w:p>
    <w:p>
      <w:pPr>
        <w:spacing w:after="0" w:line="225"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color w:val="auto"/>
        </w:rPr>
        <w:t>While a substantial portion of our cost structure is generally fixed, most of our revenues are generated under facility management contracts which provide for per diem payments based upon daily occupancy. Several of these contracts provide fixed-price payments that cover a portion, or all of our fixed costs based on a guaranteed minimum level of occupancy regardless of the actual level of occupancy. During the pandemic, we have received these fixed-price payments at a number of our facilities where the actual level of occupancy was below the guaranteed minimum level of occupancy and as a result those facilities experienced a greater amount of profitability. If the levels of occupancy at the facilities subject to a guaranteed minimum level of occupancy were to increase, our costs may increase and therefore result in a decreased amount of profitability at these facilities with guaranteed minimum level of occupancy. However, many of our contracts have no fixed-price payments and simply provide for a per diem payment based on actual occupancy. As a result, with respect to our contracts that have no fixed-price payments, we are highly dependent upon the governmental agencies with which we have contracts to utilize our facilities. Under a per diem rate structure, a decrease in our utilization rates could cause a decrease in revenues and profitability. When combined with relatively fixed costs for operating each facility, regardless of the occupancy level, material fluctuations in occupancy levels at one or more of our facilities could have a material adverse effect on our revenues and profitability, and consequently, on our financial condition and/or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budgetary constraints may have a material adverse impact on us.</w:t>
      </w:r>
    </w:p>
    <w:p>
      <w:pPr>
        <w:spacing w:after="0" w:line="225" w:lineRule="exact"/>
        <w:rPr>
          <w:sz w:val="20"/>
          <w:szCs w:val="20"/>
          <w:color w:val="auto"/>
        </w:rPr>
      </w:pPr>
    </w:p>
    <w:p>
      <w:pPr>
        <w:ind w:firstLine="749"/>
        <w:spacing w:after="0" w:line="288" w:lineRule="auto"/>
        <w:rPr>
          <w:sz w:val="20"/>
          <w:szCs w:val="20"/>
          <w:color w:val="auto"/>
        </w:rPr>
      </w:pPr>
      <w:r>
        <w:rPr>
          <w:rFonts w:ascii="Arial" w:cs="Arial" w:eastAsia="Arial" w:hAnsi="Arial"/>
          <w:sz w:val="16"/>
          <w:szCs w:val="16"/>
          <w:color w:val="auto"/>
        </w:rPr>
        <w:t>Long-running pressure on state budgets had eased in prior years amid widespread economic growth and tax revenue gains that resulted in the first budget surpluses in years for many states. The COVID-19 pandemic adversely impacted the economic expansion and budget surpluses enjoyed by numerous states. Still, some states were in a stronger position than others as they began to experience a public health emergency and their greatest fiscal and economic tests since the Great Recession of 2007-09. As of December 31, 2022, GEO had the following state clients: Florida, Georgia, Virginia, Indiana, Oklahoma, Alabama, New Jersey, New Mexico, Alaska, Arizona, Pennsylvania, Wyoming, California, Idaho, Illinois, Tennessee, Louisiana, Maryland, North Carolina and Texas. If state budgetary conditions deteriorate, our 20 state customers’ ability to pay us may be impaired and/or we may be forced to renegotiate our management contracts with those customers on less favorable terms and our financial condition, results of operations or cash flows could be materially adversely impacted. In addition, budgetary constraints in states that are not our current customers could prevent those states from using public-private partnerships for secure facilities, processing centers or community based service opportunities that we otherwise could have pursued.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ind w:right="260"/>
        <w:spacing w:after="0" w:line="263" w:lineRule="auto"/>
        <w:rPr>
          <w:sz w:val="20"/>
          <w:szCs w:val="20"/>
          <w:color w:val="auto"/>
        </w:rPr>
      </w:pPr>
      <w:r>
        <w:rPr>
          <w:rFonts w:ascii="Arial" w:cs="Arial" w:eastAsia="Arial" w:hAnsi="Arial"/>
          <w:sz w:val="18"/>
          <w:szCs w:val="18"/>
          <w:b w:val="1"/>
          <w:bCs w:val="1"/>
          <w:i w:val="1"/>
          <w:iCs w:val="1"/>
          <w:color w:val="auto"/>
        </w:rPr>
        <w:t>From time to time, we may not have a management contract with a client to operate existing beds at a facility or new beds at a facility that we are expanding and we cannot assure you that such a contract will be obtained. Failure to obtain a management contract for these beds will subject us to carrying costs with no corresponding management revenue.</w:t>
      </w:r>
    </w:p>
    <w:p>
      <w:pPr>
        <w:spacing w:after="0" w:line="183"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color w:val="auto"/>
        </w:rPr>
        <w:t>From time to time, we may not have a management contract with a customer to operate existing beds or new beds at facilities that we are currently in the process of renovating and expanding. While we will always strive to work diligently with a number of different customers for the use of these beds, we cannot assure you that a contract for the beds will be secured on a timely basis, or at all. While a facility or new beds at a facility are vacant, we incur carrying costs. In our U.S. Secure Services segment, as of December 31, 2022, we were marketing 10,922 vacant beds with a net book value of approximately $305.6 million at seven of our idle facilities to potential customers. In our Reentry Services segment, as of December 31, 2022, we were marketing 2,139 vacant beds with a net book value of approximately $43.2 million at four of our idle facilities to potential customers. The combined annual carrying cost of these idle facilities in 2023 is estimated to be $32.8 million, including depreciation expense of $16.5 million. Failure to secure a management contract for a facility or expansion project could have a material adverse impact on our financial condition, results of operations and/or cash flows. We review our facilities for impairment whenever events or changes in circumstances indicate the net book value of the facility may not be recoverable. Impairment charges taken on our facilities could require material charges to our results of operations. In addition, in order to secure a management contract for these beds, we may need to incur significant capital expenditures to renovate or further expand the facility to meet potential clients’ needs.</w:t>
      </w:r>
    </w:p>
    <w:p>
      <w:pPr>
        <w:spacing w:after="0" w:line="266" w:lineRule="exact"/>
        <w:rPr>
          <w:sz w:val="20"/>
          <w:szCs w:val="20"/>
          <w:color w:val="auto"/>
        </w:rPr>
      </w:pPr>
    </w:p>
    <w:p>
      <w:pPr>
        <w:ind w:right="120"/>
        <w:spacing w:after="0" w:line="380" w:lineRule="auto"/>
        <w:rPr>
          <w:sz w:val="20"/>
          <w:szCs w:val="20"/>
          <w:color w:val="auto"/>
        </w:rPr>
      </w:pPr>
      <w:r>
        <w:rPr>
          <w:rFonts w:ascii="Arial" w:cs="Arial" w:eastAsia="Arial" w:hAnsi="Arial"/>
          <w:sz w:val="15"/>
          <w:szCs w:val="15"/>
          <w:b w:val="1"/>
          <w:bCs w:val="1"/>
          <w:i w:val="1"/>
          <w:iCs w:val="1"/>
          <w:color w:val="auto"/>
        </w:rPr>
        <w:t>We are subject to the loss of our facility management contracts, due to terminations, non-renewals or competitive re-bids, which could adversely affect our results of operations and liquidity, including our ability to secure new facility management contracts from other government customers.</w:t>
      </w:r>
    </w:p>
    <w:p>
      <w:pPr>
        <w:spacing w:after="0" w:line="101" w:lineRule="exact"/>
        <w:rPr>
          <w:sz w:val="20"/>
          <w:szCs w:val="20"/>
          <w:color w:val="auto"/>
        </w:rPr>
      </w:pPr>
    </w:p>
    <w:p>
      <w:pPr>
        <w:ind w:right="80" w:firstLine="749"/>
        <w:spacing w:after="0" w:line="293" w:lineRule="auto"/>
        <w:rPr>
          <w:sz w:val="20"/>
          <w:szCs w:val="20"/>
          <w:color w:val="auto"/>
        </w:rPr>
      </w:pPr>
      <w:r>
        <w:rPr>
          <w:rFonts w:ascii="Arial" w:cs="Arial" w:eastAsia="Arial" w:hAnsi="Arial"/>
          <w:sz w:val="16"/>
          <w:szCs w:val="16"/>
          <w:color w:val="auto"/>
        </w:rPr>
        <w:t>We are exposed to the risk that we may lose our facility management contracts primarily due to one of three reasons: (i) the termination by a government customer with or without cause at any time; (ii) the failure by a customer to exercise its unilateral option to renew a contract with us upon the expiration of the then current term; or (iii) our failure to win the right to continue to operate under a contract that has been competitively re-bid in a procurement process upon its termination or expiration. Our facility management contracts typically allow a contracting governmental agency to terminate a contract with or without cause at any time by giving us written notice ranging from 30 to 180 days. If government agencies were to use these provisions to terminate, or renegotiate the terms of their agreements with us, our financial condition and results of operations could be materially adversely affected.</w:t>
      </w:r>
    </w:p>
    <w:p>
      <w:pPr>
        <w:spacing w:after="0" w:line="163" w:lineRule="exact"/>
        <w:rPr>
          <w:sz w:val="20"/>
          <w:szCs w:val="20"/>
          <w:color w:val="auto"/>
        </w:rPr>
      </w:pPr>
    </w:p>
    <w:p>
      <w:pPr>
        <w:ind w:right="160" w:firstLine="749"/>
        <w:spacing w:after="0" w:line="259" w:lineRule="auto"/>
        <w:rPr>
          <w:sz w:val="20"/>
          <w:szCs w:val="20"/>
          <w:color w:val="auto"/>
        </w:rPr>
      </w:pPr>
      <w:r>
        <w:rPr>
          <w:rFonts w:ascii="Arial" w:cs="Arial" w:eastAsia="Arial" w:hAnsi="Arial"/>
          <w:sz w:val="18"/>
          <w:szCs w:val="18"/>
          <w:color w:val="auto"/>
        </w:rPr>
        <w:t>As of December 31, 2022, 17 of our facility management contracts were subject to competitive re-bid in 2023. These contracts in the aggregate represented 6% and approximately $139 million of our 2022 consolidated revenues. We cannot in fact assure you that we will prevail in future re-bid situations or that any competitive re-bids we win will be on terms more favorable to us than those in existence with respect to the applicable expiring contract.</w:t>
      </w:r>
    </w:p>
    <w:p>
      <w:pPr>
        <w:spacing w:after="0" w:line="185"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Our federal, state or local governmental partners may in the future choose to undertake a review of their utilization of public-private partnerships, or may re-negotiate, cancel or decide not to renew our existing contracts with them. For example, on January 26, 2021, President Biden signed an Executive Order directing the United States Attorney General not to renew Department of Justice contracts with privately operated criminal detention facilities. President Biden’s administration or a future administration may implement further executive orders or directives relating to federal criminal justice policies and immigration policies which may impact the federal government’s use of public-private partnerships with respect to correctional and detention needs, including with respect to our contracts, and/or may impact the budget and spending priorities of federal agencies, including ICE.</w:t>
      </w:r>
    </w:p>
    <w:p>
      <w:pPr>
        <w:spacing w:after="0" w:line="163" w:lineRule="exact"/>
        <w:rPr>
          <w:sz w:val="20"/>
          <w:szCs w:val="20"/>
          <w:color w:val="auto"/>
        </w:rPr>
      </w:pPr>
    </w:p>
    <w:p>
      <w:pPr>
        <w:ind w:right="180" w:firstLine="794"/>
        <w:spacing w:after="0" w:line="279" w:lineRule="auto"/>
        <w:rPr>
          <w:sz w:val="20"/>
          <w:szCs w:val="20"/>
          <w:color w:val="auto"/>
        </w:rPr>
      </w:pPr>
      <w:r>
        <w:rPr>
          <w:rFonts w:ascii="Arial" w:cs="Arial" w:eastAsia="Arial" w:hAnsi="Arial"/>
          <w:sz w:val="17"/>
          <w:szCs w:val="17"/>
          <w:color w:val="auto"/>
        </w:rPr>
        <w:t>For additional information on facility management contracts that we currently believe will be competitively re-bid during each of the next five years and thereafter, please see “Business — Government Contracts — Terminations, Renewals and Competitive Re-bids”. The loss by us of facility management contracts due to terminations, non-renewals or competitive re-bids could materially adversely affect our financial condition, results of operations and/or liquidity, including our ability to secure new facility management contracts from other government customers.</w:t>
      </w:r>
    </w:p>
    <w:p>
      <w:pPr>
        <w:spacing w:after="0" w:line="23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Our growth depends on our ability to secure contracts to develop and manage new secure facilities, processing centers and community based facilities and to secure contracts to provide electronic monitoring services, community-based reentry services and monitoring and supervision services, the demand for which is outside our control.</w:t>
      </w:r>
    </w:p>
    <w:p>
      <w:pPr>
        <w:spacing w:after="0" w:line="183" w:lineRule="exact"/>
        <w:rPr>
          <w:sz w:val="20"/>
          <w:szCs w:val="20"/>
          <w:color w:val="auto"/>
        </w:rPr>
      </w:pPr>
    </w:p>
    <w:p>
      <w:pPr>
        <w:ind w:right="120" w:firstLine="749"/>
        <w:spacing w:after="0" w:line="286" w:lineRule="auto"/>
        <w:rPr>
          <w:sz w:val="20"/>
          <w:szCs w:val="20"/>
          <w:color w:val="auto"/>
        </w:rPr>
      </w:pPr>
      <w:r>
        <w:rPr>
          <w:rFonts w:ascii="Arial" w:cs="Arial" w:eastAsia="Arial" w:hAnsi="Arial"/>
          <w:sz w:val="17"/>
          <w:szCs w:val="17"/>
          <w:color w:val="auto"/>
        </w:rPr>
        <w:t>Our growth is primarily dependent upon our ability to obtain new contracts to develop and/or manage secure, processing, and community based facilities under public-private partnerships. Additionally, our growth is generally dependent upon our ability to obtain new contracts to offer electronic monitoring services, provide community-based reentry services and provide monitoring and supervision services.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40" w:right="359" w:bottom="1440" w:gutter="0" w:footer="0" w:header="0"/>
        </w:sectPr>
      </w:pPr>
    </w:p>
    <w:bookmarkStart w:id="34" w:name="page35"/>
    <w:bookmarkEnd w:id="34"/>
    <w:p>
      <w:pPr>
        <w:spacing w:after="0" w:line="263" w:lineRule="auto"/>
        <w:rPr>
          <w:sz w:val="20"/>
          <w:szCs w:val="20"/>
          <w:color w:val="auto"/>
        </w:rPr>
      </w:pPr>
      <w:r>
        <w:rPr>
          <w:rFonts w:ascii="Arial" w:cs="Arial" w:eastAsia="Arial" w:hAnsi="Arial"/>
          <w:sz w:val="18"/>
          <w:szCs w:val="18"/>
          <w:color w:val="auto"/>
        </w:rPr>
        <w:t>Demand for new public-private partnership facilities in our areas of operation may decrease and our potential for growth will depend on a number of factors we cannot control, including overall economic conditions, governmental and public acceptance of public-private partnerships, government budgetary constraints, and the number of facilities available for public-private partnerships.</w:t>
      </w:r>
    </w:p>
    <w:p>
      <w:pPr>
        <w:spacing w:after="0" w:line="183" w:lineRule="exact"/>
        <w:rPr>
          <w:sz w:val="20"/>
          <w:szCs w:val="20"/>
          <w:color w:val="auto"/>
        </w:rPr>
      </w:pPr>
    </w:p>
    <w:p>
      <w:pPr>
        <w:ind w:right="40" w:firstLine="749"/>
        <w:spacing w:after="0" w:line="256" w:lineRule="auto"/>
        <w:rPr>
          <w:sz w:val="20"/>
          <w:szCs w:val="20"/>
          <w:color w:val="auto"/>
        </w:rPr>
      </w:pPr>
      <w:r>
        <w:rPr>
          <w:rFonts w:ascii="Arial" w:cs="Arial" w:eastAsia="Arial" w:hAnsi="Arial"/>
          <w:sz w:val="18"/>
          <w:szCs w:val="18"/>
          <w:color w:val="auto"/>
        </w:rPr>
        <w:t>In particular, the demand for our secure facility and processing center services, electronic monitoring services, community-based reentry services and monitoring and supervision services could be affected by changes in existing policies which adversely impact the need for and acceptance of public-private partnerships across the spectrum of services we provide. Various factors outside our control could adversely impact the growth of our Reentry Services business, including government customer resistance to the public-private partnerships for residential community based facilities, and changes to Medicaid and similar reimbursement programs.</w:t>
      </w:r>
    </w:p>
    <w:p>
      <w:pPr>
        <w:spacing w:after="0" w:line="2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not be able to meet state requirements for capital investment or locate land for the development of new facilities, which could adversely affect our results of operations and future growth.</w:t>
      </w:r>
    </w:p>
    <w:p>
      <w:pPr>
        <w:spacing w:after="0" w:line="169" w:lineRule="exact"/>
        <w:rPr>
          <w:sz w:val="20"/>
          <w:szCs w:val="20"/>
          <w:color w:val="auto"/>
        </w:rPr>
      </w:pPr>
    </w:p>
    <w:p>
      <w:pPr>
        <w:ind w:right="60" w:firstLine="749"/>
        <w:spacing w:after="0" w:line="256" w:lineRule="auto"/>
        <w:rPr>
          <w:sz w:val="20"/>
          <w:szCs w:val="20"/>
          <w:color w:val="auto"/>
        </w:rPr>
      </w:pPr>
      <w:r>
        <w:rPr>
          <w:rFonts w:ascii="Arial" w:cs="Arial" w:eastAsia="Arial" w:hAnsi="Arial"/>
          <w:sz w:val="18"/>
          <w:szCs w:val="18"/>
          <w:color w:val="auto"/>
        </w:rPr>
        <w:t>Certain jurisdictions have in the past required successful bidders to make a significant capital investment in connection with the financing of a particular project. If this trend were to continue in the future, we may not be able to obtain sufficient capital resources when needed to compete effectively for facility management contracts. Additionally, our success in obtaining new awards and contracts may depend, in part, upon our ability to locate land that can be leased or acquired under favorable terms. Our inability to secure financing and desirable locations for new facilities could adversely affect our results of operations and future growth.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contracts may adversely affect the profitability of our business.</w:t>
      </w:r>
    </w:p>
    <w:p>
      <w:pPr>
        <w:spacing w:after="0" w:line="238" w:lineRule="exact"/>
        <w:rPr>
          <w:sz w:val="20"/>
          <w:szCs w:val="20"/>
          <w:color w:val="auto"/>
        </w:rPr>
      </w:pPr>
    </w:p>
    <w:p>
      <w:pPr>
        <w:ind w:right="100" w:firstLine="749"/>
        <w:spacing w:after="0" w:line="254" w:lineRule="auto"/>
        <w:rPr>
          <w:sz w:val="20"/>
          <w:szCs w:val="20"/>
          <w:color w:val="auto"/>
        </w:rPr>
      </w:pPr>
      <w:r>
        <w:rPr>
          <w:rFonts w:ascii="Arial" w:cs="Arial" w:eastAsia="Arial" w:hAnsi="Arial"/>
          <w:sz w:val="18"/>
          <w:szCs w:val="18"/>
          <w:color w:val="auto"/>
        </w:rPr>
        <w:t>We compete with government entities and other public-private partnership operators on the basis of cost, bed availability, location of facility, quality and range of services offered, experience in managing facilities, and reputation of management and personnel. Barriers to entering the market for the management of secure and processing facilities and the provision of community reentry programs may not be sufficient to limit additional competition in our industry. In addition, some of our government customers may assume the management of a facility currently managed by us upon the termination of the corresponding management contract or, if such customers have capacity at the facilities which they operate, they may choose to use less capacity at our facilities. Since we are paid on a per diem basis based on actual occupancy under some of our contracts, a decrease in occupancy could cause a decrease in both our revenues and our profitability.</w:t>
      </w:r>
    </w:p>
    <w:p>
      <w:pPr>
        <w:spacing w:after="0" w:line="26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are dependent on government appropriations, which may not be made on a timely basis or at all and may be adversely impacted by budgetary constraints at the federal, state, local and foreign government levels.</w:t>
      </w:r>
    </w:p>
    <w:p>
      <w:pPr>
        <w:spacing w:after="0" w:line="169" w:lineRule="exact"/>
        <w:rPr>
          <w:sz w:val="20"/>
          <w:szCs w:val="20"/>
          <w:color w:val="auto"/>
        </w:rPr>
      </w:pPr>
    </w:p>
    <w:p>
      <w:pPr>
        <w:ind w:right="60" w:firstLine="749"/>
        <w:spacing w:after="0" w:line="268" w:lineRule="auto"/>
        <w:rPr>
          <w:sz w:val="20"/>
          <w:szCs w:val="20"/>
          <w:color w:val="auto"/>
        </w:rPr>
      </w:pPr>
      <w:r>
        <w:rPr>
          <w:rFonts w:ascii="Arial" w:cs="Arial" w:eastAsia="Arial" w:hAnsi="Arial"/>
          <w:sz w:val="17"/>
          <w:szCs w:val="17"/>
          <w:color w:val="auto"/>
        </w:rPr>
        <w:t>Our cash flow is subject to the receipt of sufficient funding of and timely payment by contracting governmental entities. If the contracting governmental agency does not receive sufficient appropriations to cover its contractual obligations, it may terminate our contract or delay or reduce payment to us. Any delays in payment, or the termination of a contract, could have a material adverse effect on our cash flow and financial condition, which may make it difficult to satisfy our payment obligations on our indebtedness, including the 10.500% Public Second Lien Notes, 9.500% Private Second Lien Notes, 6.50% Exchangeable Senior Notes, the 6.00% Senior Notes, the 5.875% Senior Notes and the Exchange Credit Agreement and senior credit facility, in a timely manner. In addition, as a result of, among other things, recent economic developments caused by the COVID-19 pandemic, domestically, federal, state and local governments have encountered, and may continue to encounter, unusual budgetary constraints. As a result, a number of state and local governments may be under pressure to control additional spending or reduce current levels of spending which could limit or eliminate appropriations for the facilities that we operate. Additionally, as a result of these factors, we may be requested in the future to reduce our existing per diem contract rates or forego prospective increases to those rates. Budgetary limitations may also make it more difficult for us to renew our existing contracts on favorable terms or at all. Further, a number of states and foreign governments in which we operate may experience budget constraints for fiscal year 2023. We cannot assure you that these constraints would not result in reductions in per diems, delays in payment for services rendered or unilateral termination of contracts.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publicity may negatively impact our ability to retain existing contracts and obtain new contracts.</w:t>
      </w:r>
    </w:p>
    <w:p>
      <w:pPr>
        <w:spacing w:after="0" w:line="225" w:lineRule="exact"/>
        <w:rPr>
          <w:sz w:val="20"/>
          <w:szCs w:val="20"/>
          <w:color w:val="auto"/>
        </w:rPr>
      </w:pPr>
    </w:p>
    <w:p>
      <w:pPr>
        <w:ind w:right="220" w:firstLine="749"/>
        <w:spacing w:after="0" w:line="273" w:lineRule="auto"/>
        <w:rPr>
          <w:sz w:val="20"/>
          <w:szCs w:val="20"/>
          <w:color w:val="auto"/>
        </w:rPr>
      </w:pPr>
      <w:r>
        <w:rPr>
          <w:rFonts w:ascii="Arial" w:cs="Arial" w:eastAsia="Arial" w:hAnsi="Arial"/>
          <w:sz w:val="17"/>
          <w:szCs w:val="17"/>
          <w:color w:val="auto"/>
        </w:rPr>
        <w:t>Any negative publicity about an escape, riot, other disturbance, pandemic outbreak, death or injury of a detainee, or perceived conditions and access to health care and other services at a facility, including any work program at a facility, under a public-private partnership, any failures experienced by our electronic monitoring services and any negative publicity about a crime or disturbance occurring during a failure of service or the loss or unauthorized access to any of the data we maintain in the course of providing our services may result in publicity adverse to us and public-private partnerships in general. Any of these occurrences or continued trends may make it more difficult for us to renew existing contracts or to obtain new contracts or could result in the termination of an existing contract or the closure of one or more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ind w:right="240"/>
        <w:spacing w:after="0" w:line="277" w:lineRule="auto"/>
        <w:rPr>
          <w:sz w:val="20"/>
          <w:szCs w:val="20"/>
          <w:color w:val="auto"/>
        </w:rPr>
      </w:pPr>
      <w:r>
        <w:rPr>
          <w:rFonts w:ascii="Arial" w:cs="Arial" w:eastAsia="Arial" w:hAnsi="Arial"/>
          <w:sz w:val="18"/>
          <w:szCs w:val="18"/>
          <w:color w:val="auto"/>
        </w:rPr>
        <w:t>of our facilities, which could have a material adverse effect on our business. Such negative events may also result in a significant increase in our liability insurance costs.</w:t>
      </w: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incur significant start-up and operating costs on new contracts before receiving related revenues, which may impact our cash flows and not be recouped.</w:t>
      </w:r>
    </w:p>
    <w:p>
      <w:pPr>
        <w:spacing w:after="0" w:line="169" w:lineRule="exact"/>
        <w:rPr>
          <w:sz w:val="20"/>
          <w:szCs w:val="20"/>
          <w:color w:val="auto"/>
        </w:rPr>
      </w:pPr>
    </w:p>
    <w:p>
      <w:pPr>
        <w:ind w:right="20" w:firstLine="749"/>
        <w:spacing w:after="0" w:line="273" w:lineRule="auto"/>
        <w:rPr>
          <w:sz w:val="20"/>
          <w:szCs w:val="20"/>
          <w:color w:val="auto"/>
        </w:rPr>
      </w:pPr>
      <w:r>
        <w:rPr>
          <w:rFonts w:ascii="Arial" w:cs="Arial" w:eastAsia="Arial" w:hAnsi="Arial"/>
          <w:sz w:val="17"/>
          <w:szCs w:val="17"/>
          <w:color w:val="auto"/>
        </w:rPr>
        <w:t>When we are awarded a contract to manage a facility, we may incur significant start-up and operating expenses, including the cost of constructing the facility, purchasing equipment and staffing the facility, before we receive any payments under the contract. These expenditures could result in a significant reduction in our cash reserves and may make it more difficult for us to meet other cash obligations, including our payment obligations on the 10.500% Public Second Lien Notes, 9.500% Private Second Lien Notes, 6.50% Exchangeable Senior Notes, the 6.00% Senior Notes, the 5.875% Senior Notes and the Exchange Credit Agreement and senior credit facility. In addition, a contract may be terminated prior to its scheduled expiration and as a result we may not recover these expenditures or realize any return on our investment.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community opposition to facility locations, which may adversely affect our ability to obtain new contracts.</w:t>
      </w:r>
    </w:p>
    <w:p>
      <w:pPr>
        <w:spacing w:after="0" w:line="225" w:lineRule="exact"/>
        <w:rPr>
          <w:sz w:val="20"/>
          <w:szCs w:val="20"/>
          <w:color w:val="auto"/>
        </w:rPr>
      </w:pPr>
    </w:p>
    <w:p>
      <w:pPr>
        <w:ind w:right="60" w:firstLine="749"/>
        <w:spacing w:after="0" w:line="293" w:lineRule="auto"/>
        <w:rPr>
          <w:sz w:val="20"/>
          <w:szCs w:val="20"/>
          <w:color w:val="auto"/>
        </w:rPr>
      </w:pPr>
      <w:r>
        <w:rPr>
          <w:rFonts w:ascii="Arial" w:cs="Arial" w:eastAsia="Arial" w:hAnsi="Arial"/>
          <w:sz w:val="16"/>
          <w:szCs w:val="16"/>
          <w:color w:val="auto"/>
        </w:rPr>
        <w:t>Our success in obtaining new awards and contracts sometimes depends, in part, upon our ability to locate land that can be leased or acquired, on economically favorable terms, by us or other entities working with us in conjunction with our proposal to construct and/or manage a facility. Some locations may be in or near populous areas and, therefore, may generate legal action or other forms of opposition from residents in areas surrounding a proposed site. When we select the intended project site, we attempt to conduct business in communities where local leaders and residents generally support the establishment of a new project. Future efforts to find suitable host communities may not be successful. In many cases, the site selection is made by the contracting governmental entity. In such cases, site selection may be made for reasons related to economic development interests.</w:t>
      </w:r>
    </w:p>
    <w:p>
      <w:pPr>
        <w:spacing w:after="0" w:line="23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Natural disasters, pandemic outbreaks, global political events and other serious catastrophic events could disrupt operations and otherwise materially adversely affect our business and financial condition.</w:t>
      </w:r>
    </w:p>
    <w:p>
      <w:pPr>
        <w:spacing w:after="0" w:line="169" w:lineRule="exact"/>
        <w:rPr>
          <w:sz w:val="20"/>
          <w:szCs w:val="20"/>
          <w:color w:val="auto"/>
        </w:rPr>
      </w:pPr>
    </w:p>
    <w:p>
      <w:pPr>
        <w:ind w:right="60" w:firstLine="749"/>
        <w:spacing w:after="0" w:line="253" w:lineRule="auto"/>
        <w:rPr>
          <w:sz w:val="20"/>
          <w:szCs w:val="20"/>
          <w:color w:val="auto"/>
        </w:rPr>
      </w:pPr>
      <w:r>
        <w:rPr>
          <w:rFonts w:ascii="Arial" w:cs="Arial" w:eastAsia="Arial" w:hAnsi="Arial"/>
          <w:sz w:val="18"/>
          <w:szCs w:val="18"/>
          <w:color w:val="auto"/>
        </w:rPr>
        <w:t>As an owner and operator of secure facilities, processing centers and community reentry centers with operations in many states throughout the United States and multiple foreign countries, we are subject to numerous risks outside of our control, including risks arising from natural disasters, pandemic outbreaks, such as the COVID-19 pandemic, and other global health emergencies or disruptive global political events, including terrorist activity and war, or similar disruptions that could materially adversely affect our business and financial performance. Such occurrences can result in destruction or damage to our secure facilities, processing centers and community reentry centers and our information systems, disruption of our operations, require the evacuation of detainees or our personnel, and require the adoption of specific health protocols or treatments to safeguard the health of our detainees or personnel. Although it is not possible to predict such events or their consequences, these events could materially adversely affect our reputation, business and financial condition.</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international operations expose us to risks that could materially adversely affect our financial condition and results of operations.</w:t>
      </w:r>
    </w:p>
    <w:p>
      <w:pPr>
        <w:spacing w:after="0" w:line="236" w:lineRule="exact"/>
        <w:rPr>
          <w:sz w:val="20"/>
          <w:szCs w:val="20"/>
          <w:color w:val="auto"/>
        </w:rPr>
      </w:pPr>
    </w:p>
    <w:p>
      <w:pPr>
        <w:ind w:right="220" w:firstLine="749"/>
        <w:spacing w:after="0" w:line="275" w:lineRule="auto"/>
        <w:rPr>
          <w:sz w:val="20"/>
          <w:szCs w:val="20"/>
          <w:color w:val="auto"/>
        </w:rPr>
      </w:pPr>
      <w:r>
        <w:rPr>
          <w:rFonts w:ascii="Arial" w:cs="Arial" w:eastAsia="Arial" w:hAnsi="Arial"/>
          <w:sz w:val="17"/>
          <w:szCs w:val="17"/>
          <w:color w:val="auto"/>
        </w:rPr>
        <w:t>For the years ended December 31, 2022 and 2021, our international operations, including facility design and construction, accounted for approximately 8% and 9%, respectively, of our consolidated revenues from operations. We face risks associated with our operations outside the United States. These risks include, among others, political and economic instability, exchange rate fluctuations, taxes, duties and the laws or regulations in those foreign jurisdictions in which we operate. In the event that we experience any difficulties arising from our operations in foreign markets, our business, financial condition and results of operations may be materially adversely affected.</w:t>
      </w:r>
    </w:p>
    <w:p>
      <w:pPr>
        <w:spacing w:after="0" w:line="24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conduct certain of our operations through joint ventures or consortiums, which may lead to disagreements with our joint venture partners or business partners and adversely affect our interest in the joint ventures or consortiums.</w:t>
      </w:r>
    </w:p>
    <w:p>
      <w:pPr>
        <w:spacing w:after="0" w:line="169"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We conduct our operations in South Africa through our consolidated joint venture, SACM, and through our 50% owned and unconsolidated joint venture South African Custodial Services Pty. Limited, referred to as SACS. We conduct our escort and related custody services in the United Kingdom through our 50% owned and unconsolidated joint venture in GEOAmey PECS Limited, which we refer to as GEOAmey. We may enter into additional joint ventures in the future. Although we have the majority vote in our consolidated joint venture, SACM, through our ownership of 62.5% of the voting shares, we share equal voting control on all significant matters to come before SACS. We also share equal voting control on all significant matters to come before GEOAmey. We are conducting certain operations in Victoria, Australia through a consortium comprised of our wholly owned subsidiary, GEO Australia, Forensic Care and Honeywell. The consortium is managing a 1,300-bed facility in Ravenhall, a location near Melbourne, Australia which was completed in November 2017. These joint venture partners, as well as any future partners, may have interests that are different from ours which may result in conflicting views as to the conduct of the business of the joint venture or consortium. In the event that we have a disagreement with a joint venture partner or consortium business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6" w:name="page37"/>
    <w:bookmarkEnd w:id="36"/>
    <w:p>
      <w:pPr>
        <w:ind w:right="120"/>
        <w:spacing w:after="0" w:line="286" w:lineRule="auto"/>
        <w:rPr>
          <w:sz w:val="20"/>
          <w:szCs w:val="20"/>
          <w:color w:val="auto"/>
        </w:rPr>
      </w:pPr>
      <w:r>
        <w:rPr>
          <w:rFonts w:ascii="Arial" w:cs="Arial" w:eastAsia="Arial" w:hAnsi="Arial"/>
          <w:sz w:val="17"/>
          <w:szCs w:val="17"/>
          <w:color w:val="auto"/>
        </w:rPr>
        <w:t>partner as to the resolution of a particular issue to come before the joint venture or consortium, or as to the management or conduct of the business of the joint venture or consortium in general, we may not be able to resolve such disagreement in our favor and such disagreement could have a material adverse effect on our interest in the joint venture or consortium or the business of the joint venture or consortium in general.</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rising cost and increasing difficulty of obtaining adequate levels of surety credit on favorable terms could adversely affect our operating results.</w:t>
      </w:r>
    </w:p>
    <w:p>
      <w:pPr>
        <w:spacing w:after="0" w:line="259"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We are often required to post performance bonds issued by a surety company as a condition to bidding on or being awarded a facility development contract. Availability and pricing of these surety commitments is subject to general market and industry conditions, among other factors. If we are unable to effectively pass along surety costs to our customers, any increase in surety costs could adversely affect our operating results. In addition, we may not continue to have access to surety credit or be able to secure bonds economically, without additional collateral, or at the levels required for any potential facility development or contract bids. If we are unable to obtain adequate levels of surety credit on favorable terms, we would have to rely upon letters of credit under our Senior Credit Facility, which would entail higher costs even if such borrowing capacity was available when desired, and our ability to bid for or obtain new contracts could be impaired.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our senior management and our ability to attract and retain sufficient qualified personnel.</w:t>
      </w:r>
    </w:p>
    <w:p>
      <w:pPr>
        <w:spacing w:after="0" w:line="225"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We are dependent upon the continued service of each member of our senior management team, including George C. Zoley, Ph.D., our Executive Chairman, Jose Gordo, our Chief Executive Officer, Brian R. Evans, our Senior Vice President and Chief Financial Officer, James H. Black, our Senior Vice President and President, Secure Services, Wayne Calabrese, our Senior Vice President and Chief Operating Officer, Matthew Albence, our Senior Vice President, Client Relations and also our other executive officers. The unexpected loss of Dr. Zoley, Mr. Gordo, Mr. Evans or any other key member of our senior management team could materially adversely affect our business, financial condition or results of operations.</w:t>
      </w:r>
    </w:p>
    <w:p>
      <w:pPr>
        <w:spacing w:after="0" w:line="175" w:lineRule="exact"/>
        <w:rPr>
          <w:sz w:val="20"/>
          <w:szCs w:val="20"/>
          <w:color w:val="auto"/>
        </w:rPr>
      </w:pPr>
    </w:p>
    <w:p>
      <w:pPr>
        <w:ind w:right="80" w:firstLine="749"/>
        <w:spacing w:after="0" w:line="286" w:lineRule="auto"/>
        <w:rPr>
          <w:sz w:val="20"/>
          <w:szCs w:val="20"/>
          <w:color w:val="auto"/>
        </w:rPr>
      </w:pPr>
      <w:r>
        <w:rPr>
          <w:rFonts w:ascii="Arial" w:cs="Arial" w:eastAsia="Arial" w:hAnsi="Arial"/>
          <w:sz w:val="16"/>
          <w:szCs w:val="16"/>
          <w:color w:val="auto"/>
        </w:rPr>
        <w:t>In addition, the services we provide are labor-intensive. When we are awarded a facility management contract or open a new facility, depending on the service we have been contracted to provide, we may need to hire operating, management, correctional officers, security staff, physicians, nurses and other qualified personnel. Our business is labor intensive, and some of our operations may experience a high rate of employee turnover from time to time. We believe there is currently a labor shortage impacting both publicly operated and privately operated secure facilities, processing centers and community reentry centers. It can be challenging for us to find appropriately skilled and qualified personnel at affordable rates. We may be unable to hire and retain a sufficiently skilled labor force to support our operating needs, our contractual requirements and our growth strategy. A labor shortage could negatively affect our ability to efficiently operate our facilities and our overall business. Any such shortage may adversely impact our ability to serve our customers effectively. Our labor and training expenses could increase as a result of a shortage in the supply of skilled personnel and an increase in the compensation we will need to pay to attract and retain such personnel and such compensation expenses may not be covered by our governmental customers, which could adversely affect our profitability. The success of our business requires that we attract, develop and retain our personnel. Our inability to hire sufficient qualified personnel on a timely basis or the loss of significant numbers of personnel at existing facilities could have a material effect on our business, financial condition or results of operations. If we were to be unable to fully staff or fill vacancies on a timely basis in our secure facilities, processing centers and community reentry centers, it could result in negative consequences, including requests by our government customers to provide a plan of correction, assessments of fines or other penalties under our contracts, or contract cancellations or non-renewals.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developments in our relationship with our employees could adversely affect our business, financial condition or results of operations.</w:t>
      </w:r>
    </w:p>
    <w:p>
      <w:pPr>
        <w:spacing w:after="0" w:line="248"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At December 31, 2022, approximately 47% of our workforce was covered by collective bargaining agreements and, as of such date, collective bargaining agreements with approximately 9% of our employees were set to expire in less than one year. While approximately 47% of our workforce is covered by collective bargaining agreements, increases in organizational activity or any future work stoppages could have a material adverse effect on our business, financial condition, or results of operations.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profitability may be materially adversely affected by inflation.</w:t>
      </w:r>
    </w:p>
    <w:p>
      <w:pPr>
        <w:spacing w:after="0" w:line="225"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Many of our facility management contracts provide for fixed management fees or fees that increase by only small amounts during their terms. While a substantial portion of our cost structure is generally fixed, if, due to inflation or other causes, our operating expenses, such as costs relating to personnel, utilities, insurance, medical and food, increase at rates faster than increases, if any, in our facility management fees, then our profitability could be materially adversely affected.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Risks Related to our Corporate Tax Structure</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obligation to pay income taxes increased beginning with our taxable year ended December 31, 2021, which will result in a reduction to our earnings, and could have negative consequences to us.</w:t>
      </w:r>
    </w:p>
    <w:p>
      <w:pPr>
        <w:spacing w:after="0" w:line="169" w:lineRule="exact"/>
        <w:rPr>
          <w:sz w:val="20"/>
          <w:szCs w:val="20"/>
          <w:color w:val="auto"/>
        </w:rPr>
      </w:pPr>
    </w:p>
    <w:p>
      <w:pPr>
        <w:ind w:right="20" w:firstLine="749"/>
        <w:spacing w:after="0" w:line="273" w:lineRule="auto"/>
        <w:rPr>
          <w:sz w:val="20"/>
          <w:szCs w:val="20"/>
          <w:color w:val="auto"/>
        </w:rPr>
      </w:pPr>
      <w:r>
        <w:rPr>
          <w:rFonts w:ascii="Arial" w:cs="Arial" w:eastAsia="Arial" w:hAnsi="Arial"/>
          <w:sz w:val="17"/>
          <w:szCs w:val="17"/>
          <w:color w:val="auto"/>
        </w:rPr>
        <w:t>We terminated our REIT election and became a taxable C corporation effective for the taxable year ended December 31, 2021. As a result, we will not be allowed a deduction for dividends paid to our stockholders in computing our taxable income and will be subject to U.S. federal and state income tax on our taxable income at corporate tax rates. This could impair our ability to satisfy our financial obligations and negatively impact the price of our securities. This treatment could also reduce our net earnings available for investment or distribution to our stockholders because of the additional tax liability to us. Further, federal and state income tax rates could increase in the future, exacerbating these risks. We also will be disqualified from electing REIT status under the Internal Revenue Code of 1986, as amended, or the Code, through December 31, 2025.</w:t>
      </w:r>
    </w:p>
    <w:p>
      <w:pPr>
        <w:spacing w:after="0" w:line="392"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b w:val="1"/>
          <w:bCs w:val="1"/>
          <w:i w:val="1"/>
          <w:iCs w:val="1"/>
          <w:color w:val="auto"/>
        </w:rPr>
        <w:t>We may fail to realize the anticipated benefits of terminating our REIT election and becoming a taxable C corporation effective for our fiscal year ended December 31, 2021, or those benefits may take longer to realize than expected, if at all, or may not offset the costs of terminating our REIT election and becoming a taxable C Corporation.</w:t>
      </w:r>
    </w:p>
    <w:p>
      <w:pPr>
        <w:spacing w:after="0" w:line="183" w:lineRule="exact"/>
        <w:rPr>
          <w:sz w:val="20"/>
          <w:szCs w:val="20"/>
          <w:color w:val="auto"/>
        </w:rPr>
      </w:pPr>
    </w:p>
    <w:p>
      <w:pPr>
        <w:ind w:right="40" w:firstLine="749"/>
        <w:spacing w:after="0" w:line="270" w:lineRule="auto"/>
        <w:rPr>
          <w:sz w:val="20"/>
          <w:szCs w:val="20"/>
          <w:color w:val="auto"/>
        </w:rPr>
      </w:pPr>
      <w:r>
        <w:rPr>
          <w:rFonts w:ascii="Arial" w:cs="Arial" w:eastAsia="Arial" w:hAnsi="Arial"/>
          <w:sz w:val="17"/>
          <w:szCs w:val="17"/>
          <w:color w:val="auto"/>
        </w:rPr>
        <w:t>We believe that terminating our REIT election and becoming a taxable C corporation will, among other things, provide us with greater flexibility to use our free cash flows as we will no longer be required to operate under the REIT rules, including the requirement to distribute at least 90% of our taxable income to our stockholders. However, the amount of our free cash flows may not meet our expectations, which may reduce, or eliminate, the anticipated benefits of the transition from a REIT to a taxable C corporation. For example, if our cash flows do not meet our expectations, we may be unable to deleverage as quickly as we desire. Moreover, there can be no assurance that the anticipated benefits of the transition from a REIT to a taxable C corporation will offset its costs, which could be greater than we expect. Our failure to achieve the anticipated benefits of the transition from a REIT to a taxable C corporation at all, or in a timely manner, or a failure of any benefits realized to offset the costs, could negatively affect our business, financial condition, results of operations or the market price of our common stock.</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failed to qualify as a REIT for those years for which we elected REIT status, we would be subject to corporate income taxes and would not be able to deduct distributions to stockholders when computing our taxable income for those years.</w:t>
      </w:r>
    </w:p>
    <w:p>
      <w:pPr>
        <w:spacing w:after="0" w:line="169"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We operated in a manner that was intended to allow us to qualify as a REIT for federal income tax purposes during those years we elected REIT status, the fiscal years ended December 1, 2013 through December 31, 2020. However, we cannot assure you that we qualified as a REIT during those years. Qualification as a REIT required us to satisfy numerous requirements established under highly technical and complex sections of the Code for which there are only limited judicial and administrative interpretations, and involved the determination of various factual matters and circumstances not entirely within our control. For example, to qualify as a REIT, the REIT must derive at least 95% of its gross income in any year from qualifying sources. In addition, a REIT is required to distribute annually to its stockholders at least 90% of its REIT taxable income (determined without regard to the dividends paid deduction and by excluding capital gains) and must satisfy specified asset tests on a quarterly basis. We received a favorable private letter ruling from the Internal Revenue Service, or ("IRS"), with respect to certain issues relevant to our qualification as a REIT. Although we may generally rely upon the ruling, no assurance can be given that the IRS will not challenge our qualification as a REIT during those taxable years in which we elected REIT status on the basis of other issues or facts outside the scope of the ruling.</w:t>
      </w:r>
    </w:p>
    <w:p>
      <w:pPr>
        <w:spacing w:after="0" w:line="182" w:lineRule="exact"/>
        <w:rPr>
          <w:sz w:val="20"/>
          <w:szCs w:val="20"/>
          <w:color w:val="auto"/>
        </w:rPr>
      </w:pPr>
    </w:p>
    <w:p>
      <w:pPr>
        <w:ind w:right="20" w:firstLine="749"/>
        <w:spacing w:after="0" w:line="296" w:lineRule="auto"/>
        <w:rPr>
          <w:sz w:val="20"/>
          <w:szCs w:val="20"/>
          <w:color w:val="auto"/>
        </w:rPr>
      </w:pPr>
      <w:r>
        <w:rPr>
          <w:rFonts w:ascii="Arial" w:cs="Arial" w:eastAsia="Arial" w:hAnsi="Arial"/>
          <w:sz w:val="16"/>
          <w:szCs w:val="16"/>
          <w:color w:val="auto"/>
        </w:rPr>
        <w:t>If we failed to qualify as a REIT in any taxable year we elected REIT status, we would be subject to federal income tax (including any applicable alternative minimum tax for years before 2018) on our taxable income computed in the usual manner for regular corporate taxpayers without deduction for distributions to our shareholders, and we may need to borrow additional funds or issue securities to pay such additional tax liability. Any such corporate income tax liability could be substantial and would reduce the amount of cash available for other purposes, because, unless we are entitled to relief under certain statutory provisions, we would be taxable as a C Corporation, beginning in the year in which the failure occurred.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qualified as a REIT for those years for which we elected REIT status, we may owe taxes under certain circumstances.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8" w:name="page39"/>
    <w:bookmarkEnd w:id="38"/>
    <w:p>
      <w:pPr>
        <w:ind w:firstLine="749"/>
        <w:spacing w:after="0" w:line="270" w:lineRule="auto"/>
        <w:rPr>
          <w:sz w:val="20"/>
          <w:szCs w:val="20"/>
          <w:color w:val="auto"/>
        </w:rPr>
      </w:pPr>
      <w:r>
        <w:rPr>
          <w:rFonts w:ascii="Arial" w:cs="Arial" w:eastAsia="Arial" w:hAnsi="Arial"/>
          <w:sz w:val="17"/>
          <w:szCs w:val="17"/>
          <w:color w:val="auto"/>
        </w:rPr>
        <w:t>Even if we qualified as a REIT for those years we elected REIT status, we were subject to certain U.S. federal, state and local taxes on our income and property, including on taxable income that we did not distribute to our shareholders, and on net income from certain "prohibited transactions". In addition, the REIT provisions of the Code are complex and are not always subject to clear interpretation. For example, a REIT must derive at least 95% of its gross income in any year from qualifying sources, including rents from real property. Rents from real property include amounts received for the use of limited amounts of personal property and for certain services. Whether amounts constitute rents from real property or other qualifying income may not be entirely clear in all cases. We may fail to qualify as a REIT for those years we elected REIT status if we exceeded the permissible amounts of non-qualifying income unless such failures qualify for relief under certain statutory relief provisions. Even if we qualify for statutory relief, we may be required to pay an excise or penalty tax (which could be significant in amount) in order to utilize one or more such relief provisions under the Code to maintain our qualification as a REIT for those years we elected REIT status.</w:t>
      </w:r>
    </w:p>
    <w:p>
      <w:pPr>
        <w:spacing w:after="0" w:line="178" w:lineRule="exact"/>
        <w:rPr>
          <w:sz w:val="20"/>
          <w:szCs w:val="20"/>
          <w:color w:val="auto"/>
        </w:rPr>
      </w:pPr>
    </w:p>
    <w:p>
      <w:pPr>
        <w:ind w:right="140" w:firstLine="749"/>
        <w:spacing w:after="0" w:line="253" w:lineRule="auto"/>
        <w:rPr>
          <w:sz w:val="20"/>
          <w:szCs w:val="20"/>
          <w:color w:val="auto"/>
        </w:rPr>
      </w:pPr>
      <w:r>
        <w:rPr>
          <w:rFonts w:ascii="Arial" w:cs="Arial" w:eastAsia="Arial" w:hAnsi="Arial"/>
          <w:sz w:val="18"/>
          <w:szCs w:val="18"/>
          <w:color w:val="auto"/>
        </w:rPr>
        <w:t>Performing services through our TRSs during those years we elected REIT status may increase our overall tax liability or subject us to certain excise taxes. A TRS may hold assets and earn income, including income earned from the performance of correctional services, that would not be qualifying assets or income if held or earned directly by a REIT. During those years for which we elected REIT status, we conducted a significant portion of our business activities through our TRSs. Our TRSs were subject to federal, foreign, state and local income tax on their taxable income, and their after-tax net income generally was available for distribution to us but was not required to be distributed to us. The TRS rules also impose a 100% excise tax on certain transactions between a TRS and its parent REIT that are not conducted on an arm's-length basis. We believe our arrangements with our TRSs were on arm's-length terms. If it is determined that our arrangements with our TRSs were not on an arm's-length terms, we would be subject to the 100% excise tax on applicable transactions.</w:t>
      </w:r>
    </w:p>
    <w:p>
      <w:pPr>
        <w:spacing w:after="0" w:line="196" w:lineRule="exact"/>
        <w:rPr>
          <w:sz w:val="20"/>
          <w:szCs w:val="20"/>
          <w:color w:val="auto"/>
        </w:rPr>
      </w:pPr>
    </w:p>
    <w:p>
      <w:pPr>
        <w:ind w:right="20" w:firstLine="749"/>
        <w:spacing w:after="0" w:line="256" w:lineRule="auto"/>
        <w:rPr>
          <w:sz w:val="20"/>
          <w:szCs w:val="20"/>
          <w:color w:val="auto"/>
        </w:rPr>
      </w:pPr>
      <w:r>
        <w:rPr>
          <w:rFonts w:ascii="Arial" w:cs="Arial" w:eastAsia="Arial" w:hAnsi="Arial"/>
          <w:sz w:val="18"/>
          <w:szCs w:val="18"/>
          <w:color w:val="auto"/>
        </w:rPr>
        <w:t>The value of the securities we owned in our TRSs during those years for which we elected REIT status was limited under the REIT asset tests. Under the Code, no more than 20% of the value of the gross assets of a REIT may be represented by securities of one or more TRSs. This limitation affected our ability to increase the size of our TRSs' operations and assets during those years that we elected REIT status, and there can be no assurance that we were able to comply with this limitation. If it is determined that we were unable to comply with this limitation, we would fail to qualify as a REIT for those years for which we elected REIT status.</w:t>
      </w:r>
    </w:p>
    <w:p>
      <w:pPr>
        <w:spacing w:after="0" w:line="191" w:lineRule="exact"/>
        <w:rPr>
          <w:sz w:val="20"/>
          <w:szCs w:val="20"/>
          <w:color w:val="auto"/>
        </w:rPr>
      </w:pPr>
    </w:p>
    <w:p>
      <w:pPr>
        <w:ind w:right="100" w:firstLine="749"/>
        <w:spacing w:after="0" w:line="254" w:lineRule="auto"/>
        <w:rPr>
          <w:sz w:val="20"/>
          <w:szCs w:val="20"/>
          <w:color w:val="auto"/>
        </w:rPr>
      </w:pPr>
      <w:r>
        <w:rPr>
          <w:rFonts w:ascii="Arial" w:cs="Arial" w:eastAsia="Arial" w:hAnsi="Arial"/>
          <w:sz w:val="18"/>
          <w:szCs w:val="18"/>
          <w:color w:val="auto"/>
        </w:rPr>
        <w:t>The tax imposed on REITs engaging in "prohibited transactions" limited our ability to engage in transactions which would be treated as sales for federal income tax purposes during those years for which we elected REIT status. A REIT's net income from prohibited transactions is subject to a 100% penalty tax. In general, prohibited transactions are sales or other dispositions of property, other than foreclosure property, held primarily for sale to customers in the ordinary course of business. Although we do not believe that we held any properties that would be characterized as held for sale to customers in the ordinary course of our business during those years for which we elected REIT status, unless the sale or disposition qualified under certain statutory safe harbors, such characterization is a factual determination and no guarantee can be given that the IRS would agree with our characterization of our properties.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Real Estate and Construction Matters</w:t>
      </w:r>
    </w:p>
    <w:p>
      <w:pPr>
        <w:spacing w:after="0" w:line="29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Various risks associated with the ownership of real estate may increase costs, expose us to uninsured losses and adversely affect our financial condition and results of operations.</w:t>
      </w:r>
    </w:p>
    <w:p>
      <w:pPr>
        <w:spacing w:after="0" w:line="169" w:lineRule="exact"/>
        <w:rPr>
          <w:sz w:val="20"/>
          <w:szCs w:val="20"/>
          <w:color w:val="auto"/>
        </w:rPr>
      </w:pPr>
    </w:p>
    <w:p>
      <w:pPr>
        <w:ind w:right="40" w:firstLine="749"/>
        <w:spacing w:after="0" w:line="270" w:lineRule="auto"/>
        <w:rPr>
          <w:sz w:val="20"/>
          <w:szCs w:val="20"/>
          <w:color w:val="auto"/>
        </w:rPr>
      </w:pPr>
      <w:r>
        <w:rPr>
          <w:rFonts w:ascii="Arial" w:cs="Arial" w:eastAsia="Arial" w:hAnsi="Arial"/>
          <w:sz w:val="17"/>
          <w:szCs w:val="17"/>
          <w:color w:val="auto"/>
        </w:rPr>
        <w:t>Our ownership of secure and processing facilities subjects us to risks typically associated with investments in real estate. Investments in real estate, and in particular, secure and processing facilities, are relatively illiquid and, therefore, our ability to divest ourselves of one or more of our facilities promptly in response to changed conditions is limited. Investments in secure and processing facilities, in particular, subject us to risks involving potential exposure to environmental liability and uninsured loss. Our operating costs may be affected by the obligation to pay for the cost of complying with existing environmental laws, ordinances and regulations, as well as the cost of complying with future legislation. In addition, although we maintain insurance for many types of losses, there are certain types of losses, such as losses from hurricanes, earthquakes, riots and acts of terrorism, which may be either uninsurable or for which it may not be economically feasible to obtain insurance coverage, in light of the substantial costs associated with such insurance. As a result, we could lose both our capital invested in, and anticipated profits from, one or more of the facilities we own. Further, even if we have insurance for a particular loss, we may experience losses that may exceed the limits of our coverage.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facility construction and development activities may increase our costs related to such activities.</w:t>
      </w:r>
    </w:p>
    <w:p>
      <w:pPr>
        <w:spacing w:after="0" w:line="225" w:lineRule="exact"/>
        <w:rPr>
          <w:sz w:val="20"/>
          <w:szCs w:val="20"/>
          <w:color w:val="auto"/>
        </w:rPr>
      </w:pPr>
    </w:p>
    <w:p>
      <w:pPr>
        <w:ind w:right="180" w:firstLine="749"/>
        <w:spacing w:after="0" w:line="307" w:lineRule="auto"/>
        <w:rPr>
          <w:sz w:val="20"/>
          <w:szCs w:val="20"/>
          <w:color w:val="auto"/>
        </w:rPr>
      </w:pPr>
      <w:r>
        <w:rPr>
          <w:rFonts w:ascii="Arial" w:cs="Arial" w:eastAsia="Arial" w:hAnsi="Arial"/>
          <w:sz w:val="17"/>
          <w:szCs w:val="17"/>
          <w:color w:val="auto"/>
        </w:rPr>
        <w:t>When we are engaged to perform construction and design services for a facility, we typically act as the primary contractor and subcontract with other companies who act as the general contractors. As primary contractor, we are subject to the various risks associated with</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ind w:right="220"/>
        <w:spacing w:after="0" w:line="279" w:lineRule="auto"/>
        <w:rPr>
          <w:sz w:val="20"/>
          <w:szCs w:val="20"/>
          <w:color w:val="auto"/>
        </w:rPr>
      </w:pPr>
      <w:r>
        <w:rPr>
          <w:rFonts w:ascii="Arial" w:cs="Arial" w:eastAsia="Arial" w:hAnsi="Arial"/>
          <w:sz w:val="17"/>
          <w:szCs w:val="17"/>
          <w:color w:val="auto"/>
        </w:rPr>
        <w:t>construction (including, without limitation, shortages of labor and materials, work stoppages, labor disputes and weather interference) which could cause construction delays. In addition, we are subject to the risk that the general contractor will be unable to complete construction within the level of budgeted costs or be unable to fund any excess construction costs, even though we typically require general contractors to post construction bonds and insurance. Under such contracts, we are ultimately liable for all late delivery penalties and cost overruns.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Capital Markets and its Impact on our Business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conditions in the capital markets could prevent us from obtaining financing, which could materially harm our business.</w:t>
      </w:r>
    </w:p>
    <w:p>
      <w:pPr>
        <w:spacing w:after="0" w:line="225"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Our ability to obtain additional financing is highly dependent on the conditions of the capital markets, among other things. The capital and credit markets have experienced significant periods of volatility and disruption since the Great Recession of 2007-2009, and more recently during 2020 and 2021 due to the impact of the COVID-19 pandemic. During this time period, the economic impacts observed have included a downturn in the equity and debt markets, a tightening of the credit markets, a general economic slowdown and other macroeconomic conditions, volatility in stock prices and currency exchange rates, inflation, concerns over sovereign debt levels abroad and in the U.S. and concerns over the failure to adequately address the federal deficit and the debt ceiling. If those macroeconomic conditions continue or worsen in the future, we could be prevented from raising additional capital or obtaining additional financing on satisfactory terms, or at all. If we need, but cannot obtain, adequate capital as a result of negative conditions in the capital markets or otherwise, our business, results of operations and/or financial condition could be materially adversely affected. Additionally, such inability to obtain capital could prevent us from pursuing attractive business development opportunities, including new facility constructions or expansions of existing facilities, and business or asset acquisitions.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Electronic Monitoring Products and Technology</w:t>
      </w:r>
    </w:p>
    <w:p>
      <w:pPr>
        <w:spacing w:after="0" w:line="30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Technological changes could cause our electronic monitoring products and technology to become obsolete or require the redesign of our electronic monitoring products, which could have a material adverse effect on our business.</w:t>
      </w:r>
    </w:p>
    <w:p>
      <w:pPr>
        <w:spacing w:after="0" w:line="169"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Technological changes within the electronic monitoring business in which we conduct business, such as the conversion from Code Division Multiple Access (CDMA) to Long Term Evolution (LTE) technology for cellular network connectivity in the near future, may require us to expend substantial resources in an effort to develop and/or utilize new electronic monitoring products and technology. We may not be able to anticipate or respond to technological changes in a timely manner, and our response may not result in successful electronic monitoring product development and timely product introductions. If we are unable to anticipate or timely respond to technological changes, our business could be adversely affected and could compromise our competitive position, particularly if our competitors announce or introduce new electronic monitoring products and services in advance of us. Additionally, new electronic monitoring products and technology face the uncertainty of customer acceptance and reaction from competitors.</w:t>
      </w:r>
    </w:p>
    <w:p>
      <w:pPr>
        <w:spacing w:after="0" w:line="23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Any negative changes in the level of acceptance of or resistance to the use of electronic monitoring products and services by governmental customers could have a material adverse effect on our business, financial condition and results of operations.</w:t>
      </w:r>
    </w:p>
    <w:p>
      <w:pPr>
        <w:spacing w:after="0" w:line="169" w:lineRule="exact"/>
        <w:rPr>
          <w:sz w:val="20"/>
          <w:szCs w:val="20"/>
          <w:color w:val="auto"/>
        </w:rPr>
      </w:pPr>
    </w:p>
    <w:p>
      <w:pPr>
        <w:ind w:right="100" w:firstLine="749"/>
        <w:spacing w:after="0" w:line="275" w:lineRule="auto"/>
        <w:rPr>
          <w:sz w:val="20"/>
          <w:szCs w:val="20"/>
          <w:color w:val="auto"/>
        </w:rPr>
      </w:pPr>
      <w:r>
        <w:rPr>
          <w:rFonts w:ascii="Arial" w:cs="Arial" w:eastAsia="Arial" w:hAnsi="Arial"/>
          <w:sz w:val="17"/>
          <w:szCs w:val="17"/>
          <w:color w:val="auto"/>
        </w:rPr>
        <w:t>Governmental customers use electronic monitoring products and services to monitor low risk offenders as a way to help reduce overcrowding in secure facilities, as a monitoring tool, and to promote public safety by imposing restrictions on movement and serving as a deterrent for alcohol usage. If the level of acceptance of or resistance to the use of electronic monitoring products and services by governmental customers were to change over time in a negative manner so that governmental customers decide to decrease their usage levels and contracting for electronic monitoring products and services, this could have a material adverse effect on our business, financial condition and results of operations.</w:t>
      </w:r>
    </w:p>
    <w:p>
      <w:pPr>
        <w:spacing w:after="0" w:line="24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depend on a limited number of third parties to manufacture and supply quality infrastructure components for our electronic monitoring products. If our suppliers cannot provide the components or services we require and with such quality as we expect, our ability to market and sell our electronic monitoring products and services could be harmed.</w:t>
      </w:r>
    </w:p>
    <w:p>
      <w:pPr>
        <w:spacing w:after="0" w:line="183" w:lineRule="exact"/>
        <w:rPr>
          <w:sz w:val="20"/>
          <w:szCs w:val="20"/>
          <w:color w:val="auto"/>
        </w:rPr>
      </w:pPr>
    </w:p>
    <w:p>
      <w:pPr>
        <w:ind w:right="20" w:firstLine="749"/>
        <w:spacing w:after="0" w:line="256" w:lineRule="auto"/>
        <w:rPr>
          <w:sz w:val="20"/>
          <w:szCs w:val="20"/>
          <w:color w:val="auto"/>
        </w:rPr>
      </w:pPr>
      <w:r>
        <w:rPr>
          <w:rFonts w:ascii="Arial" w:cs="Arial" w:eastAsia="Arial" w:hAnsi="Arial"/>
          <w:sz w:val="18"/>
          <w:szCs w:val="18"/>
          <w:color w:val="auto"/>
        </w:rPr>
        <w:t>If our suppliers fail to supply components in a timely manner that meets our quantity, quality, cost requirements, or technical specifications, we may not be able to access alternative sources of these components within a reasonable period of time or at commercially reasonable rates. Recently we have been affected by the current microchip shortage which has caused us to pivot to other technology solutions. A reduction or interruption in the supply of components, or a significant increase in the price of components, could have a material adverse effect on our marketing and sales initiatives, which could adversely affect our financial condition and results of operations.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ind w:right="180"/>
        <w:spacing w:after="0" w:line="277" w:lineRule="auto"/>
        <w:rPr>
          <w:sz w:val="20"/>
          <w:szCs w:val="20"/>
          <w:color w:val="auto"/>
        </w:rPr>
      </w:pPr>
      <w:r>
        <w:rPr>
          <w:rFonts w:ascii="Arial" w:cs="Arial" w:eastAsia="Arial" w:hAnsi="Arial"/>
          <w:sz w:val="18"/>
          <w:szCs w:val="18"/>
          <w:b w:val="1"/>
          <w:bCs w:val="1"/>
          <w:i w:val="1"/>
          <w:iCs w:val="1"/>
          <w:color w:val="auto"/>
        </w:rPr>
        <w:t>An inability to acquire, protect or maintain our intellectual property and patents in the electronic monitoring space could harm our ability to compete or grow.</w:t>
      </w:r>
    </w:p>
    <w:p>
      <w:pPr>
        <w:spacing w:after="0" w:line="169" w:lineRule="exact"/>
        <w:rPr>
          <w:sz w:val="20"/>
          <w:szCs w:val="20"/>
          <w:color w:val="auto"/>
        </w:rPr>
      </w:pPr>
    </w:p>
    <w:p>
      <w:pPr>
        <w:ind w:right="160" w:firstLine="749"/>
        <w:spacing w:after="0" w:line="286" w:lineRule="auto"/>
        <w:rPr>
          <w:sz w:val="20"/>
          <w:szCs w:val="20"/>
          <w:color w:val="auto"/>
        </w:rPr>
      </w:pPr>
      <w:r>
        <w:rPr>
          <w:rFonts w:ascii="Arial" w:cs="Arial" w:eastAsia="Arial" w:hAnsi="Arial"/>
          <w:sz w:val="17"/>
          <w:szCs w:val="17"/>
          <w:color w:val="auto"/>
        </w:rPr>
        <w:t>We have numerous United States and foreign patents issued as well as a number of United States patents pending in the electronic monitoring space. There can be no assurance that the protection afforded by these patents will provide us with a competitive advantage, prevent our competitors from duplicating our products, or that we will be able to assert our intellectual property rights in infringement actions.</w:t>
      </w:r>
    </w:p>
    <w:p>
      <w:pPr>
        <w:spacing w:after="0" w:line="164"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In addition, any of our patents may be challenged, invalidated, circumvented or rendered unenforceable. There can be no assurance that we will be successful should one or more of our patents be challenged for any reason. If our patent claims are rendered invalid or unenforceable, or narrowed in scope, the patent coverage afforded to our products could be impaired, which could significantly impede our ability to market our products, negatively affect our competitive position and harm our business and operating results.</w:t>
      </w:r>
    </w:p>
    <w:p>
      <w:pPr>
        <w:spacing w:after="0" w:line="185"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There can be no assurance that any pending or future patent applications held by us will result in an issued patent, or that if patents are issued to us, that such patents will provide meaningful protection against competitors or against competitive technologies. The issuance of a patent is not conclusive as to its validity or its enforceability. The United States federal courts or equivalent national courts or patent offices elsewhere may invalidate our patents or find them unenforceable. Competitors may also be able to design around our patents. Our patents and patent applications cover particular aspects of our products. Other parties may develop and obtain patent protection for more effective technologies, designs or methods. If these developments were to occur, it could have an adverse effect on our sales. We may not be able to prevent the unauthorized disclosure or use of our technical knowledge or trade secrets by consultants, vendors, former employees and current employees, despite the existence of nondisclosure and confidentiality agreements and other contractual restrictions. Furthermore, the laws of foreign countries may not protect our intellectual property rights effectively or to the same extent as the laws of the United States. If our intellectual property rights are not adequately protected, we may not be able to commercialize our technologies, products or services and our competitors could commercialize our technologies, which could result in a decrease in our sales and market share that would harm our business and operating results.</w:t>
      </w:r>
    </w:p>
    <w:p>
      <w:pPr>
        <w:spacing w:after="0" w:line="179"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Additionally, the expiration of any of our patents may reduce the barriers to entry into our electronic monitoring line of business and may result in loss of market share and a decrease in our competitive abilities, thus having a potential adverse effect on our financial condition, results of operations and cash flows.</w:t>
      </w:r>
    </w:p>
    <w:p>
      <w:pPr>
        <w:spacing w:after="0" w:line="263" w:lineRule="exact"/>
        <w:rPr>
          <w:sz w:val="20"/>
          <w:szCs w:val="20"/>
          <w:color w:val="auto"/>
        </w:rPr>
      </w:pPr>
    </w:p>
    <w:p>
      <w:pPr>
        <w:ind w:right="200"/>
        <w:spacing w:after="0" w:line="380" w:lineRule="auto"/>
        <w:rPr>
          <w:sz w:val="20"/>
          <w:szCs w:val="20"/>
          <w:color w:val="auto"/>
        </w:rPr>
      </w:pPr>
      <w:r>
        <w:rPr>
          <w:rFonts w:ascii="Arial" w:cs="Arial" w:eastAsia="Arial" w:hAnsi="Arial"/>
          <w:sz w:val="15"/>
          <w:szCs w:val="15"/>
          <w:b w:val="1"/>
          <w:bCs w:val="1"/>
          <w:i w:val="1"/>
          <w:iCs w:val="1"/>
          <w:color w:val="auto"/>
        </w:rPr>
        <w:t>Our electronic monitoring products could infringe on the intellectual property rights of others, which may lead to litigation that could itself be costly, could result in the payment of substantial damages or royalties, and/or prevent us from using technology that is essential to our products.</w:t>
      </w:r>
    </w:p>
    <w:p>
      <w:pPr>
        <w:spacing w:after="0" w:line="101" w:lineRule="exact"/>
        <w:rPr>
          <w:sz w:val="20"/>
          <w:szCs w:val="20"/>
          <w:color w:val="auto"/>
        </w:rPr>
      </w:pPr>
    </w:p>
    <w:p>
      <w:pPr>
        <w:ind w:right="40" w:firstLine="749"/>
        <w:spacing w:after="0" w:line="301" w:lineRule="auto"/>
        <w:rPr>
          <w:sz w:val="20"/>
          <w:szCs w:val="20"/>
          <w:color w:val="auto"/>
        </w:rPr>
      </w:pPr>
      <w:r>
        <w:rPr>
          <w:rFonts w:ascii="Arial" w:cs="Arial" w:eastAsia="Arial" w:hAnsi="Arial"/>
          <w:sz w:val="16"/>
          <w:szCs w:val="16"/>
          <w:color w:val="auto"/>
        </w:rPr>
        <w:t>There can be no assurance that our current products or products under development will not infringe any patent or other intellectual property rights of third parties. If infringement claims are brought against us, whether successfully or not, these assertions could distract management from other tasks important to the success of our business, necessitate us expending potentially significant funds and resources to defend or settle such claims and harm our reputation. We cannot be certain that we will have the financial resources to defend ourselves against any patent or other intellectual property litigation.</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addition, intellectual property litigation or claims could force us to do one or more of the following:</w:t>
      </w:r>
    </w:p>
    <w:p>
      <w:pPr>
        <w:spacing w:after="0" w:line="225" w:lineRule="exact"/>
        <w:rPr>
          <w:sz w:val="20"/>
          <w:szCs w:val="20"/>
          <w:color w:val="auto"/>
        </w:rPr>
      </w:pPr>
    </w:p>
    <w:p>
      <w:pPr>
        <w:ind w:left="1140" w:hanging="383"/>
        <w:spacing w:after="0"/>
        <w:tabs>
          <w:tab w:leader="none" w:pos="1140" w:val="left"/>
        </w:tabs>
        <w:numPr>
          <w:ilvl w:val="0"/>
          <w:numId w:val="24"/>
        </w:numPr>
        <w:rPr>
          <w:rFonts w:ascii="Arial" w:cs="Arial" w:eastAsia="Arial" w:hAnsi="Arial"/>
          <w:sz w:val="13"/>
          <w:szCs w:val="13"/>
          <w:color w:val="auto"/>
        </w:rPr>
      </w:pPr>
      <w:r>
        <w:rPr>
          <w:rFonts w:ascii="Arial" w:cs="Arial" w:eastAsia="Arial" w:hAnsi="Arial"/>
          <w:sz w:val="17"/>
          <w:szCs w:val="17"/>
          <w:color w:val="auto"/>
        </w:rPr>
        <w:t>cease selling or using any products that incorporate the asserted intellectual property, which would adversely affect our revenue;</w:t>
      </w:r>
    </w:p>
    <w:p>
      <w:pPr>
        <w:spacing w:after="0" w:line="128" w:lineRule="exact"/>
        <w:rPr>
          <w:rFonts w:ascii="Arial" w:cs="Arial" w:eastAsia="Arial" w:hAnsi="Arial"/>
          <w:sz w:val="13"/>
          <w:szCs w:val="13"/>
          <w:color w:val="auto"/>
        </w:rPr>
      </w:pPr>
    </w:p>
    <w:p>
      <w:pPr>
        <w:ind w:left="1140" w:hanging="383"/>
        <w:spacing w:after="0"/>
        <w:tabs>
          <w:tab w:leader="none" w:pos="1140" w:val="left"/>
        </w:tabs>
        <w:numPr>
          <w:ilvl w:val="0"/>
          <w:numId w:val="24"/>
        </w:numPr>
        <w:rPr>
          <w:rFonts w:ascii="Arial" w:cs="Arial" w:eastAsia="Arial" w:hAnsi="Arial"/>
          <w:sz w:val="14"/>
          <w:szCs w:val="14"/>
          <w:color w:val="auto"/>
        </w:rPr>
      </w:pPr>
      <w:r>
        <w:rPr>
          <w:rFonts w:ascii="Arial" w:cs="Arial" w:eastAsia="Arial" w:hAnsi="Arial"/>
          <w:sz w:val="18"/>
          <w:szCs w:val="18"/>
          <w:color w:val="auto"/>
        </w:rPr>
        <w:t>pay substantial damages for past use of the asserted intellectual property;</w:t>
      </w:r>
    </w:p>
    <w:p>
      <w:pPr>
        <w:spacing w:after="0" w:line="116" w:lineRule="exact"/>
        <w:rPr>
          <w:rFonts w:ascii="Arial" w:cs="Arial" w:eastAsia="Arial" w:hAnsi="Arial"/>
          <w:sz w:val="14"/>
          <w:szCs w:val="14"/>
          <w:color w:val="auto"/>
        </w:rPr>
      </w:pPr>
    </w:p>
    <w:p>
      <w:pPr>
        <w:ind w:left="1140" w:hanging="383"/>
        <w:spacing w:after="0"/>
        <w:tabs>
          <w:tab w:leader="none" w:pos="1140" w:val="left"/>
        </w:tabs>
        <w:numPr>
          <w:ilvl w:val="0"/>
          <w:numId w:val="24"/>
        </w:numPr>
        <w:rPr>
          <w:rFonts w:ascii="Arial" w:cs="Arial" w:eastAsia="Arial" w:hAnsi="Arial"/>
          <w:sz w:val="13"/>
          <w:szCs w:val="13"/>
          <w:color w:val="auto"/>
        </w:rPr>
      </w:pPr>
      <w:r>
        <w:rPr>
          <w:rFonts w:ascii="Arial" w:cs="Arial" w:eastAsia="Arial" w:hAnsi="Arial"/>
          <w:sz w:val="16"/>
          <w:szCs w:val="16"/>
          <w:color w:val="auto"/>
        </w:rPr>
        <w:t>obtain a license from the holder of the asserted intellectual property, which license may not be available on reasonable terms, if at all; or</w:t>
      </w:r>
    </w:p>
    <w:p>
      <w:pPr>
        <w:spacing w:after="0" w:line="139" w:lineRule="exact"/>
        <w:rPr>
          <w:rFonts w:ascii="Arial" w:cs="Arial" w:eastAsia="Arial" w:hAnsi="Arial"/>
          <w:sz w:val="13"/>
          <w:szCs w:val="13"/>
          <w:color w:val="auto"/>
        </w:rPr>
      </w:pPr>
    </w:p>
    <w:p>
      <w:pPr>
        <w:ind w:left="1140" w:right="140" w:hanging="383"/>
        <w:spacing w:after="0" w:line="277" w:lineRule="auto"/>
        <w:tabs>
          <w:tab w:leader="none" w:pos="1140" w:val="left"/>
        </w:tabs>
        <w:numPr>
          <w:ilvl w:val="0"/>
          <w:numId w:val="24"/>
        </w:numPr>
        <w:rPr>
          <w:rFonts w:ascii="Arial" w:cs="Arial" w:eastAsia="Arial" w:hAnsi="Arial"/>
          <w:sz w:val="14"/>
          <w:szCs w:val="14"/>
          <w:color w:val="auto"/>
        </w:rPr>
      </w:pPr>
      <w:r>
        <w:rPr>
          <w:rFonts w:ascii="Arial" w:cs="Arial" w:eastAsia="Arial" w:hAnsi="Arial"/>
          <w:sz w:val="18"/>
          <w:szCs w:val="18"/>
          <w:color w:val="auto"/>
        </w:rPr>
        <w:t>redesign or rename, in the case of trademark claims, our products to avoid infringing the intellectual property rights of third parties, which may not be possible and could be costly and time-consuming if it is possible to do.</w:t>
      </w:r>
    </w:p>
    <w:p>
      <w:pPr>
        <w:spacing w:after="0" w:line="169"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In the event of an adverse determination in an intellectual property suit or proceeding, or our failure to license essential technology, our sales could be harmed and/or our costs could increase, which would harm our financial condition.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40" w:right="359" w:bottom="1440" w:gutter="0" w:footer="0" w:header="0"/>
        </w:sectPr>
      </w:pPr>
    </w:p>
    <w:bookmarkStart w:id="41" w:name="page42"/>
    <w:bookmarkEnd w:id="41"/>
    <w:p>
      <w:pPr>
        <w:ind w:right="100"/>
        <w:spacing w:after="0" w:line="263" w:lineRule="auto"/>
        <w:rPr>
          <w:sz w:val="20"/>
          <w:szCs w:val="20"/>
          <w:color w:val="auto"/>
        </w:rPr>
      </w:pPr>
      <w:r>
        <w:rPr>
          <w:rFonts w:ascii="Arial" w:cs="Arial" w:eastAsia="Arial" w:hAnsi="Arial"/>
          <w:sz w:val="18"/>
          <w:szCs w:val="18"/>
          <w:b w:val="1"/>
          <w:bCs w:val="1"/>
          <w:i w:val="1"/>
          <w:iCs w:val="1"/>
          <w:color w:val="auto"/>
        </w:rPr>
        <w:t>We license intellectual property rights in the electronic monitoring space, including patents, from third party owners. If such owners do not properly maintain or enforce the intellectual property underlying such licenses, our competitive position and business prospects could be harmed. Our licensors may also seek to terminate our license.</w:t>
      </w:r>
    </w:p>
    <w:p>
      <w:pPr>
        <w:spacing w:after="0" w:line="183"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We are a party to a number of licenses that give us rights to third-party intellectual property that is necessary or useful to our business. Our success will depend in part on the ability of our licensors to obtain, maintain and enforce our licensed intellectual property. Our licensors may not successfully prosecute any applications for or maintain intellectual property to which we have licenses, may determine not to pursue litigation against other companies that are infringing such intellectual property, or may pursue such litigation less aggressively than we would. Without protection for the intellectual property we license, other companies might be able to offer similar products for sale, which could adversely affect our competitive business position and harm our business prospects.</w:t>
      </w:r>
    </w:p>
    <w:p>
      <w:pPr>
        <w:spacing w:after="0" w:line="191" w:lineRule="exact"/>
        <w:rPr>
          <w:sz w:val="20"/>
          <w:szCs w:val="20"/>
          <w:color w:val="auto"/>
        </w:rPr>
      </w:pPr>
    </w:p>
    <w:p>
      <w:pPr>
        <w:ind w:right="600" w:firstLine="749"/>
        <w:spacing w:after="0" w:line="277" w:lineRule="auto"/>
        <w:rPr>
          <w:sz w:val="20"/>
          <w:szCs w:val="20"/>
          <w:color w:val="auto"/>
        </w:rPr>
      </w:pPr>
      <w:r>
        <w:rPr>
          <w:rFonts w:ascii="Arial" w:cs="Arial" w:eastAsia="Arial" w:hAnsi="Arial"/>
          <w:sz w:val="18"/>
          <w:szCs w:val="18"/>
          <w:color w:val="auto"/>
        </w:rPr>
        <w:t>If we lose any of our rights to use third-party intellectual property, it could adversely affect our ability to commercialize our technologies, products or services, as well as harm our competitive business position and our business prospects.</w:t>
      </w:r>
    </w:p>
    <w:p>
      <w:pPr>
        <w:spacing w:after="0" w:line="250" w:lineRule="exact"/>
        <w:rPr>
          <w:sz w:val="20"/>
          <w:szCs w:val="20"/>
          <w:color w:val="auto"/>
        </w:rPr>
      </w:pPr>
    </w:p>
    <w:p>
      <w:pPr>
        <w:ind w:right="80"/>
        <w:spacing w:after="0" w:line="341" w:lineRule="auto"/>
        <w:rPr>
          <w:sz w:val="20"/>
          <w:szCs w:val="20"/>
          <w:color w:val="auto"/>
        </w:rPr>
      </w:pPr>
      <w:r>
        <w:rPr>
          <w:rFonts w:ascii="Arial" w:cs="Arial" w:eastAsia="Arial" w:hAnsi="Arial"/>
          <w:sz w:val="16"/>
          <w:szCs w:val="16"/>
          <w:b w:val="1"/>
          <w:bCs w:val="1"/>
          <w:i w:val="1"/>
          <w:iCs w:val="1"/>
          <w:color w:val="auto"/>
        </w:rPr>
        <w:t>We may be subject to costly product liability claims from the use of our electronic monitoring products, which could damage our reputation, impair the marketability of our products and services and force us to pay costs and damages that may not be covered by adequate insurance.</w:t>
      </w:r>
    </w:p>
    <w:p>
      <w:pPr>
        <w:spacing w:after="0" w:line="124"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Manufacturing, marketing, selling, testing and the operation of our electronic monitoring products and services entail a risk of product liability. We could be subject to product liability claims to the extent our electronic monitoring products fail to perform as intended. Even unsuccessful claims against us could result in the expenditure of funds in litigation, the diversion of management time and resources, damage to our reputation and impairment in the marketability of our electronic monitoring products and services. While we maintain liability insurance, it is possible that a successful claim could be made against us, that the amount of our insurance coverage would not be adequate to cover the costs of defending against or paying such a claim, or that damages payable by us would harm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Information Technology and Cybersecurity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interruption, delay or failure of the provision of our services or information systems could adversely affect our business.</w:t>
      </w:r>
    </w:p>
    <w:p>
      <w:pPr>
        <w:spacing w:after="0" w:line="225" w:lineRule="exact"/>
        <w:rPr>
          <w:sz w:val="20"/>
          <w:szCs w:val="20"/>
          <w:color w:val="auto"/>
        </w:rPr>
      </w:pPr>
    </w:p>
    <w:p>
      <w:pPr>
        <w:ind w:right="40" w:firstLine="749"/>
        <w:spacing w:after="0" w:line="287" w:lineRule="auto"/>
        <w:rPr>
          <w:sz w:val="20"/>
          <w:szCs w:val="20"/>
          <w:color w:val="auto"/>
        </w:rPr>
      </w:pPr>
      <w:r>
        <w:rPr>
          <w:rFonts w:ascii="Arial" w:cs="Arial" w:eastAsia="Arial" w:hAnsi="Arial"/>
          <w:sz w:val="16"/>
          <w:szCs w:val="16"/>
          <w:color w:val="auto"/>
        </w:rPr>
        <w:t>Certain segments of our business depend significantly on effective information systems. As with all companies that utilize information technology, we are vulnerable to negative impacts if information is inadvertently interrupted, delayed, compromised or lost. We routinely process, store and transmit large amounts of data for our clients. We continually work to update and maintain effective information systems. Despite the security measures we have in place and any additional measures we may implement in the future, our facilities and systems, and those of our third-party service providers, could be vulnerable to security breaches, computer viruses, lost or misplaced data, programming errors, human errors, acts of vandalism, or other events. For example, we disclosed in November 2020 that we had begun the process of notifying current and former employees and would provide additional notifications as required by applicable state and federal law regarding a ransomware attack that impacted a portion of our information technology systems and a limited amount of data that contained personally identifiable information and protected health information. Any security breach or event resulting in the interruption, delay or failure of our services or information systems, or the misappropriation, loss, or other unauthorized disclosure of client data, employee and former employee data or confidential information, whether by us directly or our third-party service providers, could damage our reputation, expose us to the risks of litigation and liability, disrupt our business, result in lost business or otherwise adversely affect our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Acquisitions and Dispositions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identify or consummate acquisitions or dispositions.</w:t>
      </w:r>
    </w:p>
    <w:p>
      <w:pPr>
        <w:spacing w:after="0" w:line="225"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We pursue select acquisitions that meet our criteria for growth and profitability when market opportunities arise. We pursue select dispositions of assets and businesses that meet our criteria for maximizing the realization of value for such assets or businesses and for furthering our goal of deleveraging our balance sheet and reducing funded recourse debt. The pursuit of acquisitions or dispositions may pose certain risks to us. We may not be able to identify acquisition candidates that fit our criteria for growth and profitability. We may not be able to identify purchasers for the sale of any of our assets or businesses or we may not be able to obtain a purchase price for such assets or businesses that we feel is reflective of the quality of such assets or businesses. Even if we are able to identify such candidates or purchasers, we may not be able to acquire such targets or dispose of such assets or businesses on terms satisfactory to us. We will incur expenses and dedicate attention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color w:val="auto"/>
        </w:rPr>
        <w:t>and resources associated with the review of acquisition or disposition opportunities, whether or not we consummate such acquisitions or dispositions.</w:t>
      </w:r>
    </w:p>
    <w:p>
      <w:pPr>
        <w:spacing w:after="0" w:line="236"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Additionally, even if we are able to acquire suitable targets on agreeable terms, we may not be able to successfully integrate their operations with ours. Achieving the anticipated benefits of any acquisition will depend in significant part upon whether we integrate such acquired businesses in an efficient and effective manner. We may not be able to achieve the anticipated operating and cost synergies or long-term strategic benefits of our acquisitions within the anticipated timing or at all. For example, elimination of duplicative costs may not be fully achieved or may take longer than anticipated. For at least the first year after a substantial acquisition, and possibly longer, the benefits from the acquisition will be offset by the costs incurred in integrating the businesses and operations. We may also assume liabilities in connection with acquisitions that we would otherwise not be exposed to. An inability to realize the full extent of, or any of, the anticipated synergies or other benefits of an acquisition as well as any delays that may be encountered in the integration process, which may delay the timing of such synergies or other benefits, could have an adverse effect on our business and results of operations.</w:t>
      </w:r>
    </w:p>
    <w:p>
      <w:pPr>
        <w:spacing w:after="0" w:line="163" w:lineRule="exact"/>
        <w:rPr>
          <w:sz w:val="20"/>
          <w:szCs w:val="20"/>
          <w:color w:val="auto"/>
        </w:rPr>
      </w:pPr>
    </w:p>
    <w:p>
      <w:pPr>
        <w:ind w:right="140" w:firstLine="749"/>
        <w:spacing w:after="0" w:line="255" w:lineRule="auto"/>
        <w:rPr>
          <w:sz w:val="20"/>
          <w:szCs w:val="20"/>
          <w:color w:val="auto"/>
        </w:rPr>
      </w:pPr>
      <w:r>
        <w:rPr>
          <w:rFonts w:ascii="Arial" w:cs="Arial" w:eastAsia="Arial" w:hAnsi="Arial"/>
          <w:sz w:val="18"/>
          <w:szCs w:val="18"/>
          <w:color w:val="auto"/>
        </w:rPr>
        <w:t>Additionally, even if we are able to dispose of any assets or businesses on agreeable terms, we may not achieve the anticipated benefits of such disposition within the contemplated timing or at all. A disposition of any assets or businesses may result in decreased earnings, revenue, or cash flow. We may also be subject to claims from the purchasers of such assets or businesses relating to liabilities or indemnification obligations in connection with such dispositions. An inability to realize the full extent of, or any of, the anticipated benefits of a disposition as well as any delays that may be encountered in the disposition process, could have an adverse effect on our business, results of operations and our ability to deleverage our balance sheet and reduce funded recourse debt.</w:t>
      </w:r>
    </w:p>
    <w:p>
      <w:pPr>
        <w:spacing w:after="0" w:line="218" w:lineRule="exact"/>
        <w:rPr>
          <w:sz w:val="20"/>
          <w:szCs w:val="20"/>
          <w:color w:val="auto"/>
        </w:rPr>
      </w:pPr>
    </w:p>
    <w:p>
      <w:pPr>
        <w:ind w:right="20"/>
        <w:spacing w:after="0" w:line="341" w:lineRule="auto"/>
        <w:rPr>
          <w:sz w:val="20"/>
          <w:szCs w:val="20"/>
          <w:color w:val="auto"/>
        </w:rPr>
      </w:pPr>
      <w:r>
        <w:rPr>
          <w:rFonts w:ascii="Arial" w:cs="Arial" w:eastAsia="Arial" w:hAnsi="Arial"/>
          <w:sz w:val="16"/>
          <w:szCs w:val="16"/>
          <w:b w:val="1"/>
          <w:bCs w:val="1"/>
          <w:i w:val="1"/>
          <w:iCs w:val="1"/>
          <w:color w:val="auto"/>
        </w:rPr>
        <w:t>As a result of our acquisitions, we have recorded and will continue to record a significant amount of goodwill and other intangible assets. In the future, our goodwill or other intangible assets may become impaired, which could result in material non-cash charges to our results of operations.</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have a substantial amount of goodwill and other intangible assets resulting from business acquisitions. As of December 31, 2022, we had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$902.9 million of goodwill and other intangible assets. At least annually, or whenever events or changes in circumstances indicate a potential impairment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 (as defined by Generally Accepted Accounting Principles in the United States of America, or U.S. GAAP), we will evaluate this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goodwill for impairment by first assessing qualitative factors to determine whether the existence of events or circumstances leads to a determination that 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more likely than not that the fair value of the reporting unit is less than the carrying amount. Estimated fair values could change and/or decline if there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changes in our capital structure, cost of debt, interest rates, capital expenditure levels, operating cash flows, market capitalization, the political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regulatory environment and the effects of the COVID-19 pandemic. For example, our stock price has experienced a significant decline over the course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last several years. A further decline or prolonged decline in the value of our stock price may result in material impairment charges. Impairments of</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goodwill or other intangible assets could require material non-cash charges to our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Regulatory and Compliance Matters</w:t>
      </w:r>
    </w:p>
    <w:p>
      <w:pPr>
        <w:spacing w:after="0" w:line="2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Failure to comply with extensive government regulation and applicable contractual requirements could have a material adverse effect on our business, financial condition or results of operations.</w:t>
      </w:r>
    </w:p>
    <w:p>
      <w:pPr>
        <w:spacing w:after="0" w:line="169" w:lineRule="exact"/>
        <w:rPr>
          <w:sz w:val="20"/>
          <w:szCs w:val="20"/>
          <w:color w:val="auto"/>
        </w:rPr>
      </w:pPr>
    </w:p>
    <w:p>
      <w:pPr>
        <w:ind w:right="60" w:firstLine="749"/>
        <w:spacing w:after="0" w:line="270" w:lineRule="auto"/>
        <w:rPr>
          <w:sz w:val="20"/>
          <w:szCs w:val="20"/>
          <w:color w:val="auto"/>
        </w:rPr>
      </w:pPr>
      <w:r>
        <w:rPr>
          <w:rFonts w:ascii="Arial" w:cs="Arial" w:eastAsia="Arial" w:hAnsi="Arial"/>
          <w:sz w:val="17"/>
          <w:szCs w:val="17"/>
          <w:color w:val="auto"/>
        </w:rPr>
        <w:t>The sector in which we operate is subject to extensive federal, state and local regulation, including educational, environmental, health care and safety laws, rules and regulations, which are administered by many regulatory authorities. Some of the regulations are unique to the sector, and the combination of regulations affects all areas of our operations. Corrections officers are customarily required to meet certain training standards, and, in some instances, facility personnel are required to be licensed and are subject to background investigations. Certain jurisdictions also require us to award subcontracts on a competitive basis or to subcontract with businesses owned by members of minority groups. We may not always successfully comply with these and other regulations to which we are subject and failure to comply can result in material penalties or the non-renewal or termination of facility management contracts. In addition, changes in existing regulations could require us to substantially modify the manner in which we conduct our business and, therefore, could have a material adverse effect on us.</w:t>
      </w:r>
    </w:p>
    <w:p>
      <w:pPr>
        <w:spacing w:after="0" w:line="182" w:lineRule="exact"/>
        <w:rPr>
          <w:sz w:val="20"/>
          <w:szCs w:val="20"/>
          <w:color w:val="auto"/>
        </w:rPr>
      </w:pPr>
    </w:p>
    <w:p>
      <w:pPr>
        <w:ind w:right="360" w:firstLine="749"/>
        <w:spacing w:after="0" w:line="259" w:lineRule="auto"/>
        <w:rPr>
          <w:sz w:val="20"/>
          <w:szCs w:val="20"/>
          <w:color w:val="auto"/>
        </w:rPr>
      </w:pPr>
      <w:r>
        <w:rPr>
          <w:rFonts w:ascii="Arial" w:cs="Arial" w:eastAsia="Arial" w:hAnsi="Arial"/>
          <w:sz w:val="18"/>
          <w:szCs w:val="18"/>
          <w:color w:val="auto"/>
        </w:rPr>
        <w:t>In addition, public-private partnerships are increasingly subject to government legislation and regulation attempting to restrict the ability of private sector companies to operate facilities housing certain classifications of individuals, such as individuals from other jurisdictions or individuals at higher security levels. Legislation has been enacted in several states and has previously been proposed in the United States House of Representatives, containing such restrictions.</w:t>
      </w:r>
    </w:p>
    <w:p>
      <w:pPr>
        <w:spacing w:after="0" w:line="185" w:lineRule="exact"/>
        <w:rPr>
          <w:sz w:val="20"/>
          <w:szCs w:val="20"/>
          <w:color w:val="auto"/>
        </w:rPr>
      </w:pPr>
    </w:p>
    <w:p>
      <w:pPr>
        <w:ind w:right="260" w:firstLine="749"/>
        <w:spacing w:after="0" w:line="307" w:lineRule="auto"/>
        <w:rPr>
          <w:sz w:val="20"/>
          <w:szCs w:val="20"/>
          <w:color w:val="auto"/>
        </w:rPr>
      </w:pPr>
      <w:r>
        <w:rPr>
          <w:rFonts w:ascii="Arial" w:cs="Arial" w:eastAsia="Arial" w:hAnsi="Arial"/>
          <w:sz w:val="17"/>
          <w:szCs w:val="17"/>
          <w:color w:val="auto"/>
        </w:rPr>
        <w:t>Governmental agencies may investigate and audit our contracts and, if any improprieties are found, we may be required to refund amounts we have received, to forego anticipated revenues and we may be subject to penalties and sanctions, including prohibitions on our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ind w:right="120"/>
        <w:spacing w:after="0" w:line="270" w:lineRule="auto"/>
        <w:rPr>
          <w:sz w:val="20"/>
          <w:szCs w:val="20"/>
          <w:color w:val="auto"/>
        </w:rPr>
      </w:pPr>
      <w:r>
        <w:rPr>
          <w:rFonts w:ascii="Arial" w:cs="Arial" w:eastAsia="Arial" w:hAnsi="Arial"/>
          <w:sz w:val="17"/>
          <w:szCs w:val="17"/>
          <w:color w:val="auto"/>
        </w:rPr>
        <w:t>bidding in response to RFPs from governmental agencies to manage secure facilities. Governmental agencies we contract with have the authority to audit and investigate our contracts with them. As part of that process, governmental agencies may review our performance of the contract, our pricing practices, our cost structure and our compliance with applicable laws, regulations and standards. For contracts that actually or effectively provide for certain reimbursement of expenses, if an agency determines that we have improperly allocated costs to a specific contract, we may not be reimbursed for those costs, and we could be required to refund the amount of any such costs that have been reimbursed. If we are found to have engaged in improper or illegal activities, including under the United States False Claims Act, we may be subject to civil and criminal penalties and administrative sanctions, including termination of contracts, forfeitures of profits, suspension of payments, fines and suspension or disqualification from doing business with certain governmental entities. An adverse determination in an action alleging improper or illegal activities by us could also adversely impact our ability to bid in response to RFPs in one or more jurisdictions.</w:t>
      </w:r>
    </w:p>
    <w:p>
      <w:pPr>
        <w:spacing w:after="0" w:line="178" w:lineRule="exact"/>
        <w:rPr>
          <w:sz w:val="20"/>
          <w:szCs w:val="20"/>
          <w:color w:val="auto"/>
        </w:rPr>
      </w:pPr>
    </w:p>
    <w:p>
      <w:pPr>
        <w:ind w:firstLine="749"/>
        <w:spacing w:after="0" w:line="253" w:lineRule="auto"/>
        <w:rPr>
          <w:sz w:val="20"/>
          <w:szCs w:val="20"/>
          <w:color w:val="auto"/>
        </w:rPr>
      </w:pPr>
      <w:r>
        <w:rPr>
          <w:rFonts w:ascii="Arial" w:cs="Arial" w:eastAsia="Arial" w:hAnsi="Arial"/>
          <w:sz w:val="18"/>
          <w:szCs w:val="18"/>
          <w:color w:val="auto"/>
        </w:rPr>
        <w:t>In addition to compliance with applicable laws and regulations, our facility management contracts typically have numerous requirements addressing all aspects of our operations which we may not be able to satisfy. For example, our contracts require us to maintain certain levels of coverage for general liability, workers’ compensation, vehicle liability, and property loss or damage. If we do not maintain the required categories and levels of coverage, the contracting governmental agency may be permitted to terminate the contract. In addition, we are required under our contracts to indemnify the contracting governmental agency for all claims and costs arising out of our management of facilities and, in some instances, we are required to maintain performance bonds relating to the construction, development and operation of facilities. Facility management contracts also typically include reporting requirements, supervision and on-site monitoring by representatives of the contracting governmental agencies. Failure to properly adhere to the various terms of our customer contracts could expose us to liability for damages relating to any breaches as well as the loss of such contracts, which could materially adversely impact us.</w:t>
      </w:r>
    </w:p>
    <w:p>
      <w:pPr>
        <w:spacing w:after="0" w:line="26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business operations expose us to various liabilities for which we may not have adequate insurance and may have a material adverse effect on our business, financial condition or results of operations.</w:t>
      </w:r>
    </w:p>
    <w:p>
      <w:pPr>
        <w:spacing w:after="0" w:line="169" w:lineRule="exact"/>
        <w:rPr>
          <w:sz w:val="20"/>
          <w:szCs w:val="20"/>
          <w:color w:val="auto"/>
        </w:rPr>
      </w:pPr>
    </w:p>
    <w:p>
      <w:pPr>
        <w:ind w:right="20" w:firstLine="749"/>
        <w:spacing w:after="0" w:line="270" w:lineRule="auto"/>
        <w:rPr>
          <w:sz w:val="20"/>
          <w:szCs w:val="20"/>
          <w:color w:val="auto"/>
        </w:rPr>
      </w:pPr>
      <w:r>
        <w:rPr>
          <w:rFonts w:ascii="Arial" w:cs="Arial" w:eastAsia="Arial" w:hAnsi="Arial"/>
          <w:sz w:val="17"/>
          <w:szCs w:val="17"/>
          <w:color w:val="auto"/>
        </w:rPr>
        <w:t>The nature of our services exposes us to various types of third-party allegations and legal claims, including, but not limited to, civil rights claims relating to conditions of confinement and/or mistreatment, sexual misconduct claims brought by individuals within our care, medical malpractice claims, claims relating to the federal Trafficking and Victims Protection Act, claims relating to our COVID-19 response procedures, breach of fiduciary duty claims, shareholder derivative claims,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contractual claims and claims for personal injury or other damages resulting from contact with our facilities, programs, electronic monitoring products, personnel or detainees, including damages arising from an inmate’s escape or from a disturbance or riot at a facility. In addition, our management contracts generally require us to indemnify the governmental agency against any damages to which the governmental agency may be subject in connection with such claims or litigation.</w:t>
      </w:r>
    </w:p>
    <w:p>
      <w:pPr>
        <w:spacing w:after="0" w:line="205" w:lineRule="exact"/>
        <w:rPr>
          <w:sz w:val="20"/>
          <w:szCs w:val="20"/>
          <w:color w:val="auto"/>
        </w:rPr>
      </w:pPr>
    </w:p>
    <w:p>
      <w:pPr>
        <w:ind w:right="100" w:firstLine="749"/>
        <w:spacing w:after="0" w:line="290" w:lineRule="auto"/>
        <w:rPr>
          <w:sz w:val="20"/>
          <w:szCs w:val="20"/>
          <w:color w:val="auto"/>
        </w:rPr>
      </w:pPr>
      <w:r>
        <w:rPr>
          <w:rFonts w:ascii="Arial" w:cs="Arial" w:eastAsia="Arial" w:hAnsi="Arial"/>
          <w:sz w:val="16"/>
          <w:szCs w:val="16"/>
          <w:color w:val="auto"/>
        </w:rPr>
        <w:t>We maintain insurance coverage for these general types of claims, except for claims relating to employment matters, for which we carry no insurance. However, we generally have high deductible payment requirements on our primary insurance policies, including our general liability insurance, and there are also varying limits on the maximum amount of our overall coverage. As a result, the insurance we maintain to cover the various liabilities to which we are exposed may not be adequate. Any losses relating to matters for which we are either uninsured or for which we do not have adequate insurance could have a material adverse effect on our business, financial condition or results of operations. In addition, any losses relating to employment matters could have a material adverse effect on our business, financial condition or results of operations. To the extent the events serving as a basis for any potential claims are alleged or determined to constitute illegal or criminal activity, we could also be subject to criminal liability. Such liability could result in significant monetary fines and could affect our ability to bid on future contracts and/or retain our existing contracts.</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third quarter of 2021, the court hearing the previously disclosed shareholder class action filed against GEO and certain of its</w:t>
      </w:r>
    </w:p>
    <w:p>
      <w:pPr>
        <w:spacing w:after="0" w:line="3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officers granted in part and denied in part the defendants' motion to dismiss. As set forth more fully in Note 17 – Commitments, Contingencies and Other Matters of the Notes to the audited consolidated financial statements included in Part II, Item 8 of this Annual Report on Form 10-K, the court allowed narrowed claims to proceed against GEO and Mr. Zoley. Also during the third quarter of 2021, as set forth more fully in Note 17 – Commitments, Contingencies and Other Matters of the Notes to the audited consolidated financial statements included in Part II, Item 8 of this Annual Report on Form 10-K, a putative shareholder derivative complaint was filed in state court against GEO and its directors and certain of its officers.</w:t>
      </w:r>
    </w:p>
    <w:p>
      <w:pPr>
        <w:spacing w:after="0" w:line="165" w:lineRule="exact"/>
        <w:rPr>
          <w:sz w:val="20"/>
          <w:szCs w:val="20"/>
          <w:color w:val="auto"/>
        </w:rPr>
      </w:pPr>
    </w:p>
    <w:p>
      <w:pPr>
        <w:ind w:right="300" w:firstLine="749"/>
        <w:spacing w:after="0" w:line="279" w:lineRule="auto"/>
        <w:rPr>
          <w:sz w:val="20"/>
          <w:szCs w:val="20"/>
          <w:color w:val="auto"/>
        </w:rPr>
      </w:pPr>
      <w:r>
        <w:rPr>
          <w:rFonts w:ascii="Arial" w:cs="Arial" w:eastAsia="Arial" w:hAnsi="Arial"/>
          <w:sz w:val="17"/>
          <w:szCs w:val="17"/>
          <w:color w:val="auto"/>
        </w:rPr>
        <w:t>During the fourth quarter of 2021, we received an unfavorable jury verdict and combined $23.2 million judgments in the retrial of two cases, State of Washington v. GEO Group and Nwauzor et al. v. GEO Group, in U.S. District Court for the Western District of Washington. While we strongly disagree with the verdict and judgments in these two cases and has appealed to the U.S. Court of Appeals for the Ninth Circuit, we cannot make any assurances that we will prevail on appeal. At this time, GEO has not recorded an accrual relating to these two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4" w:name="page45"/>
    <w:bookmarkEnd w:id="44"/>
    <w:p>
      <w:pPr>
        <w:ind w:right="180"/>
        <w:spacing w:after="0" w:line="277" w:lineRule="auto"/>
        <w:rPr>
          <w:sz w:val="20"/>
          <w:szCs w:val="20"/>
          <w:color w:val="auto"/>
        </w:rPr>
      </w:pPr>
      <w:r>
        <w:rPr>
          <w:rFonts w:ascii="Arial" w:cs="Arial" w:eastAsia="Arial" w:hAnsi="Arial"/>
          <w:sz w:val="18"/>
          <w:szCs w:val="18"/>
          <w:color w:val="auto"/>
        </w:rPr>
        <w:t>cases because a loss, following the appeals process, is not considered probable. If we are required to record an accrual with regard to these cases or other similar cases, that may have a material adverse effect on our business, financial condition or results of operations.</w:t>
      </w:r>
    </w:p>
    <w:p>
      <w:pPr>
        <w:spacing w:after="0" w:line="169" w:lineRule="exact"/>
        <w:rPr>
          <w:sz w:val="20"/>
          <w:szCs w:val="20"/>
          <w:color w:val="auto"/>
        </w:rPr>
      </w:pPr>
    </w:p>
    <w:p>
      <w:pPr>
        <w:ind w:right="60" w:firstLine="749"/>
        <w:spacing w:after="0" w:line="275" w:lineRule="auto"/>
        <w:rPr>
          <w:sz w:val="20"/>
          <w:szCs w:val="20"/>
          <w:color w:val="auto"/>
        </w:rPr>
      </w:pPr>
      <w:r>
        <w:rPr>
          <w:rFonts w:ascii="Arial" w:cs="Arial" w:eastAsia="Arial" w:hAnsi="Arial"/>
          <w:sz w:val="17"/>
          <w:szCs w:val="17"/>
          <w:color w:val="auto"/>
        </w:rPr>
        <w:t>The results of these claims or proceedings, or other litigation matters, cannot be predicted with certainty, and an unfavorable resolution of one or more of these claims or proceedings could have a material adverse effect on the Company's financial condition, results of operations or cash flows. The Company's accruals for loss contingencies are reviewed quarterly and adjusted as additional information becomes available. The Company establishes accruals for specific legal proceedings when it is considered probable that a loss has been incurred and the amount of the loss can be reasonably estimated. The Company does not accrue for anticipated legal fees and costs but expenses those items as incurred.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or maintain the insurance levels required by our government contracts.</w:t>
      </w:r>
    </w:p>
    <w:p>
      <w:pPr>
        <w:spacing w:after="0" w:line="225" w:lineRule="exact"/>
        <w:rPr>
          <w:sz w:val="20"/>
          <w:szCs w:val="20"/>
          <w:color w:val="auto"/>
        </w:rPr>
      </w:pPr>
    </w:p>
    <w:p>
      <w:pPr>
        <w:ind w:right="80" w:firstLine="749"/>
        <w:spacing w:after="0" w:line="296" w:lineRule="auto"/>
        <w:rPr>
          <w:sz w:val="20"/>
          <w:szCs w:val="20"/>
          <w:color w:val="auto"/>
        </w:rPr>
      </w:pPr>
      <w:r>
        <w:rPr>
          <w:rFonts w:ascii="Arial" w:cs="Arial" w:eastAsia="Arial" w:hAnsi="Arial"/>
          <w:sz w:val="16"/>
          <w:szCs w:val="16"/>
          <w:color w:val="auto"/>
        </w:rPr>
        <w:t>Our government contracts require us to obtain and maintain specified insurance levels. The occurrence of any events specific to our company or to our industry, or a general rise in insurance rates, could substantially increase our costs of obtaining or maintaining the levels of insurance required under our government contracts, or prevent us from obtaining or maintaining such insurance altogether. If we are unable to obtain or maintain the required insurance levels, our ability to win new government contracts, renew government contracts that have expired and retain existing government contracts could be significantly impaired, which could have a material adverse effect on our business, financial condition and/or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anti-bribery and anti-corruption laws could subject us to penalties and other adverse consequences.</w:t>
      </w:r>
    </w:p>
    <w:p>
      <w:pPr>
        <w:spacing w:after="0" w:line="225" w:lineRule="exact"/>
        <w:rPr>
          <w:sz w:val="20"/>
          <w:szCs w:val="20"/>
          <w:color w:val="auto"/>
        </w:rPr>
      </w:pPr>
    </w:p>
    <w:p>
      <w:pPr>
        <w:ind w:right="220" w:firstLine="509"/>
        <w:spacing w:after="0" w:line="256" w:lineRule="auto"/>
        <w:rPr>
          <w:sz w:val="20"/>
          <w:szCs w:val="20"/>
          <w:color w:val="auto"/>
        </w:rPr>
      </w:pPr>
      <w:r>
        <w:rPr>
          <w:rFonts w:ascii="Arial" w:cs="Arial" w:eastAsia="Arial" w:hAnsi="Arial"/>
          <w:sz w:val="18"/>
          <w:szCs w:val="18"/>
          <w:color w:val="auto"/>
        </w:rPr>
        <w:t>As we operate both domestically and abroad, we are subject to the United States Foreign Corrupt Practices Act (“FCPA”), the U.K. Bribery Act, the U.S. domestic bribery statute contained in 18 U.S.C. § 201, and other anti-corruption and anti-bribery laws and regulations in the jurisdictions in which we do business, both domestic and abroad. These laws and regulations generally prohibit improper payments or offers of improper payments to government officials, political parties, or commercial partners for the purpose of obtaining or retaining business or securing an improper business advantage.</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have operations, deal with and enter into contracts with governmental or quasi-governmental entities in the United States and in non-</w:t>
      </w:r>
    </w:p>
    <w:p>
      <w:pPr>
        <w:spacing w:after="0" w:line="3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U.S. countries, including Australia, the U.K. and South Africa, and further expansion of our services abroad may involve additional regions. Corruption issues pose a risk in every country and jurisdiction, but in many countries, particularly in countries with developing economies, it may be more common for businesses to engage in practices that are prohibited by the FCPA or other applicable laws and regulations, and our activities in these countries pose a heightened risk of unauthorized payments or offers of payments by one of our employees or third-party business partners, representatives, and agents that could be in violation of various laws including the FCPA. The FCPA, U.K. Bribery Act and other applicable anti-bribery and anti-corruption laws also may hold us liable for acts of corruption and bribery committed by our third-party business partners, representatives, and agents. We and our third-party business partners, representatives, and agents may have direct or indirect interactions with officials and employees of government agencies or state-owned or affiliated entities and we may be held liable for the corrupt or other illegal activities of our employees or such third parties even if we do not explicitly authorize such activities. The FCPA or other applicable laws and regulations also require that we keep accurate books and records and maintain internal controls and compliance procedures designed to prevent any such actions.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While we have implemented policies and procedures to address compliance with such laws, we cannot ensure that our employees or</w:t>
      </w:r>
    </w:p>
    <w:p>
      <w:pPr>
        <w:spacing w:after="0" w:line="2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other third parties working on our behalf will not engage in conduct in violation of our policies or applicable law for which we might ultimately be held responsible. Violations of the FCPA, the U.K. Bribery Act, and other laws may result in whistleblower complaints, adverse media coverage, investigations, imposition of significant legal fees, as well as severe criminal or civil sanctions, including suspension or debarment from U.S. government contracting, and we may be subject to other liabilities and adverse effects on our reputation, which could negatively affect our business, results of operations, financial condition, and growth prospects. In addition, responding to any enforcement action may result in a significant diversion of management’s attention and resources and significant defense costs and other professional fees. Our exposure for violating these laws increases as our non-U.S. presence expands and as we increase operations in foreign jurisdictions.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Corporate Social Responsibility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corporate social responsibility.</w:t>
      </w:r>
    </w:p>
    <w:p>
      <w:pPr>
        <w:spacing w:after="0" w:line="225" w:lineRule="exact"/>
        <w:rPr>
          <w:sz w:val="20"/>
          <w:szCs w:val="20"/>
          <w:color w:val="auto"/>
        </w:rPr>
      </w:pPr>
    </w:p>
    <w:p>
      <w:pPr>
        <w:ind w:right="200" w:firstLine="749"/>
        <w:spacing w:after="0" w:line="286" w:lineRule="auto"/>
        <w:rPr>
          <w:sz w:val="20"/>
          <w:szCs w:val="20"/>
          <w:color w:val="auto"/>
        </w:rPr>
      </w:pPr>
      <w:r>
        <w:rPr>
          <w:rFonts w:ascii="Arial" w:cs="Arial" w:eastAsia="Arial" w:hAnsi="Arial"/>
          <w:sz w:val="17"/>
          <w:szCs w:val="17"/>
          <w:color w:val="auto"/>
        </w:rPr>
        <w:t>The consideration of ESG factors in making investment and voting decisions is relatively new, and frameworks and methods used by investors for assessing ESG policies are not fully developed and vary considerably among the investment community. In September 2022, we issued our fourth Human Rights and ESG report. The publication of our fourth annual Human Rights and ESG report highlights our continued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5" w:name="page46"/>
    <w:bookmarkEnd w:id="45"/>
    <w:p>
      <w:pPr>
        <w:spacing w:after="0" w:line="287" w:lineRule="auto"/>
        <w:rPr>
          <w:sz w:val="20"/>
          <w:szCs w:val="20"/>
          <w:color w:val="auto"/>
        </w:rPr>
      </w:pPr>
      <w:r>
        <w:rPr>
          <w:rFonts w:ascii="Arial" w:cs="Arial" w:eastAsia="Arial" w:hAnsi="Arial"/>
          <w:sz w:val="16"/>
          <w:szCs w:val="16"/>
          <w:color w:val="auto"/>
        </w:rPr>
        <w:t>commitment to respecting the human rights and improving the lives of those entrusted to our care. This important report includes enhanced disclosures related to our Board oversight of human rights and ESG matters, employee diversity and training programs, corporate governance, and environmental sustainability, including updated metrics and statistics for the calendar year 2021, in accordance with the new Universal Standards of the Global Reporting Initiative (GRI). Our fourth annual ESG report also reinforces our commitment to providing enhanced rehabilitation and post-release support services through our award-winning GEO Continuum of Care® (CoC) program. Additionally, the Company undertook a Human Rights Risk Assessment and Due Diligence process. This process focused on identifying salient human rights and included interviews with and feedback from a diverse group of internal and external GEO stakeholders. The results of this due diligence process have been incorporated into the fourth annual Human Rights and ESG report. We also publish an annual Political Activity and Lobbying Report providing information on political contributions and our lobbying activities, including disclosure relating to political contributions at the corporate and GEO Political Action Committee level, contributions by recipient category of federal candidates, parties and committees and state/local candidates, parties and committees, amounts paid for lobbying activities and information relating to memberships in trade and membership associations, chambers of commerce and other groups where the annual membership fee is in excess of $25,000.</w:t>
      </w:r>
    </w:p>
    <w:p>
      <w:pPr>
        <w:spacing w:after="0" w:line="169" w:lineRule="exact"/>
        <w:rPr>
          <w:sz w:val="20"/>
          <w:szCs w:val="20"/>
          <w:color w:val="auto"/>
        </w:rPr>
      </w:pPr>
    </w:p>
    <w:p>
      <w:pPr>
        <w:ind w:right="40" w:firstLine="749"/>
        <w:spacing w:after="0" w:line="288" w:lineRule="auto"/>
        <w:rPr>
          <w:sz w:val="20"/>
          <w:szCs w:val="20"/>
          <w:color w:val="auto"/>
        </w:rPr>
      </w:pPr>
      <w:r>
        <w:rPr>
          <w:rFonts w:ascii="Arial" w:cs="Arial" w:eastAsia="Arial" w:hAnsi="Arial"/>
          <w:sz w:val="16"/>
          <w:szCs w:val="16"/>
          <w:color w:val="auto"/>
        </w:rPr>
        <w:t>These policies, practices and reports, whether it be the standards we set for ourselves or ESG criteria established by third parties, whether or not we meet such standards, and the level of disclosure we provide in our reports may influence our reputation. For example, the perception held by our governmental partners, vendors, suppliers, shareholders, other stakeholders, the communities in which we do business or the general public may depend, in part, on the standards we have chosen to aspire to meet, whether or not we meet these standards on a timely basis or at all, whether or not we meet external ESG factors they deem relevant and the level of disclosure we provide relating to human rights, ESG, and our political and lobbying activities. The subjective nature and wide variety of frameworks and methods used by various stakeholders, including investors, to assess a company with respect to ESG criteria can result in the application or perception of negative ESG factors or a misrepresentation of our ESG policies and practices. Our failure to achieve progress on our human rights and ESG policies and practices on a timely basis, or at all, meet human rights or ESG criteria set by third parties, or provide the disclosure relating to human rights, ESG, political and lobbying activities which any third parties may believe is necessary or appropriate could adversely affect our business, financial condition and/or results of operations.</w:t>
      </w:r>
    </w:p>
    <w:p>
      <w:pPr>
        <w:spacing w:after="0" w:line="165"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By electing to publicly share our Human Rights and ESG report and our Political Activity and Lobbying Report, our business may face increased scrutiny related to our human rights and ESG activities and our political contributions and lobbying activities. As a result, our reputation could be adversely impacted if we fail to act responsibly in the areas in which we report, such as human rights, the development of our workforce, safety and security, addressing recidivism, engaging with our stakeholders, ethics and governance, oversight and contract compliance, energy and environmental sustainability, financial management and performance and political contributions and lobbying activities. Any harm to our reputation resulting from setting these standards or our failure or perceived failure to meet such standards or resulting from the reporting of our political contributions and lobbying activities could impact: the willingness of our governmental partners, vendors and suppliers to do business with us or the quality of our relationships with our governmental partners, vendors and suppliers; our ability to access capital in the debt or equity markets; our investors willingness or ability to purchase or hold our securities; and employee retention and the quality of relations with our employees, any of which could adversely affect our business, financial condition and/or results of operations.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Certain states have proposed legislation to direct or prevent pension investments and financial institutions from basing their investment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decisions on ESG standards and ratings. To the extent that we are performing favorably measured against a pension investment's or financial institution's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ESG standards and ratings, the enactment of such legislation could have an adverse effect on us and impact an investor's ability to purchase or hold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9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The market price of our common stock may vary substantially. If the market price of our common stock were to decline further in the future at a specific measurement time period that impacts our public float calculation, we could potentially lose our status as a well-known seasoned issuer and/or large accelerated filer.</w:t>
      </w:r>
    </w:p>
    <w:p>
      <w:pPr>
        <w:spacing w:after="0" w:line="183" w:lineRule="exact"/>
        <w:rPr>
          <w:sz w:val="20"/>
          <w:szCs w:val="20"/>
          <w:color w:val="auto"/>
        </w:rPr>
      </w:pPr>
    </w:p>
    <w:p>
      <w:pPr>
        <w:ind w:right="540" w:firstLine="749"/>
        <w:spacing w:after="0" w:line="277" w:lineRule="auto"/>
        <w:rPr>
          <w:sz w:val="20"/>
          <w:szCs w:val="20"/>
          <w:color w:val="auto"/>
        </w:rPr>
      </w:pPr>
      <w:r>
        <w:rPr>
          <w:rFonts w:ascii="Arial" w:cs="Arial" w:eastAsia="Arial" w:hAnsi="Arial"/>
          <w:sz w:val="18"/>
          <w:szCs w:val="18"/>
          <w:color w:val="auto"/>
        </w:rPr>
        <w:t>The market price of our common stock may vary substantially. Factors that could affect the market price of our common stock include the following:</w:t>
      </w:r>
    </w:p>
    <w:p>
      <w:pPr>
        <w:spacing w:after="0" w:line="169" w:lineRule="exact"/>
        <w:rPr>
          <w:sz w:val="20"/>
          <w:szCs w:val="20"/>
          <w:color w:val="auto"/>
        </w:rPr>
      </w:pPr>
    </w:p>
    <w:p>
      <w:pPr>
        <w:ind w:left="1140" w:hanging="383"/>
        <w:spacing w:after="0"/>
        <w:tabs>
          <w:tab w:leader="none" w:pos="1140" w:val="left"/>
        </w:tabs>
        <w:numPr>
          <w:ilvl w:val="0"/>
          <w:numId w:val="25"/>
        </w:numPr>
        <w:rPr>
          <w:rFonts w:ascii="Arial" w:cs="Arial" w:eastAsia="Arial" w:hAnsi="Arial"/>
          <w:sz w:val="14"/>
          <w:szCs w:val="14"/>
          <w:color w:val="auto"/>
        </w:rPr>
      </w:pPr>
      <w:r>
        <w:rPr>
          <w:rFonts w:ascii="Arial" w:cs="Arial" w:eastAsia="Arial" w:hAnsi="Arial"/>
          <w:sz w:val="18"/>
          <w:szCs w:val="18"/>
          <w:color w:val="auto"/>
        </w:rPr>
        <w:t>actual or anticipated variations in our quarterly results of operations;</w:t>
      </w:r>
    </w:p>
    <w:p>
      <w:pPr>
        <w:spacing w:after="0" w:line="116" w:lineRule="exact"/>
        <w:rPr>
          <w:rFonts w:ascii="Arial" w:cs="Arial" w:eastAsia="Arial" w:hAnsi="Arial"/>
          <w:sz w:val="14"/>
          <w:szCs w:val="14"/>
          <w:color w:val="auto"/>
        </w:rPr>
      </w:pPr>
    </w:p>
    <w:p>
      <w:pPr>
        <w:ind w:left="1140" w:hanging="383"/>
        <w:spacing w:after="0"/>
        <w:tabs>
          <w:tab w:leader="none" w:pos="1140" w:val="left"/>
        </w:tabs>
        <w:numPr>
          <w:ilvl w:val="0"/>
          <w:numId w:val="25"/>
        </w:numPr>
        <w:rPr>
          <w:rFonts w:ascii="Arial" w:cs="Arial" w:eastAsia="Arial" w:hAnsi="Arial"/>
          <w:sz w:val="14"/>
          <w:szCs w:val="14"/>
          <w:color w:val="auto"/>
        </w:rPr>
      </w:pPr>
      <w:r>
        <w:rPr>
          <w:rFonts w:ascii="Arial" w:cs="Arial" w:eastAsia="Arial" w:hAnsi="Arial"/>
          <w:sz w:val="18"/>
          <w:szCs w:val="18"/>
          <w:color w:val="auto"/>
        </w:rPr>
        <w:t>changes in market valuations of companies in our industry;</w:t>
      </w:r>
    </w:p>
    <w:p>
      <w:pPr>
        <w:spacing w:after="0" w:line="116" w:lineRule="exact"/>
        <w:rPr>
          <w:rFonts w:ascii="Arial" w:cs="Arial" w:eastAsia="Arial" w:hAnsi="Arial"/>
          <w:sz w:val="14"/>
          <w:szCs w:val="14"/>
          <w:color w:val="auto"/>
        </w:rPr>
      </w:pPr>
    </w:p>
    <w:p>
      <w:pPr>
        <w:ind w:left="1140" w:right="600" w:hanging="383"/>
        <w:spacing w:after="0" w:line="277" w:lineRule="auto"/>
        <w:tabs>
          <w:tab w:leader="none" w:pos="1140" w:val="left"/>
        </w:tabs>
        <w:numPr>
          <w:ilvl w:val="0"/>
          <w:numId w:val="25"/>
        </w:numPr>
        <w:rPr>
          <w:rFonts w:ascii="Arial" w:cs="Arial" w:eastAsia="Arial" w:hAnsi="Arial"/>
          <w:sz w:val="14"/>
          <w:szCs w:val="14"/>
          <w:color w:val="auto"/>
        </w:rPr>
      </w:pPr>
      <w:r>
        <w:rPr>
          <w:rFonts w:ascii="Arial" w:cs="Arial" w:eastAsia="Arial" w:hAnsi="Arial"/>
          <w:sz w:val="18"/>
          <w:szCs w:val="18"/>
          <w:color w:val="auto"/>
        </w:rPr>
        <w:t>announcements by us or our competitors of changes to capital allocation strategy, acquisitions, dispositions, investments or strategic alliances;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6" w:name="page47"/>
    <w:bookmarkEnd w:id="46"/>
    <w:p>
      <w:pPr>
        <w:ind w:left="1140" w:hanging="383"/>
        <w:spacing w:after="0"/>
        <w:tabs>
          <w:tab w:leader="none" w:pos="1140" w:val="left"/>
        </w:tabs>
        <w:numPr>
          <w:ilvl w:val="0"/>
          <w:numId w:val="26"/>
        </w:numPr>
        <w:rPr>
          <w:rFonts w:ascii="Arial" w:cs="Arial" w:eastAsia="Arial" w:hAnsi="Arial"/>
          <w:sz w:val="14"/>
          <w:szCs w:val="14"/>
          <w:color w:val="auto"/>
        </w:rPr>
      </w:pPr>
      <w:r>
        <w:rPr>
          <w:rFonts w:ascii="Arial" w:cs="Arial" w:eastAsia="Arial" w:hAnsi="Arial"/>
          <w:sz w:val="18"/>
          <w:szCs w:val="18"/>
          <w:color w:val="auto"/>
        </w:rPr>
        <w:t>changes in expectations of future financial performance or changes in estimates of securities analysts;</w:t>
      </w:r>
    </w:p>
    <w:p>
      <w:pPr>
        <w:spacing w:after="0" w:line="116" w:lineRule="exact"/>
        <w:rPr>
          <w:rFonts w:ascii="Arial" w:cs="Arial" w:eastAsia="Arial" w:hAnsi="Arial"/>
          <w:sz w:val="14"/>
          <w:szCs w:val="14"/>
          <w:color w:val="auto"/>
        </w:rPr>
      </w:pPr>
    </w:p>
    <w:p>
      <w:pPr>
        <w:ind w:left="1140" w:hanging="383"/>
        <w:spacing w:after="0"/>
        <w:tabs>
          <w:tab w:leader="none" w:pos="1140" w:val="left"/>
        </w:tabs>
        <w:numPr>
          <w:ilvl w:val="0"/>
          <w:numId w:val="26"/>
        </w:numPr>
        <w:rPr>
          <w:rFonts w:ascii="Arial" w:cs="Arial" w:eastAsia="Arial" w:hAnsi="Arial"/>
          <w:sz w:val="14"/>
          <w:szCs w:val="14"/>
          <w:color w:val="auto"/>
        </w:rPr>
      </w:pPr>
      <w:r>
        <w:rPr>
          <w:rFonts w:ascii="Arial" w:cs="Arial" w:eastAsia="Arial" w:hAnsi="Arial"/>
          <w:sz w:val="18"/>
          <w:szCs w:val="18"/>
          <w:color w:val="auto"/>
        </w:rPr>
        <w:t>fluctuations in stock market prices and volumes;</w:t>
      </w:r>
    </w:p>
    <w:p>
      <w:pPr>
        <w:spacing w:after="0" w:line="116" w:lineRule="exact"/>
        <w:rPr>
          <w:rFonts w:ascii="Arial" w:cs="Arial" w:eastAsia="Arial" w:hAnsi="Arial"/>
          <w:sz w:val="14"/>
          <w:szCs w:val="14"/>
          <w:color w:val="auto"/>
        </w:rPr>
      </w:pPr>
    </w:p>
    <w:p>
      <w:pPr>
        <w:ind w:left="1140" w:hanging="383"/>
        <w:spacing w:after="0"/>
        <w:tabs>
          <w:tab w:leader="none" w:pos="1140" w:val="left"/>
        </w:tabs>
        <w:numPr>
          <w:ilvl w:val="0"/>
          <w:numId w:val="26"/>
        </w:numPr>
        <w:rPr>
          <w:rFonts w:ascii="Arial" w:cs="Arial" w:eastAsia="Arial" w:hAnsi="Arial"/>
          <w:sz w:val="14"/>
          <w:szCs w:val="14"/>
          <w:color w:val="auto"/>
        </w:rPr>
      </w:pPr>
      <w:r>
        <w:rPr>
          <w:rFonts w:ascii="Arial" w:cs="Arial" w:eastAsia="Arial" w:hAnsi="Arial"/>
          <w:sz w:val="18"/>
          <w:szCs w:val="18"/>
          <w:color w:val="auto"/>
        </w:rPr>
        <w:t>issuances of common stock or other securities convertible into common stock in the future;</w:t>
      </w:r>
    </w:p>
    <w:p>
      <w:pPr>
        <w:spacing w:after="0" w:line="116" w:lineRule="exact"/>
        <w:rPr>
          <w:rFonts w:ascii="Arial" w:cs="Arial" w:eastAsia="Arial" w:hAnsi="Arial"/>
          <w:sz w:val="14"/>
          <w:szCs w:val="14"/>
          <w:color w:val="auto"/>
        </w:rPr>
      </w:pPr>
    </w:p>
    <w:p>
      <w:pPr>
        <w:ind w:left="1140" w:hanging="383"/>
        <w:spacing w:after="0"/>
        <w:tabs>
          <w:tab w:leader="none" w:pos="1140" w:val="left"/>
        </w:tabs>
        <w:numPr>
          <w:ilvl w:val="0"/>
          <w:numId w:val="26"/>
        </w:numPr>
        <w:rPr>
          <w:rFonts w:ascii="Arial" w:cs="Arial" w:eastAsia="Arial" w:hAnsi="Arial"/>
          <w:sz w:val="14"/>
          <w:szCs w:val="14"/>
          <w:color w:val="auto"/>
        </w:rPr>
      </w:pPr>
      <w:r>
        <w:rPr>
          <w:rFonts w:ascii="Arial" w:cs="Arial" w:eastAsia="Arial" w:hAnsi="Arial"/>
          <w:sz w:val="18"/>
          <w:szCs w:val="18"/>
          <w:color w:val="auto"/>
        </w:rPr>
        <w:t>the addition or departure of key personnel; and</w:t>
      </w:r>
    </w:p>
    <w:p>
      <w:pPr>
        <w:spacing w:after="0" w:line="116" w:lineRule="exact"/>
        <w:rPr>
          <w:rFonts w:ascii="Arial" w:cs="Arial" w:eastAsia="Arial" w:hAnsi="Arial"/>
          <w:sz w:val="14"/>
          <w:szCs w:val="14"/>
          <w:color w:val="auto"/>
        </w:rPr>
      </w:pPr>
    </w:p>
    <w:p>
      <w:pPr>
        <w:ind w:left="1140" w:hanging="383"/>
        <w:spacing w:after="0"/>
        <w:tabs>
          <w:tab w:leader="none" w:pos="1140" w:val="left"/>
        </w:tabs>
        <w:numPr>
          <w:ilvl w:val="0"/>
          <w:numId w:val="26"/>
        </w:numPr>
        <w:rPr>
          <w:rFonts w:ascii="Arial" w:cs="Arial" w:eastAsia="Arial" w:hAnsi="Arial"/>
          <w:sz w:val="14"/>
          <w:szCs w:val="14"/>
          <w:color w:val="auto"/>
        </w:rPr>
      </w:pPr>
      <w:r>
        <w:rPr>
          <w:rFonts w:ascii="Arial" w:cs="Arial" w:eastAsia="Arial" w:hAnsi="Arial"/>
          <w:sz w:val="18"/>
          <w:szCs w:val="18"/>
          <w:color w:val="auto"/>
        </w:rPr>
        <w:t>changes in the prospects of public-private partnerships.</w:t>
      </w:r>
    </w:p>
    <w:p>
      <w:pPr>
        <w:spacing w:after="0" w:line="332" w:lineRule="exact"/>
        <w:rPr>
          <w:sz w:val="20"/>
          <w:szCs w:val="20"/>
          <w:color w:val="auto"/>
        </w:rPr>
      </w:pPr>
    </w:p>
    <w:p>
      <w:pPr>
        <w:ind w:firstLine="674"/>
        <w:spacing w:after="0" w:line="270" w:lineRule="auto"/>
        <w:rPr>
          <w:sz w:val="20"/>
          <w:szCs w:val="20"/>
          <w:color w:val="auto"/>
        </w:rPr>
      </w:pPr>
      <w:r>
        <w:rPr>
          <w:rFonts w:ascii="Arial" w:cs="Arial" w:eastAsia="Arial" w:hAnsi="Arial"/>
          <w:sz w:val="17"/>
          <w:szCs w:val="17"/>
          <w:color w:val="auto"/>
        </w:rPr>
        <w:t>If the market price of our common stock were to decline further in the future at a specific measurement time period that impacts our public float calculation, we could potentially lose our status as a well-known seasoned issuer and/or large accelerated filer and suffer negative consequences. If we do not qualify as a well-known seasoned issuer, we will not be able to file automatic shelf registration statements on Form S-3ASR and enjoy the benefits associated with such registration statements, including that they become effective immediately upon filing, they permit companies to omit more information from the base prospectus than permitted for other shelf registration statements; they allow companies to register unspecified amounts of securities and do so without allocating among securities or between primary and secondary offerings, and they permit companies to pay filing fees on a "pay-as-you-go" basis at the time of each takedown from the shelf registration statement. The loss of status as a well-known seasoned issuer and large accelerated filer may impact the views or perceptions of investors and analysts and may influence investors' willingness to purchase or hold our securities or analysts' recommendations regarding our securities.</w:t>
      </w:r>
    </w:p>
    <w:p>
      <w:pPr>
        <w:spacing w:after="0" w:line="2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Future sales or issuances of shares of our common stock could adversely affect the market price of our common stock and may be dilutive to current shareholders.</w:t>
      </w:r>
    </w:p>
    <w:p>
      <w:pPr>
        <w:spacing w:after="0" w:line="169" w:lineRule="exact"/>
        <w:rPr>
          <w:sz w:val="20"/>
          <w:szCs w:val="20"/>
          <w:color w:val="auto"/>
        </w:rPr>
      </w:pPr>
    </w:p>
    <w:p>
      <w:pPr>
        <w:ind w:right="40" w:firstLine="749"/>
        <w:spacing w:after="0" w:line="301" w:lineRule="auto"/>
        <w:rPr>
          <w:sz w:val="20"/>
          <w:szCs w:val="20"/>
          <w:color w:val="auto"/>
        </w:rPr>
      </w:pPr>
      <w:r>
        <w:rPr>
          <w:rFonts w:ascii="Arial" w:cs="Arial" w:eastAsia="Arial" w:hAnsi="Arial"/>
          <w:sz w:val="16"/>
          <w:szCs w:val="16"/>
          <w:color w:val="auto"/>
        </w:rPr>
        <w:t>Sales or issuances of shares of our common stock, or the perception that such sales or issuances could occur, could adversely affect the price for our common stock. As of December 31, 2022, there were 187,500,000 shares of common stock authorized under our Articles of Incorporation, of which 124,060,038 shares were outstanding. Our Board of Directors may authorize the issuance of additional authorized but unissued shares of our common stock or other authorized but unissued securities of ours at any time, including pursuant to our equity incentive plan and our employee stock purchase plan.</w:t>
      </w:r>
    </w:p>
    <w:p>
      <w:pPr>
        <w:spacing w:after="0" w:line="156" w:lineRule="exact"/>
        <w:rPr>
          <w:sz w:val="20"/>
          <w:szCs w:val="20"/>
          <w:color w:val="auto"/>
        </w:rPr>
      </w:pPr>
    </w:p>
    <w:p>
      <w:pPr>
        <w:ind w:right="80" w:firstLine="749"/>
        <w:spacing w:after="0" w:line="256" w:lineRule="auto"/>
        <w:rPr>
          <w:sz w:val="20"/>
          <w:szCs w:val="20"/>
          <w:color w:val="auto"/>
        </w:rPr>
      </w:pPr>
      <w:r>
        <w:rPr>
          <w:rFonts w:ascii="Arial" w:cs="Arial" w:eastAsia="Arial" w:hAnsi="Arial"/>
          <w:sz w:val="18"/>
          <w:szCs w:val="18"/>
          <w:color w:val="auto"/>
        </w:rPr>
        <w:t>On October 30, 2020, the Company filed an automatic shelf registration statement on Form S-3ASR with the SEC that enables the Company to offer for sale, from time to time and as the capital markets permit, an unspecified amount of common stock, preferred stock, debt securities, guarantees of debt securities, warrants and units. Each time the Company offers to sell securities under the registration statement, the Company will provide a prospectus supplement that will contain specific information about the terms of that offering and the securities being offered. The shelf registration statement became automatically effective upon filing and is valid for three years.</w:t>
      </w:r>
    </w:p>
    <w:p>
      <w:pPr>
        <w:spacing w:after="0" w:line="191"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We are not restricted from issuing additional shares of our common stock or other instruments exchangeable or convertible into our common stock. We cannot predict the size of future issuances or the effect, if any, that they may have on the market price for our common stock. If we issue more of our common stock or additional instruments exchangeable or convertible into or exercisable for our common stock, it may materially and adversely affect the price of our common stock and, in turn, the price of the Convertible Notes. Furthermore, the exchange, conversion or exercise of some or all of the Convertible Notes or such other instruments may dilute the ownership interests of existing shareholders, and any sales in the public market of shares of our common stock issuable upon any such exchange, conversion or exercise could adversely affect prevailing market prices of our common stock or the Convertible Notes. An offering or issuance of shares of our common stock may have a dilutive effect on our earnings per share and funds from operations per share after giving effect to the issuance of such shares of common stock and the receipt of the expected net proceeds. The actual amount of dilution from any offering of our equity securities cannot be determined at this time. The market price of our common stock, Convertible Notes or other such instruments could decline as a result of sales of a large number of shares of our common stock in the market pursuant to an offering, or otherwise, or as a result of the perception or expectation that such sales or issuances could occur.</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Various anti-takeover protections applicable to us may make an acquisition of us more difficult and reduce the market value of our common stock.</w:t>
      </w:r>
    </w:p>
    <w:p>
      <w:pPr>
        <w:spacing w:after="0" w:line="248" w:lineRule="exact"/>
        <w:rPr>
          <w:sz w:val="20"/>
          <w:szCs w:val="20"/>
          <w:color w:val="auto"/>
        </w:rPr>
      </w:pPr>
    </w:p>
    <w:p>
      <w:pPr>
        <w:ind w:right="20" w:firstLine="749"/>
        <w:spacing w:after="0" w:line="275" w:lineRule="auto"/>
        <w:rPr>
          <w:sz w:val="20"/>
          <w:szCs w:val="20"/>
          <w:color w:val="auto"/>
        </w:rPr>
      </w:pPr>
      <w:r>
        <w:rPr>
          <w:rFonts w:ascii="Arial" w:cs="Arial" w:eastAsia="Arial" w:hAnsi="Arial"/>
          <w:sz w:val="17"/>
          <w:szCs w:val="17"/>
          <w:color w:val="auto"/>
        </w:rPr>
        <w:t>We are a Florida corporation and the anti-takeover provisions of Florida law impose various impediments to the ability of a third party to acquire control of our company, even if a change of control would be beneficial to our shareholders. In addition, provisions of our articles of incorporation may make an acquisition of our company more difficult. Our articles of incorporation authorize the issuance by our Board of Directors of “blank check” preferred stock without shareholder approval. Such shares of preferred stock could be given voting rights, dividend rights, liquidation rights or other similar rights superior to those of our common stock, making a takeover of our company more difficult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ind w:right="480"/>
        <w:spacing w:after="0" w:line="277" w:lineRule="auto"/>
        <w:rPr>
          <w:sz w:val="20"/>
          <w:szCs w:val="20"/>
          <w:color w:val="auto"/>
        </w:rPr>
      </w:pPr>
      <w:r>
        <w:rPr>
          <w:rFonts w:ascii="Arial" w:cs="Arial" w:eastAsia="Arial" w:hAnsi="Arial"/>
          <w:sz w:val="18"/>
          <w:szCs w:val="18"/>
          <w:color w:val="auto"/>
        </w:rPr>
        <w:t>expensive. In addition to discouraging takeovers, the anti-takeover provisions of Florida law and our articles of incorporation may have the impact of reducing the market value of our common stock.</w:t>
      </w:r>
    </w:p>
    <w:p>
      <w:pPr>
        <w:spacing w:after="0" w:line="23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Failure to maintain effective internal controls in accordance with Section 404 of the Sarbanes-Oxley Act of 2002 could have an adverse effect on our business and the trading price of our common stock.</w:t>
      </w:r>
    </w:p>
    <w:p>
      <w:pPr>
        <w:spacing w:after="0" w:line="169" w:lineRule="exact"/>
        <w:rPr>
          <w:sz w:val="20"/>
          <w:szCs w:val="20"/>
          <w:color w:val="auto"/>
        </w:rPr>
      </w:pPr>
    </w:p>
    <w:p>
      <w:pPr>
        <w:ind w:right="120" w:firstLine="749"/>
        <w:spacing w:after="0" w:line="275" w:lineRule="auto"/>
        <w:rPr>
          <w:sz w:val="20"/>
          <w:szCs w:val="20"/>
          <w:color w:val="auto"/>
        </w:rPr>
      </w:pPr>
      <w:r>
        <w:rPr>
          <w:rFonts w:ascii="Arial" w:cs="Arial" w:eastAsia="Arial" w:hAnsi="Arial"/>
          <w:sz w:val="17"/>
          <w:szCs w:val="17"/>
          <w:color w:val="auto"/>
        </w:rPr>
        <w:t>If we fail to maintain the adequacy of our internal controls, in accordance with the requirements of Section 404 of the Sarbanes-Oxley Act of 2002, as such standards are modified, supplemented or amended from time to time, our exposure to fraud and errors in accounting and financial reporting could materially increase. Also, inadequate internal controls would likely prevent us from concluding on an ongoing basis that we have effective internal control over financial reporting in accordance with Section 404 of the Sarbanes-Oxley Act of 2002. Such failure to achieve and maintain effective internal controls could adversely impact our business and the price of our common stock.</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issue additional debt securities that could limit our operating flexibility and negatively affect the value of our common stock.</w:t>
      </w:r>
    </w:p>
    <w:p>
      <w:pPr>
        <w:spacing w:after="0" w:line="236"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In the future, we may issue additional debt securities which may be governed by an indenture or other instrument containing covenants that could place restrictions on the operation of our business and the execution of our business strategy in addition to the restrictions on our business already contained in the agreements governing our existing debt. In addition, we may choose to issue additional debt that is convertible or exchangeable for other securities, including our common stock, or that has rights, preferences and privileges senior to our common stock. Because any decision to issue debt securities will depend on market conditions and other factors beyond our control, we cannot predict or estimate the amount, timing or nature of any future debt financings and we may be required to accept unfavorable terms for any such financings. Accordingly, any future issuance of debt could dilute the interest of holders of our common stock and reduce the value of our common stock.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6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75"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The Company owns and leases its corporate offices, which are both located in Boca Raton, Florida. The Company purchased land in Boca Raton, Florida to construct a new corporate office building which was completed in the first quarter of 2019. The Company's lease on its additional corporate office space expires in December 2028 and has two 5-year renewal options which if exercised will result in a maximum term ending in December 2038. In addition, we lease office space for our eastern regional office in Charlotte, North Carolina; our central regional office in San Antonio, Texas; and our western regional office in Los Angeles, California. As a result of the BI acquisition in February 2011 and the Protocol acquisition in February 2014, we are also currently leasing office space in Boulder, Colorado and Aurora, Illinois, respectively. We also lease office space in Sydney and Melbourne, Australia, and in Sandton, South Africa, through our overseas affiliates to support our Australian, and South African operations, respectively. We consider our office space adequate for our current operations.</w:t>
      </w:r>
    </w:p>
    <w:p>
      <w:pPr>
        <w:spacing w:after="0" w:line="182" w:lineRule="exact"/>
        <w:rPr>
          <w:sz w:val="20"/>
          <w:szCs w:val="20"/>
          <w:color w:val="auto"/>
        </w:rPr>
      </w:pPr>
    </w:p>
    <w:p>
      <w:pPr>
        <w:jc w:val="both"/>
        <w:ind w:right="180" w:firstLine="509"/>
        <w:spacing w:after="0" w:line="341" w:lineRule="auto"/>
        <w:rPr>
          <w:sz w:val="20"/>
          <w:szCs w:val="20"/>
          <w:color w:val="auto"/>
        </w:rPr>
      </w:pPr>
      <w:r>
        <w:rPr>
          <w:rFonts w:ascii="Arial" w:cs="Arial" w:eastAsia="Arial" w:hAnsi="Arial"/>
          <w:sz w:val="16"/>
          <w:szCs w:val="16"/>
          <w:color w:val="auto"/>
        </w:rPr>
        <w:t>See the Facilities and Day Reporting Centers listing under Item 1 for a list of the correctional, detention and reentry properties we own or lease in connection with our operations and specifically our U.S. Secure Services segment, our Reentry Services segment and our International Services segment.</w:t>
      </w:r>
    </w:p>
    <w:p>
      <w:pPr>
        <w:spacing w:after="0" w:line="14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Shareholder and Derivative Litigation</w:t>
      </w:r>
    </w:p>
    <w:p>
      <w:pPr>
        <w:spacing w:after="0" w:line="229" w:lineRule="exact"/>
        <w:rPr>
          <w:sz w:val="20"/>
          <w:szCs w:val="20"/>
          <w:color w:val="auto"/>
        </w:rPr>
      </w:pPr>
    </w:p>
    <w:p>
      <w:pPr>
        <w:ind w:right="200" w:firstLine="509"/>
        <w:spacing w:after="0" w:line="269" w:lineRule="auto"/>
        <w:rPr>
          <w:sz w:val="20"/>
          <w:szCs w:val="20"/>
          <w:color w:val="auto"/>
        </w:rPr>
      </w:pPr>
      <w:r>
        <w:rPr>
          <w:rFonts w:ascii="Arial" w:cs="Arial" w:eastAsia="Arial" w:hAnsi="Arial"/>
          <w:sz w:val="17"/>
          <w:szCs w:val="17"/>
          <w:color w:val="auto"/>
        </w:rPr>
        <w:t>On July 7, 2020, a putative shareholder class action lawsuit was filed against the Company and its officers George C. Zoley and Brian R. Evans, in the U.S. District Court for the Southern District of Florida. On November 18, 2020, the lead plaintiffs, James Michael DeLoach and Edward Oketola, filed a consolidated class action amended complaint against Messrs. Zoley and Evans––as well as then current and former Company officers J. David Donahue and Ann M. Schlarb. On September 23, 2021, the court dismissed all claims against Messrs. Evans and Donahue, and Ms. Schlarb, and dismissed all claims against GEO and Mr. Zoley other than claims related to GEO's disclosures about pending litigation. On October 4, 2021, plaintiffs filed a consolidated class action second amended complaint. The second amended complaint alleges that GEO and Mr. Zoley violated Sections 10(b) and 20(a) of the Securities Exchange Act of 1934 (the “Exchange Act”), and Rule 10b-5 promulgated thereunder, and alleges that Mr. Zoley violated Section 20(a) of the Exchange Act, by making materially false and misleading statements and/or omissions related to pending litigation, and seeks relief individually and on behalf of a putative class consisting of all persons and entities––other than the defendants, the officers and directors of the Company, members of their immediate families and their legal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8" w:name="page49"/>
    <w:bookmarkEnd w:id="48"/>
    <w:p>
      <w:pPr>
        <w:spacing w:after="0" w:line="301" w:lineRule="auto"/>
        <w:rPr>
          <w:sz w:val="20"/>
          <w:szCs w:val="20"/>
          <w:color w:val="auto"/>
        </w:rPr>
      </w:pPr>
      <w:r>
        <w:rPr>
          <w:rFonts w:ascii="Arial" w:cs="Arial" w:eastAsia="Arial" w:hAnsi="Arial"/>
          <w:sz w:val="16"/>
          <w:szCs w:val="16"/>
          <w:color w:val="auto"/>
        </w:rPr>
        <w:t>representatives, heirs, successors or assigns and any entity in which the defendants have or had a controlling interest––who purchased or otherwise acquired the Company’s securities during the alleged class period from November 9, 2018 to August 5, 2020, inclusive. The second amended complaint seeks damages, interest, attorneys’ fees, expert fees, other costs, and such other relief as the court may deem proper. On June 21, 2022, the court dismissed all claims in the second amended complaint other than those related to the Company’s statements about pending lawsuits made prior to July 17, 2019.</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After the putative shareholder class action lawsuit was filed, three related putative shareholder derivative actions have also been filed.</w:t>
      </w:r>
    </w:p>
    <w:p>
      <w:pPr>
        <w:spacing w:after="0" w:line="2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These cases generally allege breaches of fiduciary duties related to the same underlying matters alleged in the class action. First, on July 1, 2021, a putative shareholder derivative complaint was filed in Palm Beach County, Florida Circuit Court against the Company, as well as current and former Company directors and officers George C. Zoley, Jose Gordo, Brian R. Evans, Ann M. Schlarb, Richard H. Glanton, Anne N. Foreman, Christopher C. Wheeler, Julie M. Wood, Guido van Hauwermeiren, Scott M. Kernan, and Duane Helkowski (collectively, the “State Court Defendants”). Second, on November 12, 2021, a putative shareholder derivative complaint was filed in the U.S. District Court for the Southern District of Florida against the Company, the State Court Defendants, as well as then current and former Company officers David Venturella and J. David Donahue (collectively, the “Derivative Defendants”). Third, on August 24, 2022, a putative stockholder derivative complaint was filed in the U.S. District Court for the Southern District of Florida against the Company and the Derivative Defendants. The state-court complaint alleges breach of fiduciary duty and unjust enrichment claims against the State Court Defendants relating to purported healthcare and quality of care deficiencies, an allegedly inadequate response to the COVID-19 pandemic, alleged forced labor by detainees, and alleged exposure to pending litigation, which purportedly led to damage to GEO. The federal-court complaints make similar allegations of breach of fiduciary duty as to the Derivative Defendants, and also allege that the Derivative Defendants violated Section 10(b) of the Exchange Act, and Rule 10b-5 promulgated thereunder and that Mr. Zoley contributed to alleged violations of Sections 10(b) and 21D of the Exchange Act. These cases are currently stayed pending the resolution of the federal putative shareholder class action lawsuit described above.</w:t>
      </w:r>
    </w:p>
    <w:p>
      <w:pPr>
        <w:spacing w:after="0" w:line="176" w:lineRule="exact"/>
        <w:rPr>
          <w:sz w:val="20"/>
          <w:szCs w:val="20"/>
          <w:color w:val="auto"/>
        </w:rPr>
      </w:pPr>
    </w:p>
    <w:p>
      <w:pPr>
        <w:ind w:right="1140" w:firstLine="509"/>
        <w:spacing w:after="0" w:line="277" w:lineRule="auto"/>
        <w:rPr>
          <w:sz w:val="20"/>
          <w:szCs w:val="20"/>
          <w:color w:val="auto"/>
        </w:rPr>
      </w:pPr>
      <w:r>
        <w:rPr>
          <w:rFonts w:ascii="Arial" w:cs="Arial" w:eastAsia="Arial" w:hAnsi="Arial"/>
          <w:sz w:val="18"/>
          <w:szCs w:val="18"/>
          <w:color w:val="auto"/>
        </w:rPr>
        <w:t>GEO strongly disputes the claims made in these four lawsuits, and intends to take all necessary steps to vigorously defend itself from these lawsuits.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Immigration Detainee Litigation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Civil immigration detainees at the Aurora ICE Processing Center filed a class action lawsuit on October 22, 2014, against the Company</w:t>
      </w:r>
    </w:p>
    <w:p>
      <w:pPr>
        <w:spacing w:after="0" w:line="3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in the U.S. District Court for the District of Colorado. The complaint alleges that the Company was in violation of the Colorado Minimum Wages of Workers Act and the Federal Trafficking Victims Protection Act (“TVPA”). The complaint also claims that the Company was unjustly enriched based on the level of payment the detainees received for work performed in a Voluntary Work Program ("VWP") the Company is required to implement at the facility under the terms of its contract with the federal government. On July 6, 2015, the court found that detainees were not employees under the Colorado Minimum Wage Order and dismissed this claim. On February 27, 2017, the court granted the plaintiffs' motion for class certification on the TVPA and unjust enrichment claims. The plaintiffs class seeks actual damages, compensatory damages, exemplary damages, punitive damages, restitution, attorneys’ fees and costs, and such other relief as the court may deem proper. On October 18, 2022, the court issued an order granting plaintiffs’ motion for summary judgment on the Company’s affirmative defenses, denying the Company’s motion for summary judgment, motion to dismiss, and motion for decertification of the class, narrowing the class period for plaintiffs’ TVPA claims, and otherwise ruling against the Company’s motions for relief. All trial dates are currently stayed by court order pending appeal of evidentiary issue to the 10th Circuit Court of Appeal.</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Since the Colorado suit was initially filed, four similar lawsuits have been filed - two in the state of Washington and two in California.</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first of the two state of Washington lawsuits was filed on September 26, 2017 by immigration detainees against the Company in the</w:t>
      </w:r>
    </w:p>
    <w:p>
      <w:pPr>
        <w:spacing w:after="0" w:line="3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U.S. District Court for the Western District of Washington. The second lawsuit was filed on September 20, 2017 by the State Attorney General against the Company in the Superior Court of the State of Washington for Pierce County, which the Company removed to the U.S. District Court for the Western District of Washington on October 9, 2017. The plaintiffs claimed that Washington State minimum wage laws should be enforced with respect to detainees who volunteer to participate in a VWP administered by GEO at the Northwest ICE Processing Center (the "Center") as required by the U.S. Department of Homeland Security under the terms of GEO’s contract. The Center houses persons in the custody of federal immigration authorities while the federal government is determining their immigration status. In October 2021, an unfavorable jury verdict and court judgment resulting in a combined $23.2 million judgment entered against the Company in the retrial of the two cases, which judgment amounts were subsequently increased by a further award against the Company of attorney’s fees, costs, and pre-judgment interest in the amount of $12.7 million. Post judgment interest is accruing on these judgments in accordance with Washington law. The trial court has waived the necessity to post a supersedeas bond for the combined judgments and has stayed enforcement of the verdict and judgments while GEO’s appeal to the U.S. Court of Appeals for the Ninth Circuit is pending. Oral argument was held on October 6, 2022. The case has been formally submitted to the three-judge panel for decision. GEO intends to take all necessary steps to vigorously defend itself. The Company has not established an accrual for this judgment as it believes a potential loss related to this case is not probable.</w:t>
      </w:r>
    </w:p>
    <w:p>
      <w:pPr>
        <w:spacing w:after="0" w:line="16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In California, a class-action lawsuit was filed on December 19, 2017 by immigration detainees against the Company in the U.S. District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ind w:right="220"/>
        <w:spacing w:after="0" w:line="279" w:lineRule="auto"/>
        <w:rPr>
          <w:sz w:val="20"/>
          <w:szCs w:val="20"/>
          <w:color w:val="auto"/>
        </w:rPr>
      </w:pPr>
      <w:r>
        <w:rPr>
          <w:rFonts w:ascii="Arial" w:cs="Arial" w:eastAsia="Arial" w:hAnsi="Arial"/>
          <w:sz w:val="17"/>
          <w:szCs w:val="17"/>
          <w:color w:val="auto"/>
        </w:rPr>
        <w:t>Court Eastern Division of the Central District of California. The California lawsuit alleges violations of the state’s minimum wage laws, violations of the TVPA and California's equivalent state statute, unjust enrichment, unfair competition and retaliation. The California court has certified a class of individuals who have been civilly detained at the Company's Adelanto Facility from December 19, 2014, until the date of final judgment. On March 31, 2022, the court entered a stay of the California case until the Ninth Circuit rules on the Washington cases.</w:t>
      </w:r>
    </w:p>
    <w:p>
      <w:pPr>
        <w:spacing w:after="0" w:line="170" w:lineRule="exact"/>
        <w:rPr>
          <w:sz w:val="20"/>
          <w:szCs w:val="20"/>
          <w:color w:val="auto"/>
        </w:rPr>
      </w:pPr>
    </w:p>
    <w:p>
      <w:pPr>
        <w:ind w:right="220" w:firstLine="509"/>
        <w:spacing w:after="0" w:line="296" w:lineRule="auto"/>
        <w:rPr>
          <w:sz w:val="20"/>
          <w:szCs w:val="20"/>
          <w:color w:val="auto"/>
        </w:rPr>
      </w:pPr>
      <w:r>
        <w:rPr>
          <w:rFonts w:ascii="Arial" w:cs="Arial" w:eastAsia="Arial" w:hAnsi="Arial"/>
          <w:sz w:val="16"/>
          <w:szCs w:val="16"/>
          <w:color w:val="auto"/>
        </w:rPr>
        <w:t>Current and former detainees of the Mesa Verde ICE Processing Center and the Golden State Annex ICE Processing Center filed a class action lawsuit on July 13, 2022, against the Company in the U.S. District Court for the Eastern District of California, Fresno Division. This lawsuit is similar to the cases in Colorado, Washington and California discussed above. The complaint alleges that federal detainees who volunteer to participate in the VWP at GEO’s Mesa Verde and Golden State Annex ICE facilities are employees of GEO and entitled to the state’s minimum wage. Plaintiffs also make claims for unfair competition, unjust enrichment, human trafficking, forced labor, California's Private Attorneys General Act and retaliation.</w:t>
      </w:r>
    </w:p>
    <w:p>
      <w:pPr>
        <w:spacing w:after="0" w:line="160" w:lineRule="exact"/>
        <w:rPr>
          <w:sz w:val="20"/>
          <w:szCs w:val="20"/>
          <w:color w:val="auto"/>
        </w:rPr>
      </w:pPr>
    </w:p>
    <w:p>
      <w:pPr>
        <w:ind w:right="340" w:firstLine="509"/>
        <w:spacing w:after="0" w:line="263" w:lineRule="auto"/>
        <w:rPr>
          <w:sz w:val="20"/>
          <w:szCs w:val="20"/>
          <w:color w:val="auto"/>
        </w:rPr>
      </w:pPr>
      <w:r>
        <w:rPr>
          <w:rFonts w:ascii="Arial" w:cs="Arial" w:eastAsia="Arial" w:hAnsi="Arial"/>
          <w:sz w:val="18"/>
          <w:szCs w:val="18"/>
          <w:color w:val="auto"/>
        </w:rPr>
        <w:t>GEO believes it operates the VWP in full compliance with its contract with ICE and all applicable laws, regulations, and standards. GEO strongly disputes the claims made in these lawsuits, and intends to take all necessary steps to vigorously defend itself from these lawsuits. GEO has not recorded any accruals relating to these lawsuits at this time as losses are not considered probable.</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Challenges to State Legislation that Conflict with Federal Contracts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 December 30, 2019, the Company filed a lawsuit in the U.S. District Court for the Southern District of California against the State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California for declaratory and injunctive relief challenging California’s newly enacted law - Assembly Bill 32 ("AB-32"), - which prohibits the operation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"private detention facilities" in California, including facilities in which the Company provides secure immigration detention contract services to the federal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government. The Company’s lawsuit asserts that AB-32 violates the Constitution’s Supremacy Clause, which protects the federal government from</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regulation by any state. By prohibiting federal detention facilities in California, the suit argues AB-32 substantially interferes with the ability of USMS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ICE to carry out detention responsibilities for the federal government. Secondly, because AB-32 creates an exemption for the application of AB-32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 of California for the use of "private detention facilities" (to alleviate overcrowding), California’s statute unlawfully discriminates against the federal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government. On January 24, 2020, the United States filed a lawsuit challenging AB-32. On October 8, 2020, the court issued an order granting, in part,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denying, in part, the Company’s and the United States’ motions for preliminary injunction and California’s motion to dismiss. Among other findings,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court (1) dismissed the Company’s intergovernmental immunity claims as well as the United States’ preemption claims as applied to ICE facilities; (2)</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found that the Company and the United States were likely to succeed on the preemption claims as applied to U.S. Marshals’ facilities and enjoined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enforcing AB-32 against those facilities; and (3) refused to enjoin California from enforcing AB-32 against ICE contracts with the Company and the United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States. The Company and the United States appealed to the Ninth Circuit Court of Appeals. Oral argument was held on June 7, 2021. On October 5, 2021,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three-Judge panel of the Ninth Circuit Court of Appeals reversed the lower court’s decision, holding that AB-32 conflicted with federal law. California</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petitioned the Ninth Circuit for the matter to be heard by the court sitting en banc, which petition was accepted. On September 26, 2022, in an 8-3 en banc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decision, the Ninth Circuit Court of Appeals held that AB-32 violates the Constitution's Supremacy Clause and that AB-32 is preempted, vacated the lower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court’s denial of the Company’s and the United States’ motions for preliminary injunction, and remanded the case to the District Court to consider the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remaining preliminary injunction factors.</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April 29, 2021, the Company filed a lawsuit in the U.S. District Court for the Western District of Washington against the State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Washington for declaratory and injunctive relief challenging the State of Washington’s newly enacted law – House Bill 1090 – that purports to prohibit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 of "private detention facilities" in the state, which would prevent the United States from using privately contracted detention facilities to house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detainees in the custody of U.S. Immigration and Customs Enforcement (“ICE”). The court has entered a stay in this action pending the final resolution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AB-32 appeal.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Litigation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nature of the Company's business also exposes it to various other third-party legal claims or litigation against the Company,</w:t>
      </w:r>
    </w:p>
    <w:p>
      <w:pPr>
        <w:spacing w:after="0" w:line="2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including, but not limited to, civil rights claims relating to conditions of confinement and/or mistreatment, sexual misconduct claims brought by individuals in its care, medical malpractice claims, claims related to deaths in custody,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indemnification claims by its customers and other third parties, contractual claims and claims for personal injury or other damages resulting from contact with the Company's facilities, programs, electronic monitoring products, personnel or detainees, including damages arising from the escape of an individual in its care or from a disturbance or riot at a facility.</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Accruals for Legal Proceedings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0" w:name="page51"/>
    <w:bookmarkEnd w:id="50"/>
    <w:p>
      <w:pPr>
        <w:ind w:left="520"/>
        <w:spacing w:after="0"/>
        <w:rPr>
          <w:sz w:val="20"/>
          <w:szCs w:val="20"/>
          <w:color w:val="auto"/>
        </w:rPr>
      </w:pPr>
      <w:r>
        <w:rPr>
          <w:rFonts w:ascii="Arial" w:cs="Arial" w:eastAsia="Arial" w:hAnsi="Arial"/>
          <w:sz w:val="17"/>
          <w:szCs w:val="17"/>
          <w:color w:val="auto"/>
        </w:rPr>
        <w:t>The Company establishes accruals for specific legal proceedings when it is considered probable that a loss has been incurred and the</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amount of the loss can be reasonably estimated. However, the results of these claims or proceedings cannot be predicted with certainty, and an unfavorable resolution of one or more of these claims or proceedings could have a material adverse effect on the Company's financial condition, results of operations or cash flows or could result in a material impairment of the Company’s assets. The Company's accruals for loss contingencies are reviewed quarterly and adjusted as additional information becomes available. The Company does not accrue for anticipated legal fees and costs but expenses those items as incurred.</w:t>
      </w:r>
    </w:p>
    <w:p>
      <w:pPr>
        <w:spacing w:after="0" w:line="2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2" w:right="39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5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75"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Our common stock trades on the New York Stock Exchange under the symbol “GEO.” As of February 21, 2023, we had 489 shareholders of record. Shareholders of record does not include shareholders who own shares held in "street name."</w:t>
      </w:r>
    </w:p>
    <w:p>
      <w:pPr>
        <w:spacing w:after="0" w:line="116"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As discussed above, on December 2, 2021, GEO’s Board unanimously approved a plan to terminate our REIT status and become a taxable C Corporation, effective for the year ended December 31, 2021. In connection with terminating GEO’s REIT status, the Board also voted unanimously to discontinue our quarterly dividend payments and prioritize allocating GEO’s free cash flow to reduce debt. While we do not currently anticipate paying cash dividends, once we achieve our stated debt and leverage reduction goals, we expect to explore options to return capital to our shareholders, which may include the payment of dividends.</w:t>
      </w:r>
    </w:p>
    <w:p>
      <w:pPr>
        <w:sectPr>
          <w:pgSz w:w="11900" w:h="16838" w:orient="portrait"/>
          <w:cols w:equalWidth="0" w:num="1">
            <w:col w:w="11200"/>
          </w:cols>
          <w:pgMar w:left="320" w:top="553" w:right="37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 Compensation Information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1440"/>
        <w:spacing w:after="0"/>
        <w:rPr>
          <w:sz w:val="20"/>
          <w:szCs w:val="20"/>
          <w:color w:val="auto"/>
        </w:rPr>
      </w:pPr>
      <w:r>
        <w:rPr>
          <w:rFonts w:ascii="Arial" w:cs="Arial" w:eastAsia="Arial" w:hAnsi="Arial"/>
          <w:sz w:val="18"/>
          <w:szCs w:val="18"/>
          <w:b w:val="1"/>
          <w:bCs w:val="1"/>
          <w:color w:val="auto"/>
        </w:rPr>
        <w:t>Plan Category</w:t>
      </w:r>
    </w:p>
    <w:p>
      <w:pPr>
        <w:spacing w:after="0" w:line="40" w:lineRule="exact"/>
        <w:rPr>
          <w:sz w:val="20"/>
          <w:szCs w:val="20"/>
          <w:color w:val="auto"/>
        </w:rPr>
      </w:pPr>
    </w:p>
    <w:p>
      <w:pPr>
        <w:ind w:left="1440"/>
        <w:spacing w:after="0" w:line="277" w:lineRule="auto"/>
        <w:rPr>
          <w:sz w:val="20"/>
          <w:szCs w:val="20"/>
          <w:color w:val="auto"/>
        </w:rPr>
      </w:pPr>
      <w:r>
        <w:rPr>
          <w:rFonts w:ascii="Arial" w:cs="Arial" w:eastAsia="Arial" w:hAnsi="Arial"/>
          <w:sz w:val="18"/>
          <w:szCs w:val="18"/>
          <w:color w:val="auto"/>
        </w:rPr>
        <w:t>Equity compensation plans approved by stockholders</w:t>
      </w:r>
    </w:p>
    <w:p>
      <w:pPr>
        <w:spacing w:after="0" w:line="2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Equity compensation plans not</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approved by stockholders</w:t>
      </w:r>
    </w:p>
    <w:p>
      <w:pPr>
        <w:spacing w:after="0" w:line="6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Weighted average</w:t>
            </w:r>
          </w:p>
        </w:tc>
        <w:tc>
          <w:tcPr>
            <w:tcW w:w="2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Number of shares to be</w:t>
            </w:r>
          </w:p>
        </w:tc>
        <w:tc>
          <w:tcPr>
            <w:tcW w:w="2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 future</w:t>
            </w: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issuance under equity</w:t>
            </w:r>
          </w:p>
        </w:tc>
        <w:tc>
          <w:tcPr>
            <w:tcW w:w="0" w:type="dxa"/>
            <w:vAlign w:val="bottom"/>
          </w:tcPr>
          <w:p>
            <w:pPr>
              <w:spacing w:after="0"/>
              <w:rPr>
                <w:sz w:val="1"/>
                <w:szCs w:val="1"/>
                <w:color w:val="auto"/>
              </w:rPr>
            </w:pPr>
          </w:p>
        </w:tc>
      </w:tr>
      <w:tr>
        <w:trPr>
          <w:trHeight w:val="148"/>
        </w:trPr>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issued upon exercise of</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89"/>
              </w:rPr>
              <w:t>outstanding</w:t>
            </w:r>
          </w:p>
        </w:tc>
        <w:tc>
          <w:tcPr>
            <w:tcW w:w="2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48"/>
        </w:trPr>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260" w:type="dxa"/>
            <w:vAlign w:val="bottom"/>
          </w:tcPr>
          <w:p>
            <w:pPr>
              <w:spacing w:after="0"/>
              <w:rPr>
                <w:sz w:val="12"/>
                <w:szCs w:val="12"/>
                <w:color w:val="auto"/>
              </w:rPr>
            </w:pPr>
          </w:p>
        </w:tc>
        <w:tc>
          <w:tcPr>
            <w:tcW w:w="11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7"/>
              </w:rPr>
              <w:t>options, warrants</w:t>
            </w:r>
          </w:p>
        </w:tc>
        <w:tc>
          <w:tcPr>
            <w:tcW w:w="2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 reflected</w:t>
            </w:r>
          </w:p>
        </w:tc>
        <w:tc>
          <w:tcPr>
            <w:tcW w:w="0" w:type="dxa"/>
            <w:vAlign w:val="bottom"/>
          </w:tcPr>
          <w:p>
            <w:pPr>
              <w:spacing w:after="0"/>
              <w:rPr>
                <w:sz w:val="1"/>
                <w:szCs w:val="1"/>
                <w:color w:val="auto"/>
              </w:rPr>
            </w:pPr>
          </w:p>
        </w:tc>
      </w:tr>
      <w:tr>
        <w:trPr>
          <w:trHeight w:val="175"/>
        </w:trPr>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and rights</w:t>
            </w:r>
          </w:p>
        </w:tc>
        <w:tc>
          <w:tcPr>
            <w:tcW w:w="20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5"/>
              </w:rPr>
              <w:t>in column (a))</w:t>
            </w:r>
          </w:p>
        </w:tc>
        <w:tc>
          <w:tcPr>
            <w:tcW w:w="0" w:type="dxa"/>
            <w:vAlign w:val="bottom"/>
          </w:tcPr>
          <w:p>
            <w:pPr>
              <w:spacing w:after="0"/>
              <w:rPr>
                <w:sz w:val="1"/>
                <w:szCs w:val="1"/>
                <w:color w:val="auto"/>
              </w:rPr>
            </w:pPr>
          </w:p>
        </w:tc>
      </w:tr>
      <w:tr>
        <w:trPr>
          <w:trHeight w:val="185"/>
        </w:trPr>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(b)</w:t>
            </w:r>
          </w:p>
        </w:tc>
        <w:tc>
          <w:tcPr>
            <w:tcW w:w="20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681"/>
        </w:trPr>
        <w:tc>
          <w:tcPr>
            <w:tcW w:w="1740" w:type="dxa"/>
            <w:vAlign w:val="bottom"/>
          </w:tcPr>
          <w:p>
            <w:pPr>
              <w:jc w:val="right"/>
              <w:spacing w:after="0"/>
              <w:rPr>
                <w:sz w:val="20"/>
                <w:szCs w:val="20"/>
                <w:color w:val="auto"/>
              </w:rPr>
            </w:pPr>
            <w:r>
              <w:rPr>
                <w:rFonts w:ascii="Arial" w:cs="Arial" w:eastAsia="Arial" w:hAnsi="Arial"/>
                <w:sz w:val="18"/>
                <w:szCs w:val="18"/>
                <w:color w:val="auto"/>
              </w:rPr>
              <w:t>1,885,112</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18.03</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9,018,867</w:t>
            </w:r>
          </w:p>
        </w:tc>
        <w:tc>
          <w:tcPr>
            <w:tcW w:w="0" w:type="dxa"/>
            <w:vAlign w:val="bottom"/>
          </w:tcPr>
          <w:p>
            <w:pPr>
              <w:spacing w:after="0"/>
              <w:rPr>
                <w:sz w:val="1"/>
                <w:szCs w:val="1"/>
                <w:color w:val="auto"/>
              </w:rPr>
            </w:pPr>
          </w:p>
        </w:tc>
      </w:tr>
      <w:tr>
        <w:trPr>
          <w:trHeight w:val="695"/>
        </w:trPr>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1,885,112</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18.03</w:t>
            </w:r>
          </w:p>
        </w:tc>
        <w:tc>
          <w:tcPr>
            <w:tcW w:w="200" w:type="dxa"/>
            <w:vAlign w:val="bottom"/>
          </w:tcPr>
          <w:p>
            <w:pPr>
              <w:spacing w:after="0"/>
              <w:rPr>
                <w:sz w:val="20"/>
                <w:szCs w:val="20"/>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9,018,867</w:t>
            </w:r>
          </w:p>
        </w:tc>
        <w:tc>
          <w:tcPr>
            <w:tcW w:w="0" w:type="dxa"/>
            <w:vAlign w:val="bottom"/>
          </w:tcPr>
          <w:p>
            <w:pPr>
              <w:spacing w:after="0"/>
              <w:rPr>
                <w:sz w:val="1"/>
                <w:szCs w:val="1"/>
                <w:color w:val="auto"/>
              </w:rPr>
            </w:pP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-1939925</wp:posOffset>
            </wp:positionH>
            <wp:positionV relativeFrom="paragraph">
              <wp:posOffset>-1069975</wp:posOffset>
            </wp:positionV>
            <wp:extent cx="534289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42890" cy="154305"/>
                    </a:xfrm>
                    <a:prstGeom prst="rect">
                      <a:avLst/>
                    </a:prstGeom>
                    <a:noFill/>
                  </pic:spPr>
                </pic:pic>
              </a:graphicData>
            </a:graphic>
          </wp:anchor>
        </w:drawing>
        <w:drawing>
          <wp:anchor simplePos="0" relativeHeight="251657728" behindDoc="1" locked="0" layoutInCell="0" allowOverlap="1">
            <wp:simplePos x="0" y="0"/>
            <wp:positionH relativeFrom="column">
              <wp:posOffset>-1939925</wp:posOffset>
            </wp:positionH>
            <wp:positionV relativeFrom="paragraph">
              <wp:posOffset>-624205</wp:posOffset>
            </wp:positionV>
            <wp:extent cx="534289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42890" cy="154305"/>
                    </a:xfrm>
                    <a:prstGeom prst="rect">
                      <a:avLst/>
                    </a:prstGeom>
                    <a:noFill/>
                  </pic:spPr>
                </pic:pic>
              </a:graphicData>
            </a:graphic>
          </wp:anchor>
        </w:drawing>
        <w:drawing>
          <wp:anchor simplePos="0" relativeHeight="251657728" behindDoc="1" locked="0" layoutInCell="0" allowOverlap="1">
            <wp:simplePos x="0" y="0"/>
            <wp:positionH relativeFrom="column">
              <wp:posOffset>-1939925</wp:posOffset>
            </wp:positionH>
            <wp:positionV relativeFrom="paragraph">
              <wp:posOffset>-179070</wp:posOffset>
            </wp:positionV>
            <wp:extent cx="534289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42890" cy="179705"/>
                    </a:xfrm>
                    <a:prstGeom prst="rect">
                      <a:avLst/>
                    </a:prstGeom>
                    <a:noFill/>
                  </pic:spPr>
                </pic:pic>
              </a:graphicData>
            </a:graphic>
          </wp:anchor>
        </w:drawing>
      </w:r>
    </w:p>
    <w:p>
      <w:pPr>
        <w:spacing w:after="0" w:line="1064" w:lineRule="exact"/>
        <w:rPr>
          <w:sz w:val="20"/>
          <w:szCs w:val="20"/>
          <w:color w:val="auto"/>
        </w:rPr>
      </w:pPr>
    </w:p>
    <w:p>
      <w:pPr>
        <w:sectPr>
          <w:pgSz w:w="11900" w:h="16838" w:orient="portrait"/>
          <w:cols w:equalWidth="0" w:num="2">
            <w:col w:w="4320" w:space="160"/>
            <w:col w:w="6720"/>
          </w:cols>
          <w:pgMar w:left="320" w:top="553" w:right="379" w:bottom="1440" w:gutter="0" w:footer="0" w:header="0"/>
          <w:type w:val="continuous"/>
        </w:sectPr>
      </w:pPr>
    </w:p>
    <w:p>
      <w:pPr>
        <w:ind w:right="400" w:firstLine="509"/>
        <w:spacing w:after="0" w:line="277" w:lineRule="auto"/>
        <w:rPr>
          <w:sz w:val="20"/>
          <w:szCs w:val="20"/>
          <w:color w:val="auto"/>
        </w:rPr>
      </w:pPr>
      <w:r>
        <w:rPr>
          <w:rFonts w:ascii="Arial" w:cs="Arial" w:eastAsia="Arial" w:hAnsi="Arial"/>
          <w:sz w:val="18"/>
          <w:szCs w:val="18"/>
          <w:color w:val="auto"/>
        </w:rPr>
        <w:t>The following performance graph compares the performance of our common stock to the Russell 2000, the S&amp;P 500 Commercial Services and Supplies Index, and the MSCI U.S. REIT Index and is provided in accordance with Item 201(e) of Regulation S-K.</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type w:val="continuous"/>
        </w:sectPr>
      </w:pPr>
    </w:p>
    <w:bookmarkStart w:id="52" w:name="page53"/>
    <w:bookmarkEnd w:id="52"/>
    <w:p>
      <w:pPr>
        <w:jc w:val="center"/>
        <w:ind w:right="-1100"/>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The GEO Group, Inc., Russell 2000,</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S&amp;P 500 Commercial Services and Supplies Index</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and MSCI U.S. REIT Index</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(Performance through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972820</wp:posOffset>
            </wp:positionH>
            <wp:positionV relativeFrom="paragraph">
              <wp:posOffset>159385</wp:posOffset>
            </wp:positionV>
            <wp:extent cx="5171440" cy="26631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71440" cy="266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7"/>
              </w:rPr>
              <w:t>The GEO Group, Inc.</w:t>
            </w:r>
          </w:p>
        </w:tc>
        <w:tc>
          <w:tcPr>
            <w:tcW w:w="260" w:type="dxa"/>
            <w:vAlign w:val="bottom"/>
          </w:tcPr>
          <w:p>
            <w:pPr>
              <w:spacing w:after="0"/>
              <w:rPr>
                <w:sz w:val="13"/>
                <w:szCs w:val="13"/>
                <w:color w:val="auto"/>
              </w:rPr>
            </w:pPr>
          </w:p>
        </w:tc>
        <w:tc>
          <w:tcPr>
            <w:tcW w:w="10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89"/>
              </w:rPr>
              <w:t>Russell 2000</w:t>
            </w:r>
          </w:p>
        </w:tc>
        <w:tc>
          <w:tcPr>
            <w:tcW w:w="260" w:type="dxa"/>
            <w:vAlign w:val="bottom"/>
          </w:tcPr>
          <w:p>
            <w:pPr>
              <w:spacing w:after="0"/>
              <w:rPr>
                <w:sz w:val="13"/>
                <w:szCs w:val="13"/>
                <w:color w:val="auto"/>
              </w:rPr>
            </w:pPr>
          </w:p>
        </w:tc>
        <w:tc>
          <w:tcPr>
            <w:tcW w:w="1640" w:type="dxa"/>
            <w:vAlign w:val="bottom"/>
          </w:tcPr>
          <w:p>
            <w:pPr>
              <w:jc w:val="right"/>
              <w:ind w:right="175"/>
              <w:spacing w:after="0"/>
              <w:rPr>
                <w:sz w:val="20"/>
                <w:szCs w:val="20"/>
                <w:color w:val="auto"/>
              </w:rPr>
            </w:pPr>
            <w:r>
              <w:rPr>
                <w:rFonts w:ascii="Arial" w:cs="Arial" w:eastAsia="Arial" w:hAnsi="Arial"/>
                <w:sz w:val="14"/>
                <w:szCs w:val="14"/>
                <w:b w:val="1"/>
                <w:bCs w:val="1"/>
                <w:color w:val="auto"/>
                <w:w w:val="97"/>
              </w:rPr>
              <w:t>S&amp;P 500 Commercial</w:t>
            </w:r>
          </w:p>
        </w:tc>
        <w:tc>
          <w:tcPr>
            <w:tcW w:w="180" w:type="dxa"/>
            <w:vAlign w:val="bottom"/>
          </w:tcPr>
          <w:p>
            <w:pPr>
              <w:spacing w:after="0"/>
              <w:rPr>
                <w:sz w:val="13"/>
                <w:szCs w:val="13"/>
                <w:color w:val="auto"/>
              </w:rPr>
            </w:pPr>
          </w:p>
        </w:tc>
        <w:tc>
          <w:tcPr>
            <w:tcW w:w="1000" w:type="dxa"/>
            <w:vAlign w:val="bottom"/>
          </w:tcPr>
          <w:p>
            <w:pPr>
              <w:jc w:val="right"/>
              <w:ind w:right="195"/>
              <w:spacing w:after="0"/>
              <w:rPr>
                <w:sz w:val="20"/>
                <w:szCs w:val="20"/>
                <w:color w:val="auto"/>
              </w:rPr>
            </w:pPr>
            <w:r>
              <w:rPr>
                <w:rFonts w:ascii="Arial" w:cs="Arial" w:eastAsia="Arial" w:hAnsi="Arial"/>
                <w:sz w:val="14"/>
                <w:szCs w:val="14"/>
                <w:b w:val="1"/>
                <w:bCs w:val="1"/>
                <w:color w:val="auto"/>
              </w:rPr>
              <w:t>MSCI U.S.</w:t>
            </w:r>
          </w:p>
        </w:tc>
        <w:tc>
          <w:tcPr>
            <w:tcW w:w="0" w:type="dxa"/>
            <w:vAlign w:val="bottom"/>
          </w:tcPr>
          <w:p>
            <w:pPr>
              <w:spacing w:after="0"/>
              <w:rPr>
                <w:sz w:val="1"/>
                <w:szCs w:val="1"/>
                <w:color w:val="auto"/>
              </w:rPr>
            </w:pPr>
          </w:p>
        </w:tc>
      </w:tr>
      <w:tr>
        <w:trPr>
          <w:trHeight w:val="185"/>
        </w:trPr>
        <w:tc>
          <w:tcPr>
            <w:tcW w:w="2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Services &amp; Supplies</w:t>
            </w:r>
          </w:p>
        </w:tc>
        <w:tc>
          <w:tcPr>
            <w:tcW w:w="180" w:type="dxa"/>
            <w:vAlign w:val="bottom"/>
          </w:tcPr>
          <w:p>
            <w:pPr>
              <w:spacing w:after="0"/>
              <w:rPr>
                <w:sz w:val="16"/>
                <w:szCs w:val="16"/>
                <w:color w:val="auto"/>
              </w:rPr>
            </w:pPr>
          </w:p>
        </w:tc>
        <w:tc>
          <w:tcPr>
            <w:tcW w:w="1000" w:type="dxa"/>
            <w:vAlign w:val="bottom"/>
          </w:tcPr>
          <w:p>
            <w:pPr>
              <w:jc w:val="right"/>
              <w:ind w:right="155"/>
              <w:spacing w:after="0"/>
              <w:rPr>
                <w:sz w:val="20"/>
                <w:szCs w:val="20"/>
                <w:color w:val="auto"/>
              </w:rPr>
            </w:pPr>
            <w:r>
              <w:rPr>
                <w:rFonts w:ascii="Arial" w:cs="Arial" w:eastAsia="Arial" w:hAnsi="Arial"/>
                <w:sz w:val="14"/>
                <w:szCs w:val="14"/>
                <w:b w:val="1"/>
                <w:bCs w:val="1"/>
                <w:color w:val="auto"/>
              </w:rPr>
              <w:t>REIT Index</w:t>
            </w:r>
          </w:p>
        </w:tc>
        <w:tc>
          <w:tcPr>
            <w:tcW w:w="0" w:type="dxa"/>
            <w:vAlign w:val="bottom"/>
          </w:tcPr>
          <w:p>
            <w:pPr>
              <w:spacing w:after="0"/>
              <w:rPr>
                <w:sz w:val="1"/>
                <w:szCs w:val="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2017</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6"/>
        </w:trPr>
        <w:tc>
          <w:tcPr>
            <w:tcW w:w="2140" w:type="dxa"/>
            <w:vAlign w:val="bottom"/>
          </w:tcPr>
          <w:p>
            <w:pPr>
              <w:spacing w:after="0"/>
              <w:rPr>
                <w:sz w:val="20"/>
                <w:szCs w:val="20"/>
                <w:color w:val="auto"/>
              </w:rPr>
            </w:pPr>
            <w:r>
              <w:rPr>
                <w:rFonts w:ascii="Arial" w:cs="Arial" w:eastAsia="Arial" w:hAnsi="Arial"/>
                <w:sz w:val="18"/>
                <w:szCs w:val="18"/>
                <w:color w:val="auto"/>
              </w:rPr>
              <w:t>December 31, 2018</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3"/>
              <w:spacing w:after="0"/>
              <w:rPr>
                <w:sz w:val="20"/>
                <w:szCs w:val="20"/>
                <w:color w:val="auto"/>
              </w:rPr>
            </w:pPr>
            <w:r>
              <w:rPr>
                <w:rFonts w:ascii="Arial" w:cs="Arial" w:eastAsia="Arial" w:hAnsi="Arial"/>
                <w:sz w:val="18"/>
                <w:szCs w:val="18"/>
                <w:color w:val="auto"/>
              </w:rPr>
              <w:t>90.65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87.82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96.90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91.36</w:t>
            </w:r>
          </w:p>
        </w:tc>
        <w:tc>
          <w:tcPr>
            <w:tcW w:w="0" w:type="dxa"/>
            <w:vAlign w:val="bottom"/>
          </w:tcPr>
          <w:p>
            <w:pPr>
              <w:spacing w:after="0"/>
              <w:rPr>
                <w:sz w:val="1"/>
                <w:szCs w:val="1"/>
                <w:color w:val="auto"/>
              </w:rPr>
            </w:pPr>
          </w:p>
        </w:tc>
      </w:tr>
      <w:tr>
        <w:trPr>
          <w:trHeight w:val="249"/>
        </w:trPr>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84.48</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108.66</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110.49</w:t>
            </w:r>
          </w:p>
        </w:tc>
        <w:tc>
          <w:tcPr>
            <w:tcW w:w="0" w:type="dxa"/>
            <w:vAlign w:val="bottom"/>
          </w:tcPr>
          <w:p>
            <w:pPr>
              <w:spacing w:after="0"/>
              <w:rPr>
                <w:sz w:val="1"/>
                <w:szCs w:val="1"/>
                <w:color w:val="auto"/>
              </w:rPr>
            </w:pPr>
          </w:p>
        </w:tc>
      </w:tr>
      <w:tr>
        <w:trPr>
          <w:trHeight w:val="236"/>
        </w:trPr>
        <w:tc>
          <w:tcPr>
            <w:tcW w:w="2140" w:type="dxa"/>
            <w:vAlign w:val="bottom"/>
          </w:tcPr>
          <w:p>
            <w:pPr>
              <w:spacing w:after="0"/>
              <w:rPr>
                <w:sz w:val="20"/>
                <w:szCs w:val="20"/>
                <w:color w:val="auto"/>
              </w:rPr>
            </w:pPr>
            <w:r>
              <w:rPr>
                <w:rFonts w:ascii="Arial" w:cs="Arial" w:eastAsia="Arial" w:hAnsi="Arial"/>
                <w:sz w:val="18"/>
                <w:szCs w:val="18"/>
                <w:color w:val="auto"/>
              </w:rPr>
              <w:t>December 31, 2020</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3"/>
              <w:spacing w:after="0"/>
              <w:rPr>
                <w:sz w:val="20"/>
                <w:szCs w:val="20"/>
                <w:color w:val="auto"/>
              </w:rPr>
            </w:pPr>
            <w:r>
              <w:rPr>
                <w:rFonts w:ascii="Arial" w:cs="Arial" w:eastAsia="Arial" w:hAnsi="Arial"/>
                <w:sz w:val="18"/>
                <w:szCs w:val="18"/>
                <w:color w:val="auto"/>
              </w:rPr>
              <w:t>43.76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128.61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162.14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98.21</w:t>
            </w:r>
          </w:p>
        </w:tc>
        <w:tc>
          <w:tcPr>
            <w:tcW w:w="0" w:type="dxa"/>
            <w:vAlign w:val="bottom"/>
          </w:tcPr>
          <w:p>
            <w:pPr>
              <w:spacing w:after="0"/>
              <w:rPr>
                <w:sz w:val="1"/>
                <w:szCs w:val="1"/>
                <w:color w:val="auto"/>
              </w:rPr>
            </w:pPr>
          </w:p>
        </w:tc>
      </w:tr>
      <w:tr>
        <w:trPr>
          <w:trHeight w:val="249"/>
        </w:trPr>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2021</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39.42</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146.23</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136.29</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December 31, 2022</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3"/>
              <w:spacing w:after="0"/>
              <w:rPr>
                <w:sz w:val="20"/>
                <w:szCs w:val="20"/>
                <w:color w:val="auto"/>
              </w:rPr>
            </w:pPr>
            <w:r>
              <w:rPr>
                <w:rFonts w:ascii="Arial" w:cs="Arial" w:eastAsia="Arial" w:hAnsi="Arial"/>
                <w:sz w:val="18"/>
                <w:szCs w:val="18"/>
                <w:color w:val="auto"/>
              </w:rPr>
              <w:t>55.70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114.70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187.19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99.04</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Assumes $100 invested on December 31, 2017 in our common stock and the respective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Total return assumes reinvestment of dividends.</w:t>
      </w:r>
    </w:p>
    <w:p>
      <w:pPr>
        <w:spacing w:after="0" w:line="27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8" w:right="1440" w:bottom="1440" w:gutter="0" w:footer="0" w:header="0"/>
        </w:sectPr>
      </w:pPr>
    </w:p>
    <w:bookmarkStart w:id="53" w:name="page54"/>
    <w:bookmarkEnd w:id="53"/>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The following discussion and analysis provides information which management believes is relevant to an assessment and understanding of our consolidated results of operations and financial condition. This discussion contains forward-looking statements that involve risks and uncertainties. Our actual results may differ materially from those anticipated in these forward-looking statements as a result of numerous factors including, but not limited to, those described above under “Item 1A. Risk Factors,” and “Forward-Looking Statements - Safe Harbor” below. The discussion should be read in conjunction with the consolidated financial statements and notes thereto.</w:t>
      </w:r>
    </w:p>
    <w:p>
      <w:pPr>
        <w:spacing w:after="0" w:line="17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This section of this Form 10-K generally discusses 2022 and 2021 items and year-to-year comparisons between 2022 and 2021. Discussions of 2020 items and year-to-year comparisons between 2021 and 2020 that are not included in this Form 10-K can be found in “Management’s Discussion and Analysis of Financial Condition and Results of Operations” in Part II, Item 7 of the Company’s Annual Report on Form 10-K for the fiscal year ended December 31, 2021 and are incorporated herein by reference.</w:t>
      </w:r>
    </w:p>
    <w:p>
      <w:pPr>
        <w:spacing w:after="0" w:line="185"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We specialize in the ownership, leasing and management of secure, reentry facilities and processing centers and the provision of community-based services in the United States, Australia and South Africa. We own, lease and operate a broad range of secure facilities including maximum, medium and minimum-security facilities, processing centers, and community-based reentry facilities. We offer counseling, education and/or treatment for alcohol and drug abuse problems at most of the domestic facilities we manage. We are also a provider of innovative compliance technologies, industry-leading monitoring services, and evidence-based supervision and treatment programs for community-based parolees, probationers and pretrial defendants. Additionally, we have a contract with ICE to provide supervision and reporting services designed to improve the participation of non-detained aliens in the immigration court system. We develop new facilities based on contract awards, using our project development expertise and experience to design, construct and finance what we believe are state-of-the-art facilities that maximize security and efficiency. We also provide secure transportation services for offender and detainee populations as contracted domestically and in the United Kingdom through our joint venture GEOAmey.</w:t>
      </w:r>
    </w:p>
    <w:p>
      <w:pPr>
        <w:spacing w:after="0" w:line="170"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As of December 31, 2022, our worldwide operations included the management and/or ownership of approximately 82,000 beds at 102 correctional, detention and reentry facilities, including idle facilities, and also included the provision of servicing individuals in a community-based environment on behalf of federal, state and local correctional agencies located throughout the country.</w:t>
      </w:r>
    </w:p>
    <w:p>
      <w:pPr>
        <w:spacing w:after="0" w:line="183"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For the years ended December 31, 2022 and 2021, we had consolidated revenues of $2.4 billion and $2.3 billion, respectively, and we maintained an average company-wide facility occupancy rate of 86.3% including 69,418 active beds and excluding 13,061 idle beds for the year ended December 31, 2022, and 85.4% including 74,834 active beds and excluding 11,200 idle beds for the year ended December 31, 2021.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REIT Election</w:t>
      </w:r>
    </w:p>
    <w:p>
      <w:pPr>
        <w:spacing w:after="0" w:line="225"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On December 2, 2021, we announced that our Board unanimously approved a plan to terminate our REIT election and become a taxable C Corporation, effective for the year ended December 31, 2021. As a result, we are no longer required to operate under REIT rules, including the requirement to distribute at least 90% of REIT taxable income to our stockholders, which provides us with greater flexibility to use our free cash flow. Effective January 1, 2021, we are subject to federal and state income taxes on our taxable income at applicable tax rates, and are no longer entitled to a tax deduction for dividends paid. We operated as a REIT for the 2020 tax year, and existing REIT requirements and limitations, including those established by our organizational documents, remained in place until December 31, 2020. The Board also voted unanimously to discontinue our quarterly dividend payment and prioritize allocating our free cash flow to reduce debt.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The consolidated financial statements in this report are prepared in conformity with U.S. generally accepted accounting principles, or GAAP. As such, we are required to make certain estimates, judgments, and assumptions that we believe are reasonable based upon the information available. These estimates and assumptions affect the reported amounts of assets and liabilities at the date of the consolidated financial statements and the reported amounts of revenue and expenses during the reporting period. A summary of our significant accounting policies is described in Note 1 – Summary of Business Organization, Operations and Significant Accounting Policies of the notes to the audited consolidated financial statements contained Part II, Item 8 of this Annual Report on Form 10-K. The significant accounting policies and estimates which we believe are the most critical to aid in fully understanding and evaluating our reported financial results include the following: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54" w:name="page55"/>
    <w:bookmarkEnd w:id="54"/>
    <w:p>
      <w:pPr>
        <w:ind w:left="460"/>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225"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The following table summarizes the Company’s idled facilities as of December 31, 2022 and their respective carrying values, excluding equipment and other assets that can be easily transferred to other facilities.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center"/>
              <w:ind w:right="175"/>
              <w:spacing w:after="0"/>
              <w:rPr>
                <w:sz w:val="20"/>
                <w:szCs w:val="20"/>
                <w:color w:val="auto"/>
              </w:rPr>
            </w:pPr>
            <w:r>
              <w:rPr>
                <w:rFonts w:ascii="Arial" w:cs="Arial" w:eastAsia="Arial" w:hAnsi="Arial"/>
                <w:sz w:val="14"/>
                <w:szCs w:val="14"/>
                <w:b w:val="1"/>
                <w:bCs w:val="1"/>
                <w:color w:val="auto"/>
                <w:w w:val="89"/>
              </w:rPr>
              <w:t>Secure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195"/>
              <w:spacing w:after="0"/>
              <w:rPr>
                <w:sz w:val="20"/>
                <w:szCs w:val="20"/>
                <w:color w:val="auto"/>
              </w:rPr>
            </w:pPr>
            <w:r>
              <w:rPr>
                <w:rFonts w:ascii="Arial" w:cs="Arial" w:eastAsia="Arial" w:hAnsi="Arial"/>
                <w:sz w:val="14"/>
                <w:szCs w:val="14"/>
                <w:b w:val="1"/>
                <w:bCs w:val="1"/>
                <w:color w:val="auto"/>
                <w:w w:val="95"/>
              </w:rPr>
              <w:t>Reentry</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center"/>
              <w:ind w:right="1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center"/>
              <w:ind w:right="175"/>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195"/>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9"/>
              </w:rPr>
              <w:t>Secure</w:t>
            </w:r>
          </w:p>
        </w:tc>
        <w:tc>
          <w:tcPr>
            <w:tcW w:w="120" w:type="dxa"/>
            <w:vAlign w:val="bottom"/>
          </w:tcPr>
          <w:p>
            <w:pPr>
              <w:spacing w:after="0"/>
              <w:rPr>
                <w:sz w:val="12"/>
                <w:szCs w:val="12"/>
                <w:color w:val="auto"/>
              </w:rPr>
            </w:pPr>
          </w:p>
        </w:tc>
        <w:tc>
          <w:tcPr>
            <w:tcW w:w="10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5"/>
              </w:rPr>
              <w:t>Reentry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7"/>
              </w:rPr>
              <w:t>Net Carrying</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7"/>
              </w:rPr>
              <w:t>Net Carrying</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ind w:right="214"/>
              <w:spacing w:after="0" w:line="149"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18"/>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5"/>
                <w:szCs w:val="15"/>
                <w:color w:val="auto"/>
              </w:rPr>
            </w:pPr>
          </w:p>
        </w:tc>
        <w:tc>
          <w:tcPr>
            <w:tcW w:w="1000" w:type="dxa"/>
            <w:vAlign w:val="bottom"/>
          </w:tcPr>
          <w:p>
            <w:pPr>
              <w:jc w:val="center"/>
              <w:ind w:right="16"/>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195"/>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194"/>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8"/>
        </w:trPr>
        <w:tc>
          <w:tcPr>
            <w:tcW w:w="294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Facility</w:t>
            </w:r>
          </w:p>
        </w:tc>
        <w:tc>
          <w:tcPr>
            <w:tcW w:w="180" w:type="dxa"/>
            <w:vAlign w:val="bottom"/>
          </w:tcPr>
          <w:p>
            <w:pPr>
              <w:spacing w:after="0"/>
              <w:rPr>
                <w:sz w:val="12"/>
                <w:szCs w:val="12"/>
                <w:color w:val="auto"/>
              </w:rPr>
            </w:pPr>
          </w:p>
        </w:tc>
        <w:tc>
          <w:tcPr>
            <w:tcW w:w="10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Year Idled</w:t>
            </w:r>
          </w:p>
        </w:tc>
        <w:tc>
          <w:tcPr>
            <w:tcW w:w="120" w:type="dxa"/>
            <w:vAlign w:val="bottom"/>
          </w:tcPr>
          <w:p>
            <w:pPr>
              <w:spacing w:after="0"/>
              <w:rPr>
                <w:sz w:val="12"/>
                <w:szCs w:val="12"/>
                <w:color w:val="auto"/>
              </w:rPr>
            </w:pPr>
          </w:p>
        </w:tc>
        <w:tc>
          <w:tcPr>
            <w:tcW w:w="10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9"/>
              </w:rPr>
              <w:t>Design</w:t>
            </w:r>
          </w:p>
        </w:tc>
        <w:tc>
          <w:tcPr>
            <w:tcW w:w="120" w:type="dxa"/>
            <w:vAlign w:val="bottom"/>
          </w:tcPr>
          <w:p>
            <w:pPr>
              <w:spacing w:after="0"/>
              <w:rPr>
                <w:sz w:val="12"/>
                <w:szCs w:val="12"/>
                <w:color w:val="auto"/>
              </w:rPr>
            </w:pPr>
          </w:p>
        </w:tc>
        <w:tc>
          <w:tcPr>
            <w:tcW w:w="100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9"/>
              </w:rPr>
              <w:t>Design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91"/>
              </w:rPr>
              <w:t>December 31, 2022</w:t>
            </w:r>
          </w:p>
        </w:tc>
        <w:tc>
          <w:tcPr>
            <w:tcW w:w="160" w:type="dxa"/>
            <w:vAlign w:val="bottom"/>
          </w:tcPr>
          <w:p>
            <w:pPr>
              <w:spacing w:after="0"/>
              <w:rPr>
                <w:sz w:val="12"/>
                <w:szCs w:val="12"/>
                <w:color w:val="auto"/>
              </w:rPr>
            </w:pPr>
          </w:p>
        </w:tc>
        <w:tc>
          <w:tcPr>
            <w:tcW w:w="1340" w:type="dxa"/>
            <w:vAlign w:val="bottom"/>
            <w:gridSpan w:val="2"/>
            <w:vMerge w:val="restart"/>
          </w:tcPr>
          <w:p>
            <w:pPr>
              <w:jc w:val="center"/>
              <w:ind w:right="15"/>
              <w:spacing w:after="0"/>
              <w:rPr>
                <w:sz w:val="20"/>
                <w:szCs w:val="20"/>
                <w:color w:val="auto"/>
              </w:rPr>
            </w:pPr>
            <w:r>
              <w:rPr>
                <w:rFonts w:ascii="Arial" w:cs="Arial" w:eastAsia="Arial" w:hAnsi="Arial"/>
                <w:sz w:val="14"/>
                <w:szCs w:val="14"/>
                <w:b w:val="1"/>
                <w:bCs w:val="1"/>
                <w:color w:val="auto"/>
                <w:w w:val="91"/>
              </w:rPr>
              <w:t>December 31, 2022</w:t>
            </w:r>
          </w:p>
        </w:tc>
        <w:tc>
          <w:tcPr>
            <w:tcW w:w="160" w:type="dxa"/>
            <w:vAlign w:val="bottom"/>
          </w:tcPr>
          <w:p>
            <w:pPr>
              <w:spacing w:after="0"/>
              <w:rPr>
                <w:sz w:val="12"/>
                <w:szCs w:val="12"/>
                <w:color w:val="auto"/>
              </w:rPr>
            </w:pPr>
          </w:p>
        </w:tc>
        <w:tc>
          <w:tcPr>
            <w:tcW w:w="1420" w:type="dxa"/>
            <w:vAlign w:val="bottom"/>
            <w:gridSpan w:val="2"/>
            <w:vMerge w:val="restart"/>
          </w:tcPr>
          <w:p>
            <w:pPr>
              <w:jc w:val="center"/>
              <w:ind w:right="14"/>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185"/>
        </w:trPr>
        <w:tc>
          <w:tcPr>
            <w:tcW w:w="29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2"/>
              </w:rPr>
              <w:t>Capacity</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2"/>
              </w:rPr>
              <w:t>Capacity</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Great Plains Correctional Facility</w:t>
            </w: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1,940</w:t>
            </w: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69,367</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69,367</w:t>
            </w:r>
          </w:p>
        </w:tc>
        <w:tc>
          <w:tcPr>
            <w:tcW w:w="0" w:type="dxa"/>
            <w:vAlign w:val="bottom"/>
          </w:tcPr>
          <w:p>
            <w:pPr>
              <w:spacing w:after="0"/>
              <w:rPr>
                <w:sz w:val="1"/>
                <w:szCs w:val="1"/>
                <w:color w:val="auto"/>
              </w:rPr>
            </w:pPr>
          </w:p>
        </w:tc>
      </w:tr>
      <w:tr>
        <w:trPr>
          <w:trHeight w:val="236"/>
        </w:trPr>
        <w:tc>
          <w:tcPr>
            <w:tcW w:w="2940" w:type="dxa"/>
            <w:vAlign w:val="bottom"/>
          </w:tcPr>
          <w:p>
            <w:pPr>
              <w:ind w:left="20"/>
              <w:spacing w:after="0"/>
              <w:rPr>
                <w:sz w:val="20"/>
                <w:szCs w:val="20"/>
                <w:color w:val="auto"/>
              </w:rPr>
            </w:pPr>
            <w:r>
              <w:rPr>
                <w:rFonts w:ascii="Arial" w:cs="Arial" w:eastAsia="Arial" w:hAnsi="Arial"/>
                <w:sz w:val="18"/>
                <w:szCs w:val="18"/>
                <w:color w:val="auto"/>
              </w:rPr>
              <w:t>D. Ray James Correctional Facility</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1120" w:type="dxa"/>
            <w:vAlign w:val="bottom"/>
            <w:gridSpan w:val="2"/>
          </w:tcPr>
          <w:p>
            <w:pPr>
              <w:jc w:val="right"/>
              <w:ind w:right="38"/>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50,829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50,829</w:t>
            </w:r>
          </w:p>
        </w:tc>
        <w:tc>
          <w:tcPr>
            <w:tcW w:w="0" w:type="dxa"/>
            <w:vAlign w:val="bottom"/>
          </w:tcPr>
          <w:p>
            <w:pPr>
              <w:spacing w:after="0"/>
              <w:rPr>
                <w:sz w:val="1"/>
                <w:szCs w:val="1"/>
                <w:color w:val="auto"/>
              </w:rPr>
            </w:pPr>
          </w:p>
        </w:tc>
      </w:tr>
      <w:tr>
        <w:trPr>
          <w:trHeight w:val="249"/>
        </w:trPr>
        <w:tc>
          <w:tcPr>
            <w:tcW w:w="2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Northlake Correctional Facility</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2022</w:t>
            </w:r>
          </w:p>
        </w:tc>
        <w:tc>
          <w:tcPr>
            <w:tcW w:w="1120" w:type="dxa"/>
            <w:vAlign w:val="bottom"/>
            <w:gridSpan w:val="2"/>
            <w:shd w:val="clear" w:color="auto" w:fill="CFF0FC"/>
          </w:tcPr>
          <w:p>
            <w:pPr>
              <w:jc w:val="right"/>
              <w:ind w:right="38"/>
              <w:spacing w:after="0"/>
              <w:rPr>
                <w:sz w:val="20"/>
                <w:szCs w:val="20"/>
                <w:color w:val="auto"/>
              </w:rPr>
            </w:pPr>
            <w:r>
              <w:rPr>
                <w:rFonts w:ascii="Arial" w:cs="Arial" w:eastAsia="Arial" w:hAnsi="Arial"/>
                <w:sz w:val="18"/>
                <w:szCs w:val="18"/>
                <w:color w:val="auto"/>
              </w:rPr>
              <w:t>1,800</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68,524</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68,524</w:t>
            </w:r>
          </w:p>
        </w:tc>
        <w:tc>
          <w:tcPr>
            <w:tcW w:w="0" w:type="dxa"/>
            <w:vAlign w:val="bottom"/>
          </w:tcPr>
          <w:p>
            <w:pPr>
              <w:spacing w:after="0"/>
              <w:rPr>
                <w:sz w:val="1"/>
                <w:szCs w:val="1"/>
                <w:color w:val="auto"/>
              </w:rPr>
            </w:pPr>
          </w:p>
        </w:tc>
      </w:tr>
      <w:tr>
        <w:trPr>
          <w:trHeight w:val="236"/>
        </w:trPr>
        <w:tc>
          <w:tcPr>
            <w:tcW w:w="2940" w:type="dxa"/>
            <w:vAlign w:val="bottom"/>
          </w:tcPr>
          <w:p>
            <w:pPr>
              <w:ind w:left="20"/>
              <w:spacing w:after="0"/>
              <w:rPr>
                <w:sz w:val="20"/>
                <w:szCs w:val="20"/>
                <w:color w:val="auto"/>
              </w:rPr>
            </w:pPr>
            <w:r>
              <w:rPr>
                <w:rFonts w:ascii="Arial" w:cs="Arial" w:eastAsia="Arial" w:hAnsi="Arial"/>
                <w:sz w:val="18"/>
                <w:szCs w:val="18"/>
                <w:color w:val="auto"/>
              </w:rPr>
              <w:t>Rivers Correctional Facility</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1120" w:type="dxa"/>
            <w:vAlign w:val="bottom"/>
            <w:gridSpan w:val="2"/>
          </w:tcPr>
          <w:p>
            <w:pPr>
              <w:jc w:val="right"/>
              <w:ind w:right="38"/>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37,911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37,911</w:t>
            </w:r>
          </w:p>
        </w:tc>
        <w:tc>
          <w:tcPr>
            <w:tcW w:w="0" w:type="dxa"/>
            <w:vAlign w:val="bottom"/>
          </w:tcPr>
          <w:p>
            <w:pPr>
              <w:spacing w:after="0"/>
              <w:rPr>
                <w:sz w:val="1"/>
                <w:szCs w:val="1"/>
                <w:color w:val="auto"/>
              </w:rPr>
            </w:pPr>
          </w:p>
        </w:tc>
      </w:tr>
      <w:tr>
        <w:trPr>
          <w:trHeight w:val="249"/>
        </w:trPr>
        <w:tc>
          <w:tcPr>
            <w:tcW w:w="2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Big Spring Correctional Facility</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1120" w:type="dxa"/>
            <w:vAlign w:val="bottom"/>
            <w:gridSpan w:val="2"/>
            <w:shd w:val="clear" w:color="auto" w:fill="CFF0FC"/>
          </w:tcPr>
          <w:p>
            <w:pPr>
              <w:jc w:val="right"/>
              <w:ind w:right="38"/>
              <w:spacing w:after="0"/>
              <w:rPr>
                <w:sz w:val="20"/>
                <w:szCs w:val="20"/>
                <w:color w:val="auto"/>
              </w:rPr>
            </w:pPr>
            <w:r>
              <w:rPr>
                <w:rFonts w:ascii="Arial" w:cs="Arial" w:eastAsia="Arial" w:hAnsi="Arial"/>
                <w:sz w:val="18"/>
                <w:szCs w:val="18"/>
                <w:color w:val="auto"/>
              </w:rPr>
              <w:t>1,732</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32,959</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32,959</w:t>
            </w:r>
          </w:p>
        </w:tc>
        <w:tc>
          <w:tcPr>
            <w:tcW w:w="0" w:type="dxa"/>
            <w:vAlign w:val="bottom"/>
          </w:tcPr>
          <w:p>
            <w:pPr>
              <w:spacing w:after="0"/>
              <w:rPr>
                <w:sz w:val="1"/>
                <w:szCs w:val="1"/>
                <w:color w:val="auto"/>
              </w:rPr>
            </w:pPr>
          </w:p>
        </w:tc>
      </w:tr>
      <w:tr>
        <w:trPr>
          <w:trHeight w:val="236"/>
        </w:trPr>
        <w:tc>
          <w:tcPr>
            <w:tcW w:w="2940" w:type="dxa"/>
            <w:vAlign w:val="bottom"/>
          </w:tcPr>
          <w:p>
            <w:pPr>
              <w:ind w:left="20"/>
              <w:spacing w:after="0"/>
              <w:rPr>
                <w:sz w:val="20"/>
                <w:szCs w:val="20"/>
                <w:color w:val="auto"/>
              </w:rPr>
            </w:pPr>
            <w:r>
              <w:rPr>
                <w:rFonts w:ascii="Arial" w:cs="Arial" w:eastAsia="Arial" w:hAnsi="Arial"/>
                <w:sz w:val="18"/>
                <w:szCs w:val="18"/>
                <w:color w:val="auto"/>
              </w:rPr>
              <w:t>Flightline Correctional Facility</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1120" w:type="dxa"/>
            <w:vAlign w:val="bottom"/>
            <w:gridSpan w:val="2"/>
          </w:tcPr>
          <w:p>
            <w:pPr>
              <w:jc w:val="right"/>
              <w:ind w:right="38"/>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35,094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35,094</w:t>
            </w:r>
          </w:p>
        </w:tc>
        <w:tc>
          <w:tcPr>
            <w:tcW w:w="0" w:type="dxa"/>
            <w:vAlign w:val="bottom"/>
          </w:tcPr>
          <w:p>
            <w:pPr>
              <w:spacing w:after="0"/>
              <w:rPr>
                <w:sz w:val="1"/>
                <w:szCs w:val="1"/>
                <w:color w:val="auto"/>
              </w:rPr>
            </w:pPr>
          </w:p>
        </w:tc>
      </w:tr>
      <w:tr>
        <w:trPr>
          <w:trHeight w:val="221"/>
        </w:trPr>
        <w:tc>
          <w:tcPr>
            <w:tcW w:w="2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McFarland Female Community</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9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Reentry Facility</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1120" w:type="dxa"/>
            <w:vAlign w:val="bottom"/>
            <w:gridSpan w:val="2"/>
            <w:shd w:val="clear" w:color="auto" w:fill="CFF0FC"/>
          </w:tcPr>
          <w:p>
            <w:pPr>
              <w:jc w:val="right"/>
              <w:ind w:right="38"/>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10,900</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10,900</w:t>
            </w:r>
          </w:p>
        </w:tc>
        <w:tc>
          <w:tcPr>
            <w:tcW w:w="0" w:type="dxa"/>
            <w:vAlign w:val="bottom"/>
          </w:tcPr>
          <w:p>
            <w:pPr>
              <w:spacing w:after="0"/>
              <w:rPr>
                <w:sz w:val="1"/>
                <w:szCs w:val="1"/>
                <w:color w:val="auto"/>
              </w:rPr>
            </w:pPr>
          </w:p>
        </w:tc>
      </w:tr>
      <w:tr>
        <w:trPr>
          <w:trHeight w:val="236"/>
        </w:trPr>
        <w:tc>
          <w:tcPr>
            <w:tcW w:w="2940" w:type="dxa"/>
            <w:vAlign w:val="bottom"/>
          </w:tcPr>
          <w:p>
            <w:pPr>
              <w:ind w:left="20"/>
              <w:spacing w:after="0"/>
              <w:rPr>
                <w:sz w:val="20"/>
                <w:szCs w:val="20"/>
                <w:color w:val="auto"/>
              </w:rPr>
            </w:pPr>
            <w:r>
              <w:rPr>
                <w:rFonts w:ascii="Arial" w:cs="Arial" w:eastAsia="Arial" w:hAnsi="Arial"/>
                <w:sz w:val="18"/>
                <w:szCs w:val="18"/>
                <w:color w:val="auto"/>
                <w:w w:val="96"/>
              </w:rPr>
              <w:t>Cheyenne Mountain Recovery Center</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16,659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16,659</w:t>
            </w:r>
          </w:p>
        </w:tc>
        <w:tc>
          <w:tcPr>
            <w:tcW w:w="0" w:type="dxa"/>
            <w:vAlign w:val="bottom"/>
          </w:tcPr>
          <w:p>
            <w:pPr>
              <w:spacing w:after="0"/>
              <w:rPr>
                <w:sz w:val="1"/>
                <w:szCs w:val="1"/>
                <w:color w:val="auto"/>
              </w:rPr>
            </w:pPr>
          </w:p>
        </w:tc>
      </w:tr>
      <w:tr>
        <w:trPr>
          <w:trHeight w:val="221"/>
        </w:trPr>
        <w:tc>
          <w:tcPr>
            <w:tcW w:w="2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Albert Bo Robinson Assessment &amp;</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9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Treatment Center</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14,011</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14,011</w:t>
            </w:r>
          </w:p>
        </w:tc>
        <w:tc>
          <w:tcPr>
            <w:tcW w:w="0" w:type="dxa"/>
            <w:vAlign w:val="bottom"/>
          </w:tcPr>
          <w:p>
            <w:pPr>
              <w:spacing w:after="0"/>
              <w:rPr>
                <w:sz w:val="1"/>
                <w:szCs w:val="1"/>
                <w:color w:val="auto"/>
              </w:rPr>
            </w:pPr>
          </w:p>
        </w:tc>
      </w:tr>
      <w:tr>
        <w:trPr>
          <w:trHeight w:val="236"/>
        </w:trPr>
        <w:tc>
          <w:tcPr>
            <w:tcW w:w="2940" w:type="dxa"/>
            <w:vAlign w:val="bottom"/>
          </w:tcPr>
          <w:p>
            <w:pPr>
              <w:ind w:left="20"/>
              <w:spacing w:after="0"/>
              <w:rPr>
                <w:sz w:val="20"/>
                <w:szCs w:val="20"/>
                <w:color w:val="auto"/>
              </w:rPr>
            </w:pPr>
            <w:r>
              <w:rPr>
                <w:rFonts w:ascii="Arial" w:cs="Arial" w:eastAsia="Arial" w:hAnsi="Arial"/>
                <w:sz w:val="18"/>
                <w:szCs w:val="18"/>
                <w:color w:val="auto"/>
              </w:rPr>
              <w:t>Coleman Hall</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7,759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7,759</w:t>
            </w:r>
          </w:p>
        </w:tc>
        <w:tc>
          <w:tcPr>
            <w:tcW w:w="0" w:type="dxa"/>
            <w:vAlign w:val="bottom"/>
          </w:tcPr>
          <w:p>
            <w:pPr>
              <w:spacing w:after="0"/>
              <w:rPr>
                <w:sz w:val="1"/>
                <w:szCs w:val="1"/>
                <w:color w:val="auto"/>
              </w:rPr>
            </w:pPr>
          </w:p>
        </w:tc>
      </w:tr>
      <w:tr>
        <w:trPr>
          <w:trHeight w:val="249"/>
        </w:trPr>
        <w:tc>
          <w:tcPr>
            <w:tcW w:w="2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Hector Garza Center</w:t>
            </w:r>
          </w:p>
        </w:tc>
        <w:tc>
          <w:tcPr>
            <w:tcW w:w="1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139</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4,794</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4,794</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20" w:type="dxa"/>
            <w:vAlign w:val="bottom"/>
            <w:gridSpan w:val="2"/>
          </w:tcPr>
          <w:p>
            <w:pPr>
              <w:jc w:val="right"/>
              <w:ind w:right="38"/>
              <w:spacing w:after="0"/>
              <w:rPr>
                <w:sz w:val="20"/>
                <w:szCs w:val="20"/>
                <w:color w:val="auto"/>
              </w:rPr>
            </w:pPr>
            <w:r>
              <w:rPr>
                <w:rFonts w:ascii="Arial" w:cs="Arial" w:eastAsia="Arial" w:hAnsi="Arial"/>
                <w:sz w:val="18"/>
                <w:szCs w:val="18"/>
                <w:color w:val="auto"/>
              </w:rPr>
              <w:t>10,922</w:t>
            </w:r>
          </w:p>
        </w:tc>
        <w:tc>
          <w:tcPr>
            <w:tcW w:w="1120" w:type="dxa"/>
            <w:vAlign w:val="bottom"/>
            <w:gridSpan w:val="2"/>
          </w:tcPr>
          <w:p>
            <w:pPr>
              <w:jc w:val="right"/>
              <w:ind w:right="36"/>
              <w:spacing w:after="0"/>
              <w:rPr>
                <w:sz w:val="20"/>
                <w:szCs w:val="20"/>
                <w:color w:val="auto"/>
              </w:rPr>
            </w:pPr>
            <w:r>
              <w:rPr>
                <w:rFonts w:ascii="Arial" w:cs="Arial" w:eastAsia="Arial" w:hAnsi="Arial"/>
                <w:sz w:val="18"/>
                <w:szCs w:val="18"/>
                <w:color w:val="auto"/>
              </w:rPr>
              <w:t>2,139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305,584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43,223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348,807</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3344545</wp:posOffset>
            </wp:positionH>
            <wp:positionV relativeFrom="paragraph">
              <wp:posOffset>-187960</wp:posOffset>
            </wp:positionV>
            <wp:extent cx="76835"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-187960</wp:posOffset>
            </wp:positionV>
            <wp:extent cx="102870"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-187960</wp:posOffset>
            </wp:positionV>
            <wp:extent cx="10287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-187960</wp:posOffset>
            </wp:positionV>
            <wp:extent cx="102870"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188595"/>
                    </a:xfrm>
                    <a:prstGeom prst="rect">
                      <a:avLst/>
                    </a:prstGeom>
                    <a:noFill/>
                  </pic:spPr>
                </pic:pic>
              </a:graphicData>
            </a:graphic>
          </wp:anchor>
        </w:drawing>
      </w:r>
    </w:p>
    <w:p>
      <w:pPr>
        <w:spacing w:after="0" w:line="181" w:lineRule="exact"/>
        <w:rPr>
          <w:sz w:val="20"/>
          <w:szCs w:val="20"/>
          <w:color w:val="auto"/>
        </w:rPr>
      </w:pPr>
    </w:p>
    <w:p>
      <w:pPr>
        <w:ind w:right="220" w:firstLine="509"/>
        <w:spacing w:after="0" w:line="256" w:lineRule="auto"/>
        <w:rPr>
          <w:sz w:val="20"/>
          <w:szCs w:val="20"/>
          <w:color w:val="auto"/>
        </w:rPr>
      </w:pPr>
      <w:r>
        <w:rPr>
          <w:rFonts w:ascii="Arial" w:cs="Arial" w:eastAsia="Arial" w:hAnsi="Arial"/>
          <w:sz w:val="18"/>
          <w:szCs w:val="18"/>
          <w:color w:val="auto"/>
        </w:rPr>
        <w:t>We review long-lived assets to be held and used for impairment whenever events or changes in circumstances indicate that the carrying amount of such assets may not be fully recoverable. Events that would trigger an impairment assessment include deterioration of profits for a business segment that has long-lived assets, or when other changes occur that might impair recovery of long-lived assets such as the termination of a management contract or a prolonged decrease in population. If impairment indicators are present, we perform a recoverability test to determine whether or not an impairment loss should be measured.</w:t>
      </w:r>
    </w:p>
    <w:p>
      <w:pPr>
        <w:spacing w:after="0" w:line="191"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We test idle facilities for impairment upon notification that the facilities will no longer be utilized by the customer. If a long-lived asset is part of a group that includes other assets, the unit of accounting for the long-lived asset is its group. Generally, we group assets by facility for the purpose of considering whether any impairment exists. The estimates of recoverability are based on projected undiscounted cash flows associated with actual marketing efforts where available or, in other instances, projected undiscounted cash flows that are comparable to historical cash flows from management contracts achieved in the past at that facility or at similar facilities and probability weighted cash flows. Our probability weighted cash flows include adjustments to projected cash flows compared to the historical cash flows due to current business conditions which impact per diem rates as well as labor and other operating costs, changes related to facility mission due to changes in prospective clients, and changes in projected capacity and occupancy rates. We also factor in prolonged periods of vacancies as well as the time and costs required to ramp up facility population once a contract is obtained. We perform the impairment analysis on an annual basis for each of the idle facilities, or more frequently if needed, and take into consideration updates each quarter for market developments affecting the potential utilization of each of the facilities in order to identify events that may cause the Company to reconsider the most recent assumptions. Such events could include negotiations with a prospective customer for the utilization of an idle facility at terms significantly less favorable than the terms used in our most recent impairment analysis, or changes in legislation surrounding a particular facility that could impact our ability to house certain types of individuals at such facility. Further, a substantial increase in the number of available beds at other facilities we own, or in the marketplace, could lead to deterioration in market conditions and projected cash flows. Although they are not frequently received, an unsolicited offer to purchase any of our idle facilities, at amounts that are less than their carrying value could also cause us to reconsider the assumptions used in the most recent impairment analysis. We have identified marketing prospects to utilize each of the remaining currently idled facilities and have determined that no current impairment exists. We also received valuations from a third party on certain facilities. However, we can provide no assurance that we will be able to secure management contracts to utilize our idle facilities, or that we will not incur impairment charges in the future. In all cases, the projected value in our analysis as of December 31, 2022, exceeded the carrying amounts of each facility, therefore no impairment charges were recorded. During the year ended December 31, 2020, we recorded an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55" w:name="page56"/>
    <w:bookmarkEnd w:id="55"/>
    <w:p>
      <w:pPr>
        <w:ind w:right="220"/>
        <w:spacing w:after="0" w:line="277" w:lineRule="auto"/>
        <w:rPr>
          <w:sz w:val="20"/>
          <w:szCs w:val="20"/>
          <w:color w:val="auto"/>
        </w:rPr>
      </w:pPr>
      <w:r>
        <w:rPr>
          <w:rFonts w:ascii="Arial" w:cs="Arial" w:eastAsia="Arial" w:hAnsi="Arial"/>
          <w:sz w:val="18"/>
          <w:szCs w:val="18"/>
          <w:color w:val="auto"/>
        </w:rPr>
        <w:t>impairment charge of approximately $5.7 million related to one leased facility where the projected undiscounted cash flows of the facility did not exceed the carrying amount.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Reserves for Insurance Losses</w:t>
      </w:r>
    </w:p>
    <w:p>
      <w:pPr>
        <w:spacing w:after="0" w:line="225"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nature of our business exposes us to various types of third-party legal claims, including, but not limited to, civil rights claims relating to conditions of confinement and/or mistreatment, sexual misconduct claims brought by individuals within our care, medical malpractice claims,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contractual claims and claims for personal injury or other damages resulting from contact with our facilities, programs, electronic monitoring products, personnel or individuals within our care, including damages arising from the escape of an individual in our care or from a disturbance or riot at a facility. In addition, our management contracts generally require us to indemnify the governmental agency against any damages to which the governmental agency may be subject in connection with such claims or litigation. We maintain a broad program of insurance coverage for these general types of claims, except for claims relating to employment matters, for which we carry no insurance. There can be no assurance that our insurance coverage will be adequate to cover all claims to which we may be exposed. It is our general practice to bring merged or acquired companies into our corporate master policies in order to take advantage of certain economies of scale.</w:t>
      </w:r>
    </w:p>
    <w:p>
      <w:pPr>
        <w:spacing w:after="0" w:line="179"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On October 1, 2021, GEO formed a wholly owned captive insurance subsidiary, Florina Insurance Company, Inc. (“Florina”), to enhance our risk financing strategies. Florina is incorporated in the state of Vermont and is licensed and regulated by the state of Vermont, including with respect to its insurance programs, levels of liquidity and other requirements. GEO began procuring insurance policies to cover deductibles for workers’ compensation, general liability, automobile liability, medical professional liability and directors' and officers’ liability as well as procuring insurance policies for its excess liability, directors’ and officers’ excess liability and excess medical professional liability through Florina effective October 1, 2021. Florina holds cash and investments in order to meet solvency requirements and meet financial obligations as presented, including an investment portfolio of marketable fixed income and equity securities.</w:t>
      </w:r>
    </w:p>
    <w:p>
      <w:pPr>
        <w:spacing w:after="0" w:line="193"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We currently maintain a general liability policy and excess liability policies with total limits of $75.0 million per occurrence and $95.0 million total general liability annual aggregate limits covering the operations of U.S. Secure Services, Reentry Services and Electronic Monitoring and Supervision Services. We have an occurrence based liability insurance program with a specific loss limit of $40.0 million per occurrence and in the aggregate related to medical professional liability claims arising out of correctional healthcare services. We are uninsured for any claims in excess of these limits. We also maintain insurance to cover property and other casualty risks including, workers’ compensation, environmental liability, cybersecurity liability and automobile liability.</w:t>
      </w:r>
    </w:p>
    <w:p>
      <w:pPr>
        <w:spacing w:after="0" w:line="191" w:lineRule="exact"/>
        <w:rPr>
          <w:sz w:val="20"/>
          <w:szCs w:val="20"/>
          <w:color w:val="auto"/>
        </w:rPr>
      </w:pPr>
    </w:p>
    <w:p>
      <w:pPr>
        <w:ind w:right="140" w:firstLine="509"/>
        <w:spacing w:after="0" w:line="254" w:lineRule="auto"/>
        <w:rPr>
          <w:sz w:val="20"/>
          <w:szCs w:val="20"/>
          <w:color w:val="auto"/>
        </w:rPr>
      </w:pPr>
      <w:r>
        <w:rPr>
          <w:rFonts w:ascii="Arial" w:cs="Arial" w:eastAsia="Arial" w:hAnsi="Arial"/>
          <w:sz w:val="18"/>
          <w:szCs w:val="18"/>
          <w:color w:val="auto"/>
        </w:rPr>
        <w:t>For most casualty insurance policies, we carry substantial deductibles or self-insured retentions of $4.0 million per occurrence for general liability and $5.0 million per occurrence for medical professional liability, $2.0 million per occurrence for workers’ compensation, $2.5 million per occurrence for directors' and officers’ liability and $1.0 million per occurrence for automobile liability. In addition, certain of our facilities located in Florida and other high-risk hurricane areas carry substantial windstorm deductibles. Since hurricanes are considered unpredictable future events, no reserves have been established to pre-fund for potential windstorm damage. Limited commercial availability of certain types of insurance relating to windstorm exposure in coastal areas and earthquake exposure mainly in California and the Pacific Northwest may prevent us from insuring some of our facilities to full replacement value.</w:t>
      </w:r>
    </w:p>
    <w:p>
      <w:pPr>
        <w:spacing w:after="0" w:line="193"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With respect to operations in South Africa and Australia, we utilize a combination of locally-procured insurance and global policies to meet contractual insurance requirements and protect us. In addition to these policies, our Australian subsidiary carries tail insurance on a general liability policy related to a discontinued contract.</w:t>
      </w:r>
    </w:p>
    <w:p>
      <w:pPr>
        <w:spacing w:after="0" w:line="183"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Of the insurance policies discussed above, our most significant insurance reserves relate to workers’ compensation, general liability and auto claims. These reserves, which include Florina’s reserves and GEO’s legacy reserves and administrative costs for the plans, are undiscounted and were $79.0 million and $74.2 million as of December 31, 2022 and 2021, respectively, and are included in Accrued Expenses in the accompanying Consolidated Balance Sheets. We use statistical and actuarial methods to estimate amounts for claims that have been reported but not paid and claims incurred but not reported. In applying these methods and assessing their results, we consider such factors as historical frequency and severity of claims at each of our facilities, claim development, payment patterns and changes in the nature of our business, among other factors. Such factors are analyzed for each of our business segments. Our estimates may be impacted by such factors as increases in the market price for medical services and unpredictability of the size of jury awards. We also may experience variability between our estimates and the actual settlement due to limitations inherent in the estimation process, including our ability to estimate costs of processing and settling claims in a timely manner as well as our ability to accurately estimate our exposure at the onset of a claim. Because we have high deductible insurance policies, the amount of our insurance expense is dependent on our ability to control our claims experience. If actual losses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2" w:right="359" w:bottom="1440" w:gutter="0" w:footer="0" w:header="0"/>
        </w:sectPr>
      </w:pPr>
    </w:p>
    <w:bookmarkStart w:id="56" w:name="page57"/>
    <w:bookmarkEnd w:id="56"/>
    <w:p>
      <w:pPr>
        <w:ind w:right="720"/>
        <w:spacing w:after="0" w:line="277" w:lineRule="auto"/>
        <w:rPr>
          <w:sz w:val="20"/>
          <w:szCs w:val="20"/>
          <w:color w:val="auto"/>
        </w:rPr>
      </w:pPr>
      <w:r>
        <w:rPr>
          <w:rFonts w:ascii="Arial" w:cs="Arial" w:eastAsia="Arial" w:hAnsi="Arial"/>
          <w:sz w:val="18"/>
          <w:szCs w:val="18"/>
          <w:color w:val="auto"/>
        </w:rPr>
        <w:t>related to insurance claims significantly differ from our estimates, our financial condition, results of operations and cash flows could be materially adversely impacted.</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Goodwill and Other Intangible Assets, Net</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We have recorded goodwill as a result of our business combinations. Goodwill is recorded as the difference, if any, between the aggregate consideration paid for an acquisition and the fair value of the net tangible assets and other intangible assets acquired. Our goodwill is not amortized and is tested for impairment annually on the first day of the fourth quarter, and whenever events or circumstances arise that indicate impairment may have occurred. Impairment testing is performed for all reporting units that contain goodwill. The reporting units are the same as the reportable segments for U.S. Secure Services, Electronic Monitoring and Supervision Services, Reentry Services and International Services.</w:t>
      </w:r>
    </w:p>
    <w:p>
      <w:pPr>
        <w:spacing w:after="0" w:line="175"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Under provisions of the qualitative analysis, when testing goodwill for impairment, we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we determine it is more likely than not that the fair value of a reporting unit is less than its carrying amount, we perform a quantitative impairment test to identify goodwill impairment and measure the amount of goodwill impairment loss to be recognized, if any. The qualitative factors used by GEO’s management to determine the likelihood that the fair value of the reporting unit is less than the carrying amount include, among other things, a review of overall economic conditions and their current and future impact on our existing business, our financial performance and stock price, industry outlook and market competition. With respect to the qualitative assessments, management determined that, as of October 1, 2022, it was more likely than not that the fair values of the reporting units exceeded their carrying values. During the year ended December 31, 2020, in connection with our annual impairment test, we performed a quantitative analysis for our Reentry Services reporting unit using a third-party valuation firm to determine the estimated fair value of the reporting unit using a discounted cash flow model. A discount rate of 10% was utilized to adjust the cash flow forecasts based on management’s estimate of a market participant’s weighted-average cost of capital. Growth rates for sales and profits were determined using inputs from our long-term planning process. We also made estimates for discount rates and other factors based on market conditions, historical experience and other economic factors. Changes in these factors could significantly impact the fair value of the reporting unit. With respect to the Reentry Services reporting unit that was assessed quantitatively, management determined that the carrying value exceeded its fair value due to future declines in cash flow projections primarily due to the negative impact of the COVID-19 pandemic on our reentry facilities. As such, we recorded a goodwill impairment charge of $21.1 million during the year ended December 31, 2020. A change in one or combination of the assumptions discussed above could have impacted the estimated fair value of the reporting unit. If our expectations of future results and cash flows decrease significantly or other economic conditions deteriorate, goodwill may be further impaired. No impairment charges were recorded for the year ended December 31, 2022 or 2021.</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Intangible Assets, Net</w:t>
      </w:r>
    </w:p>
    <w:p>
      <w:pPr>
        <w:spacing w:after="0" w:line="225" w:lineRule="exact"/>
        <w:rPr>
          <w:sz w:val="20"/>
          <w:szCs w:val="20"/>
          <w:color w:val="auto"/>
        </w:rPr>
      </w:pPr>
    </w:p>
    <w:p>
      <w:pPr>
        <w:ind w:right="20" w:firstLine="509"/>
        <w:spacing w:after="0" w:line="285" w:lineRule="auto"/>
        <w:rPr>
          <w:sz w:val="20"/>
          <w:szCs w:val="20"/>
          <w:color w:val="auto"/>
        </w:rPr>
      </w:pPr>
      <w:r>
        <w:rPr>
          <w:rFonts w:ascii="Arial" w:cs="Arial" w:eastAsia="Arial" w:hAnsi="Arial"/>
          <w:sz w:val="16"/>
          <w:szCs w:val="16"/>
          <w:color w:val="auto"/>
        </w:rPr>
        <w:t>We have also recorded other finite and indefinite lived intangible assets as a result of previously completed business combinations. Other acquired finite and indefinite lived intangible assets are recognized separately if the benefit of the intangible asset is obtained through contractual or other legal rights, or if the intangible asset can be sold, transferred, licensed, rented or exchanged, regardless of our intent to do so. Our intangible assets include facility management contracts, trade names and technology. The facility management contracts represent customer relationships in the form of management contracts acquired at the time of each business combination; the value of BI’s and Protocol Criminal Justice, Inc.'s ("Protocol") trade names represent, among other intangible benefits, name recognition to its customers and intellectual property rights; and the acquired technology represents BI’s innovation with respect to its GPS tracking, monitoring, radio frequency monitoring, voice verification monitoring and alcohol compliance systems, Protocol's innovation with respect to its customer relationship management software and Soberlink, Inc.'s innovation with respect to its alcohol monitoring devices. When establishing useful lives, we consider the period and the pattern in which the economic benefits of the intangible asset are consumed or otherwise used up; or, if that pattern cannot be reliably determined, using a straight-line amortization method over a period that may be shorter than the ultimate life of such intangible asset. We also consider the impact of renewal terms when establishing useful lives. We currently amortize our acquired facility management contracts over periods ranging from three to twenty-one years and its acquired technology over seven years to eight years. There is no residual value associated with our finite-lived intangible assets. We review our trade name assets for impairment whenever events or changes in circumstances indicate that the carrying amount of such assets may not be fully recoverable. We do not amortize its indefinite lived intangible assets. We review our indefinite lived intangible assets annually or more frequently if events or changes in circumstances indicate that the asset might be impaired. These reviews resulted in no significant impairment to the carrying value of the indefinite lived intangible assets for all periods presented. We record the costs associated with renewal and extension of facility management contracts as expenses in the period they are incurred.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7" w:name="page58"/>
    <w:bookmarkEnd w:id="57"/>
    <w:p>
      <w:pPr>
        <w:ind w:left="5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We define fair value as the price that would be received to sell an asset or paid to transfer a liability in an orderly transaction between market participants at the measurement date (“exit price”). We carry certain of our assets and liabilities at fair value, measured on a recurring basis, in the accompanying Consolidated Balance Sheets. We also have certain assets and liabilities which are not carried at fair value in our accompanying Consolidated Balance Sheets and disclose the fair value measurements compared to the carrying values as of each balance sheet date. We establish the fair value of our assets and liabilities using a fair value hierarchy that prioritizes the inputs to valuation techniques used to measure fair value into three broad levels which distinguish between assumptions based on market data (observable inputs) and the Company’s assumptions (unobservable inputs). The level in the fair value hierarchy within which the respective fair value measurement falls is determined based on the lowest level input that is significant to the measurement in its entirety. Level 1 inputs are quoted market prices in active markets for identical assets or liabilities. Level 2 inputs are other than quotable market prices included in Level 1 that are observable for the asset or liability either directly or indirectly through corroboration with observable market data. Level 3 inputs are unobservable inputs for the assets or liabilities that reflect management’s own assumptions about the assumptions market participants would use in pricing the asset or liability. We recognize transfers between Levels 1, 2 and 3 as of the actual date of the event or change in circumstances that cause the transfer. We utilized a third-party valuation firm to assist with the estimation of the fair values on the date of issuance for our new debt instruments. The fair value of each new debt instrument on the date of issuance was estimated using a Black-Derman-Toy ("BDT") lattice model which used Level 3 inputs. Refer to Note 10 - Fair Value of Assets and Liabilities and Note 12 - Debt of the notes to the audited consolidated financial statements contained Part II, Item 8 of this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accounting standards will be adopted in future periods:</w:t>
      </w:r>
    </w:p>
    <w:p>
      <w:pPr>
        <w:spacing w:after="0" w:line="255"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 xml:space="preserve">In March 2020, the Financial Accounting Standards Board ("FASB") issued Accounting Standards Update ("ASU") 2020-04, </w:t>
      </w:r>
      <w:r>
        <w:rPr>
          <w:rFonts w:ascii="Arial" w:cs="Arial" w:eastAsia="Arial" w:hAnsi="Arial"/>
          <w:sz w:val="18"/>
          <w:szCs w:val="18"/>
          <w:i w:val="1"/>
          <w:iCs w:val="1"/>
          <w:color w:val="auto"/>
        </w:rPr>
        <w:t>“Reference Reform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Rate (Topic 848): Facilitation of the Effects of Reference Rate Reform on Financial Reporting,” </w:t>
      </w:r>
      <w:r>
        <w:rPr>
          <w:rFonts w:ascii="Arial" w:cs="Arial" w:eastAsia="Arial" w:hAnsi="Arial"/>
          <w:sz w:val="18"/>
          <w:szCs w:val="18"/>
          <w:color w:val="auto"/>
        </w:rPr>
        <w:t>to provide temporary optional expedients and exceptions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contract modifications, hedge relationships and other transactions affected by reference rate reform if certain criteria are met. This ASU, which was effective upon issuance and may be applied through December 31, 2024, is applicable to all contracts and hedging relationships that reference the London Interbank Offered Rate or any other reference rate expected to be discontinued. We do not expect any significant impacts of reference rate reform and the application of this guidance.</w:t>
      </w:r>
    </w:p>
    <w:p>
      <w:pPr>
        <w:spacing w:after="0" w:line="191" w:lineRule="exact"/>
        <w:rPr>
          <w:sz w:val="20"/>
          <w:szCs w:val="20"/>
          <w:color w:val="auto"/>
        </w:rPr>
      </w:pPr>
    </w:p>
    <w:p>
      <w:pPr>
        <w:ind w:right="100" w:firstLine="509"/>
        <w:spacing w:after="0" w:line="307" w:lineRule="auto"/>
        <w:rPr>
          <w:sz w:val="20"/>
          <w:szCs w:val="20"/>
          <w:color w:val="auto"/>
        </w:rPr>
      </w:pPr>
      <w:r>
        <w:rPr>
          <w:rFonts w:ascii="Arial" w:cs="Arial" w:eastAsia="Arial" w:hAnsi="Arial"/>
          <w:sz w:val="17"/>
          <w:szCs w:val="17"/>
          <w:color w:val="auto"/>
        </w:rPr>
        <w:t>Other recent accounting pronouncements issued by the FASB (including its Emerging Issues Task Force), the American Institute of Certified Public Accountants and the SEC did not, or are not expected to, have a material effect on the Company's results of operations or financial position.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We have determined that our previously reportable business segment, Facility Construction and Design, no longer qualifies as a reportable segment as it no longer meets certain quantitative thresholds and has been aggregated with our International Services reportable business segment below. In addition, we appointed a new Chief Executive Officer, the chief operating decision maker, during fiscal 2021. Based on changes to the way our chief operating decision maker views the business and financial results used to allocate resources to our electronic monitoring and supervision services operations, along with the growth of the business, we will report the electronic monitoring and supervision services operation as a separate reportable segment. This new segment is presented as Electronic Monitoring and Supervision Services. Previously, the electronic monitoring and supervision services operations were included in our GEO Care reportable segment. In addition, our GEO Care reportable segment was renamed Reentry Services and includes services provided to adults for residential and non-residential treatment, educational and community-based programs, pre-release and half-way house programs. Refer to Note 15 – Business Segments and Geographic Information of the Notes to the audited consolidated financial statements included in Part II, Item 8 of this Annual Report on Form 10-K.</w:t>
      </w:r>
    </w:p>
    <w:p>
      <w:pPr>
        <w:spacing w:after="0" w:line="182"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the notes to the consolidated financial statements accompanying this report. This discussion contains forward-looking statements that involve risks and uncertainties. Our actual results may differ materially from those anticipated in the forward-looking statements as a result of certain factors, including, but not limited to, those described under “Item 1A. Risk Factors” and those included in other portions of this report.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2022 versus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 of</w:t>
            </w:r>
          </w:p>
        </w:tc>
        <w:tc>
          <w:tcPr>
            <w:tcW w:w="96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1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 of</w:t>
            </w:r>
          </w:p>
        </w:tc>
        <w:tc>
          <w:tcPr>
            <w:tcW w:w="8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88"/>
              </w:rPr>
              <w:t>$ Change</w:t>
            </w:r>
          </w:p>
        </w:tc>
        <w:tc>
          <w:tcPr>
            <w:tcW w:w="1060" w:type="dxa"/>
            <w:vAlign w:val="bottom"/>
            <w:gridSpan w:val="2"/>
          </w:tcPr>
          <w:p>
            <w:pPr>
              <w:jc w:val="right"/>
              <w:ind w:right="39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2"/>
              </w:rPr>
              <w:t>Revenue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U.S. Secure Services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w w:val="94"/>
              </w:rPr>
              <w:t>(Dollars in thousands)</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20" w:type="dxa"/>
            <w:vAlign w:val="bottom"/>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w w:val="99"/>
              </w:rPr>
              <w:t>1,437,831</w:t>
            </w:r>
          </w:p>
        </w:tc>
        <w:tc>
          <w:tcPr>
            <w:tcW w:w="1380" w:type="dxa"/>
            <w:vAlign w:val="bottom"/>
            <w:gridSpan w:val="4"/>
          </w:tcPr>
          <w:p>
            <w:pPr>
              <w:jc w:val="right"/>
              <w:ind w:right="60"/>
              <w:spacing w:after="0"/>
              <w:rPr>
                <w:sz w:val="20"/>
                <w:szCs w:val="20"/>
                <w:color w:val="auto"/>
              </w:rPr>
            </w:pPr>
            <w:r>
              <w:rPr>
                <w:rFonts w:ascii="Arial" w:cs="Arial" w:eastAsia="Arial" w:hAnsi="Arial"/>
                <w:sz w:val="18"/>
                <w:szCs w:val="18"/>
                <w:color w:val="auto"/>
              </w:rPr>
              <w:t>60.5 % $</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1,488,936</w:t>
            </w: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66.0 % $</w:t>
            </w:r>
          </w:p>
        </w:tc>
        <w:tc>
          <w:tcPr>
            <w:tcW w:w="820" w:type="dxa"/>
            <w:vAlign w:val="bottom"/>
          </w:tcPr>
          <w:p>
            <w:pPr>
              <w:jc w:val="right"/>
              <w:spacing w:after="0"/>
              <w:rPr>
                <w:sz w:val="20"/>
                <w:szCs w:val="20"/>
                <w:color w:val="auto"/>
              </w:rPr>
            </w:pPr>
            <w:r>
              <w:rPr>
                <w:rFonts w:ascii="Arial" w:cs="Arial" w:eastAsia="Arial" w:hAnsi="Arial"/>
                <w:sz w:val="18"/>
                <w:szCs w:val="18"/>
                <w:color w:val="auto"/>
              </w:rPr>
              <w:t>(51,105 )</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42"/>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Electronic Monitoring and Supervision Services</w:t>
            </w: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496,268</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20.9 %</w:t>
            </w:r>
          </w:p>
        </w:tc>
        <w:tc>
          <w:tcPr>
            <w:tcW w:w="16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278,934</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12.4 %</w:t>
            </w:r>
          </w:p>
        </w:tc>
        <w:tc>
          <w:tcPr>
            <w:tcW w:w="1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217,334</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77.9 %</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Reentry Services</w:t>
            </w: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255,428</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10.7 %</w:t>
            </w:r>
          </w:p>
        </w:tc>
        <w:tc>
          <w:tcPr>
            <w:tcW w:w="16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274,893</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12.2 %</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(19,465 )</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International Services</w:t>
            </w: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187,200</w:t>
            </w:r>
          </w:p>
        </w:tc>
        <w:tc>
          <w:tcPr>
            <w:tcW w:w="10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7.9 %</w:t>
            </w:r>
          </w:p>
        </w:tc>
        <w:tc>
          <w:tcPr>
            <w:tcW w:w="16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213,849</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9.5 %</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(26,649 )</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7"/>
        </w:trPr>
        <w:tc>
          <w:tcPr>
            <w:tcW w:w="4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Total</w:t>
            </w: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620" w:type="dxa"/>
            <w:vAlign w:val="bottom"/>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w w:val="99"/>
              </w:rPr>
              <w:t>2,376,727</w:t>
            </w:r>
          </w:p>
        </w:tc>
        <w:tc>
          <w:tcPr>
            <w:tcW w:w="100" w:type="dxa"/>
            <w:vAlign w:val="bottom"/>
          </w:tcPr>
          <w:p>
            <w:pPr>
              <w:spacing w:after="0"/>
              <w:rPr>
                <w:sz w:val="20"/>
                <w:szCs w:val="20"/>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100.0 % $</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2,256,612</w:t>
            </w:r>
          </w:p>
        </w:tc>
        <w:tc>
          <w:tcPr>
            <w:tcW w:w="80" w:type="dxa"/>
            <w:vAlign w:val="bottom"/>
          </w:tcPr>
          <w:p>
            <w:pPr>
              <w:spacing w:after="0"/>
              <w:rPr>
                <w:sz w:val="20"/>
                <w:szCs w:val="20"/>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100.0 % $</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120,115</w:t>
            </w:r>
          </w:p>
        </w:tc>
        <w:tc>
          <w:tcPr>
            <w:tcW w:w="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Secure Services</w:t>
      </w:r>
    </w:p>
    <w:p>
      <w:pPr>
        <w:spacing w:after="0" w:line="251" w:lineRule="exact"/>
        <w:rPr>
          <w:sz w:val="20"/>
          <w:szCs w:val="20"/>
          <w:color w:val="auto"/>
        </w:rPr>
      </w:pPr>
    </w:p>
    <w:p>
      <w:pPr>
        <w:ind w:right="120" w:firstLine="509"/>
        <w:spacing w:after="0" w:line="290" w:lineRule="auto"/>
        <w:rPr>
          <w:sz w:val="20"/>
          <w:szCs w:val="20"/>
          <w:color w:val="auto"/>
        </w:rPr>
      </w:pPr>
      <w:r>
        <w:rPr>
          <w:rFonts w:ascii="Arial" w:cs="Arial" w:eastAsia="Arial" w:hAnsi="Arial"/>
          <w:sz w:val="16"/>
          <w:szCs w:val="16"/>
          <w:color w:val="auto"/>
        </w:rPr>
        <w:t>Revenues decreased by $51.1 million in 2022 compared to 2021 primarily due to aggregate decreases of $164.8 million due to the ramp-down/deactivations of our company-owned D. Ray James, Rivers, Big Springs, Flightline, Reeves County Detention I &amp; II and Great Plains Correctional Facilities, our Queens Detention Facility, our North Lake Correctional Facility, our managed-only Bay and Graceville Correctional Rehabilitation Facilities, as well as our managed-only George W. Hill Correctional Facility. Also included in this decrease is the transition of the operation of our company-owned Guadalupe County Correctional Facility to the New Mexico Corrections Department in November 2021. These decreases were partially offset by aggregate net increases of $47.7 million resulting from the contract activation and ramp up at our company-owned Moshannon Valley Processing Center, Desert View Annex, our company-owned Eagle Pass Detention Center and new transportation contracts. In addition, we experienced aggregate net increases in rates and/or per diem amounts in connection with contract modifications, transportation services and increased occupancies of $66.0 million.</w:t>
      </w:r>
    </w:p>
    <w:p>
      <w:pPr>
        <w:spacing w:after="0" w:line="177"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The number of compensated mandays in U.S. Secure Services facilities was approximately 17.9 million in 2022 and 18.7 million in 2021. We experienced an aggregate net decrease of approximately 800,000 mandays as a result of net decreases in population as a result of contract terminations, partially offset by contract activations discussed above. We look at the average occupancy in our facilities to determine how we are managing our available beds. The average occupancy is calculated by taking compensated mandays as a percentage of capacity. The average occupancy in our U.S. Secure Services facilities was 89.9% and 88.2% of capacity in 2022 and 2021, respectively, excluding idle facilities.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Electronic Monitoring and Supervision Services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increased by $217.3 million in 2022 compared to 2021 primarily due to increased client and participant counts.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Reentry Services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decreased by $19.5 million in 2022 compared to 2021 primarily due to a decrease of $34.7 million</w:t>
      </w:r>
    </w:p>
    <w:p>
      <w:pPr>
        <w:spacing w:after="0" w:line="2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as a result of the sale of our youth business which was effective July 1, 2021. This decrease was partially offset by increases of $10.5 million due to new/reactivated contracts, day reporting centers and programs including the activation of our company-owned Tampa Residential Reentry Center in Tampa, Florida in September 2021. Also partially offsetting the decrease was a net aggregate increase of $4.7 million related to increased census levels at certain of our community-based and reentry centers due to increased programming needs and referrals.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Services</w:t>
      </w:r>
    </w:p>
    <w:p>
      <w:pPr>
        <w:spacing w:after="0" w:line="225"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Revenues for International Services decreased by $26.6 million in 2022 compared to 2021 primarily due to foreign exchange rate fluctuations of $15.6 million. We also experienced a net decrease of $11.0 million primarily driven by the transition of our management contract for the Dungavel House Immigration Removal Centre in the United Kingdom to the government effective September 30, 2021.</w:t>
      </w:r>
    </w:p>
    <w:p>
      <w:pPr>
        <w:spacing w:after="0" w:line="39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72"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Operating Expenses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tcPr>
          <w:p>
            <w:pPr>
              <w:jc w:val="center"/>
              <w:ind w:right="130"/>
              <w:spacing w:after="0"/>
              <w:rPr>
                <w:sz w:val="20"/>
                <w:szCs w:val="20"/>
                <w:color w:val="auto"/>
              </w:rPr>
            </w:pPr>
            <w:r>
              <w:rPr>
                <w:rFonts w:ascii="Arial" w:cs="Arial" w:eastAsia="Arial" w:hAnsi="Arial"/>
                <w:sz w:val="14"/>
                <w:szCs w:val="14"/>
                <w:b w:val="1"/>
                <w:bCs w:val="1"/>
                <w:color w:val="auto"/>
              </w:rPr>
              <w:t>% of</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jc w:val="center"/>
              <w:ind w:right="170"/>
              <w:spacing w:after="0"/>
              <w:rPr>
                <w:sz w:val="20"/>
                <w:szCs w:val="20"/>
                <w:color w:val="auto"/>
              </w:rPr>
            </w:pPr>
            <w:r>
              <w:rPr>
                <w:rFonts w:ascii="Arial" w:cs="Arial" w:eastAsia="Arial" w:hAnsi="Arial"/>
                <w:sz w:val="14"/>
                <w:szCs w:val="14"/>
                <w:b w:val="1"/>
                <w:bCs w:val="1"/>
                <w:color w:val="auto"/>
              </w:rPr>
              <w:t>% of</w:t>
            </w:r>
          </w:p>
        </w:tc>
        <w:tc>
          <w:tcPr>
            <w:tcW w:w="800" w:type="dxa"/>
            <w:vAlign w:val="bottom"/>
          </w:tcPr>
          <w:p>
            <w:pPr>
              <w:spacing w:after="0"/>
              <w:rPr>
                <w:sz w:val="14"/>
                <w:szCs w:val="14"/>
                <w:color w:val="auto"/>
              </w:rPr>
            </w:pPr>
          </w:p>
        </w:tc>
        <w:tc>
          <w:tcPr>
            <w:tcW w:w="98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2"/>
                <w:szCs w:val="12"/>
                <w:color w:val="auto"/>
              </w:rPr>
            </w:pPr>
          </w:p>
        </w:tc>
        <w:tc>
          <w:tcPr>
            <w:tcW w:w="1240" w:type="dxa"/>
            <w:vAlign w:val="bottom"/>
            <w:gridSpan w:val="3"/>
          </w:tcPr>
          <w:p>
            <w:pPr>
              <w:jc w:val="center"/>
              <w:ind w:right="150"/>
              <w:spacing w:after="0" w:line="149" w:lineRule="exact"/>
              <w:rPr>
                <w:sz w:val="20"/>
                <w:szCs w:val="20"/>
                <w:color w:val="auto"/>
              </w:rPr>
            </w:pPr>
            <w:r>
              <w:rPr>
                <w:rFonts w:ascii="Arial" w:cs="Arial" w:eastAsia="Arial" w:hAnsi="Arial"/>
                <w:sz w:val="14"/>
                <w:szCs w:val="14"/>
                <w:b w:val="1"/>
                <w:bCs w:val="1"/>
                <w:color w:val="auto"/>
                <w:w w:val="87"/>
              </w:rPr>
              <w:t>Segment</w:t>
            </w:r>
          </w:p>
        </w:tc>
        <w:tc>
          <w:tcPr>
            <w:tcW w:w="96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1120" w:type="dxa"/>
            <w:vAlign w:val="bottom"/>
            <w:gridSpan w:val="3"/>
          </w:tcPr>
          <w:p>
            <w:pPr>
              <w:jc w:val="center"/>
              <w:ind w:right="150"/>
              <w:spacing w:after="0" w:line="149" w:lineRule="exact"/>
              <w:rPr>
                <w:sz w:val="20"/>
                <w:szCs w:val="20"/>
                <w:color w:val="auto"/>
              </w:rPr>
            </w:pPr>
            <w:r>
              <w:rPr>
                <w:rFonts w:ascii="Arial" w:cs="Arial" w:eastAsia="Arial" w:hAnsi="Arial"/>
                <w:sz w:val="14"/>
                <w:szCs w:val="14"/>
                <w:b w:val="1"/>
                <w:bCs w:val="1"/>
                <w:color w:val="auto"/>
                <w:w w:val="87"/>
              </w:rPr>
              <w:t>Segment</w:t>
            </w:r>
          </w:p>
        </w:tc>
        <w:tc>
          <w:tcPr>
            <w:tcW w:w="8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88"/>
              </w:rPr>
              <w:t>$ Change</w:t>
            </w: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Revenues</w:t>
            </w: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U.S. Secure Services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650"/>
              <w:spacing w:after="0"/>
              <w:rPr>
                <w:sz w:val="20"/>
                <w:szCs w:val="20"/>
                <w:color w:val="auto"/>
              </w:rPr>
            </w:pPr>
            <w:r>
              <w:rPr>
                <w:rFonts w:ascii="Arial" w:cs="Arial" w:eastAsia="Arial" w:hAnsi="Arial"/>
                <w:sz w:val="14"/>
                <w:szCs w:val="14"/>
                <w:b w:val="1"/>
                <w:bCs w:val="1"/>
                <w:color w:val="auto"/>
                <w:w w:val="91"/>
              </w:rPr>
              <w:t>(Dollars in thousands)</w:t>
            </w: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94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1,077,256</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74.9 %$</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1,112,290</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74.7 %$</w:t>
            </w:r>
          </w:p>
        </w:tc>
        <w:tc>
          <w:tcPr>
            <w:tcW w:w="800" w:type="dxa"/>
            <w:vAlign w:val="bottom"/>
          </w:tcPr>
          <w:p>
            <w:pPr>
              <w:jc w:val="right"/>
              <w:spacing w:after="0"/>
              <w:rPr>
                <w:sz w:val="20"/>
                <w:szCs w:val="20"/>
                <w:color w:val="auto"/>
              </w:rPr>
            </w:pPr>
            <w:r>
              <w:rPr>
                <w:rFonts w:ascii="Arial" w:cs="Arial" w:eastAsia="Arial" w:hAnsi="Arial"/>
                <w:sz w:val="18"/>
                <w:szCs w:val="18"/>
                <w:color w:val="auto"/>
              </w:rPr>
              <w:t>(35,034 )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42"/>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Electronic Monitoring and Supervision Services</w:t>
            </w:r>
          </w:p>
        </w:tc>
        <w:tc>
          <w:tcPr>
            <w:tcW w:w="18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226,236</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45.6 %</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121,442</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43.5 %</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104,794</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86.3 %</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Reentry Services</w:t>
            </w:r>
          </w:p>
        </w:tc>
        <w:tc>
          <w:tcPr>
            <w:tcW w:w="18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194,089</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76.0 %</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205,992</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74.9 %</w:t>
            </w:r>
          </w:p>
        </w:tc>
        <w:tc>
          <w:tcPr>
            <w:tcW w:w="800" w:type="dxa"/>
            <w:vAlign w:val="bottom"/>
          </w:tcPr>
          <w:p>
            <w:pPr>
              <w:jc w:val="right"/>
              <w:spacing w:after="0"/>
              <w:rPr>
                <w:sz w:val="20"/>
                <w:szCs w:val="20"/>
                <w:color w:val="auto"/>
              </w:rPr>
            </w:pPr>
            <w:r>
              <w:rPr>
                <w:rFonts w:ascii="Arial" w:cs="Arial" w:eastAsia="Arial" w:hAnsi="Arial"/>
                <w:sz w:val="18"/>
                <w:szCs w:val="18"/>
                <w:color w:val="auto"/>
              </w:rPr>
              <w:t>(11,903 )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56"/>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International Services</w:t>
            </w:r>
          </w:p>
        </w:tc>
        <w:tc>
          <w:tcPr>
            <w:tcW w:w="180" w:type="dxa"/>
            <w:vAlign w:val="bottom"/>
          </w:tcPr>
          <w:p>
            <w:pPr>
              <w:spacing w:after="0"/>
              <w:rPr>
                <w:sz w:val="22"/>
                <w:szCs w:val="22"/>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166,147</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88.8 %</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189,322</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88.5 %</w:t>
            </w:r>
          </w:p>
        </w:tc>
        <w:tc>
          <w:tcPr>
            <w:tcW w:w="800" w:type="dxa"/>
            <w:vAlign w:val="bottom"/>
          </w:tcPr>
          <w:p>
            <w:pPr>
              <w:jc w:val="right"/>
              <w:spacing w:after="0"/>
              <w:rPr>
                <w:sz w:val="20"/>
                <w:szCs w:val="20"/>
                <w:color w:val="auto"/>
              </w:rPr>
            </w:pPr>
            <w:r>
              <w:rPr>
                <w:rFonts w:ascii="Arial" w:cs="Arial" w:eastAsia="Arial" w:hAnsi="Arial"/>
                <w:sz w:val="18"/>
                <w:szCs w:val="18"/>
                <w:color w:val="auto"/>
              </w:rPr>
              <w:t>(23,175 )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36"/>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7"/>
              </w:rPr>
              <w:t>1,663,728</w:t>
            </w:r>
          </w:p>
        </w:tc>
        <w:tc>
          <w:tcPr>
            <w:tcW w:w="1200" w:type="dxa"/>
            <w:vAlign w:val="bottom"/>
            <w:gridSpan w:val="3"/>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1,629,046</w:t>
            </w:r>
          </w:p>
        </w:tc>
        <w:tc>
          <w:tcPr>
            <w:tcW w:w="1040" w:type="dxa"/>
            <w:vAlign w:val="bottom"/>
            <w:gridSpan w:val="3"/>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34,682</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8" w:lineRule="exact"/>
        <w:rPr>
          <w:sz w:val="20"/>
          <w:szCs w:val="20"/>
          <w:color w:val="auto"/>
        </w:rPr>
      </w:pPr>
    </w:p>
    <w:p>
      <w:pPr>
        <w:ind w:right="300" w:firstLine="644"/>
        <w:spacing w:after="0" w:line="277" w:lineRule="auto"/>
        <w:rPr>
          <w:sz w:val="20"/>
          <w:szCs w:val="20"/>
          <w:color w:val="auto"/>
        </w:rPr>
      </w:pPr>
      <w:r>
        <w:rPr>
          <w:rFonts w:ascii="Arial" w:cs="Arial" w:eastAsia="Arial" w:hAnsi="Arial"/>
          <w:sz w:val="18"/>
          <w:szCs w:val="18"/>
          <w:color w:val="auto"/>
        </w:rPr>
        <w:t>Operating expenses consist of those expenses incurred in the operation and management of our U.S. Secure Services, Electronic Monitoring and Supervision Services, Reentry Services and International Services segments.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Secure Services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Operating expenses for U.S. Secure Services decreased by $35.0 million in 2022 compared to 2021 primarily due to decreases of $130.6</w:t>
      </w:r>
    </w:p>
    <w:p>
      <w:pPr>
        <w:spacing w:after="0" w:line="35"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million related to the ramp-down/deactivations of our company-owned D. Ray James, Rivers, Big Springs, Flightline, Reeves County Detention I &amp; II and Great Plains Correctional Facilities, our Queens Detention Facility, our North Lake Correctional Facility, our managed-only Bay and Graceville Correctional Rehabilitation Facilities, as well as our managed-only George W. Hill Correctional Facility. Also included in this decrease is the transition of the operation of our company-owned Guadalupe County Correctional Facility to the New Mexico Corrections Department in November 2021. These decreases were partially offset by aggregate net increases of $30.7 million resulting from the contract activation and ramp up at our company-owned Moshannon Valley Processing Center, Desert View Annex as well as our company-owned Eagle Pass Detention Center. In addition, we experienced aggregate net increases in connection with transportation services, increased occupancies and the variable costs associated with those services of $64.9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Electronic Monitoring and Supervision Services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expenses increased by $104.8 million in 2022 compared to 2021 primarily due to increased client and participant counts.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Reentry Services</w:t>
      </w:r>
    </w:p>
    <w:p>
      <w:pPr>
        <w:spacing w:after="0" w:line="225" w:lineRule="exact"/>
        <w:rPr>
          <w:sz w:val="20"/>
          <w:szCs w:val="20"/>
          <w:color w:val="auto"/>
        </w:rPr>
      </w:pPr>
    </w:p>
    <w:p>
      <w:pPr>
        <w:ind w:right="500" w:firstLine="509"/>
        <w:spacing w:after="0" w:line="255" w:lineRule="auto"/>
        <w:rPr>
          <w:sz w:val="20"/>
          <w:szCs w:val="20"/>
          <w:color w:val="auto"/>
        </w:rPr>
      </w:pPr>
      <w:r>
        <w:rPr>
          <w:rFonts w:ascii="Arial" w:cs="Arial" w:eastAsia="Arial" w:hAnsi="Arial"/>
          <w:sz w:val="18"/>
          <w:szCs w:val="18"/>
          <w:color w:val="auto"/>
        </w:rPr>
        <w:t>Operating expenses for Reentry Services decreased by $11.9 million during 2022 compared to 2021 primarily due to a decrease of $30.8 million as a result of the sale of our youth business which was effective July 1, 2021. We also experienced a decrease of $4.2 million due to contract terminations. These decreases were partially offset by increases of $6.8 million due to new/reactivated contracts, day reporting centers and programs including the activation of our company-owned Tampa Residential Reentry Center in Tampa, Florida in September 2021. Also partially offsetting the decreases was a net aggregate increase of $16.3 million related to increased census levels at certain of our community-based and reentry centers due to increased programming needs and referrals.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Services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expenses for International Services decreased by $23.2 million in 2022 compared to 2021 primarily due to foreign exchange</w:t>
      </w:r>
    </w:p>
    <w:p>
      <w:pPr>
        <w:spacing w:after="0" w:line="23"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rate fluctuations of $14.1 million. We also experienced a net decrease of $9.1 million primarily driven by the transition of our management contract for the Dungavel House Immigration Removal Centre in the United Kingdom to the government effective September 30,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right"/>
              <w:ind w:right="530"/>
              <w:spacing w:after="0"/>
              <w:rPr>
                <w:sz w:val="20"/>
                <w:szCs w:val="20"/>
                <w:color w:val="auto"/>
              </w:rPr>
            </w:pPr>
            <w:r>
              <w:rPr>
                <w:rFonts w:ascii="Arial" w:cs="Arial" w:eastAsia="Arial" w:hAnsi="Arial"/>
                <w:sz w:val="14"/>
                <w:szCs w:val="14"/>
                <w:b w:val="1"/>
                <w:bCs w:val="1"/>
                <w:color w:val="auto"/>
              </w:rPr>
              <w:t>% of</w:t>
            </w:r>
          </w:p>
        </w:tc>
        <w:tc>
          <w:tcPr>
            <w:tcW w:w="840" w:type="dxa"/>
            <w:vAlign w:val="bottom"/>
          </w:tcPr>
          <w:p>
            <w:pPr>
              <w:spacing w:after="0"/>
              <w:rPr>
                <w:sz w:val="14"/>
                <w:szCs w:val="14"/>
                <w:color w:val="auto"/>
              </w:rPr>
            </w:pPr>
          </w:p>
        </w:tc>
        <w:tc>
          <w:tcPr>
            <w:tcW w:w="1140" w:type="dxa"/>
            <w:vAlign w:val="bottom"/>
            <w:gridSpan w:val="2"/>
            <w:vMerge w:val="restart"/>
          </w:tcPr>
          <w:p>
            <w:pPr>
              <w:jc w:val="right"/>
              <w:ind w:right="4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11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Segment</w:t>
            </w:r>
          </w:p>
        </w:tc>
        <w:tc>
          <w:tcPr>
            <w:tcW w:w="180" w:type="dxa"/>
            <w:vAlign w:val="bottom"/>
          </w:tcPr>
          <w:p>
            <w:pPr>
              <w:spacing w:after="0"/>
              <w:rPr>
                <w:sz w:val="12"/>
                <w:szCs w:val="12"/>
                <w:color w:val="auto"/>
              </w:rPr>
            </w:pPr>
          </w:p>
        </w:tc>
        <w:tc>
          <w:tcPr>
            <w:tcW w:w="78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1220" w:type="dxa"/>
            <w:vAlign w:val="bottom"/>
            <w:gridSpan w:val="3"/>
          </w:tcPr>
          <w:p>
            <w:pPr>
              <w:jc w:val="right"/>
              <w:ind w:right="430"/>
              <w:spacing w:after="0" w:line="149" w:lineRule="exact"/>
              <w:rPr>
                <w:sz w:val="20"/>
                <w:szCs w:val="20"/>
                <w:color w:val="auto"/>
              </w:rPr>
            </w:pPr>
            <w:r>
              <w:rPr>
                <w:rFonts w:ascii="Arial" w:cs="Arial" w:eastAsia="Arial" w:hAnsi="Arial"/>
                <w:sz w:val="14"/>
                <w:szCs w:val="14"/>
                <w:b w:val="1"/>
                <w:bCs w:val="1"/>
                <w:color w:val="auto"/>
              </w:rPr>
              <w:t>Segment</w:t>
            </w:r>
          </w:p>
        </w:tc>
        <w:tc>
          <w:tcPr>
            <w:tcW w:w="8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1"/>
              </w:rPr>
              <w:t>$ Change</w:t>
            </w: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ind w:right="430"/>
              <w:spacing w:after="0"/>
              <w:rPr>
                <w:sz w:val="20"/>
                <w:szCs w:val="20"/>
                <w:color w:val="auto"/>
              </w:rPr>
            </w:pPr>
            <w:r>
              <w:rPr>
                <w:rFonts w:ascii="Arial" w:cs="Arial" w:eastAsia="Arial" w:hAnsi="Arial"/>
                <w:sz w:val="14"/>
                <w:szCs w:val="14"/>
                <w:b w:val="1"/>
                <w:bCs w:val="1"/>
                <w:color w:val="auto"/>
              </w:rPr>
              <w:t>Revenue</w:t>
            </w: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69"/>
        </w:trPr>
        <w:tc>
          <w:tcPr>
            <w:tcW w:w="4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U.S. Secure Services</w:t>
            </w: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 in</w:t>
            </w:r>
          </w:p>
        </w:tc>
        <w:tc>
          <w:tcPr>
            <w:tcW w:w="120" w:type="dxa"/>
            <w:vAlign w:val="bottom"/>
          </w:tcPr>
          <w:p>
            <w:pPr>
              <w:spacing w:after="0"/>
              <w:rPr>
                <w:sz w:val="14"/>
                <w:szCs w:val="14"/>
                <w:color w:val="auto"/>
              </w:rPr>
            </w:pPr>
          </w:p>
        </w:tc>
        <w:tc>
          <w:tcPr>
            <w:tcW w:w="1000" w:type="dxa"/>
            <w:vAlign w:val="bottom"/>
            <w:tcBorders>
              <w:top w:val="single" w:sz="8" w:color="auto"/>
            </w:tcBorders>
          </w:tcPr>
          <w:p>
            <w:pPr>
              <w:jc w:val="right"/>
              <w:ind w:right="389"/>
              <w:spacing w:after="0"/>
              <w:rPr>
                <w:sz w:val="20"/>
                <w:szCs w:val="20"/>
                <w:color w:val="auto"/>
              </w:rPr>
            </w:pPr>
            <w:r>
              <w:rPr>
                <w:rFonts w:ascii="Arial" w:cs="Arial" w:eastAsia="Arial" w:hAnsi="Arial"/>
                <w:sz w:val="13"/>
                <w:szCs w:val="13"/>
                <w:b w:val="1"/>
                <w:bCs w:val="1"/>
                <w:color w:val="auto"/>
                <w:w w:val="74"/>
              </w:rPr>
              <w:t>thousands)</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8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80,600</w:t>
            </w: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5.6 %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83,721</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5.6 % $</w:t>
            </w:r>
          </w:p>
        </w:tc>
        <w:tc>
          <w:tcPr>
            <w:tcW w:w="840" w:type="dxa"/>
            <w:vAlign w:val="bottom"/>
          </w:tcPr>
          <w:p>
            <w:pPr>
              <w:jc w:val="right"/>
              <w:spacing w:after="0"/>
              <w:rPr>
                <w:sz w:val="20"/>
                <w:szCs w:val="20"/>
                <w:color w:val="auto"/>
              </w:rPr>
            </w:pPr>
            <w:r>
              <w:rPr>
                <w:rFonts w:ascii="Arial" w:cs="Arial" w:eastAsia="Arial" w:hAnsi="Arial"/>
                <w:sz w:val="18"/>
                <w:szCs w:val="18"/>
                <w:color w:val="auto"/>
              </w:rPr>
              <w:t>(3,121 )</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42"/>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Electronic Monitoring and Supervision Services</w:t>
            </w:r>
          </w:p>
        </w:tc>
        <w:tc>
          <w:tcPr>
            <w:tcW w:w="180" w:type="dxa"/>
            <w:vAlign w:val="bottom"/>
          </w:tcPr>
          <w:p>
            <w:pPr>
              <w:spacing w:after="0"/>
              <w:rPr>
                <w:sz w:val="21"/>
                <w:szCs w:val="21"/>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31,838</w:t>
            </w:r>
          </w:p>
        </w:tc>
        <w:tc>
          <w:tcPr>
            <w:tcW w:w="12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6.4 %</w:t>
            </w:r>
          </w:p>
        </w:tc>
        <w:tc>
          <w:tcPr>
            <w:tcW w:w="18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30,422</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10.9 %</w:t>
            </w:r>
          </w:p>
        </w:tc>
        <w:tc>
          <w:tcPr>
            <w:tcW w:w="1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1,416</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Reentry Services</w:t>
            </w:r>
          </w:p>
        </w:tc>
        <w:tc>
          <w:tcPr>
            <w:tcW w:w="180" w:type="dxa"/>
            <w:vAlign w:val="bottom"/>
          </w:tcPr>
          <w:p>
            <w:pPr>
              <w:spacing w:after="0"/>
              <w:rPr>
                <w:sz w:val="21"/>
                <w:szCs w:val="21"/>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18,416</w:t>
            </w:r>
          </w:p>
        </w:tc>
        <w:tc>
          <w:tcPr>
            <w:tcW w:w="12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7.2 %</w:t>
            </w:r>
          </w:p>
        </w:tc>
        <w:tc>
          <w:tcPr>
            <w:tcW w:w="18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18,773</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6.8 %</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(357 )</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56"/>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International Services</w:t>
            </w: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2,071</w:t>
            </w:r>
          </w:p>
        </w:tc>
        <w:tc>
          <w:tcPr>
            <w:tcW w:w="120" w:type="dxa"/>
            <w:vAlign w:val="bottom"/>
          </w:tcPr>
          <w:p>
            <w:pPr>
              <w:spacing w:after="0"/>
              <w:rPr>
                <w:sz w:val="22"/>
                <w:szCs w:val="2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1.1 %</w:t>
            </w: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2,261</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(190 )</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36"/>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132,925</w:t>
            </w: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5.6 %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w w:val="98"/>
              </w:rPr>
              <w:t>135,177</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6.0 %</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(2,252 )</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-1301115</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-992505</wp:posOffset>
            </wp:positionV>
            <wp:extent cx="713232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-675640</wp:posOffset>
            </wp:positionV>
            <wp:extent cx="7132320" cy="179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U.S. Secure Services</w:t>
      </w:r>
    </w:p>
    <w:p>
      <w:pPr>
        <w:spacing w:after="0" w:line="225"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U.S. Secure Services depreciation and amortization expense decreased in 2022 compared to 2021 primarily due to decreases related to certain assets becoming fully depreciated and/or amortized as well as certain asset dispositions at our company-owned facilities. Partially offsetting this decrease was a write-off of approximately $3.4 million of intangible assets related to facility management contracts when Delaware County, Pennsylvania took over management of the managed-only George W. Hill Correctional Facility in April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Electronic Monitoring and Supervision Services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and amortization expense increased in 2022 compared to 2021 primarily due to certain equipment additions.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Reentry Services</w:t>
      </w:r>
    </w:p>
    <w:p>
      <w:pPr>
        <w:spacing w:after="0" w:line="225"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auto"/>
        </w:rPr>
        <w:t>Reentry Services depreciation and amortization expense decreased slightly in 2022 compared to 2021 primarily due to certain asset dispositions at our company-owned centers.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Services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and amortization expense decreased in 2022 compared to 2021 primarily due to foreign exchange rate fluctuations.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Unallocated Operating Expenses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1000" w:type="dxa"/>
            <w:vAlign w:val="bottom"/>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3"/>
              </w:rPr>
              <w:t>% of Revenue</w:t>
            </w:r>
          </w:p>
        </w:tc>
        <w:tc>
          <w:tcPr>
            <w:tcW w:w="780" w:type="dxa"/>
            <w:vAlign w:val="bottom"/>
          </w:tcPr>
          <w:p>
            <w:pPr>
              <w:jc w:val="right"/>
              <w:ind w:right="30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 of Revenue</w:t>
            </w:r>
          </w:p>
        </w:tc>
        <w:tc>
          <w:tcPr>
            <w:tcW w:w="840" w:type="dxa"/>
            <w:vAlign w:val="bottom"/>
          </w:tcPr>
          <w:p>
            <w:pPr>
              <w:jc w:val="right"/>
              <w:ind w:right="159"/>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6"/>
                <w:szCs w:val="16"/>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4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General and Administrative Expenses</w:t>
            </w: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w w:val="99"/>
              </w:rPr>
              <w:t>(Dollars in</w:t>
            </w:r>
          </w:p>
        </w:tc>
        <w:tc>
          <w:tcPr>
            <w:tcW w:w="120" w:type="dxa"/>
            <w:vAlign w:val="bottom"/>
          </w:tcPr>
          <w:p>
            <w:pPr>
              <w:spacing w:after="0"/>
              <w:rPr>
                <w:sz w:val="14"/>
                <w:szCs w:val="14"/>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thousands)</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80" w:type="dxa"/>
            <w:vAlign w:val="bottom"/>
            <w:vMerge w:val="continue"/>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8"/>
                <w:szCs w:val="18"/>
                <w:color w:val="auto"/>
                <w:w w:val="98"/>
              </w:rPr>
              <w:t>$  196,972</w:t>
            </w:r>
          </w:p>
        </w:tc>
        <w:tc>
          <w:tcPr>
            <w:tcW w:w="1460" w:type="dxa"/>
            <w:vAlign w:val="bottom"/>
            <w:gridSpan w:val="4"/>
          </w:tcPr>
          <w:p>
            <w:pPr>
              <w:jc w:val="right"/>
              <w:ind w:right="80"/>
              <w:spacing w:after="0"/>
              <w:rPr>
                <w:sz w:val="20"/>
                <w:szCs w:val="20"/>
                <w:color w:val="auto"/>
              </w:rPr>
            </w:pPr>
            <w:r>
              <w:rPr>
                <w:rFonts w:ascii="Arial" w:cs="Arial" w:eastAsia="Arial" w:hAnsi="Arial"/>
                <w:sz w:val="18"/>
                <w:szCs w:val="18"/>
                <w:color w:val="auto"/>
              </w:rPr>
              <w:t>8.3 % $</w:t>
            </w:r>
          </w:p>
        </w:tc>
        <w:tc>
          <w:tcPr>
            <w:tcW w:w="780" w:type="dxa"/>
            <w:vAlign w:val="bottom"/>
          </w:tcPr>
          <w:p>
            <w:pPr>
              <w:ind w:left="80"/>
              <w:spacing w:after="0"/>
              <w:rPr>
                <w:sz w:val="20"/>
                <w:szCs w:val="20"/>
                <w:color w:val="auto"/>
              </w:rPr>
            </w:pPr>
            <w:r>
              <w:rPr>
                <w:rFonts w:ascii="Arial" w:cs="Arial" w:eastAsia="Arial" w:hAnsi="Arial"/>
                <w:sz w:val="18"/>
                <w:szCs w:val="18"/>
                <w:color w:val="auto"/>
              </w:rPr>
              <w:t>204,306</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9.1 % $</w:t>
            </w:r>
          </w:p>
        </w:tc>
        <w:tc>
          <w:tcPr>
            <w:tcW w:w="840" w:type="dxa"/>
            <w:vAlign w:val="bottom"/>
          </w:tcPr>
          <w:p>
            <w:pPr>
              <w:jc w:val="right"/>
              <w:spacing w:after="0"/>
              <w:rPr>
                <w:sz w:val="20"/>
                <w:szCs w:val="20"/>
                <w:color w:val="auto"/>
              </w:rPr>
            </w:pPr>
            <w:r>
              <w:rPr>
                <w:rFonts w:ascii="Arial" w:cs="Arial" w:eastAsia="Arial" w:hAnsi="Arial"/>
                <w:sz w:val="18"/>
                <w:szCs w:val="18"/>
                <w:color w:val="auto"/>
              </w:rPr>
              <w:t>(7,334 )</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1" w:lineRule="exact"/>
        <w:rPr>
          <w:sz w:val="20"/>
          <w:szCs w:val="20"/>
          <w:color w:val="auto"/>
        </w:rPr>
      </w:pPr>
    </w:p>
    <w:p>
      <w:pPr>
        <w:ind w:right="120" w:firstLine="509"/>
        <w:spacing w:after="0" w:line="256" w:lineRule="auto"/>
        <w:rPr>
          <w:sz w:val="20"/>
          <w:szCs w:val="20"/>
          <w:color w:val="auto"/>
        </w:rPr>
      </w:pPr>
      <w:r>
        <w:rPr>
          <w:rFonts w:ascii="Arial" w:cs="Arial" w:eastAsia="Arial" w:hAnsi="Arial"/>
          <w:sz w:val="18"/>
          <w:szCs w:val="18"/>
          <w:color w:val="auto"/>
        </w:rPr>
        <w:t>General and administrative expenses comprise substantially all of our other unallocated operating expenses which primarily includes corporate management salaries and benefits, professional fees and other administrative expenses. General and administrative expenses decreased in 2022 compared to 2021 by $7.3 million primarily due to one-time employee restructuring expenses of $7.5 million incurred in 2021. Partially offsetting this decrease were increased professional fees for financial and legal advisors assisting us in reviewing potential asset sales as well as normal professional, consulting and other administrative expenses.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and Interest Expense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3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 of</w:t>
            </w:r>
          </w:p>
        </w:tc>
        <w:tc>
          <w:tcPr>
            <w:tcW w:w="7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2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 of</w:t>
            </w:r>
          </w:p>
        </w:tc>
        <w:tc>
          <w:tcPr>
            <w:tcW w:w="84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Revenue</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Revenue</w:t>
            </w: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Interest Income</w:t>
            </w: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 in</w:t>
            </w:r>
          </w:p>
        </w:tc>
        <w:tc>
          <w:tcPr>
            <w:tcW w:w="120" w:type="dxa"/>
            <w:vAlign w:val="bottom"/>
          </w:tcPr>
          <w:p>
            <w:pPr>
              <w:spacing w:after="0"/>
              <w:rPr>
                <w:sz w:val="14"/>
                <w:szCs w:val="14"/>
                <w:color w:val="auto"/>
              </w:rPr>
            </w:pPr>
          </w:p>
        </w:tc>
        <w:tc>
          <w:tcPr>
            <w:tcW w:w="1000" w:type="dxa"/>
            <w:vAlign w:val="bottom"/>
            <w:tcBorders>
              <w:top w:val="single" w:sz="8" w:color="auto"/>
            </w:tcBorders>
          </w:tcPr>
          <w:p>
            <w:pPr>
              <w:jc w:val="right"/>
              <w:ind w:right="390"/>
              <w:spacing w:after="0"/>
              <w:rPr>
                <w:sz w:val="20"/>
                <w:szCs w:val="20"/>
                <w:color w:val="auto"/>
              </w:rPr>
            </w:pPr>
            <w:r>
              <w:rPr>
                <w:rFonts w:ascii="Arial" w:cs="Arial" w:eastAsia="Arial" w:hAnsi="Arial"/>
                <w:sz w:val="13"/>
                <w:szCs w:val="13"/>
                <w:b w:val="1"/>
                <w:bCs w:val="1"/>
                <w:color w:val="auto"/>
                <w:w w:val="74"/>
              </w:rPr>
              <w:t>thousands)</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8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6"/>
              <w:spacing w:after="0"/>
              <w:rPr>
                <w:sz w:val="20"/>
                <w:szCs w:val="20"/>
                <w:color w:val="auto"/>
              </w:rPr>
            </w:pPr>
            <w:r>
              <w:rPr>
                <w:rFonts w:ascii="Arial" w:cs="Arial" w:eastAsia="Arial" w:hAnsi="Arial"/>
                <w:sz w:val="18"/>
                <w:szCs w:val="18"/>
                <w:color w:val="auto"/>
              </w:rPr>
              <w:t>16,831</w:t>
            </w:r>
          </w:p>
        </w:tc>
        <w:tc>
          <w:tcPr>
            <w:tcW w:w="1460" w:type="dxa"/>
            <w:vAlign w:val="bottom"/>
            <w:gridSpan w:val="4"/>
          </w:tcPr>
          <w:p>
            <w:pPr>
              <w:jc w:val="right"/>
              <w:ind w:right="80"/>
              <w:spacing w:after="0"/>
              <w:rPr>
                <w:sz w:val="20"/>
                <w:szCs w:val="20"/>
                <w:color w:val="auto"/>
              </w:rPr>
            </w:pPr>
            <w:r>
              <w:rPr>
                <w:rFonts w:ascii="Arial" w:cs="Arial" w:eastAsia="Arial" w:hAnsi="Arial"/>
                <w:sz w:val="18"/>
                <w:szCs w:val="18"/>
                <w:color w:val="auto"/>
              </w:rPr>
              <w:t>0.7 % $</w:t>
            </w:r>
          </w:p>
        </w:tc>
        <w:tc>
          <w:tcPr>
            <w:tcW w:w="780" w:type="dxa"/>
            <w:vAlign w:val="bottom"/>
          </w:tcPr>
          <w:p>
            <w:pPr>
              <w:jc w:val="right"/>
              <w:ind w:right="39"/>
              <w:spacing w:after="0"/>
              <w:rPr>
                <w:sz w:val="20"/>
                <w:szCs w:val="20"/>
                <w:color w:val="auto"/>
              </w:rPr>
            </w:pPr>
            <w:r>
              <w:rPr>
                <w:rFonts w:ascii="Arial" w:cs="Arial" w:eastAsia="Arial" w:hAnsi="Arial"/>
                <w:sz w:val="18"/>
                <w:szCs w:val="18"/>
                <w:color w:val="auto"/>
              </w:rPr>
              <w:t>24,007</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1.1 % $</w:t>
            </w:r>
          </w:p>
        </w:tc>
        <w:tc>
          <w:tcPr>
            <w:tcW w:w="840" w:type="dxa"/>
            <w:vAlign w:val="bottom"/>
          </w:tcPr>
          <w:p>
            <w:pPr>
              <w:jc w:val="right"/>
              <w:spacing w:after="0"/>
              <w:rPr>
                <w:sz w:val="20"/>
                <w:szCs w:val="20"/>
                <w:color w:val="auto"/>
              </w:rPr>
            </w:pPr>
            <w:r>
              <w:rPr>
                <w:rFonts w:ascii="Arial" w:cs="Arial" w:eastAsia="Arial" w:hAnsi="Arial"/>
                <w:sz w:val="18"/>
                <w:szCs w:val="18"/>
                <w:color w:val="auto"/>
              </w:rPr>
              <w:t>(7,176 )</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(29.9 )%</w:t>
            </w:r>
          </w:p>
        </w:tc>
        <w:tc>
          <w:tcPr>
            <w:tcW w:w="0" w:type="dxa"/>
            <w:vAlign w:val="bottom"/>
          </w:tcPr>
          <w:p>
            <w:pPr>
              <w:spacing w:after="0"/>
              <w:rPr>
                <w:sz w:val="1"/>
                <w:szCs w:val="1"/>
                <w:color w:val="auto"/>
              </w:rPr>
            </w:pPr>
          </w:p>
        </w:tc>
      </w:tr>
      <w:tr>
        <w:trPr>
          <w:trHeight w:val="242"/>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Interest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6"/>
              <w:spacing w:after="0"/>
              <w:rPr>
                <w:sz w:val="20"/>
                <w:szCs w:val="20"/>
                <w:color w:val="auto"/>
              </w:rPr>
            </w:pPr>
            <w:r>
              <w:rPr>
                <w:rFonts w:ascii="Arial" w:cs="Arial" w:eastAsia="Arial" w:hAnsi="Arial"/>
                <w:sz w:val="18"/>
                <w:szCs w:val="18"/>
                <w:color w:val="auto"/>
              </w:rPr>
              <w:t>164,550</w:t>
            </w:r>
          </w:p>
        </w:tc>
        <w:tc>
          <w:tcPr>
            <w:tcW w:w="1460" w:type="dxa"/>
            <w:vAlign w:val="bottom"/>
            <w:gridSpan w:val="4"/>
          </w:tcPr>
          <w:p>
            <w:pPr>
              <w:jc w:val="right"/>
              <w:ind w:right="80"/>
              <w:spacing w:after="0"/>
              <w:rPr>
                <w:sz w:val="20"/>
                <w:szCs w:val="20"/>
                <w:color w:val="auto"/>
              </w:rPr>
            </w:pPr>
            <w:r>
              <w:rPr>
                <w:rFonts w:ascii="Arial" w:cs="Arial" w:eastAsia="Arial" w:hAnsi="Arial"/>
                <w:sz w:val="18"/>
                <w:szCs w:val="18"/>
                <w:color w:val="auto"/>
              </w:rPr>
              <w:t>6.9 % $</w:t>
            </w:r>
          </w:p>
        </w:tc>
        <w:tc>
          <w:tcPr>
            <w:tcW w:w="780" w:type="dxa"/>
            <w:vAlign w:val="bottom"/>
          </w:tcPr>
          <w:p>
            <w:pPr>
              <w:jc w:val="right"/>
              <w:ind w:right="39"/>
              <w:spacing w:after="0"/>
              <w:rPr>
                <w:sz w:val="20"/>
                <w:szCs w:val="20"/>
                <w:color w:val="auto"/>
              </w:rPr>
            </w:pPr>
            <w:r>
              <w:rPr>
                <w:rFonts w:ascii="Arial" w:cs="Arial" w:eastAsia="Arial" w:hAnsi="Arial"/>
                <w:sz w:val="18"/>
                <w:szCs w:val="18"/>
                <w:color w:val="auto"/>
                <w:w w:val="98"/>
              </w:rPr>
              <w:t>129,460</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5.7 % $</w:t>
            </w: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35,090</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27.1 %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2"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auto"/>
        </w:rPr>
        <w:t>Interest income decreased in 2022 compared to 2021 primarily due to the effect of foreign exchange rate fluctuations as well as the sale</w:t>
      </w:r>
    </w:p>
    <w:p>
      <w:pPr>
        <w:spacing w:after="0" w:line="35" w:lineRule="exact"/>
        <w:rPr>
          <w:sz w:val="20"/>
          <w:szCs w:val="20"/>
          <w:color w:val="auto"/>
        </w:rPr>
      </w:pPr>
    </w:p>
    <w:p>
      <w:pPr>
        <w:ind w:right="200"/>
        <w:spacing w:after="0" w:line="322" w:lineRule="auto"/>
        <w:rPr>
          <w:sz w:val="20"/>
          <w:szCs w:val="20"/>
          <w:color w:val="auto"/>
        </w:rPr>
      </w:pPr>
      <w:r>
        <w:rPr>
          <w:rFonts w:ascii="Arial" w:cs="Arial" w:eastAsia="Arial" w:hAnsi="Arial"/>
          <w:sz w:val="16"/>
          <w:szCs w:val="16"/>
          <w:color w:val="auto"/>
        </w:rPr>
        <w:t>of our contract receivable related to our Ravenhall facility in Australia in September 2022. Refer to Note 17 Commitments, Contingencies and Other Matters of the Notes to the audited consolidated financial statements included in Part II, Item 8 of this Annual Report on Form 10-K for further discussion.</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August 19, 2022, we completed an exchange offer to exchange certain of our outstanding 5.125% Senior Notes due 2023, 5.875%</w:t>
      </w:r>
    </w:p>
    <w:p>
      <w:pPr>
        <w:spacing w:after="0" w:line="23"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Senior Notes due 2024, 6.00% Senior Notes due 2026 and certain revolving credit loans and term loans under our senior secured credit facility into newly issued Senior Second Lien Secured Notes and a new Exchange Credit Agreement. Interest expense increased in 2022 compared to 2021 primarily due to higher interest rates on the new debt instruments as well as the net amortization of deferred issuance costs and discounts/premiums related to the transaction. Additionally, SOFR/LIBOR rates have increased in 2022 compared to 2021. Refer to Note 12 -</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88" w:right="239" w:bottom="1440" w:gutter="0" w:footer="0" w:header="0"/>
        </w:sectPr>
      </w:pPr>
    </w:p>
    <w:bookmarkStart w:id="61" w:name="page62"/>
    <w:bookmarkEnd w:id="61"/>
    <w:p>
      <w:pPr>
        <w:spacing w:after="0"/>
        <w:rPr>
          <w:sz w:val="20"/>
          <w:szCs w:val="20"/>
          <w:color w:val="auto"/>
        </w:rPr>
      </w:pPr>
      <w:r>
        <w:rPr>
          <w:rFonts w:ascii="Arial" w:cs="Arial" w:eastAsia="Arial" w:hAnsi="Arial"/>
          <w:sz w:val="17"/>
          <w:szCs w:val="17"/>
          <w:color w:val="auto"/>
        </w:rPr>
        <w:t>Debt of the Notes to the audited consolidated financial statements included in Part II, Item 8 of this Annual Report on Form 10-K for further discussion.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Gain on Extinguishment of Debt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00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3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 of</w:t>
            </w:r>
          </w:p>
        </w:tc>
        <w:tc>
          <w:tcPr>
            <w:tcW w:w="7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 of</w:t>
            </w:r>
          </w:p>
        </w:tc>
        <w:tc>
          <w:tcPr>
            <w:tcW w:w="8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46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Revenue</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Revenue</w:t>
            </w: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(Loss) Gain on Extinguishment of Debt</w:t>
            </w: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w w:val="99"/>
              </w:rPr>
              <w:t>(Dollars in</w:t>
            </w:r>
          </w:p>
        </w:tc>
        <w:tc>
          <w:tcPr>
            <w:tcW w:w="120" w:type="dxa"/>
            <w:vAlign w:val="bottom"/>
          </w:tcPr>
          <w:p>
            <w:pPr>
              <w:spacing w:after="0"/>
              <w:rPr>
                <w:sz w:val="14"/>
                <w:szCs w:val="14"/>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thousands)</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80" w:type="dxa"/>
            <w:vAlign w:val="bottom"/>
            <w:vMerge w:val="continue"/>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  (37,895 )</w:t>
            </w:r>
          </w:p>
        </w:tc>
        <w:tc>
          <w:tcPr>
            <w:tcW w:w="1460" w:type="dxa"/>
            <w:vAlign w:val="bottom"/>
            <w:gridSpan w:val="4"/>
          </w:tcPr>
          <w:p>
            <w:pPr>
              <w:jc w:val="right"/>
              <w:ind w:right="80"/>
              <w:spacing w:after="0"/>
              <w:rPr>
                <w:sz w:val="20"/>
                <w:szCs w:val="20"/>
                <w:color w:val="auto"/>
              </w:rPr>
            </w:pPr>
            <w:r>
              <w:rPr>
                <w:rFonts w:ascii="Arial" w:cs="Arial" w:eastAsia="Arial" w:hAnsi="Arial"/>
                <w:sz w:val="18"/>
                <w:szCs w:val="18"/>
                <w:color w:val="auto"/>
              </w:rPr>
              <w:t>-1.6 % $</w:t>
            </w:r>
          </w:p>
        </w:tc>
        <w:tc>
          <w:tcPr>
            <w:tcW w:w="780" w:type="dxa"/>
            <w:vAlign w:val="bottom"/>
          </w:tcPr>
          <w:p>
            <w:pPr>
              <w:jc w:val="right"/>
              <w:ind w:right="42"/>
              <w:spacing w:after="0"/>
              <w:rPr>
                <w:sz w:val="20"/>
                <w:szCs w:val="20"/>
                <w:color w:val="auto"/>
              </w:rPr>
            </w:pPr>
            <w:r>
              <w:rPr>
                <w:rFonts w:ascii="Arial" w:cs="Arial" w:eastAsia="Arial" w:hAnsi="Arial"/>
                <w:sz w:val="18"/>
                <w:szCs w:val="18"/>
                <w:color w:val="auto"/>
              </w:rPr>
              <w:t>4,693</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0.2 % $</w:t>
            </w:r>
          </w:p>
        </w:tc>
        <w:tc>
          <w:tcPr>
            <w:tcW w:w="840" w:type="dxa"/>
            <w:vAlign w:val="bottom"/>
          </w:tcPr>
          <w:p>
            <w:pPr>
              <w:jc w:val="right"/>
              <w:spacing w:after="0"/>
              <w:rPr>
                <w:sz w:val="20"/>
                <w:szCs w:val="20"/>
                <w:color w:val="auto"/>
              </w:rPr>
            </w:pPr>
            <w:r>
              <w:rPr>
                <w:rFonts w:ascii="Arial" w:cs="Arial" w:eastAsia="Arial" w:hAnsi="Arial"/>
                <w:sz w:val="18"/>
                <w:szCs w:val="18"/>
                <w:color w:val="auto"/>
              </w:rPr>
              <w:t>(42,588 )</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(907.5 )%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2022, we completed an exchange offer to exchange certain of our outstanding 5.125% Senior Notes due 2023, 5.875% Senior</w:t>
      </w:r>
    </w:p>
    <w:p>
      <w:pPr>
        <w:spacing w:after="0" w:line="2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Notes due 2024, 6.00% Senior Notes due 2026 and certain revolving credit loans and term loans under our senior secured credit facility into newly issued Senior Second Lien Secured Notes and a new credit facility. As a result of the transactions, we recorded a net loss on extinguishment of debt of $37.9 million, net of the write-off of associated unamortized deferred loan costs.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2021, we repurchased $22.5 million in aggregate principal amount of our 5.125% Senior Notes due 2023 at a weighted average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90.68% for a total cost of $20.4 million. Additionally, we repurchased $17.2 million in aggregate principal amount of our 5.875% Senior Notes due 2024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weighted average price of 79.51% for a total cost of $13.7 million. As a result of these repurchases, we recognized a net gain on extinguishment of debt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$4.7 million, net of the write-off of associated unamortized deferred loan costs.</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Refer to Note 12- Debt of the Notes to the audited consolidated financial statements included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Gain (Loss) on Disposition of Assets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3"/>
              </w:rPr>
              <w:t>% of Revenue</w:t>
            </w:r>
          </w:p>
        </w:tc>
        <w:tc>
          <w:tcPr>
            <w:tcW w:w="780" w:type="dxa"/>
            <w:vAlign w:val="bottom"/>
          </w:tcPr>
          <w:p>
            <w:pPr>
              <w:ind w:left="10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3"/>
              </w:rPr>
              <w:t>% of Revenue</w:t>
            </w:r>
          </w:p>
        </w:tc>
        <w:tc>
          <w:tcPr>
            <w:tcW w:w="840" w:type="dxa"/>
            <w:vAlign w:val="bottom"/>
          </w:tcPr>
          <w:p>
            <w:pPr>
              <w:jc w:val="right"/>
              <w:ind w:right="159"/>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6"/>
                <w:szCs w:val="16"/>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4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Gain (Loss) on Disposition of Assets</w:t>
            </w: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w w:val="96"/>
              </w:rPr>
              <w:t>(Dollars in</w:t>
            </w:r>
          </w:p>
        </w:tc>
        <w:tc>
          <w:tcPr>
            <w:tcW w:w="120" w:type="dxa"/>
            <w:vAlign w:val="bottom"/>
          </w:tcPr>
          <w:p>
            <w:pPr>
              <w:spacing w:after="0"/>
              <w:rPr>
                <w:sz w:val="14"/>
                <w:szCs w:val="14"/>
                <w:color w:val="auto"/>
              </w:rPr>
            </w:pPr>
          </w:p>
        </w:tc>
        <w:tc>
          <w:tcPr>
            <w:tcW w:w="102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w w:val="71"/>
              </w:rPr>
              <w:t>thousands)</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60" w:type="dxa"/>
            <w:vAlign w:val="bottom"/>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9"/>
              <w:spacing w:after="0"/>
              <w:rPr>
                <w:sz w:val="20"/>
                <w:szCs w:val="20"/>
                <w:color w:val="auto"/>
              </w:rPr>
            </w:pPr>
            <w:r>
              <w:rPr>
                <w:rFonts w:ascii="Arial" w:cs="Arial" w:eastAsia="Arial" w:hAnsi="Arial"/>
                <w:sz w:val="18"/>
                <w:szCs w:val="18"/>
                <w:color w:val="auto"/>
              </w:rPr>
              <w:t>32,332</w:t>
            </w:r>
          </w:p>
        </w:tc>
        <w:tc>
          <w:tcPr>
            <w:tcW w:w="1440" w:type="dxa"/>
            <w:vAlign w:val="bottom"/>
            <w:gridSpan w:val="4"/>
          </w:tcPr>
          <w:p>
            <w:pPr>
              <w:jc w:val="right"/>
              <w:ind w:right="80"/>
              <w:spacing w:after="0"/>
              <w:rPr>
                <w:sz w:val="20"/>
                <w:szCs w:val="20"/>
                <w:color w:val="auto"/>
              </w:rPr>
            </w:pPr>
            <w:r>
              <w:rPr>
                <w:rFonts w:ascii="Arial" w:cs="Arial" w:eastAsia="Arial" w:hAnsi="Arial"/>
                <w:sz w:val="18"/>
                <w:szCs w:val="18"/>
                <w:color w:val="auto"/>
              </w:rPr>
              <w:t>1.4 % $</w:t>
            </w:r>
          </w:p>
        </w:tc>
        <w:tc>
          <w:tcPr>
            <w:tcW w:w="780" w:type="dxa"/>
            <w:vAlign w:val="bottom"/>
          </w:tcPr>
          <w:p>
            <w:pPr>
              <w:jc w:val="right"/>
              <w:ind w:right="42"/>
              <w:spacing w:after="0"/>
              <w:rPr>
                <w:sz w:val="20"/>
                <w:szCs w:val="20"/>
                <w:color w:val="auto"/>
              </w:rPr>
            </w:pPr>
            <w:r>
              <w:rPr>
                <w:rFonts w:ascii="Arial" w:cs="Arial" w:eastAsia="Arial" w:hAnsi="Arial"/>
                <w:sz w:val="18"/>
                <w:szCs w:val="18"/>
                <w:color w:val="auto"/>
              </w:rPr>
              <w:t>5,499</w:t>
            </w:r>
          </w:p>
        </w:tc>
        <w:tc>
          <w:tcPr>
            <w:tcW w:w="1380" w:type="dxa"/>
            <w:vAlign w:val="bottom"/>
            <w:gridSpan w:val="4"/>
          </w:tcPr>
          <w:p>
            <w:pPr>
              <w:jc w:val="right"/>
              <w:ind w:right="20"/>
              <w:spacing w:after="0"/>
              <w:rPr>
                <w:sz w:val="20"/>
                <w:szCs w:val="20"/>
                <w:color w:val="auto"/>
              </w:rPr>
            </w:pPr>
            <w:r>
              <w:rPr>
                <w:rFonts w:ascii="Arial" w:cs="Arial" w:eastAsia="Arial" w:hAnsi="Arial"/>
                <w:sz w:val="18"/>
                <w:szCs w:val="18"/>
                <w:color w:val="auto"/>
              </w:rPr>
              <w:t>0.2 % $</w:t>
            </w:r>
          </w:p>
        </w:tc>
        <w:tc>
          <w:tcPr>
            <w:tcW w:w="840" w:type="dxa"/>
            <w:vAlign w:val="bottom"/>
          </w:tcPr>
          <w:p>
            <w:pPr>
              <w:jc w:val="right"/>
              <w:ind w:right="39"/>
              <w:spacing w:after="0"/>
              <w:rPr>
                <w:sz w:val="20"/>
                <w:szCs w:val="20"/>
                <w:color w:val="auto"/>
              </w:rPr>
            </w:pPr>
            <w:r>
              <w:rPr>
                <w:rFonts w:ascii="Arial" w:cs="Arial" w:eastAsia="Arial" w:hAnsi="Arial"/>
                <w:sz w:val="18"/>
                <w:szCs w:val="18"/>
                <w:color w:val="auto"/>
              </w:rPr>
              <w:t>26,833</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488.0 %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4"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During 2022, we sold our equity investment interest in the government-owned Ravenhall Correctional Centre project in Australia for approximately $84 million in gross proceeds, pre-tax to an unrelated third party. As a result of the transaction, we recorded a gain of approximately $29.3 million. Refer to Note 17 - Commitments, Contingencies and Other Matters of the Notes to the audited consolidated financial statements included in Part II, Item 8 of this Annual Report on Form 10-K. The net gain in 2022 also includes the sale of our Perry County Correctional Facility located in Alabama.</w:t>
      </w:r>
    </w:p>
    <w:p>
      <w:pPr>
        <w:spacing w:after="0" w:line="156"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The net gain on disposition of assets in 2021 was primarily due to the sale of our interest in Talbot Hall, located in New Jersey, and the sale of our company-owned McCabe Center, located in Texas. The gain was partially offset by a loss on the divestiture of our youth division on July 1, 2021. Refer to Note 17- Commitments, Contingencies and Other Matters of the Notes to the audited consolidated financial statements included in Part II, Item 8 of this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00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3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Effective</w:t>
            </w:r>
          </w:p>
        </w:tc>
        <w:tc>
          <w:tcPr>
            <w:tcW w:w="78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Effective</w:t>
            </w:r>
          </w:p>
        </w:tc>
        <w:tc>
          <w:tcPr>
            <w:tcW w:w="8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4"/>
                <w:szCs w:val="14"/>
                <w:color w:val="auto"/>
              </w:rPr>
            </w:pP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46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Rate</w:t>
            </w: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Rate</w:t>
            </w: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 in</w:t>
            </w:r>
          </w:p>
        </w:tc>
        <w:tc>
          <w:tcPr>
            <w:tcW w:w="100" w:type="dxa"/>
            <w:vAlign w:val="bottom"/>
          </w:tcPr>
          <w:p>
            <w:pPr>
              <w:spacing w:after="0"/>
              <w:rPr>
                <w:sz w:val="14"/>
                <w:szCs w:val="14"/>
                <w:color w:val="auto"/>
              </w:rPr>
            </w:pPr>
          </w:p>
        </w:tc>
        <w:tc>
          <w:tcPr>
            <w:tcW w:w="102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76"/>
              </w:rPr>
              <w:t>thousands)</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40" w:type="dxa"/>
            <w:vAlign w:val="bottom"/>
            <w:vMerge w:val="continue"/>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8"/>
                <w:szCs w:val="18"/>
                <w:color w:val="auto"/>
              </w:rPr>
              <w:t>$   62,899</w:t>
            </w:r>
          </w:p>
        </w:tc>
        <w:tc>
          <w:tcPr>
            <w:tcW w:w="1440" w:type="dxa"/>
            <w:vAlign w:val="bottom"/>
            <w:gridSpan w:val="4"/>
          </w:tcPr>
          <w:p>
            <w:pPr>
              <w:jc w:val="right"/>
              <w:ind w:right="80"/>
              <w:spacing w:after="0"/>
              <w:rPr>
                <w:sz w:val="20"/>
                <w:szCs w:val="20"/>
                <w:color w:val="auto"/>
              </w:rPr>
            </w:pPr>
            <w:r>
              <w:rPr>
                <w:rFonts w:ascii="Arial" w:cs="Arial" w:eastAsia="Arial" w:hAnsi="Arial"/>
                <w:sz w:val="18"/>
                <w:szCs w:val="18"/>
                <w:color w:val="auto"/>
              </w:rPr>
              <w:t>27.4 % $</w:t>
            </w:r>
          </w:p>
        </w:tc>
        <w:tc>
          <w:tcPr>
            <w:tcW w:w="780" w:type="dxa"/>
            <w:vAlign w:val="bottom"/>
          </w:tcPr>
          <w:p>
            <w:pPr>
              <w:jc w:val="right"/>
              <w:ind w:right="42"/>
              <w:spacing w:after="0"/>
              <w:rPr>
                <w:sz w:val="20"/>
                <w:szCs w:val="20"/>
                <w:color w:val="auto"/>
              </w:rPr>
            </w:pPr>
            <w:r>
              <w:rPr>
                <w:rFonts w:ascii="Arial" w:cs="Arial" w:eastAsia="Arial" w:hAnsi="Arial"/>
                <w:sz w:val="18"/>
                <w:szCs w:val="18"/>
                <w:color w:val="auto"/>
                <w:w w:val="98"/>
              </w:rPr>
              <w:t>122,730</w:t>
            </w: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63.6 % $</w:t>
            </w:r>
          </w:p>
        </w:tc>
        <w:tc>
          <w:tcPr>
            <w:tcW w:w="840" w:type="dxa"/>
            <w:vAlign w:val="bottom"/>
          </w:tcPr>
          <w:p>
            <w:pPr>
              <w:jc w:val="right"/>
              <w:spacing w:after="0"/>
              <w:rPr>
                <w:sz w:val="20"/>
                <w:szCs w:val="20"/>
                <w:color w:val="auto"/>
              </w:rPr>
            </w:pPr>
            <w:r>
              <w:rPr>
                <w:rFonts w:ascii="Arial" w:cs="Arial" w:eastAsia="Arial" w:hAnsi="Arial"/>
                <w:sz w:val="18"/>
                <w:szCs w:val="18"/>
                <w:color w:val="auto"/>
              </w:rPr>
              <w:t>(59,831 )</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(48.8 )%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4"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The provision for income taxes in 2022 decreased compared to 2021 along with the effective tax rate. In 2022, there was a $1.4 million discrete tax benefit compared to a net $74.6 million discrete tax expense in 2021. Included in the provision for income taxes in 2022 and 2021 were, respectively, a $2.1 million and $3.6 million discrete tax expense related to stock compensation that vested during the respective periods. In 2021, the Company elected to terminate its REIT status and became a taxable C corporation which resulted in a one-time, non-cash deferred tax charge of $70.8 million related to the termination. We estimate our 2023 annual effective tax rate to be in the range of approximately 27% to 29% exclusive of any discrete items.</w:t>
      </w:r>
    </w:p>
    <w:p>
      <w:pPr>
        <w:spacing w:after="0" w:line="16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57"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Equity in Earnings of Affiliates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3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 of</w:t>
            </w:r>
          </w:p>
        </w:tc>
        <w:tc>
          <w:tcPr>
            <w:tcW w:w="78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 of</w:t>
            </w:r>
          </w:p>
        </w:tc>
        <w:tc>
          <w:tcPr>
            <w:tcW w:w="8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4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Revenue</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Revenue</w:t>
            </w: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Equity in Earnings of Affiliates</w:t>
            </w: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 in</w:t>
            </w:r>
          </w:p>
        </w:tc>
        <w:tc>
          <w:tcPr>
            <w:tcW w:w="120" w:type="dxa"/>
            <w:vAlign w:val="bottom"/>
          </w:tcPr>
          <w:p>
            <w:pPr>
              <w:spacing w:after="0"/>
              <w:rPr>
                <w:sz w:val="14"/>
                <w:szCs w:val="14"/>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thousands)</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80" w:type="dxa"/>
            <w:vAlign w:val="bottom"/>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9"/>
              <w:spacing w:after="0"/>
              <w:rPr>
                <w:sz w:val="20"/>
                <w:szCs w:val="20"/>
                <w:color w:val="auto"/>
              </w:rPr>
            </w:pPr>
            <w:r>
              <w:rPr>
                <w:rFonts w:ascii="Arial" w:cs="Arial" w:eastAsia="Arial" w:hAnsi="Arial"/>
                <w:sz w:val="18"/>
                <w:szCs w:val="18"/>
                <w:color w:val="auto"/>
              </w:rPr>
              <w:t>4,771</w:t>
            </w:r>
          </w:p>
        </w:tc>
        <w:tc>
          <w:tcPr>
            <w:tcW w:w="1460" w:type="dxa"/>
            <w:vAlign w:val="bottom"/>
            <w:gridSpan w:val="4"/>
          </w:tcPr>
          <w:p>
            <w:pPr>
              <w:jc w:val="right"/>
              <w:ind w:right="80"/>
              <w:spacing w:after="0"/>
              <w:rPr>
                <w:sz w:val="20"/>
                <w:szCs w:val="20"/>
                <w:color w:val="auto"/>
              </w:rPr>
            </w:pPr>
            <w:r>
              <w:rPr>
                <w:rFonts w:ascii="Arial" w:cs="Arial" w:eastAsia="Arial" w:hAnsi="Arial"/>
                <w:sz w:val="18"/>
                <w:szCs w:val="18"/>
                <w:color w:val="auto"/>
              </w:rPr>
              <w:t>0.2 % $</w:t>
            </w:r>
          </w:p>
        </w:tc>
        <w:tc>
          <w:tcPr>
            <w:tcW w:w="780" w:type="dxa"/>
            <w:vAlign w:val="bottom"/>
          </w:tcPr>
          <w:p>
            <w:pPr>
              <w:jc w:val="right"/>
              <w:ind w:right="42"/>
              <w:spacing w:after="0"/>
              <w:rPr>
                <w:sz w:val="20"/>
                <w:szCs w:val="20"/>
                <w:color w:val="auto"/>
              </w:rPr>
            </w:pPr>
            <w:r>
              <w:rPr>
                <w:rFonts w:ascii="Arial" w:cs="Arial" w:eastAsia="Arial" w:hAnsi="Arial"/>
                <w:sz w:val="18"/>
                <w:szCs w:val="18"/>
                <w:color w:val="auto"/>
              </w:rPr>
              <w:t>7,141</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0.3 % $</w:t>
            </w:r>
          </w:p>
        </w:tc>
        <w:tc>
          <w:tcPr>
            <w:tcW w:w="840" w:type="dxa"/>
            <w:vAlign w:val="bottom"/>
          </w:tcPr>
          <w:p>
            <w:pPr>
              <w:jc w:val="right"/>
              <w:spacing w:after="0"/>
              <w:rPr>
                <w:sz w:val="20"/>
                <w:szCs w:val="20"/>
                <w:color w:val="auto"/>
              </w:rPr>
            </w:pPr>
            <w:r>
              <w:rPr>
                <w:rFonts w:ascii="Arial" w:cs="Arial" w:eastAsia="Arial" w:hAnsi="Arial"/>
                <w:sz w:val="18"/>
                <w:szCs w:val="18"/>
                <w:color w:val="auto"/>
              </w:rPr>
              <w:t>(2,370 )</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(33.2 )%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1"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Equity in earnings of affiliates, presented net of income taxes, represents the earnings of SACS and GEOAmey in the aggregate. Equity in earnings of affiliates in 2022 compared to 2021 decreased primarily due to unfavorable performance at GEOAmey.</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225" w:lineRule="exact"/>
        <w:rPr>
          <w:sz w:val="20"/>
          <w:szCs w:val="20"/>
          <w:color w:val="auto"/>
        </w:rPr>
      </w:pPr>
    </w:p>
    <w:p>
      <w:pPr>
        <w:ind w:right="120" w:firstLine="509"/>
        <w:spacing w:after="0" w:line="273" w:lineRule="auto"/>
        <w:rPr>
          <w:sz w:val="20"/>
          <w:szCs w:val="20"/>
          <w:color w:val="auto"/>
        </w:rPr>
      </w:pPr>
      <w:r>
        <w:rPr>
          <w:rFonts w:ascii="Arial" w:cs="Arial" w:eastAsia="Arial" w:hAnsi="Arial"/>
          <w:sz w:val="17"/>
          <w:szCs w:val="17"/>
          <w:color w:val="auto"/>
        </w:rPr>
        <w:t>Our current cash requirements consist of amounts needed for working capital, debt service, supply purchases, investments in joint ventures, and capital expenditures related to either the development of new secure, processing and reentry facilities, or the maintenance of existing facilities. In addition, some of our management contracts require us to make substantial initial expenditures of cash in connection with opening or renovating a facility. Generally, these initial expenditures are subsequently fully or partially recoverable as pass-through costs or are billable as a component of the per diem rates or monthly fixed fees to the contracting agency over the original term of the contract. Additional capital needs may also arise in the future with respect to possible acquisitions, other corporate transactions or other corporate purposes.</w:t>
      </w:r>
    </w:p>
    <w:p>
      <w:pPr>
        <w:spacing w:after="0" w:line="176" w:lineRule="exact"/>
        <w:rPr>
          <w:sz w:val="20"/>
          <w:szCs w:val="20"/>
          <w:color w:val="auto"/>
        </w:rPr>
      </w:pPr>
    </w:p>
    <w:p>
      <w:pPr>
        <w:ind w:right="540" w:firstLine="509"/>
        <w:spacing w:after="0" w:line="263" w:lineRule="auto"/>
        <w:rPr>
          <w:sz w:val="20"/>
          <w:szCs w:val="20"/>
          <w:color w:val="auto"/>
        </w:rPr>
      </w:pPr>
      <w:r>
        <w:rPr>
          <w:rFonts w:ascii="Arial" w:cs="Arial" w:eastAsia="Arial" w:hAnsi="Arial"/>
          <w:sz w:val="18"/>
          <w:szCs w:val="18"/>
          <w:color w:val="auto"/>
        </w:rPr>
        <w:t>As of December 31, 2022, we were developing a number of contractually committed projects that we estimate will cost approximately $42.2 million, of which $19.5 million was spent through December 31, 2022. We estimate our remaining contractually committed capital requirements to be approximately $22.7 million. These projects are expected to be completed through 2023.</w:t>
      </w:r>
    </w:p>
    <w:p>
      <w:pPr>
        <w:spacing w:after="0" w:line="183" w:lineRule="exact"/>
        <w:rPr>
          <w:sz w:val="20"/>
          <w:szCs w:val="20"/>
          <w:color w:val="auto"/>
        </w:rPr>
      </w:pPr>
    </w:p>
    <w:p>
      <w:pPr>
        <w:ind w:right="120" w:firstLine="509"/>
        <w:spacing w:after="0" w:line="288" w:lineRule="auto"/>
        <w:rPr>
          <w:sz w:val="20"/>
          <w:szCs w:val="20"/>
          <w:color w:val="auto"/>
        </w:rPr>
      </w:pPr>
      <w:r>
        <w:rPr>
          <w:rFonts w:ascii="Arial" w:cs="Arial" w:eastAsia="Arial" w:hAnsi="Arial"/>
          <w:sz w:val="16"/>
          <w:szCs w:val="16"/>
          <w:color w:val="auto"/>
        </w:rPr>
        <w:t>We plan to fund all of our capital needs, including capital expenditures, from cash on hand, cash from operations, borrowings under our Exchange Credit Agreement and any other financings which our management and Board, in their discretion, may consummate. Currently, our primary source of liquidity to meet these requirements is cash flow from operations and borrowings under our Exchange Credit Agreement. Our management believes that our financial resources and sources of liquidity will allow us to manage the continued impact of COVID-19 on our business, financial condition, results of operations and cash flows. We completed our annual budgeting process, and for 2023, we will continue to strategically manage our capital expenditures to maintain both short and long term financial objectives. Additionally, we may from time to time pursue transactions for the potential sale of additional assets and businesses and/or other strategic transactions. Our management believes that cash on hand, cash flows from operations and availability under our Exchange Credit Agreement will be adequate to support our capital requirements for 2023 as disclosed under “Capital Requirements” above. The challenges posed by COVID-19, as well as the current political environment, generally and on our business are continuing to evolve. Consequently, we will continue to evaluate our financial position in light of future developments, the Executive Order and COVID-19.</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Offer</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August 19, 2022, we completed an exchange offer to exchange certain of our outstanding 5.125% Senior Notes due 2023, 5.875%</w:t>
      </w:r>
    </w:p>
    <w:p>
      <w:pPr>
        <w:spacing w:after="0" w:line="2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Senior Notes due 2024, 6.00% Senior Notes due 2026 and certain revolving credit loans and term loans under our senior secured credit facility into newly issued Senior Second Lien Secured Notes and a new Exchange Credit Agreement. As a result of the transactions, we recorded a net loss on extinguishment of debt of approximately $37.9 million and incurred a total of approximately $52.8 million of debt issuance fees which will be amortized over the terms of the respective agreements using the effective interest method. Refer to Note 12 - Debt of the Notes to the audited consolidated financial statements included in Part II, Item 8 of this Annual Report on Form 10-K.</w:t>
      </w:r>
    </w:p>
    <w:p>
      <w:pPr>
        <w:spacing w:after="0" w:line="193" w:lineRule="exact"/>
        <w:rPr>
          <w:sz w:val="20"/>
          <w:szCs w:val="20"/>
          <w:color w:val="auto"/>
        </w:rPr>
      </w:pPr>
    </w:p>
    <w:p>
      <w:pPr>
        <w:ind w:right="1140" w:firstLine="509"/>
        <w:spacing w:after="0" w:line="281" w:lineRule="auto"/>
        <w:rPr>
          <w:sz w:val="20"/>
          <w:szCs w:val="20"/>
          <w:color w:val="auto"/>
        </w:rPr>
      </w:pPr>
      <w:r>
        <w:rPr>
          <w:rFonts w:ascii="Arial" w:cs="Arial" w:eastAsia="Arial" w:hAnsi="Arial"/>
          <w:sz w:val="18"/>
          <w:szCs w:val="18"/>
          <w:color w:val="auto"/>
        </w:rPr>
        <w:t>Following the completed exchange offer in August 2022, S&amp;P Global Ratings upgraded our issuer rating to B with a stable outlook. In September 2022, Moody’s Investors Service upgraded our corporate family rating to B3 with a stable outlook</w:t>
      </w:r>
      <w:r>
        <w:rPr>
          <w:rFonts w:ascii="Arial" w:cs="Arial" w:eastAsia="Arial" w:hAnsi="Arial"/>
          <w:sz w:val="19"/>
          <w:szCs w:val="19"/>
          <w:color w:val="auto"/>
        </w:rPr>
        <w:t>.</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2022, we had approximately $30.0 million in borrowings under our revolver, and approximately $77.6</w:t>
      </w:r>
    </w:p>
    <w:p>
      <w:pPr>
        <w:spacing w:after="0" w:line="23"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million in letters of credit which left approximately $226.4 million in additional borrowing capacity under the revolver. The weighted average interest rate on outstanding borrowings under the Credit Agreement as of December 31, 2022 was 9.85%.</w:t>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6.50% Exchangeable Senior Notes due 2026</w:t>
      </w:r>
    </w:p>
    <w:p>
      <w:pPr>
        <w:spacing w:after="0" w:line="251" w:lineRule="exact"/>
        <w:rPr>
          <w:sz w:val="20"/>
          <w:szCs w:val="20"/>
          <w:color w:val="auto"/>
        </w:rPr>
      </w:pPr>
    </w:p>
    <w:p>
      <w:pPr>
        <w:ind w:right="300" w:firstLine="509"/>
        <w:spacing w:after="0" w:line="255" w:lineRule="auto"/>
        <w:rPr>
          <w:sz w:val="20"/>
          <w:szCs w:val="20"/>
          <w:color w:val="auto"/>
        </w:rPr>
      </w:pPr>
      <w:r>
        <w:rPr>
          <w:rFonts w:ascii="Arial" w:cs="Arial" w:eastAsia="Arial" w:hAnsi="Arial"/>
          <w:sz w:val="18"/>
          <w:szCs w:val="18"/>
          <w:color w:val="auto"/>
        </w:rPr>
        <w:t>On February 24, 2021, our wholly-owned subsidiary, GEO Corrections Holdings, Inc. (“GEOCH”), completed a private offering of $230 million aggregate principal amount of 6.50% exchangeable senior unsecured notes due 2026 (the “Convertible Notes”), which included the full exercise of the initial purchasers’ over-allotment option to purchase an additional $30 million aggregate principal amount of Convertible Notes. The Convertible Notes will mature on February 23, 2026, unless earlier repurchased or exchanged. The Convertible Notes bear interest at the rate of 6.50% per year plus an additional amount based on the dividends paid by GEO on its common stock. Interest on the notes is payable semi-annually in arrears on March 1 and September 1 of each year, beginning on September 1, 2021.</w:t>
      </w:r>
    </w:p>
    <w:p>
      <w:pPr>
        <w:spacing w:after="0" w:line="218"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Subject to certain restrictions on share ownership and transfer, holders may exchange the notes at their option prior to the close of business on the business day immediately preceding November 25, 2025, but only under the following circumstances: (1) during the five consecutive business day period after any five consecutive trading day period, or the measurement period, in which the trading price per $1,000 principal amount of notes for each trading day of such measurement period was less than 98% of the product of the last reported sale price of our common stock and the exchange rate for the notes on each such trading day; or (2) upon the occurrence of certain specified corporate events. On or after November 25, 2025, until the close of business on the second scheduled trading day immediately preceding the maturity date of the notes, holders may exchange their notes at any time, regardless of the foregoing circumstances. Upon exchange of a note, we will pay or deliver, as the case may be, cash or a combination of cash and shares of our common stock. As of December 31, 2022, conditions had not been met to exchange the notes.</w:t>
      </w:r>
    </w:p>
    <w:p>
      <w:pPr>
        <w:spacing w:after="0" w:line="209" w:lineRule="exact"/>
        <w:rPr>
          <w:sz w:val="20"/>
          <w:szCs w:val="20"/>
          <w:color w:val="auto"/>
        </w:rPr>
      </w:pPr>
    </w:p>
    <w:p>
      <w:pPr>
        <w:ind w:right="100" w:firstLine="509"/>
        <w:spacing w:after="0" w:line="296" w:lineRule="auto"/>
        <w:rPr>
          <w:sz w:val="20"/>
          <w:szCs w:val="20"/>
          <w:color w:val="auto"/>
        </w:rPr>
      </w:pPr>
      <w:r>
        <w:rPr>
          <w:rFonts w:ascii="Arial" w:cs="Arial" w:eastAsia="Arial" w:hAnsi="Arial"/>
          <w:sz w:val="16"/>
          <w:szCs w:val="16"/>
          <w:color w:val="auto"/>
        </w:rPr>
        <w:t>Upon conversion, we will pay or deliver, as the case may be, cash or a combination of cash and shares of common stock. The initial conversion rate is 108.4011 shares of common stock per $1,000 principal amount of Convertible Notes (equivalent to an initial conversion price of approximately $9.225 per share of common stock). The conversion rate will be subject to adjustment in certain events. If GEO or GEOCH undergoes a fundamental change, holders may require GEOCH to purchase the notes in whole or in part for cash at a fundamental change purchase price equal to 100% of the principal amount of the notes to be purchased, plus accrued and unpaid interest, if any, to, but excluding, the fundamental change purchase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Repurchases</w:t>
      </w:r>
    </w:p>
    <w:p>
      <w:pPr>
        <w:spacing w:after="0" w:line="225" w:lineRule="exact"/>
        <w:rPr>
          <w:sz w:val="20"/>
          <w:szCs w:val="20"/>
          <w:color w:val="auto"/>
        </w:rPr>
      </w:pPr>
    </w:p>
    <w:p>
      <w:pPr>
        <w:ind w:right="280" w:firstLine="509"/>
        <w:spacing w:after="0" w:line="255" w:lineRule="auto"/>
        <w:rPr>
          <w:sz w:val="20"/>
          <w:szCs w:val="20"/>
          <w:color w:val="auto"/>
        </w:rPr>
      </w:pPr>
      <w:r>
        <w:rPr>
          <w:rFonts w:ascii="Arial" w:cs="Arial" w:eastAsia="Arial" w:hAnsi="Arial"/>
          <w:sz w:val="18"/>
          <w:szCs w:val="18"/>
          <w:color w:val="auto"/>
        </w:rPr>
        <w:t>On August 16, 2019, our Board authorized us to repurchase and/or retire a portion of the 6.00% Senior Notes due 2026, the 5.875% Senior Notes due 2024, the 5.125% Senior Notes due 2023, the 5.875% Senior Notes due 2022 (collectively the "GEO Senior Notes") and our term loan under our Amended Credit Agreement through cash purchases, in open market, privately negotiated transactions, or otherwise, up to an aggregate maximum of $100.0 million, subject to certain limitations through December 31, 2020. On February 11, 2021, our Board authorized a new repurchase program for repurchases/retirements of the above referenced GEO Senior Notes and term loan, subject to certain limitations up to an aggregate maximum of $100.0 million through December 31, 2022.</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2021, we repurchased $22.5 million in aggregate principal amount of our 5.125% Senior Notes due 2023 at a weighted average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90.68% for a total cost of $20.4 million. Additionally, we repurchased $17.2 million in aggregate principal amount of our 5.875% Senior Notes due 2024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weighted average price of 79.51% for a total cost of $13.7 million. As a result of these repurchases, we recognized a net gain on extinguishment of debt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$4.7 million, net of the write-off of associated unamortized deferred loan costs. There were no debt repurchases during the year ended 2022 except as part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exchange offer discussed further above.</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consider opportunities for future business and/or asset acquisitions or dispositions as we deem appropriate when market conditions</w:t>
      </w:r>
    </w:p>
    <w:p>
      <w:pPr>
        <w:spacing w:after="0" w:line="3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present opportunities. If we are successful in our pursuit of any new projects, our cash on hand, cash flows from operations and borrowings under the new Exchange Credit Agreement may not provide sufficient liquidity to meet our capital needs and we could be forced to seek additional financing or refinance our existing indebtedness. There can be no assurance that any such financing or refinancing would be available to us on terms equal to or more favorable than our current financing terms, or at all. Additionally, the magnitude, severity and duration of the COVID-19 pandemic may negatively impact the availability of opportunities for future business and/or asset acquisitions or asset dispositions and market conditions generally. In the future, our access to capital and ability to compete for future capital-intensive projects will also be dependent upon, among other things, our ability to meet certain financial covenants in the indentures governing the second lien notes, the indenture governing the 5.875% Senior Notes due 2024, the indenture governing the 6.00% Senior Notes due 2026, the indenture governing our Convertible Notes and our Exchange Credit Agreement. A substantial decline in our financial performance could limit our access to capital pursuant to these covenants and have a material adverse effect on our liquidity and capital resources and, as a result, on our financial condition and results of operations. In addition to these foregoing potential constraints on our capital, a number of state government agencies have been suffering from budget deficits and liquidity issues. While we were in compliance with our debt covenants as of December 31, 2022, and we expect to continue to be in compliance with our debt covenants, if these constraints were to intensify, our liquidity could be materially adversely impacted as could our ability to remain in compliance with these debt covenants.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64" w:name="page65"/>
    <w:bookmarkEnd w:id="64"/>
    <w:p>
      <w:pPr>
        <w:jc w:val="both"/>
        <w:ind w:right="300" w:firstLine="509"/>
        <w:spacing w:after="0" w:line="311" w:lineRule="auto"/>
        <w:rPr>
          <w:sz w:val="20"/>
          <w:szCs w:val="20"/>
          <w:color w:val="auto"/>
        </w:rPr>
      </w:pPr>
      <w:r>
        <w:rPr>
          <w:rFonts w:ascii="Arial" w:cs="Arial" w:eastAsia="Arial" w:hAnsi="Arial"/>
          <w:sz w:val="16"/>
          <w:szCs w:val="16"/>
          <w:color w:val="auto"/>
        </w:rPr>
        <w:t>We may from time to time seek to purchase or retire our outstanding senior notes through repurchases, redemptions and/or exchanges for equity securities, in open market purchases, privately negotiated transactions or otherwise. Such repurchases, redemptions or exchanges, if any, will depend on prevailing market conditions, our liquidity requirements, contractual restrictions and other factors. The amounts involved may be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Dividends</w:t>
      </w:r>
    </w:p>
    <w:p>
      <w:pPr>
        <w:spacing w:after="0" w:line="251" w:lineRule="exact"/>
        <w:rPr>
          <w:sz w:val="20"/>
          <w:szCs w:val="20"/>
          <w:color w:val="auto"/>
        </w:rPr>
      </w:pPr>
    </w:p>
    <w:p>
      <w:pPr>
        <w:jc w:val="both"/>
        <w:ind w:right="520" w:firstLine="509"/>
        <w:spacing w:after="0" w:line="286" w:lineRule="auto"/>
        <w:rPr>
          <w:sz w:val="20"/>
          <w:szCs w:val="20"/>
          <w:color w:val="auto"/>
        </w:rPr>
      </w:pPr>
      <w:r>
        <w:rPr>
          <w:rFonts w:ascii="Arial" w:cs="Arial" w:eastAsia="Arial" w:hAnsi="Arial"/>
          <w:sz w:val="17"/>
          <w:szCs w:val="17"/>
          <w:color w:val="auto"/>
        </w:rPr>
        <w:t>As previously discussed above, on December 2, 2021, GEO’s Board unanimously approved a plan to terminate our REIT status and become a taxable C Corporation, effective for the year ended December 31, 2021. In connection with terminating the GEO’s REIT status, the Board also voted unanimously to discontinue our quarterly dividend payments and prioritize allocating GEO’s free cash flow to reduce debt.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Buyback Program</w:t>
      </w:r>
    </w:p>
    <w:p>
      <w:pPr>
        <w:spacing w:after="0" w:line="225" w:lineRule="exact"/>
        <w:rPr>
          <w:sz w:val="20"/>
          <w:szCs w:val="20"/>
          <w:color w:val="auto"/>
        </w:rPr>
      </w:pPr>
    </w:p>
    <w:p>
      <w:pPr>
        <w:ind w:right="180" w:firstLine="509"/>
        <w:spacing w:after="0" w:line="291" w:lineRule="auto"/>
        <w:rPr>
          <w:sz w:val="20"/>
          <w:szCs w:val="20"/>
          <w:color w:val="auto"/>
        </w:rPr>
      </w:pPr>
      <w:r>
        <w:rPr>
          <w:rFonts w:ascii="Arial" w:cs="Arial" w:eastAsia="Arial" w:hAnsi="Arial"/>
          <w:sz w:val="16"/>
          <w:szCs w:val="16"/>
          <w:color w:val="auto"/>
        </w:rPr>
        <w:t>On February 14, 2018, we announced that our Board authorized a stock buyback program authorizing us to repurchase up to a maximum of $200 million of our shares of common stock. The stock buyback program was funded primarily with cash on hand, free cash flow and borrowings under our $900 million revolving credit facility. The program expired on October 20, 2020. The stock buyback program was intended to be implemented through purchases made from time to time in the open market or in privately negotiated transactions, in accordance with applicable SEC requirements. The stock buyback program did not obligate us to purchase any specific amount of our common stock and could have been suspended or extended at any time at the discretion of our Board. During the year ended December 31, 2020, we purchased 553,665 shares of our common stock at a cost of $9.0 million primarily purchased with proceeds from our revolver. There were no purchases of our common stock during the years ended December 31, 2022 or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Automatic Shelf Registration on Form S-3</w:t>
      </w:r>
    </w:p>
    <w:p>
      <w:pPr>
        <w:spacing w:after="0" w:line="225"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On October 30, 2020, we filed an automatic shelf registration on Form S-3 with the SEC that enables us to offer for sale, from time to time and as the capital markets permit, an unspecified amount of common stock, preferred stock, debt securities, guarantees of debt securities, warrants and units. The shelf registration statement was automatically effective upon filing.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Supplement</w:t>
      </w:r>
    </w:p>
    <w:p>
      <w:pPr>
        <w:spacing w:after="0" w:line="225"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auto"/>
        </w:rPr>
        <w:t>On June 28, 2021, in connection with the shelf registration, we filed with the SEC a prospectus supplement related to the offer and sale from time to time of our common stock at an aggregate offering price of up to $300 million through sales agents. Sales of shares of our common stock under the prospectus supplement and equity distribution agreements entered into with the sales agents, if any, will be made in negotiated transactions or transactions that are deemed to be “at the market” offerings as defined in Rule 415 under the Securities Act of 1933. There were no shares of common stock sold under this prospectus supplement during the year ended December 31, 2022.</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Australia - Ravenhall</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connection with a design and build project agreement with the State of Victoria, in September 2014, we entered into a syndicated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facility agreement (the "Construction Facility") to provide debt financing for construction of the project. The Construction Facility provided for non-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recourse funding for the project. In September 2022, we sold our equity investment interest in the project to an unrelated third party. In connection with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sale, the non-recourse debt was transferred to the buyer and is no longer an outstanding obligation of GEO. Refer to Note 17 - Commitments,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Contingencies and Other Matters of the Notes to the audited consolidated financial statements included in Part II, Item 8 of this Annual Report on Form 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In August 2019, we entered into two identical Notes (as defined below) in the aggregate amount of $44.3 million which are secured by loan agreements and mortgage and security agreements on certain real property and improvements. The terms of the Notes are through September 1, 2034 and bear interest at LIBOR plus 200 basis points and are payable in monthly installments plus interest. We have entered into interest rate swap agreements to fix the interest rate to 4.22%. Included in the balance at December 31, 2022 is $0.6 million of deferred loan costs incurred in the transaction. Refer to Note 7 – Derivative Financial Instruments in the notes to our consolidated financial statements included in Part II, Item 8 of this Annual Report on Form 10-K.</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25"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Company has entered into certain guarantees in connection with the design, financing and construction of certain facilities as well as loan, working capital and other obligation guarantees for our subsidiaries in Australia, South Africa and our joint ventures. Refer to Note 12 - Debt in the notes to our consolidated financial statements included in Part II, Item 8 of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Retirement Agreement</w:t>
      </w:r>
    </w:p>
    <w:p>
      <w:pPr>
        <w:spacing w:after="0" w:line="265"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We have a non-qualified deferred compensation agreement with our Executive Chairmen and former Chief Executive Officer (“former CEO”). The agreement provides for a lump sum payment upon retirement, no sooner than age 55. As of December 31, 2022, our Executive Chairman had reached age 55 and was eligible to receive the payment upon retirement.</w:t>
      </w:r>
    </w:p>
    <w:p>
      <w:pPr>
        <w:spacing w:after="0" w:line="209" w:lineRule="exact"/>
        <w:rPr>
          <w:sz w:val="20"/>
          <w:szCs w:val="20"/>
          <w:color w:val="auto"/>
        </w:rPr>
      </w:pPr>
    </w:p>
    <w:p>
      <w:pPr>
        <w:ind w:right="40" w:firstLine="509"/>
        <w:spacing w:after="0" w:line="285" w:lineRule="auto"/>
        <w:rPr>
          <w:sz w:val="20"/>
          <w:szCs w:val="20"/>
          <w:color w:val="auto"/>
        </w:rPr>
      </w:pPr>
      <w:r>
        <w:rPr>
          <w:rFonts w:ascii="Arial" w:cs="Arial" w:eastAsia="Arial" w:hAnsi="Arial"/>
          <w:sz w:val="16"/>
          <w:szCs w:val="16"/>
          <w:color w:val="auto"/>
        </w:rPr>
        <w:t>GEO and our Executive Chairman and former CEO, entered into on May 27, 2021, and effective July 1, 2021, an Amended and Restated Executive Retirement Agreement which replaced the prior February 26, 2020 agreement discussed below. Pursuant to the terms of the Amended and Restated Executive Retirement Agreement, upon the date that the Executive Chairman ceases to provide services to GEO, we will pay to the Executive Chairman an amount equal to $3,600,000 (the "2021 Grandfathered Payment") which shall be paid in cash. The Grandfathered Payment shall be credited with interest at a rate of 5% compounded quarterly (the “Grandfathered Earnings Account”). Additionally, at the end of each calendar year provided that our Executive Chairman is still providing services to GEO pursuant to the Executive Chairman Employment Agreement, we will credit an amount equal to $1,000,000 at the end of each calendar year (the “Employment Contributions Account”). The Employment Contributions Account will be credited with interest at the rate of 5% compounded quarterly. Upon the date that the Executive Chairman ceases to provide services to GEO, we will pay the Executive Chairman in one lump sum cash payment each of the 2021 Grandfathered Payment, the Grandfathered Earnings Account and the Employment Contributions Account subject to the six-month delay provided in the Amended and Restated Executive Retirement Agreement. As the Executive Chairman’s retirement payment will no longer be settled with a fixed number of shares of GEO’s common stock (as discussed below under the prior agreement), $3,600,000 has been reclassified from equity to other non-current liabilities in 2021. The balance of the Amended and Restated Executive Retirement Agreement was approximately $7 million at December 31, 2022 which is fully funded. The following table presents the balance due to the Executive Chairman at the end of each the next five years under the Amended and Restated Executive Retirement Agreement provided that the Executive Chairman is still providing services to GEO under his Executive Chairman Employment Agreement:</w:t>
      </w:r>
    </w:p>
    <w:p>
      <w:pPr>
        <w:spacing w:after="0" w:line="167"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6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w w:val="95"/>
              </w:rPr>
              <w:t>Retirement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7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5"/>
              </w:rPr>
              <w:t>Obligation</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6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12/31/2023</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9,557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12/31/2024</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720" w:type="dxa"/>
            <w:vAlign w:val="bottom"/>
          </w:tcPr>
          <w:p>
            <w:pPr>
              <w:ind w:left="20"/>
              <w:spacing w:after="0"/>
              <w:rPr>
                <w:sz w:val="20"/>
                <w:szCs w:val="20"/>
                <w:color w:val="auto"/>
              </w:rPr>
            </w:pPr>
            <w:r>
              <w:rPr>
                <w:rFonts w:ascii="Arial" w:cs="Arial" w:eastAsia="Arial" w:hAnsi="Arial"/>
                <w:sz w:val="18"/>
                <w:szCs w:val="18"/>
                <w:color w:val="auto"/>
              </w:rPr>
              <w:t>12/31/2025</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16,336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12/31/2026</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12/31/2027</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26,351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The prior executive retirement agreement entered into on February 26, 2020 provided that upon the former CEO’s retirement from GEO, we would have had to pay a lump sum amount equal to $8,925,065 (determined as of February 26, 2020) (the “Grandfathered Payment”) which would have been paid in the form of a fixed number of shares of our common stock. The Grandfathered Payment would have been delayed for six months and a day following the effective date of our former CEO’s termination of employment in compliance with Section 409A of the Internal Revenue Code of 1986, as amended.</w:t>
      </w:r>
    </w:p>
    <w:p>
      <w:pPr>
        <w:spacing w:after="0" w:line="196"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On February 26, 2020, an amount equal to the Grandfathered Payment was invested in our common stock (“GEO Shares”). The number of our shares of common stock as of this date was equal to the Grandfathered Payment divided by the closing price of our common stock on this date (rounded up to the nearest whole number of shares), which equaled 553,665 shares of our common stock. Additional shares of our common stock were credited with a value equal to any dividends declared and paid on our shares of common stock, calculated by reference to the closing price of our common stock on the payment date for such dividends (rounded up to the nearest whole number of shares).</w:t>
      </w:r>
    </w:p>
    <w:p>
      <w:pPr>
        <w:spacing w:after="0" w:line="202" w:lineRule="exact"/>
        <w:rPr>
          <w:sz w:val="20"/>
          <w:szCs w:val="20"/>
          <w:color w:val="auto"/>
        </w:rPr>
      </w:pPr>
    </w:p>
    <w:p>
      <w:pPr>
        <w:jc w:val="both"/>
        <w:ind w:right="380" w:firstLine="509"/>
        <w:spacing w:after="0" w:line="341" w:lineRule="auto"/>
        <w:rPr>
          <w:sz w:val="20"/>
          <w:szCs w:val="20"/>
          <w:color w:val="auto"/>
        </w:rPr>
      </w:pPr>
      <w:r>
        <w:rPr>
          <w:rFonts w:ascii="Arial" w:cs="Arial" w:eastAsia="Arial" w:hAnsi="Arial"/>
          <w:sz w:val="16"/>
          <w:szCs w:val="16"/>
          <w:color w:val="auto"/>
        </w:rPr>
        <w:t>We have established several trusts for the purpose of paying the retirement benefit pursuant to the Amended and Restated Executive Retirement Agreement. The trusts were revocable “rabbi trusts” and the assets of the trusts are subject to the claims of our creditors in the event of our insolvency.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Guarantor Financial Information</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GEO’s New Registered Notes, New Private Notes, Convertible Notes, 6.00% Senior Notes due 2026, and the 5.875% Senior Notes due</w:t>
      </w:r>
    </w:p>
    <w:p>
      <w:pPr>
        <w:spacing w:after="0" w:line="35"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2024 are fully and unconditionally guaranteed on a joint and several senior unsecured basis by certain of our wholly owned domestic subsidiaries (the “Subsidiary Guarantors”).</w:t>
      </w:r>
    </w:p>
    <w:p>
      <w:pPr>
        <w:spacing w:after="0" w:line="184" w:lineRule="exact"/>
        <w:rPr>
          <w:sz w:val="20"/>
          <w:szCs w:val="20"/>
          <w:color w:val="auto"/>
        </w:rPr>
      </w:pPr>
    </w:p>
    <w:p>
      <w:pPr>
        <w:ind w:right="140" w:firstLine="509"/>
        <w:spacing w:after="0" w:line="296" w:lineRule="auto"/>
        <w:rPr>
          <w:sz w:val="20"/>
          <w:szCs w:val="20"/>
          <w:color w:val="auto"/>
        </w:rPr>
      </w:pPr>
      <w:r>
        <w:rPr>
          <w:rFonts w:ascii="Arial" w:cs="Arial" w:eastAsia="Arial" w:hAnsi="Arial"/>
          <w:sz w:val="16"/>
          <w:szCs w:val="16"/>
          <w:color w:val="auto"/>
        </w:rPr>
        <w:t>Summarized financial information is provided for The GEO Group, Inc. (“Parent”) and the Subsidiary Guarantors on a combined basis in accordance with SEC Regulation S-X Rules 3-10 and 13-01. The accounting policies used in the preparation of this summarized financial information are consistent with those elsewhere in the consolidated financial statements of the Company, except that intercompany transactions and balances of the Parent and Subsidiary Guarantor entities with non-guarantor entities have not been eliminated. Intercompany transactions between the Parent and Subsidiary Guarantors have been eliminated and equity in earnings from and investments in non-guarantor subsidiaries have not been presented.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Summarized statement of operations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right"/>
              <w:ind w:right="475"/>
              <w:spacing w:after="0"/>
              <w:rPr>
                <w:sz w:val="20"/>
                <w:szCs w:val="20"/>
                <w:color w:val="auto"/>
              </w:rPr>
            </w:pPr>
            <w:r>
              <w:rPr>
                <w:rFonts w:ascii="Arial" w:cs="Arial" w:eastAsia="Arial" w:hAnsi="Arial"/>
                <w:sz w:val="14"/>
                <w:szCs w:val="14"/>
                <w:b w:val="1"/>
                <w:bCs w:val="1"/>
                <w:color w:val="auto"/>
              </w:rPr>
              <w:t>Year Ended</w:t>
            </w:r>
          </w:p>
        </w:tc>
      </w:tr>
      <w:tr>
        <w:trPr>
          <w:trHeight w:val="185"/>
        </w:trPr>
        <w:tc>
          <w:tcPr>
            <w:tcW w:w="75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96"/>
              </w:rPr>
              <w:t>December 31, 2021</w:t>
            </w:r>
          </w:p>
        </w:tc>
      </w:tr>
      <w:tr>
        <w:trPr>
          <w:trHeight w:val="236"/>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operating revenues</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2,176,556</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2,032,884</w:t>
            </w:r>
          </w:p>
        </w:tc>
      </w:tr>
      <w:tr>
        <w:trPr>
          <w:trHeight w:val="236"/>
        </w:trPr>
        <w:tc>
          <w:tcPr>
            <w:tcW w:w="75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378,691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5"/>
              <w:spacing w:after="0"/>
              <w:rPr>
                <w:sz w:val="20"/>
                <w:szCs w:val="20"/>
                <w:color w:val="auto"/>
              </w:rPr>
            </w:pPr>
            <w:r>
              <w:rPr>
                <w:rFonts w:ascii="Arial" w:cs="Arial" w:eastAsia="Arial" w:hAnsi="Arial"/>
                <w:sz w:val="18"/>
                <w:szCs w:val="18"/>
                <w:color w:val="auto"/>
              </w:rPr>
              <w:t>267,413</w:t>
            </w:r>
          </w:p>
        </w:tc>
      </w:tr>
      <w:tr>
        <w:trPr>
          <w:trHeight w:val="249"/>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139,570</w:t>
            </w: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45,312</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Net income attributable to The GEO Group, Inc.</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139,570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5"/>
              <w:spacing w:after="0"/>
              <w:rPr>
                <w:sz w:val="20"/>
                <w:szCs w:val="20"/>
                <w:color w:val="auto"/>
              </w:rPr>
            </w:pPr>
            <w:r>
              <w:rPr>
                <w:rFonts w:ascii="Arial" w:cs="Arial" w:eastAsia="Arial" w:hAnsi="Arial"/>
                <w:sz w:val="18"/>
                <w:szCs w:val="18"/>
                <w:color w:val="auto"/>
              </w:rPr>
              <w:t>45,312</w:t>
            </w:r>
          </w:p>
        </w:tc>
      </w:tr>
      <w:tr>
        <w:trPr>
          <w:trHeight w:val="485"/>
        </w:trPr>
        <w:tc>
          <w:tcPr>
            <w:tcW w:w="7580" w:type="dxa"/>
            <w:vAlign w:val="bottom"/>
          </w:tcPr>
          <w:p>
            <w:pPr>
              <w:spacing w:after="0"/>
              <w:rPr>
                <w:sz w:val="20"/>
                <w:szCs w:val="20"/>
                <w:color w:val="auto"/>
              </w:rPr>
            </w:pPr>
            <w:r>
              <w:rPr>
                <w:rFonts w:ascii="Arial" w:cs="Arial" w:eastAsia="Arial" w:hAnsi="Arial"/>
                <w:sz w:val="18"/>
                <w:szCs w:val="18"/>
                <w:color w:val="auto"/>
              </w:rPr>
              <w:t>Summarized balance sheets (in thousands):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18"/>
        </w:trPr>
        <w:tc>
          <w:tcPr>
            <w:tcW w:w="7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jc w:val="right"/>
              <w:ind w:right="295"/>
              <w:spacing w:after="0"/>
              <w:rPr>
                <w:sz w:val="20"/>
                <w:szCs w:val="20"/>
                <w:color w:val="auto"/>
              </w:rPr>
            </w:pPr>
            <w:r>
              <w:rPr>
                <w:rFonts w:ascii="Arial" w:cs="Arial" w:eastAsia="Arial" w:hAnsi="Arial"/>
                <w:sz w:val="14"/>
                <w:szCs w:val="14"/>
                <w:b w:val="1"/>
                <w:bCs w:val="1"/>
                <w:color w:val="auto"/>
                <w:w w:val="93"/>
              </w:rPr>
              <w:t>December 31, 2021</w:t>
            </w:r>
          </w:p>
        </w:tc>
      </w:tr>
      <w:tr>
        <w:trPr>
          <w:trHeight w:val="236"/>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assets</w:t>
            </w:r>
          </w:p>
        </w:tc>
        <w:tc>
          <w:tcPr>
            <w:tcW w:w="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492,080</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tcBorders>
              <w:top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707,457</w:t>
            </w:r>
          </w:p>
        </w:tc>
      </w:tr>
      <w:tr>
        <w:trPr>
          <w:trHeight w:val="236"/>
        </w:trPr>
        <w:tc>
          <w:tcPr>
            <w:tcW w:w="7580" w:type="dxa"/>
            <w:vAlign w:val="bottom"/>
          </w:tcPr>
          <w:p>
            <w:pPr>
              <w:ind w:left="20"/>
              <w:spacing w:after="0"/>
              <w:rPr>
                <w:sz w:val="20"/>
                <w:szCs w:val="20"/>
                <w:color w:val="auto"/>
              </w:rPr>
            </w:pPr>
            <w:r>
              <w:rPr>
                <w:rFonts w:ascii="Arial" w:cs="Arial" w:eastAsia="Arial" w:hAnsi="Arial"/>
                <w:sz w:val="18"/>
                <w:szCs w:val="18"/>
                <w:color w:val="auto"/>
              </w:rPr>
              <w:t>Noncurrent assets (a)</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3,059,195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5"/>
              <w:spacing w:after="0"/>
              <w:rPr>
                <w:sz w:val="20"/>
                <w:szCs w:val="20"/>
                <w:color w:val="auto"/>
              </w:rPr>
            </w:pPr>
            <w:r>
              <w:rPr>
                <w:rFonts w:ascii="Arial" w:cs="Arial" w:eastAsia="Arial" w:hAnsi="Arial"/>
                <w:sz w:val="18"/>
                <w:szCs w:val="18"/>
                <w:color w:val="auto"/>
              </w:rPr>
              <w:t>3,115,622</w:t>
            </w:r>
          </w:p>
        </w:tc>
      </w:tr>
      <w:tr>
        <w:trPr>
          <w:trHeight w:val="249"/>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370,177</w:t>
            </w: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314,233</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Noncurrent liabilities (b)</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2,163,004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5"/>
              <w:spacing w:after="0"/>
              <w:rPr>
                <w:sz w:val="20"/>
                <w:szCs w:val="20"/>
                <w:color w:val="auto"/>
              </w:rPr>
            </w:pPr>
            <w:r>
              <w:rPr>
                <w:rFonts w:ascii="Arial" w:cs="Arial" w:eastAsia="Arial" w:hAnsi="Arial"/>
                <w:sz w:val="18"/>
                <w:szCs w:val="18"/>
                <w:color w:val="auto"/>
              </w:rPr>
              <w:t>2,820,252</w:t>
            </w:r>
          </w:p>
        </w:tc>
      </w:tr>
    </w:tbl>
    <w:p>
      <w:pPr>
        <w:spacing w:after="0" w:line="214" w:lineRule="exact"/>
        <w:rPr>
          <w:sz w:val="20"/>
          <w:szCs w:val="20"/>
          <w:color w:val="auto"/>
        </w:rPr>
      </w:pPr>
    </w:p>
    <w:p>
      <w:pPr>
        <w:ind w:left="940" w:hanging="423"/>
        <w:spacing w:after="0"/>
        <w:tabs>
          <w:tab w:leader="none" w:pos="9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amounts due from non-guarantor subsidiaries of $32.6 million and $22.5 million as of December 31, 2022 and 2021, respectively.</w:t>
      </w:r>
    </w:p>
    <w:p>
      <w:pPr>
        <w:spacing w:after="0" w:line="247" w:lineRule="exact"/>
        <w:rPr>
          <w:rFonts w:ascii="Arial" w:cs="Arial" w:eastAsia="Arial" w:hAnsi="Arial"/>
          <w:sz w:val="16"/>
          <w:szCs w:val="16"/>
          <w:color w:val="auto"/>
        </w:rPr>
      </w:pPr>
    </w:p>
    <w:p>
      <w:pPr>
        <w:ind w:left="940" w:hanging="423"/>
        <w:spacing w:after="0"/>
        <w:tabs>
          <w:tab w:leader="none" w:pos="9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Includes amounts due to non-guarantor subsidiaries of $8.9 million and $14.8 million as of December 31, 2022 and 2021, respectively.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Except as discussed above, and in the notes to our consolidated financial statements included in Part II, Item 8 of this Annual Report on Form 10-K, we do not have any off-balance sheet arrangements.</w:t>
      </w:r>
    </w:p>
    <w:p>
      <w:pPr>
        <w:spacing w:after="0" w:line="169"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We are also exposed to various commitments and contingencies which may have a material adverse effect on our liquidity. See Note 17 – Commitments, Contingencies and Other Matters in the notes to our consolidated financial statements included in Part II, Item 8 of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25"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In August 2019, we entered into two interest rate swap agreements in the aggregate notional amount of $44.3 million to fix the interest rate on certain of our variable rate debt to 4.22%. We have designated these interest rate swaps as hedges against changes in the cash flows of two identical promissory notes (the "Notes") which are secured by loan agreements and mortgage and security agreements on certain real property and improvements. We have determined that the swaps have payment, expiration dates, and provisions that coincide with the terms of the Notes and are therefore considered to be effective cash flow hedges. Accordingly, we record the change in fair value of the interest rate swaps as accumulated other comprehensive income (loss), net of applicable taxes. There was no material ineffectiveness for the period presented. We do not expect to enter into any transactions during the next twelve months which would result in reclassification into earnings or losses associated with these swaps currently reported in accumulated other comprehensive income (loss). Refer to Note 12 - Debt and Note 7 - Derivative Financial Instruments in the notes to our audited consolidated financial statements included in Part II, Item 8 of this Annual Report on Form 10-K for further information.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Cash, cash equivalents, restricted cash and cash equivalents as of December 31, 2022 was $143.8 million, compared to $548.3 million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was impacted by the following:</w:t>
      </w:r>
    </w:p>
    <w:p>
      <w:pPr>
        <w:spacing w:after="0" w:line="210"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Net cash provided by operating activities in 2022 and 2021 was $296.4 million and $282.6 million, respectively. Net cash provided by operating activities in 2022 was positively impacted by non-cash expenses such as depreciation and amortization, deferred tax provision (benefit), amortization of debt issuance costs, discount and/or premium and other non-cash interest, stock-based compensation expense, gain on sale/disposal of property and equipment, loss on extinguishment of debt and dividends received from our unconsolidated joint venture. Equity in earnings of affiliates negatively impacted cash along with a net gain on disposition of assets. Changes in accounts receivable, prepaid expenses and other assets increased in total by a net of $53.0 million, representing a negative impact on cash. The increase was primarily driven by the timing of billings and collections. Changes in accounts payable, accrued expenses and other liabilities increased by $21.8 million which positively impacted cash. The decrease was primarily due to the timing of payments.</w:t>
      </w:r>
    </w:p>
    <w:p>
      <w:pPr>
        <w:spacing w:after="0" w:line="196" w:lineRule="exact"/>
        <w:rPr>
          <w:sz w:val="20"/>
          <w:szCs w:val="20"/>
          <w:color w:val="auto"/>
        </w:rPr>
      </w:pPr>
    </w:p>
    <w:p>
      <w:pPr>
        <w:ind w:right="40" w:firstLine="554"/>
        <w:spacing w:after="0" w:line="254" w:lineRule="auto"/>
        <w:rPr>
          <w:sz w:val="20"/>
          <w:szCs w:val="20"/>
          <w:color w:val="auto"/>
        </w:rPr>
      </w:pPr>
      <w:r>
        <w:rPr>
          <w:rFonts w:ascii="Arial" w:cs="Arial" w:eastAsia="Arial" w:hAnsi="Arial"/>
          <w:sz w:val="18"/>
          <w:szCs w:val="18"/>
          <w:color w:val="auto"/>
        </w:rPr>
        <w:t>Net cash provided by operating activities in 2021 was positively impacted by non-cash expenses such as depreciation and amortization, deferred tax provision, amortization of debt issuance costs, discount and/or premium and other non-cash interest, stock-based compensation expense, loss on sale/disposal of property and equipment and dividends received from our unconsolidated joint venture. Equity in earnings of affiliates negatively impacted cash along with gain on extinguishment of debt and net gain on disposition of assets. Changes in accounts receivable, prepaid expenses and other assets decreased in total by a net of $9.5 million, representing a positive impact on cash. The decrease was primarily driven by the timing of billings and collections. Changes in accounts payable, accrued expenses and other liabilities decreased by $58.1 million which negatively impacted cash. The decrease was primarily due to the timing of payments.</w:t>
      </w:r>
    </w:p>
    <w:p>
      <w:pPr>
        <w:spacing w:after="0" w:line="193"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Additionally, cash provided by operating activities in 2021 was positively impacted by a decrease in contract receivable of $6.2 million. The decrease relates to the timing of payments received and interest accrued, along with the effect of foreign exchange rates, related to the Ravenhall Project. Refer to Note 6 - Contract Receivable included in the notes to our audited consolidated financial statements included in Part II, Item 8 of this Annual Report on Form 10-K.</w:t>
      </w:r>
    </w:p>
    <w:p>
      <w:pPr>
        <w:spacing w:after="0" w:line="226"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Net provided by investing activities of $3.0 million in 2022 was primarily the result of capital expenditures of $90.0 million and changes in restricted investments of $8.4 million, offset by proceeds from sale of real estate and other assets of $101.4 million. Net cash used in investing activities of $53.7 million in 2021 was primarily the result of capital expenditures of $69.4 million and changes in restricted investments of $18.7 million, offset by proceeds from sale of real estate and other assets of $21.2 million, proceeds from the sale of property and equipment of $4.1 million and payments received on note receivable of $8.0 million.</w:t>
      </w:r>
    </w:p>
    <w:p>
      <w:pPr>
        <w:spacing w:after="0" w:line="191"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Net cash used in financing activities in 2022 reflects payments of $680.9 million on long term debt offset by $30.0 million of proceeds from long term debt and payments on non-recourse debt of $5.7 million. We also paid $41.5 million of debt issuance costs in connection with our exchange offering. Refer to Note 12 - Debt included in the notes to our audited consolidated financial statements included in Part II, Item 8 of this Annual Report on Form 10-K.</w:t>
      </w:r>
    </w:p>
    <w:p>
      <w:pPr>
        <w:spacing w:after="0" w:line="185" w:lineRule="exact"/>
        <w:rPr>
          <w:sz w:val="20"/>
          <w:szCs w:val="20"/>
          <w:color w:val="auto"/>
        </w:rPr>
      </w:pPr>
    </w:p>
    <w:p>
      <w:pPr>
        <w:jc w:val="both"/>
        <w:ind w:right="200" w:firstLine="509"/>
        <w:spacing w:after="0" w:line="259" w:lineRule="auto"/>
        <w:rPr>
          <w:sz w:val="20"/>
          <w:szCs w:val="20"/>
          <w:color w:val="auto"/>
        </w:rPr>
      </w:pPr>
      <w:r>
        <w:rPr>
          <w:rFonts w:ascii="Arial" w:cs="Arial" w:eastAsia="Arial" w:hAnsi="Arial"/>
          <w:sz w:val="18"/>
          <w:szCs w:val="18"/>
          <w:color w:val="auto"/>
        </w:rPr>
        <w:t>Net cash provided by financing activities in 2021 reflects payments of $360.3 million on long term debt offset by $435.0 million of proceeds from long term debt and payments on non-recourse debt of $21.6 million. We also paid cash dividends of $30.5 million and paid $9.6 million of debt issuance costs in connection with the issuance of our 6.50% Exchangeable Senior Notes. Refer to Note 12 - Debt included in the notes to our audited consolidated financial statements included in Part II, Item 8 of this Annual Report on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We believe that inflation, in general, did have a negative impact but did not have a material effect on our results of operations during 2022 and 2021. While some of our contracts include provisions for inflationary indexing, inflation could have a substantial adverse effect on our results of operations in the future to the extent that wages and salaries, which represent our largest recurring/fixed expense, increase at a faster rate than the per diem or fixed rates received by us for our management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Measures</w:t>
      </w:r>
    </w:p>
    <w:p>
      <w:pPr>
        <w:spacing w:after="0" w:line="22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Adjusted Funds from Operations ("AFFO") is defined as net income attributable to GEO adjusted by adding depreciation and amortization, stock-based compensation expense, the amortization of debt issuance costs, discount and/or premium and other non-cash interest, and by subtracting gain on asset divestitures, net, and facility maintenance capital expenditures and other non-cash revenue and expenses. From time to time, AFFO is also adjusted for certain items which by their nature are not comparable from period to period or that tend to obscure GEO’s actual operating performance, including for the periods presented gain (loss) on extinguishment of debt, pre-tax, transaction related expenses,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68" w:name="page69"/>
    <w:bookmarkEnd w:id="68"/>
    <w:p>
      <w:pPr>
        <w:ind w:right="240"/>
        <w:spacing w:after="0" w:line="277" w:lineRule="auto"/>
        <w:rPr>
          <w:sz w:val="20"/>
          <w:szCs w:val="20"/>
          <w:color w:val="auto"/>
        </w:rPr>
      </w:pPr>
      <w:r>
        <w:rPr>
          <w:rFonts w:ascii="Arial" w:cs="Arial" w:eastAsia="Arial" w:hAnsi="Arial"/>
          <w:sz w:val="18"/>
          <w:szCs w:val="18"/>
          <w:color w:val="auto"/>
        </w:rPr>
        <w:t>pre-tax, one-time employee restructuring expenses, pre-tax, close-out expenses, pre-tax, start up expenses, pre-tax, change in tax structure to C Corp and tax effect of adjustments to net income attributable to GEO.</w:t>
      </w:r>
    </w:p>
    <w:p>
      <w:pPr>
        <w:spacing w:after="0" w:line="169" w:lineRule="exact"/>
        <w:rPr>
          <w:sz w:val="20"/>
          <w:szCs w:val="20"/>
          <w:color w:val="auto"/>
        </w:rPr>
      </w:pPr>
    </w:p>
    <w:p>
      <w:pPr>
        <w:ind w:right="20"/>
        <w:spacing w:after="0" w:line="341" w:lineRule="auto"/>
        <w:rPr>
          <w:sz w:val="20"/>
          <w:szCs w:val="20"/>
          <w:color w:val="auto"/>
        </w:rPr>
      </w:pPr>
      <w:r>
        <w:rPr>
          <w:rFonts w:ascii="Arial" w:cs="Arial" w:eastAsia="Arial" w:hAnsi="Arial"/>
          <w:sz w:val="16"/>
          <w:szCs w:val="16"/>
          <w:color w:val="auto"/>
        </w:rPr>
        <w:t>Because of the unique design, structure and use of our secure facilities, processing centers and reentry centers, we believe that assessing the performance of our secure facilities, processing centers and reentry centers without the impact of depreciation or amortization is useful and meaningful to investors.</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assessment of our operations is focused on long-term sustainability. The adjustments we make to derive the non-GAAP measures of AFFO exclude items which may cause short-term fluctuations in net income attributable to GEO but have no impact on our cash flows, or we do not consider them to be fundamental attributes, or the primary drivers of our business plan and they do not affect our overall long-term operating performance. We may make adjustments to AFFO from time to time for certain other income and expenses that do not reflect a necessary component of our operational performance on the basis discussed above, even though such items may require cash settlement. Because AFFO excludes depreciation and amortization unique to real estate as well as non-operational items and certain other charges that are highly variable from year to year, they provide our investors with performance measures that reflect the impact to operations from trends in occupancy rates, per diem rates, operating costs and interest costs, providing a perspective not immediately apparent from net income attributable to GEO.</w:t>
      </w:r>
    </w:p>
    <w:p>
      <w:pPr>
        <w:spacing w:after="0" w:line="182"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We believe the presentation of AFFO provides useful information to investors as they provide an indication of our ability to fund capital expenditures and expand our business. AFFO provides disclosure on the same basis as that used by our management and provide consistency in our financial reporting, facilitate internal and external comparisons of our historical operating performance and our business units and provide continuity to investors for comparability purposes.</w:t>
      </w:r>
    </w:p>
    <w:p>
      <w:pPr>
        <w:spacing w:after="0" w:line="178"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Our reconciliation of net income attributable to GEO to AFFO for the years ended December 31, 2022 and 2021, respectively, is as follows (in thousands):</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32"/>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5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r>
      <w:tr>
        <w:trPr>
          <w:trHeight w:val="232"/>
        </w:trPr>
        <w:tc>
          <w:tcPr>
            <w:tcW w:w="5340" w:type="dxa"/>
            <w:vAlign w:val="bottom"/>
          </w:tcPr>
          <w:p>
            <w:pPr>
              <w:spacing w:after="0"/>
              <w:rPr>
                <w:sz w:val="20"/>
                <w:szCs w:val="20"/>
                <w:color w:val="auto"/>
              </w:rPr>
            </w:pPr>
            <w:r>
              <w:rPr>
                <w:rFonts w:ascii="Arial" w:cs="Arial" w:eastAsia="Arial" w:hAnsi="Arial"/>
                <w:sz w:val="18"/>
                <w:szCs w:val="18"/>
                <w:b w:val="1"/>
                <w:bCs w:val="1"/>
                <w:color w:val="auto"/>
              </w:rPr>
              <w:t>Net income attributable to GEO</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171,813</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77,418</w:t>
            </w:r>
          </w:p>
        </w:tc>
        <w:tc>
          <w:tcPr>
            <w:tcW w:w="20" w:type="dxa"/>
            <w:vAlign w:val="bottom"/>
          </w:tcPr>
          <w:p>
            <w:pPr>
              <w:spacing w:after="0"/>
              <w:rPr>
                <w:sz w:val="20"/>
                <w:szCs w:val="20"/>
                <w:color w:val="auto"/>
              </w:rPr>
            </w:pPr>
          </w:p>
        </w:tc>
      </w:tr>
      <w:tr>
        <w:trPr>
          <w:trHeight w:val="247"/>
        </w:trPr>
        <w:tc>
          <w:tcPr>
            <w:tcW w:w="5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 (Subtract):</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132,925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135,177</w:t>
            </w:r>
          </w:p>
        </w:tc>
        <w:tc>
          <w:tcPr>
            <w:tcW w:w="20" w:type="dxa"/>
            <w:vAlign w:val="bottom"/>
          </w:tcPr>
          <w:p>
            <w:pPr>
              <w:spacing w:after="0"/>
              <w:rPr>
                <w:sz w:val="20"/>
                <w:szCs w:val="20"/>
                <w:color w:val="auto"/>
              </w:rPr>
            </w:pPr>
          </w:p>
        </w:tc>
      </w:tr>
      <w:tr>
        <w:trPr>
          <w:trHeight w:val="255"/>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Facility maintenance capital expenditures</w:t>
            </w: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(21,817 )</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(11,313 )</w:t>
            </w:r>
          </w:p>
        </w:tc>
        <w:tc>
          <w:tcPr>
            <w:tcW w:w="20" w:type="dxa"/>
            <w:vAlign w:val="bottom"/>
          </w:tcPr>
          <w:p>
            <w:pPr>
              <w:spacing w:after="0"/>
              <w:rPr>
                <w:sz w:val="22"/>
                <w:szCs w:val="22"/>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16,204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19,199</w:t>
            </w:r>
          </w:p>
        </w:tc>
        <w:tc>
          <w:tcPr>
            <w:tcW w:w="20" w:type="dxa"/>
            <w:vAlign w:val="bottom"/>
          </w:tcPr>
          <w:p>
            <w:pPr>
              <w:spacing w:after="0"/>
              <w:rPr>
                <w:sz w:val="20"/>
                <w:szCs w:val="20"/>
                <w:color w:val="auto"/>
              </w:rPr>
            </w:pPr>
          </w:p>
        </w:tc>
      </w:tr>
      <w:tr>
        <w:trPr>
          <w:trHeight w:val="255"/>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Other non-cash revenue &amp; expenses</w:t>
            </w: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(4,408 )</w:t>
            </w:r>
          </w:p>
        </w:tc>
        <w:tc>
          <w:tcPr>
            <w:tcW w:w="20" w:type="dxa"/>
            <w:vAlign w:val="bottom"/>
          </w:tcPr>
          <w:p>
            <w:pPr>
              <w:spacing w:after="0"/>
              <w:rPr>
                <w:sz w:val="22"/>
                <w:szCs w:val="22"/>
                <w:color w:val="auto"/>
              </w:rPr>
            </w:pPr>
          </w:p>
        </w:tc>
      </w:tr>
      <w:tr>
        <w:trPr>
          <w:trHeight w:val="215"/>
        </w:trPr>
        <w:tc>
          <w:tcPr>
            <w:tcW w:w="5340" w:type="dxa"/>
            <w:vAlign w:val="bottom"/>
          </w:tcPr>
          <w:p>
            <w:pPr>
              <w:spacing w:after="0"/>
              <w:rPr>
                <w:sz w:val="20"/>
                <w:szCs w:val="20"/>
                <w:color w:val="auto"/>
              </w:rPr>
            </w:pPr>
            <w:r>
              <w:rPr>
                <w:rFonts w:ascii="Arial" w:cs="Arial" w:eastAsia="Arial" w:hAnsi="Arial"/>
                <w:sz w:val="18"/>
                <w:szCs w:val="18"/>
                <w:color w:val="auto"/>
              </w:rPr>
              <w:t>Amortization of debt issuance costs, discount and/or</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340" w:type="dxa"/>
            <w:vAlign w:val="bottom"/>
          </w:tcPr>
          <w:p>
            <w:pPr>
              <w:ind w:left="140"/>
              <w:spacing w:after="0"/>
              <w:rPr>
                <w:sz w:val="20"/>
                <w:szCs w:val="20"/>
                <w:color w:val="auto"/>
              </w:rPr>
            </w:pPr>
            <w:r>
              <w:rPr>
                <w:rFonts w:ascii="Arial" w:cs="Arial" w:eastAsia="Arial" w:hAnsi="Arial"/>
                <w:sz w:val="18"/>
                <w:szCs w:val="18"/>
                <w:color w:val="auto"/>
              </w:rPr>
              <w:t>premium and other non-cash interest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9,004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7,498</w:t>
            </w:r>
          </w:p>
        </w:tc>
        <w:tc>
          <w:tcPr>
            <w:tcW w:w="20" w:type="dxa"/>
            <w:vAlign w:val="bottom"/>
          </w:tcPr>
          <w:p>
            <w:pPr>
              <w:spacing w:after="0"/>
              <w:rPr>
                <w:sz w:val="20"/>
                <w:szCs w:val="20"/>
                <w:color w:val="auto"/>
              </w:rPr>
            </w:pPr>
          </w:p>
        </w:tc>
      </w:tr>
      <w:tr>
        <w:trPr>
          <w:trHeight w:val="256"/>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Gain on asset divestitures, net</w:t>
            </w: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(32,332 )</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(3,722 )</w:t>
            </w:r>
          </w:p>
        </w:tc>
        <w:tc>
          <w:tcPr>
            <w:tcW w:w="20" w:type="dxa"/>
            <w:vAlign w:val="bottom"/>
          </w:tcPr>
          <w:p>
            <w:pPr>
              <w:spacing w:after="0"/>
              <w:rPr>
                <w:sz w:val="22"/>
                <w:szCs w:val="22"/>
                <w:color w:val="auto"/>
              </w:rPr>
            </w:pPr>
          </w:p>
        </w:tc>
      </w:tr>
      <w:tr>
        <w:trPr>
          <w:trHeight w:val="238"/>
        </w:trPr>
        <w:tc>
          <w:tcPr>
            <w:tcW w:w="5340" w:type="dxa"/>
            <w:vAlign w:val="bottom"/>
          </w:tcPr>
          <w:p>
            <w:pPr>
              <w:spacing w:after="0"/>
              <w:rPr>
                <w:sz w:val="20"/>
                <w:szCs w:val="20"/>
                <w:color w:val="auto"/>
              </w:rPr>
            </w:pPr>
            <w:r>
              <w:rPr>
                <w:rFonts w:ascii="Arial" w:cs="Arial" w:eastAsia="Arial" w:hAnsi="Arial"/>
                <w:sz w:val="18"/>
                <w:szCs w:val="18"/>
                <w:b w:val="1"/>
                <w:bCs w:val="1"/>
                <w:color w:val="auto"/>
              </w:rPr>
              <w:t>Other Adjustments</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5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 (Subtract):</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5340" w:type="dxa"/>
            <w:vAlign w:val="bottom"/>
          </w:tcPr>
          <w:p>
            <w:pPr>
              <w:spacing w:after="0"/>
              <w:rPr>
                <w:sz w:val="20"/>
                <w:szCs w:val="20"/>
                <w:color w:val="auto"/>
              </w:rPr>
            </w:pPr>
            <w:r>
              <w:rPr>
                <w:rFonts w:ascii="Arial" w:cs="Arial" w:eastAsia="Arial" w:hAnsi="Arial"/>
                <w:sz w:val="18"/>
                <w:szCs w:val="18"/>
                <w:color w:val="auto"/>
              </w:rPr>
              <w:t>Loss (gain) on extinguishment of debt, pre-tax</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37,895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(4,693 )</w:t>
            </w:r>
          </w:p>
        </w:tc>
        <w:tc>
          <w:tcPr>
            <w:tcW w:w="20" w:type="dxa"/>
            <w:vAlign w:val="bottom"/>
          </w:tcPr>
          <w:p>
            <w:pPr>
              <w:spacing w:after="0"/>
              <w:rPr>
                <w:sz w:val="20"/>
                <w:szCs w:val="20"/>
                <w:color w:val="auto"/>
              </w:rPr>
            </w:pPr>
          </w:p>
        </w:tc>
      </w:tr>
      <w:tr>
        <w:trPr>
          <w:trHeight w:val="24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Start-up expenses, pre-tax</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w:t>
            </w:r>
          </w:p>
        </w:tc>
        <w:tc>
          <w:tcPr>
            <w:tcW w:w="20" w:type="dxa"/>
            <w:vAlign w:val="bottom"/>
          </w:tcPr>
          <w:p>
            <w:pPr>
              <w:spacing w:after="0"/>
              <w:rPr>
                <w:sz w:val="21"/>
                <w:szCs w:val="21"/>
                <w:color w:val="auto"/>
              </w:rPr>
            </w:pPr>
          </w:p>
        </w:tc>
      </w:tr>
      <w:tr>
        <w:trPr>
          <w:trHeight w:val="236"/>
        </w:trPr>
        <w:tc>
          <w:tcPr>
            <w:tcW w:w="5340" w:type="dxa"/>
            <w:vAlign w:val="bottom"/>
          </w:tcPr>
          <w:p>
            <w:pPr>
              <w:spacing w:after="0"/>
              <w:rPr>
                <w:sz w:val="20"/>
                <w:szCs w:val="20"/>
                <w:color w:val="auto"/>
              </w:rPr>
            </w:pPr>
            <w:r>
              <w:rPr>
                <w:rFonts w:ascii="Arial" w:cs="Arial" w:eastAsia="Arial" w:hAnsi="Arial"/>
                <w:sz w:val="18"/>
                <w:szCs w:val="18"/>
                <w:color w:val="auto"/>
              </w:rPr>
              <w:t>Transaction related expenses, pre-tax</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8,118</w:t>
            </w:r>
          </w:p>
        </w:tc>
        <w:tc>
          <w:tcPr>
            <w:tcW w:w="20" w:type="dxa"/>
            <w:vAlign w:val="bottom"/>
          </w:tcPr>
          <w:p>
            <w:pPr>
              <w:spacing w:after="0"/>
              <w:rPr>
                <w:sz w:val="20"/>
                <w:szCs w:val="20"/>
                <w:color w:val="auto"/>
              </w:rPr>
            </w:pPr>
          </w:p>
        </w:tc>
      </w:tr>
      <w:tr>
        <w:trPr>
          <w:trHeight w:val="24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One-time employee restructuring expenses, pre-tax</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7,459</w:t>
            </w:r>
          </w:p>
        </w:tc>
        <w:tc>
          <w:tcPr>
            <w:tcW w:w="20" w:type="dxa"/>
            <w:vAlign w:val="bottom"/>
          </w:tcPr>
          <w:p>
            <w:pPr>
              <w:spacing w:after="0"/>
              <w:rPr>
                <w:sz w:val="21"/>
                <w:szCs w:val="21"/>
                <w:color w:val="auto"/>
              </w:rPr>
            </w:pPr>
          </w:p>
        </w:tc>
      </w:tr>
      <w:tr>
        <w:trPr>
          <w:trHeight w:val="236"/>
        </w:trPr>
        <w:tc>
          <w:tcPr>
            <w:tcW w:w="5340" w:type="dxa"/>
            <w:vAlign w:val="bottom"/>
          </w:tcPr>
          <w:p>
            <w:pPr>
              <w:spacing w:after="0"/>
              <w:rPr>
                <w:sz w:val="20"/>
                <w:szCs w:val="20"/>
                <w:color w:val="auto"/>
              </w:rPr>
            </w:pPr>
            <w:r>
              <w:rPr>
                <w:rFonts w:ascii="Arial" w:cs="Arial" w:eastAsia="Arial" w:hAnsi="Arial"/>
                <w:sz w:val="18"/>
                <w:szCs w:val="18"/>
                <w:color w:val="auto"/>
              </w:rPr>
              <w:t>Change in tax structure to C Corp</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70,813</w:t>
            </w:r>
          </w:p>
        </w:tc>
        <w:tc>
          <w:tcPr>
            <w:tcW w:w="20" w:type="dxa"/>
            <w:vAlign w:val="bottom"/>
          </w:tcPr>
          <w:p>
            <w:pPr>
              <w:spacing w:after="0"/>
              <w:rPr>
                <w:sz w:val="20"/>
                <w:szCs w:val="20"/>
                <w:color w:val="auto"/>
              </w:rPr>
            </w:pPr>
          </w:p>
        </w:tc>
      </w:tr>
      <w:tr>
        <w:trPr>
          <w:trHeight w:val="24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Close-out expenses, pre-tax</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w:t>
            </w:r>
          </w:p>
        </w:tc>
        <w:tc>
          <w:tcPr>
            <w:tcW w:w="20" w:type="dxa"/>
            <w:vAlign w:val="bottom"/>
          </w:tcPr>
          <w:p>
            <w:pPr>
              <w:spacing w:after="0"/>
              <w:rPr>
                <w:sz w:val="21"/>
                <w:szCs w:val="21"/>
                <w:color w:val="auto"/>
              </w:rPr>
            </w:pPr>
          </w:p>
        </w:tc>
      </w:tr>
      <w:tr>
        <w:trPr>
          <w:trHeight w:val="236"/>
        </w:trPr>
        <w:tc>
          <w:tcPr>
            <w:tcW w:w="5340" w:type="dxa"/>
            <w:vAlign w:val="bottom"/>
          </w:tcPr>
          <w:p>
            <w:pPr>
              <w:spacing w:after="0"/>
              <w:rPr>
                <w:sz w:val="20"/>
                <w:szCs w:val="20"/>
                <w:color w:val="auto"/>
              </w:rPr>
            </w:pPr>
            <w:r>
              <w:rPr>
                <w:rFonts w:ascii="Arial" w:cs="Arial" w:eastAsia="Arial" w:hAnsi="Arial"/>
                <w:sz w:val="18"/>
                <w:szCs w:val="18"/>
                <w:color w:val="auto"/>
              </w:rPr>
              <w:t>Tax effect of adjustments to net income attributable to GEO *</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(7,032 )</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20" w:type="dxa"/>
            <w:vAlign w:val="bottom"/>
          </w:tcPr>
          <w:p>
            <w:pPr>
              <w:spacing w:after="0"/>
              <w:rPr>
                <w:sz w:val="20"/>
                <w:szCs w:val="20"/>
                <w:color w:val="auto"/>
              </w:rPr>
            </w:pPr>
          </w:p>
        </w:tc>
      </w:tr>
      <w:tr>
        <w:trPr>
          <w:trHeight w:val="278"/>
        </w:trPr>
        <w:tc>
          <w:tcPr>
            <w:tcW w:w="53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b w:val="1"/>
                <w:bCs w:val="1"/>
                <w:color w:val="auto"/>
              </w:rPr>
              <w:t>Adjusted Funds from Operations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307,982</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304,718</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5236845</wp:posOffset>
            </wp:positionH>
            <wp:positionV relativeFrom="paragraph">
              <wp:posOffset>-24765</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-7620</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8" w:lineRule="exact"/>
        <w:rPr>
          <w:sz w:val="20"/>
          <w:szCs w:val="20"/>
          <w:color w:val="auto"/>
        </w:rPr>
      </w:pPr>
    </w:p>
    <w:p>
      <w:pPr>
        <w:ind w:right="160" w:firstLine="8"/>
        <w:spacing w:after="0" w:line="277" w:lineRule="auto"/>
        <w:tabs>
          <w:tab w:leader="none" w:pos="1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 adjustments relate to gain asset divestitures, loss (gain) on debt extinguishment, start-up expenses, transaction related expenses, one-time employee restructuring expenses, close-out expenses and change in tax structure to C Corp.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The following discussion of our future performance contains statements that are not historical statements and, therefore, constitute forward-looking statements within the meaning of the Private Securities Litigation Reform Act of 1995. Our forward-looking statements are subject to risks and uncertainties that could cause actual results to differ materially from those stated or implied in the forward-looking statement. Please refer to “Item 1A. Risk Factors” in this Annual Report on Form 10-K, the “Forward-Looking Statements — Safe Harbor,” as well as the other disclosures contained in this Annual Report on Form 10-K, for further discussion on forward-looking statements and the risks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69" w:name="page70"/>
    <w:bookmarkEnd w:id="69"/>
    <w:p>
      <w:pPr>
        <w:ind w:right="20"/>
        <w:spacing w:after="0" w:line="277" w:lineRule="auto"/>
        <w:rPr>
          <w:sz w:val="20"/>
          <w:szCs w:val="20"/>
          <w:color w:val="auto"/>
        </w:rPr>
      </w:pPr>
      <w:r>
        <w:rPr>
          <w:rFonts w:ascii="Arial" w:cs="Arial" w:eastAsia="Arial" w:hAnsi="Arial"/>
          <w:sz w:val="18"/>
          <w:szCs w:val="18"/>
          <w:color w:val="auto"/>
        </w:rPr>
        <w:t>and other factors that could prevent us from achieving our goals and cause the assumptions underlying the forward-looking statements and the actual results to differ materially from those expressed in or implied by those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Disease (COVID-19) Pandemic</w:t>
      </w:r>
    </w:p>
    <w:p>
      <w:pPr>
        <w:spacing w:after="0" w:line="229" w:lineRule="exact"/>
        <w:rPr>
          <w:sz w:val="20"/>
          <w:szCs w:val="20"/>
          <w:color w:val="auto"/>
        </w:rPr>
      </w:pPr>
    </w:p>
    <w:p>
      <w:pPr>
        <w:ind w:right="20" w:firstLine="314"/>
        <w:spacing w:after="0" w:line="256" w:lineRule="auto"/>
        <w:rPr>
          <w:sz w:val="20"/>
          <w:szCs w:val="20"/>
          <w:color w:val="auto"/>
        </w:rPr>
      </w:pPr>
      <w:r>
        <w:rPr>
          <w:rFonts w:ascii="Arial" w:cs="Arial" w:eastAsia="Arial" w:hAnsi="Arial"/>
          <w:sz w:val="18"/>
          <w:szCs w:val="18"/>
          <w:color w:val="auto"/>
        </w:rPr>
        <w:t>We will continue to coordinate closely with our government agency partners and local health agencies to ensure the health and safety of all those in our care and our employees. We are grateful for our frontline employees who are making sacrifices daily to provide care for all those in our facilities during this unprecedented global pandemic. Information on the steps we have taken to address and mitigate the risks of COVID-19 can be found at www.geogroup.com/COVID19. The information on or accessible through our website is not incorporated by reference in this Annual Report on Form 10-K.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65" w:lineRule="exact"/>
        <w:rPr>
          <w:sz w:val="20"/>
          <w:szCs w:val="20"/>
          <w:color w:val="auto"/>
        </w:rPr>
      </w:pPr>
    </w:p>
    <w:p>
      <w:pPr>
        <w:ind w:firstLine="315"/>
        <w:spacing w:after="0" w:line="268" w:lineRule="auto"/>
        <w:rPr>
          <w:sz w:val="20"/>
          <w:szCs w:val="20"/>
          <w:color w:val="auto"/>
        </w:rPr>
      </w:pPr>
      <w:r>
        <w:rPr>
          <w:rFonts w:ascii="Arial" w:cs="Arial" w:eastAsia="Arial" w:hAnsi="Arial"/>
          <w:sz w:val="17"/>
          <w:szCs w:val="17"/>
          <w:color w:val="auto"/>
        </w:rPr>
        <w:t>Due to the uncertainty surrounding the COVID-19 pandemic, we are unable to determine the future landscape of growth opportunities in the near term; however, any positive trends may, to some extent, be adversely impacted by government budgetary constraints in light of the pandemic or any changes to a government's willingness to maintain or grow public-private partnerships in the future. While state finances overall were stable prior to the COVID-19 pandemic, future budgetary pressures may cause state agencies to pursue a number of cost savings initiatives which may include reductions in per diem rates and/or the scope of services provided by private operators or the decision to not re-bid a contract after expiration of the contract term. These potential cost savings initiatives could have a material adverse impact on our current operations and/or our ability to pursue new business opportunities. Additionally, if state budgetary constraints, as discussed above, develop, persist or intensify, our state customers’ ability to pay us may be impaired and/or we may be forced to renegotiate our management contracts on less favorable terms and our financial condition, results of operations or cash flows could be materially adversely impacted. We plan to actively bid on any new projects that fit our target profile for profitability and operational risk. Any positive trends in the industry may be offset by several factors, including budgetary constraints, contract modifications, contract terminations, contract non-renewals, contract re-bids and/or the decision to not re-bid a contract after expiration of the contract term and the impact of any other potential changes to the willingness or ability to maintain or grow public-private partnerships on the part of other government agencies. We believe we have a strong relationship with our government agency partners and we believe that we operate facilities that maximize security, safety and efficiency while offering our suite of GEO Continuum of Care programs, services and resources.</w:t>
      </w:r>
    </w:p>
    <w:p>
      <w:pPr>
        <w:spacing w:after="0" w:line="248"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On January 26, 2021, President Biden signed an executive order directing the United States Attorney General not to renew DOJ contracts</w:t>
      </w:r>
    </w:p>
    <w:p>
      <w:pPr>
        <w:spacing w:after="0" w:line="35"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with privately operated criminal detention facilities, as consistent with applicable law. Two agencies of the DOJ, the BOP and the USMS, utilize GEO’s support services. The BOP houses inmates who have been convicted of federal crimes, and the USMS is generally responsible for detainees who are awaiting trial or sentencing in U.S. federal courts. As of December 31, 2022, GEO has three company-owned/company-leased facilities under direct contracts with USMS, which have current contract option periods that expire between February 28, 2023 and September 30, 2023. These facilities combined represented approximately 6% of our revenues for the year ended December 31, 2022. As of December 31, 2022, we no longer have any contracts with the BOP for secure correctional facilities.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President Biden’s administration may implement additional executive orders or directives relating to federal criminal justice policies</w:t>
      </w:r>
    </w:p>
    <w:p>
      <w:pPr>
        <w:spacing w:after="0" w:line="23"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and/or immigration policies, which may impact the federal government’s use of public-private partnerships with respect to secure correctional and detention facilities and immigration processing centers, including with respect to our contracts, and/or may impact the budget and spending priorities of federal agencies, including the BOP, USMS, and ICE, which is an agency of the U.S. Department of Homeland Security.</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Prior to the Executive Order, we have historically had a relatively high contract renewal rate, however, there can be no assurance that we</w:t>
      </w:r>
    </w:p>
    <w:p>
      <w:pPr>
        <w:spacing w:after="0" w:line="35"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will be able to renew our expiring management contracts on favorable terms, or at all. Also, while we are pleased with our track record in re-bid situations, we cannot assure that we will prevail in any such future situations.</w:t>
      </w:r>
    </w:p>
    <w:p>
      <w:pPr>
        <w:spacing w:after="0" w:line="184"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California enacted legislation that became effective on January 1, 2020 aimed at phasing out public-private partnership contracts for the operation of secure correctional facilities and detention facilities within California and facilities outside of the State of California housing State of California inmates. Currently, we have four public-private partnership contracts in place with ICE relating to secure services facilities located in California. These facilities/annexes generated approximately $173 million in combined annual revenues during the year ended December 31, 2022, and their contracts do not expire until December of 2034. GEO and the DOJ have filed separate legal actions challenging the constitutionality of the attempted ban on new federal contracts entered into after the effective date of the California law. On October 5, 2021, the Ninth Circuit Court of Appeals reversed a prior U.S. District Court decision dismissing the requests by GEO and the United States for declaratory and injunctive relief and ruled that AB32 conflicts with federal law in violation of the Supremacy Clause of the U.S. Constitution and discriminates against the federal government in violation of the intergovernmental immunity doctrine. On April 26, 2022, the Ninth Circuit granted California’s petition for an en banc hearing and vacated the previous panel’s opinion. En banc arguments took place the week of June 21, 2022, in Pasadena, California. On September 26, 2022, in an 8-3 decision, the En Banc court vacated the prior decision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70" w:name="page71"/>
    <w:bookmarkEnd w:id="70"/>
    <w:p>
      <w:pPr>
        <w:ind w:right="80"/>
        <w:spacing w:after="0" w:line="273" w:lineRule="auto"/>
        <w:rPr>
          <w:sz w:val="20"/>
          <w:szCs w:val="20"/>
          <w:color w:val="auto"/>
        </w:rPr>
      </w:pPr>
      <w:r>
        <w:rPr>
          <w:rFonts w:ascii="Arial" w:cs="Arial" w:eastAsia="Arial" w:hAnsi="Arial"/>
          <w:sz w:val="17"/>
          <w:szCs w:val="17"/>
          <w:color w:val="auto"/>
        </w:rPr>
        <w:t>denying the requests by GEO and the United States for declaratory and injunctive relief barring application of the California law to federal immigration processing centers. The Ninth Circuit Court of Appeals, En Banc, ruled that AB-32 would give California a virtual power of review over detention decisions made by ICE in violation of the Supremacy Clause. The court held that whether analyzed under intergovernmental immunity or preemption, California cannot exert such control over the federal government’s detention operations. The case is remanded to the U.S. District Court for further proceedings, consistent with the court’s ruling. Refer to Note 17- Commitments, Contingencies and Other Matters of the Notes to the audited consolidated financial statements included in Part II, Item 8 of this Annual Report on Form 10-K.</w:t>
      </w:r>
    </w:p>
    <w:p>
      <w:pPr>
        <w:spacing w:after="0" w:line="176" w:lineRule="exact"/>
        <w:rPr>
          <w:sz w:val="20"/>
          <w:szCs w:val="20"/>
          <w:color w:val="auto"/>
        </w:rPr>
      </w:pPr>
    </w:p>
    <w:p>
      <w:pPr>
        <w:ind w:right="280" w:firstLine="509"/>
        <w:spacing w:after="0" w:line="259" w:lineRule="auto"/>
        <w:rPr>
          <w:sz w:val="20"/>
          <w:szCs w:val="20"/>
          <w:color w:val="auto"/>
        </w:rPr>
      </w:pPr>
      <w:r>
        <w:rPr>
          <w:rFonts w:ascii="Arial" w:cs="Arial" w:eastAsia="Arial" w:hAnsi="Arial"/>
          <w:sz w:val="18"/>
          <w:szCs w:val="18"/>
          <w:color w:val="auto"/>
        </w:rPr>
        <w:t>Recently the State of Washington approved a similar measure, EHB 1090, banning the use of public-private partnership contracts for the operation of detention facilities in the state, that GEO is also challenging in federal court. GEO’s contract for the company-owned 1,575-bed Northwest ICE Processing Center in Washington has a renewal option period that expires in 2025. The facility generated approximately $66 million in annualized revenues for GEO during the year ended December 31, 2022.</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Effective April 6, 2022, Delaware County, Pennsylvania took over management of the managed-only George W. Hill Correctional</w:t>
      </w:r>
    </w:p>
    <w:p>
      <w:pPr>
        <w:spacing w:after="0" w:line="23"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Facility. The George W. Hill Correctional Facility generated approximately $47 million in annualized revenue for GEO during the year ended December 31, 2021.</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Internationally, we are exploring opportunities in our current markets and will continue to actively bid on any opportunities that fit our</w:t>
      </w:r>
    </w:p>
    <w:p>
      <w:pPr>
        <w:spacing w:after="0" w:line="2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target profile for profitability and operational risk. We are pleased to have been awarded a ten-year contract renewal for the continued delivery of secure transportation under our GEOAmey joint venture in the United Kingdom. With respect to our Dungavel House Immigration Removal Centre in the United Kingdom, we were unfortunately unsuccessful in the competitive rebid process and transitioned the management contract in October 2021. In January 2023, our Australian subsidiary, GEO Australia, had entered into a contract with the Department of Justice and Community Safety in the State of Victoria for the delivery of primary health services across thirteen public prisons. The contract will commence on July 1, 2023 and is expected to generate approximately $33 million in incremental annualized revenue for GEO.</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With respect to our reentry services, electronic monitoring services, and community-based services business, we are currently pursuing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number of business development opportunities. Related to opportunities for community-based reentry services, we are working with our existing federal,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 and local clients to leverage new opportunities for both residential reentry facilities as well as non-residential day reporting centers. However, in light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uncertainty surrounding the COVID-19 pandemic, we may not be successful. With respect to the Department of Homeland's Intensive Supervision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Appearance Program ("ISAP"), the number of participants steadily increased throughout 2022, however, since the beginning of 2023, there has been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decline in ISAP participants as a result of recent changes in immigration and budgetary pressures. There are no assurances that there will not be a further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decline in ISAP participants in 2023 and beyond. We continue to expend resources on informing federal, state and local governments about the benefits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public-private partnerships, and we anticipate that there will be new opportunities in the future as those efforts continue to yield results. We believe we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well positioned to capitalize on any suitable opportunities that become available in this area.</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Operating expenses consist of those expenses incurred in the operation and management of our contracts to provide services to our governmental clients. Labor and related costs represented approximately 63% and 65% of our operating expenses in 2022 and 2021, respectively. Additional significant operating expenses include food, utilities and inmate medical costs. In 2022 and 2021, operating expenses totaled approximately 70% and 72% of our consolidated revenues, respectively. Our operating expenses as a percentage of revenue in 2023 will be impacted by the opening of any new or existing facilities as a result of the cost of transitioning and/or start-up operations related to a facility opening. During 2023, we will incur carrying costs for facilities that were vacant in 2022.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General and administrative expenses consist primarily of corporate management salaries and benefits, professional fees and other administrative expenses. In 2022 and 2021, general and administrative expenses totaled approximately 8% and 9%, respectively, of our consolidated revenues. We expect general and administrative expenses as a percentage of revenue in 2023 to remain consistent or decrease as a result of cost savings initiatives.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Idle Facilities</w:t>
      </w:r>
    </w:p>
    <w:p>
      <w:pPr>
        <w:spacing w:after="0" w:line="225"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In our Secure Services segment, we are currently marketing 10,922 vacant beds with a net book value of approximately $306 million at seven of our idle facilities to potential customers. In our Reentry Services segment, we are currently marketing 2,139 vacant beds with a net book value of approximately $43 million at four of our idle facilities to potential customers. The combined annual carrying cost of these idle</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71" w:name="page72"/>
    <w:bookmarkEnd w:id="71"/>
    <w:p>
      <w:pPr>
        <w:ind w:right="20"/>
        <w:spacing w:after="0" w:line="290" w:lineRule="auto"/>
        <w:rPr>
          <w:sz w:val="20"/>
          <w:szCs w:val="20"/>
          <w:color w:val="auto"/>
        </w:rPr>
      </w:pPr>
      <w:r>
        <w:rPr>
          <w:rFonts w:ascii="Arial" w:cs="Arial" w:eastAsia="Arial" w:hAnsi="Arial"/>
          <w:sz w:val="16"/>
          <w:szCs w:val="16"/>
          <w:color w:val="auto"/>
        </w:rPr>
        <w:t xml:space="preserve">facilities in 2022 is estimated to be $32.8 million, including depreciation expense of $16.5 million. With the exception of a contract pending due diligence for one of our reentry facilities, we currently do not have any firm commitments or agreements in place to activate these facilities but have ongoing contact with several potential customers. Historically, some facilities have been idle for multiple years before they received a new contract award. The per diem rates that we charge our clients often vary by contract across our portfolio. However, if the eleven idle facilities in our Secure Services and Reentry Services segments were to be activated using our Secure Services and Reentry Services average per diem rate in 2022 (calculated as revenue divided by the number of mandays) and based on the average occupancy rate in our facilities for 2022, we would expect to receive annual incremental revenue of approximately $360 million and an increase in annual earnings per share of approximately $.35 to $.40 per share based on our average operating margin. Refer to discussion in Item I, Part I – Business under </w:t>
      </w:r>
      <w:r>
        <w:rPr>
          <w:rFonts w:ascii="Arial" w:cs="Arial" w:eastAsia="Arial" w:hAnsi="Arial"/>
          <w:sz w:val="16"/>
          <w:szCs w:val="16"/>
          <w:b w:val="1"/>
          <w:bCs w:val="1"/>
          <w:i w:val="1"/>
          <w:iCs w:val="1"/>
          <w:color w:val="auto"/>
        </w:rPr>
        <w:t>Executive Order</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Contract Developments</w:t>
      </w:r>
      <w:r>
        <w:rPr>
          <w:rFonts w:ascii="Arial" w:cs="Arial" w:eastAsia="Arial" w:hAnsi="Arial"/>
          <w:sz w:val="16"/>
          <w:szCs w:val="16"/>
          <w:color w:val="auto"/>
        </w:rPr>
        <w:t xml:space="preserve"> above for discussion of recent developments.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 Safe Harbor</w:t>
      </w:r>
    </w:p>
    <w:p>
      <w:pPr>
        <w:spacing w:after="0" w:line="229"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This Annual Report on Form 10-K and the documents incorporated by reference herein contain “forward-looking” statements within the meaning of Section 27A of the Securities Act of 1933, as amended, and Section 21E of the Securities Exchange Act of 1934, as amended. “Forward-looking” statements are any statements that are not based on historical information. Statements other than statements of historical facts included in this report, including, without limitation, statements regarding our future financial position, business strategy, budgets, projected costs and plans and objectives of management for future operations, are “forward-looking” statements. Forward-looking statements generally can be identified by the use of forward-looking terminology such as “may,” “will,” “expect,” “anticipate,” “intend,” “plan,” “believe,” “seek,” “estimate” or “continue” or the negative of such words or variations of such words and similar expressions. These statements are not guarantees of future performance and involve certain risks, uncertainties and assumptions, which are difficult to predict. Therefore, actual outcomes and results may differ materially from what is expressed or forecasted in such forward-looking statements and we can give no assurance that such forward-looking statements will prove to be correct. Important factors that could cause actual results to differ materially from those expressed or implied by the forward-looking statements, or “cautionary statements,” include, but are not limited to:</w:t>
      </w:r>
    </w:p>
    <w:p>
      <w:pPr>
        <w:spacing w:after="0" w:line="112" w:lineRule="exact"/>
        <w:rPr>
          <w:sz w:val="20"/>
          <w:szCs w:val="20"/>
          <w:color w:val="auto"/>
        </w:rPr>
      </w:pPr>
    </w:p>
    <w:p>
      <w:pPr>
        <w:ind w:left="1020" w:right="240" w:hanging="504"/>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mitigate the transmission of the current pandemic of the novel coronavirus, or COVID-19, at our secure facilities, processing centers and reentry centers;</w:t>
      </w:r>
    </w:p>
    <w:p>
      <w:pPr>
        <w:spacing w:after="0" w:line="61"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magnitude, severity and duration of the COVID-19 pandemic and its impact on our business, financial condition, results of operations and cash flows;</w:t>
      </w:r>
    </w:p>
    <w:p>
      <w:pPr>
        <w:spacing w:after="0" w:line="61" w:lineRule="exact"/>
        <w:rPr>
          <w:rFonts w:ascii="Arial" w:cs="Arial" w:eastAsia="Arial" w:hAnsi="Arial"/>
          <w:sz w:val="18"/>
          <w:szCs w:val="18"/>
          <w:color w:val="auto"/>
        </w:rPr>
      </w:pPr>
    </w:p>
    <w:p>
      <w:pPr>
        <w:ind w:left="1020" w:right="100" w:hanging="504"/>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timely build and/or open facilities as planned, successfully manage such facilities and successfully integrate such facilities into our operations without substantial additional costs;</w:t>
      </w:r>
    </w:p>
    <w:p>
      <w:pPr>
        <w:spacing w:after="0" w:line="61" w:lineRule="exact"/>
        <w:rPr>
          <w:rFonts w:ascii="Arial" w:cs="Arial" w:eastAsia="Arial" w:hAnsi="Arial"/>
          <w:sz w:val="18"/>
          <w:szCs w:val="18"/>
          <w:color w:val="auto"/>
        </w:rPr>
      </w:pPr>
    </w:p>
    <w:p>
      <w:pPr>
        <w:ind w:left="1020" w:right="820" w:hanging="504"/>
        <w:spacing w:after="0" w:line="307"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ability to estimate the government’s level of utilization of public-private partnerships for secure services and the impact of any modifications or reductions by our government customers of their utilization of public-private partnerships;</w:t>
      </w:r>
    </w:p>
    <w:p>
      <w:pPr>
        <w:spacing w:after="0" w:line="39" w:lineRule="exact"/>
        <w:rPr>
          <w:rFonts w:ascii="Arial" w:cs="Arial" w:eastAsia="Arial" w:hAnsi="Arial"/>
          <w:sz w:val="17"/>
          <w:szCs w:val="17"/>
          <w:color w:val="auto"/>
        </w:rPr>
      </w:pPr>
    </w:p>
    <w:p>
      <w:pPr>
        <w:ind w:left="1020" w:right="140" w:hanging="504"/>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accurately project the size and growth of public-private partnerships for secure services in the U.S. and internationally and our ability to capitalize on opportunities for public-private partnerships;</w:t>
      </w:r>
    </w:p>
    <w:p>
      <w:pPr>
        <w:spacing w:after="0" w:line="61" w:lineRule="exact"/>
        <w:rPr>
          <w:rFonts w:ascii="Arial" w:cs="Arial" w:eastAsia="Arial" w:hAnsi="Arial"/>
          <w:sz w:val="18"/>
          <w:szCs w:val="18"/>
          <w:color w:val="auto"/>
        </w:rPr>
      </w:pPr>
    </w:p>
    <w:p>
      <w:pPr>
        <w:ind w:left="1020" w:right="180" w:hanging="504"/>
        <w:spacing w:after="0" w:line="263"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successfully respond to any challenges or concerns that our government customers may raise regarding their use of public-private partnerships for secure services, including finding other government customers or alternative uses for facilities where a government customer has discontinued or announced that a contract with us will be discontinued;</w:t>
      </w:r>
    </w:p>
    <w:p>
      <w:pPr>
        <w:spacing w:after="0" w:line="74" w:lineRule="exact"/>
        <w:rPr>
          <w:rFonts w:ascii="Arial" w:cs="Arial" w:eastAsia="Arial" w:hAnsi="Arial"/>
          <w:sz w:val="18"/>
          <w:szCs w:val="18"/>
          <w:color w:val="auto"/>
        </w:rPr>
      </w:pPr>
    </w:p>
    <w:p>
      <w:pPr>
        <w:jc w:val="both"/>
        <w:ind w:left="1020" w:hanging="504"/>
        <w:spacing w:after="0" w:line="263"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adopted or proposed executive action or legislation aimed at limiting public-private partnerships for secure facilities, processing centers and community reentry centers or limiting or restricting the business and operations of financial institutions or others who do business with us;</w:t>
      </w:r>
    </w:p>
    <w:p>
      <w:pPr>
        <w:spacing w:after="0" w:line="74" w:lineRule="exact"/>
        <w:rPr>
          <w:rFonts w:ascii="Arial" w:cs="Arial" w:eastAsia="Arial" w:hAnsi="Arial"/>
          <w:sz w:val="18"/>
          <w:szCs w:val="18"/>
          <w:color w:val="auto"/>
        </w:rPr>
      </w:pPr>
    </w:p>
    <w:p>
      <w:pPr>
        <w:ind w:left="1020" w:right="200" w:hanging="504"/>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successfully respond to delays encountered by states pursuing public-private partnerships for secure services and cost savings initiatives implemented by a number of states;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activate the inactive beds at our idle facilities;</w:t>
      </w:r>
    </w:p>
    <w:p>
      <w:pPr>
        <w:spacing w:after="0" w:line="116" w:lineRule="exact"/>
        <w:rPr>
          <w:rFonts w:ascii="Arial" w:cs="Arial" w:eastAsia="Arial" w:hAnsi="Arial"/>
          <w:sz w:val="18"/>
          <w:szCs w:val="18"/>
          <w:color w:val="auto"/>
        </w:rPr>
      </w:pPr>
    </w:p>
    <w:p>
      <w:pPr>
        <w:ind w:left="1020" w:right="300" w:hanging="504"/>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maintain or increase occupancy rates at our facilities and the impact of fluctuations in occupancy levels on our revenues and profitability;</w:t>
      </w:r>
    </w:p>
    <w:p>
      <w:pPr>
        <w:spacing w:after="0" w:line="61" w:lineRule="exact"/>
        <w:rPr>
          <w:rFonts w:ascii="Arial" w:cs="Arial" w:eastAsia="Arial" w:hAnsi="Arial"/>
          <w:sz w:val="18"/>
          <w:szCs w:val="18"/>
          <w:color w:val="auto"/>
        </w:rPr>
      </w:pPr>
    </w:p>
    <w:p>
      <w:pPr>
        <w:ind w:left="1020" w:right="240" w:hanging="504"/>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our termination of our REIT election and the discontinuation of quarterly dividend payments and our ability to maximize the use of cash flows to repay debt, deleverage and internally fund growth;</w:t>
      </w:r>
    </w:p>
    <w:p>
      <w:pPr>
        <w:spacing w:after="0" w:line="61" w:lineRule="exact"/>
        <w:rPr>
          <w:rFonts w:ascii="Arial" w:cs="Arial" w:eastAsia="Arial" w:hAnsi="Arial"/>
          <w:sz w:val="18"/>
          <w:szCs w:val="18"/>
          <w:color w:val="auto"/>
        </w:rPr>
      </w:pPr>
    </w:p>
    <w:p>
      <w:pPr>
        <w:ind w:left="1020" w:right="140" w:hanging="504"/>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fail to realize the anticipated benefits of terminating our REIT election or those benefits may take longer to realize than expected, if at all, or may not offset the costs of terminating our REIT election and becoming a taxable C Corporation;</w:t>
      </w:r>
    </w:p>
    <w:p>
      <w:pPr>
        <w:spacing w:after="0" w:line="61" w:lineRule="exact"/>
        <w:rPr>
          <w:rFonts w:ascii="Arial" w:cs="Arial" w:eastAsia="Arial" w:hAnsi="Arial"/>
          <w:sz w:val="18"/>
          <w:szCs w:val="18"/>
          <w:color w:val="auto"/>
        </w:rPr>
      </w:pPr>
    </w:p>
    <w:p>
      <w:pPr>
        <w:ind w:left="1020" w:right="160" w:hanging="504"/>
        <w:spacing w:after="0" w:line="307"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we failed to remain qualified as a REIT for those years we elected REIT status, we would be subject to additional corporate income taxes and would not be able to deduct distributions to shareholders when computing our taxable income for those years;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72" w:name="page73"/>
    <w:bookmarkEnd w:id="72"/>
    <w:p>
      <w:pPr>
        <w:ind w:left="504" w:right="560" w:hanging="504"/>
        <w:spacing w:after="0" w:line="277" w:lineRule="auto"/>
        <w:tabs>
          <w:tab w:leader="none" w:pos="5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expand, diversify and grow our secure services, reentry, community-based services, monitoring services, evidence-based supervision and treatment programs and secure transportation services businesses;</w:t>
      </w:r>
    </w:p>
    <w:p>
      <w:pPr>
        <w:spacing w:after="0" w:line="61" w:lineRule="exact"/>
        <w:rPr>
          <w:rFonts w:ascii="Arial" w:cs="Arial" w:eastAsia="Arial" w:hAnsi="Arial"/>
          <w:sz w:val="18"/>
          <w:szCs w:val="18"/>
          <w:color w:val="auto"/>
        </w:rPr>
      </w:pPr>
    </w:p>
    <w:p>
      <w:pPr>
        <w:ind w:left="504" w:right="520" w:hanging="504"/>
        <w:spacing w:after="0" w:line="263" w:lineRule="auto"/>
        <w:tabs>
          <w:tab w:leader="none" w:pos="5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win management contracts for which we have submitted proposals, retain existing management contracts, prevail in any challenge or protest involving the award of a management contract and meet any performance standards required by such management contracts;</w:t>
      </w:r>
    </w:p>
    <w:p>
      <w:pPr>
        <w:spacing w:after="0" w:line="74" w:lineRule="exact"/>
        <w:rPr>
          <w:rFonts w:ascii="Arial" w:cs="Arial" w:eastAsia="Arial" w:hAnsi="Arial"/>
          <w:sz w:val="18"/>
          <w:szCs w:val="18"/>
          <w:color w:val="auto"/>
        </w:rPr>
      </w:pPr>
    </w:p>
    <w:p>
      <w:pPr>
        <w:ind w:left="504" w:right="120" w:hanging="504"/>
        <w:spacing w:after="0" w:line="277" w:lineRule="auto"/>
        <w:tabs>
          <w:tab w:leader="none" w:pos="5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raise new project development capital given the often short-term nature of the customers’ commitment to use newly developed facilities;</w:t>
      </w:r>
    </w:p>
    <w:p>
      <w:pPr>
        <w:spacing w:after="0" w:line="61" w:lineRule="exact"/>
        <w:rPr>
          <w:rFonts w:ascii="Arial" w:cs="Arial" w:eastAsia="Arial" w:hAnsi="Arial"/>
          <w:sz w:val="18"/>
          <w:szCs w:val="18"/>
          <w:color w:val="auto"/>
        </w:rPr>
      </w:pPr>
    </w:p>
    <w:p>
      <w:pPr>
        <w:ind w:left="504" w:hanging="504"/>
        <w:spacing w:after="0"/>
        <w:tabs>
          <w:tab w:leader="none" w:pos="5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develop long-term earnings visibility;</w:t>
      </w:r>
    </w:p>
    <w:p>
      <w:pPr>
        <w:spacing w:after="0" w:line="116" w:lineRule="exact"/>
        <w:rPr>
          <w:rFonts w:ascii="Arial" w:cs="Arial" w:eastAsia="Arial" w:hAnsi="Arial"/>
          <w:sz w:val="18"/>
          <w:szCs w:val="18"/>
          <w:color w:val="auto"/>
        </w:rPr>
      </w:pPr>
    </w:p>
    <w:p>
      <w:pPr>
        <w:ind w:left="504" w:hanging="504"/>
        <w:spacing w:after="0"/>
        <w:tabs>
          <w:tab w:leader="none" w:pos="504"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successfully conduct our operations in the United Kingdom, South Africa and Australia through joint ventures or a consortium;</w:t>
      </w:r>
    </w:p>
    <w:p>
      <w:pPr>
        <w:spacing w:after="0" w:line="139" w:lineRule="exact"/>
        <w:rPr>
          <w:rFonts w:ascii="Arial" w:cs="Arial" w:eastAsia="Arial" w:hAnsi="Arial"/>
          <w:sz w:val="16"/>
          <w:szCs w:val="16"/>
          <w:color w:val="auto"/>
        </w:rPr>
      </w:pPr>
    </w:p>
    <w:p>
      <w:pPr>
        <w:ind w:left="504" w:hanging="504"/>
        <w:spacing w:after="0"/>
        <w:tabs>
          <w:tab w:leader="none" w:pos="5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the LIBOR transition;</w:t>
      </w:r>
    </w:p>
    <w:p>
      <w:pPr>
        <w:spacing w:after="0" w:line="116" w:lineRule="exact"/>
        <w:rPr>
          <w:rFonts w:ascii="Arial" w:cs="Arial" w:eastAsia="Arial" w:hAnsi="Arial"/>
          <w:sz w:val="18"/>
          <w:szCs w:val="18"/>
          <w:color w:val="auto"/>
        </w:rPr>
      </w:pPr>
    </w:p>
    <w:p>
      <w:pPr>
        <w:ind w:left="504" w:right="40" w:hanging="504"/>
        <w:spacing w:after="0" w:line="277" w:lineRule="auto"/>
        <w:tabs>
          <w:tab w:leader="none" w:pos="5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instability of foreign exchange rates, exposing us to currency risks in Australia, the United Kingdom, and South Africa, or other countries in which we may choose to conduct our business;</w:t>
      </w:r>
    </w:p>
    <w:p>
      <w:pPr>
        <w:spacing w:after="0" w:line="61" w:lineRule="exact"/>
        <w:rPr>
          <w:rFonts w:ascii="Arial" w:cs="Arial" w:eastAsia="Arial" w:hAnsi="Arial"/>
          <w:sz w:val="18"/>
          <w:szCs w:val="18"/>
          <w:color w:val="auto"/>
        </w:rPr>
      </w:pPr>
    </w:p>
    <w:p>
      <w:pPr>
        <w:ind w:left="504" w:hanging="504"/>
        <w:spacing w:after="0"/>
        <w:tabs>
          <w:tab w:leader="none" w:pos="5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unreimbursed labor rates;</w:t>
      </w:r>
    </w:p>
    <w:p>
      <w:pPr>
        <w:spacing w:after="0" w:line="116" w:lineRule="exact"/>
        <w:rPr>
          <w:rFonts w:ascii="Arial" w:cs="Arial" w:eastAsia="Arial" w:hAnsi="Arial"/>
          <w:sz w:val="18"/>
          <w:szCs w:val="18"/>
          <w:color w:val="auto"/>
        </w:rPr>
      </w:pPr>
    </w:p>
    <w:p>
      <w:pPr>
        <w:ind w:left="504" w:hanging="504"/>
        <w:spacing w:after="0"/>
        <w:tabs>
          <w:tab w:leader="none" w:pos="5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exposure to rising medical costs;</w:t>
      </w:r>
    </w:p>
    <w:p>
      <w:pPr>
        <w:spacing w:after="0" w:line="116" w:lineRule="exact"/>
        <w:rPr>
          <w:rFonts w:ascii="Arial" w:cs="Arial" w:eastAsia="Arial" w:hAnsi="Arial"/>
          <w:sz w:val="18"/>
          <w:szCs w:val="18"/>
          <w:color w:val="auto"/>
        </w:rPr>
      </w:pPr>
    </w:p>
    <w:p>
      <w:pPr>
        <w:ind w:left="504" w:hanging="504"/>
        <w:spacing w:after="0"/>
        <w:tabs>
          <w:tab w:leader="none" w:pos="5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manage costs and expenses relating to ongoing litigation arising from our operations;</w:t>
      </w:r>
    </w:p>
    <w:p>
      <w:pPr>
        <w:spacing w:after="0" w:line="116" w:lineRule="exact"/>
        <w:rPr>
          <w:rFonts w:ascii="Arial" w:cs="Arial" w:eastAsia="Arial" w:hAnsi="Arial"/>
          <w:sz w:val="18"/>
          <w:szCs w:val="18"/>
          <w:color w:val="auto"/>
        </w:rPr>
      </w:pPr>
    </w:p>
    <w:p>
      <w:pPr>
        <w:ind w:left="504" w:hanging="504"/>
        <w:spacing w:after="0" w:line="263" w:lineRule="auto"/>
        <w:tabs>
          <w:tab w:leader="none" w:pos="5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successfully pursue an appeal to reverse the recent unfavorable verdict and judgments in the retrial of the lawsuits in the State of Washington, our company being required to record an accrual for the judgments in the future, and our ability to defend similar other pending litigation and the effect such litigation may have on our company;</w:t>
      </w:r>
    </w:p>
    <w:p>
      <w:pPr>
        <w:spacing w:after="0" w:line="74" w:lineRule="exact"/>
        <w:rPr>
          <w:rFonts w:ascii="Arial" w:cs="Arial" w:eastAsia="Arial" w:hAnsi="Arial"/>
          <w:sz w:val="18"/>
          <w:szCs w:val="18"/>
          <w:color w:val="auto"/>
        </w:rPr>
      </w:pPr>
    </w:p>
    <w:p>
      <w:pPr>
        <w:ind w:left="504" w:hanging="504"/>
        <w:spacing w:after="0"/>
        <w:tabs>
          <w:tab w:leader="none" w:pos="5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prevail in our challenge to EHB 1090 legislation that is pending in the State of Washington;</w:t>
      </w:r>
    </w:p>
    <w:p>
      <w:pPr>
        <w:spacing w:after="0" w:line="116" w:lineRule="exact"/>
        <w:rPr>
          <w:rFonts w:ascii="Arial" w:cs="Arial" w:eastAsia="Arial" w:hAnsi="Arial"/>
          <w:sz w:val="18"/>
          <w:szCs w:val="18"/>
          <w:color w:val="auto"/>
        </w:rPr>
      </w:pPr>
    </w:p>
    <w:p>
      <w:pPr>
        <w:ind w:left="504" w:right="60" w:hanging="504"/>
        <w:spacing w:after="0" w:line="277" w:lineRule="auto"/>
        <w:tabs>
          <w:tab w:leader="none" w:pos="5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accurately estimate on an annual basis, loss reserves related to general liability, workers’ compensation and automobile liability claims;</w:t>
      </w:r>
    </w:p>
    <w:p>
      <w:pPr>
        <w:spacing w:after="0" w:line="61" w:lineRule="exact"/>
        <w:rPr>
          <w:rFonts w:ascii="Arial" w:cs="Arial" w:eastAsia="Arial" w:hAnsi="Arial"/>
          <w:sz w:val="18"/>
          <w:szCs w:val="18"/>
          <w:color w:val="auto"/>
        </w:rPr>
      </w:pPr>
    </w:p>
    <w:p>
      <w:pPr>
        <w:ind w:left="504" w:hanging="504"/>
        <w:spacing w:after="0"/>
        <w:tabs>
          <w:tab w:leader="none" w:pos="5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fulfill our debt service obligations and its impact on our liquidity;</w:t>
      </w:r>
    </w:p>
    <w:p>
      <w:pPr>
        <w:spacing w:after="0" w:line="116" w:lineRule="exact"/>
        <w:rPr>
          <w:rFonts w:ascii="Arial" w:cs="Arial" w:eastAsia="Arial" w:hAnsi="Arial"/>
          <w:sz w:val="18"/>
          <w:szCs w:val="18"/>
          <w:color w:val="auto"/>
        </w:rPr>
      </w:pPr>
    </w:p>
    <w:p>
      <w:pPr>
        <w:ind w:left="504" w:hanging="504"/>
        <w:spacing w:after="0"/>
        <w:tabs>
          <w:tab w:leader="none" w:pos="504"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deleverage and repay, refinance or otherwise address our debt maturities in an amount or on the timeline we expect, or at all;</w:t>
      </w:r>
    </w:p>
    <w:p>
      <w:pPr>
        <w:spacing w:after="0" w:line="139" w:lineRule="exact"/>
        <w:rPr>
          <w:rFonts w:ascii="Arial" w:cs="Arial" w:eastAsia="Arial" w:hAnsi="Arial"/>
          <w:sz w:val="16"/>
          <w:szCs w:val="16"/>
          <w:color w:val="auto"/>
        </w:rPr>
      </w:pPr>
    </w:p>
    <w:p>
      <w:pPr>
        <w:ind w:left="504" w:right="920" w:hanging="504"/>
        <w:spacing w:after="0" w:line="277" w:lineRule="auto"/>
        <w:tabs>
          <w:tab w:leader="none" w:pos="5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despite current indebtedness levels, we may still incur more indebtedness, which could further exacerbate the risks relating to our indebtedness;</w:t>
      </w:r>
    </w:p>
    <w:p>
      <w:pPr>
        <w:spacing w:after="0" w:line="61" w:lineRule="exact"/>
        <w:rPr>
          <w:rFonts w:ascii="Arial" w:cs="Arial" w:eastAsia="Arial" w:hAnsi="Arial"/>
          <w:sz w:val="18"/>
          <w:szCs w:val="18"/>
          <w:color w:val="auto"/>
        </w:rPr>
      </w:pPr>
    </w:p>
    <w:p>
      <w:pPr>
        <w:ind w:left="504" w:right="120" w:hanging="504"/>
        <w:spacing w:after="0" w:line="286" w:lineRule="auto"/>
        <w:tabs>
          <w:tab w:leader="none" w:pos="504"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covenants in the indentures governing the Convertible Notes, the 6.00% Senior Notes due 2026, the 5.875% Senior Notes due 2024 and the covenants in the indentures governing the 2028 Registered Notes, the 2028 Private Exchange Notes and the Exchange Credit Agreement impose significant operating and financial restrictions which may adversely affect our ability to operate our business;</w:t>
      </w:r>
    </w:p>
    <w:p>
      <w:pPr>
        <w:spacing w:after="0" w:line="56" w:lineRule="exact"/>
        <w:rPr>
          <w:rFonts w:ascii="Arial" w:cs="Arial" w:eastAsia="Arial" w:hAnsi="Arial"/>
          <w:sz w:val="17"/>
          <w:szCs w:val="17"/>
          <w:color w:val="auto"/>
        </w:rPr>
      </w:pPr>
    </w:p>
    <w:p>
      <w:pPr>
        <w:ind w:left="504" w:right="360" w:hanging="504"/>
        <w:spacing w:after="0" w:line="277" w:lineRule="auto"/>
        <w:tabs>
          <w:tab w:leader="none" w:pos="5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servicing our indebtedness will require a significant amount of cash and our ability to generate cash depends on many factors beyond our control and we may not be able to generate the cash required to service our indebtedness;</w:t>
      </w:r>
    </w:p>
    <w:p>
      <w:pPr>
        <w:spacing w:after="0" w:line="61" w:lineRule="exact"/>
        <w:rPr>
          <w:rFonts w:ascii="Arial" w:cs="Arial" w:eastAsia="Arial" w:hAnsi="Arial"/>
          <w:sz w:val="18"/>
          <w:szCs w:val="18"/>
          <w:color w:val="auto"/>
        </w:rPr>
      </w:pPr>
    </w:p>
    <w:p>
      <w:pPr>
        <w:ind w:left="504" w:hanging="504"/>
        <w:spacing w:after="0"/>
        <w:tabs>
          <w:tab w:leader="none" w:pos="504" w:val="left"/>
        </w:tabs>
        <w:numPr>
          <w:ilvl w:val="0"/>
          <w:numId w:val="30"/>
        </w:numPr>
        <w:rPr>
          <w:rFonts w:ascii="Arial" w:cs="Arial" w:eastAsia="Arial" w:hAnsi="Arial"/>
          <w:sz w:val="17"/>
          <w:szCs w:val="17"/>
          <w:color w:val="auto"/>
        </w:rPr>
      </w:pPr>
      <w:r>
        <w:rPr>
          <w:rFonts w:ascii="Arial" w:cs="Arial" w:eastAsia="Arial" w:hAnsi="Arial"/>
          <w:sz w:val="17"/>
          <w:szCs w:val="17"/>
          <w:color w:val="auto"/>
        </w:rPr>
        <w:t>because portions of our senior indebtedness have floating interest rates, an increase in interest rates would adversely affect cash flows;</w:t>
      </w:r>
    </w:p>
    <w:p>
      <w:pPr>
        <w:spacing w:after="0" w:line="128" w:lineRule="exact"/>
        <w:rPr>
          <w:rFonts w:ascii="Arial" w:cs="Arial" w:eastAsia="Arial" w:hAnsi="Arial"/>
          <w:sz w:val="17"/>
          <w:szCs w:val="17"/>
          <w:color w:val="auto"/>
        </w:rPr>
      </w:pPr>
    </w:p>
    <w:p>
      <w:pPr>
        <w:ind w:left="504" w:hanging="504"/>
        <w:spacing w:after="0"/>
        <w:tabs>
          <w:tab w:leader="none" w:pos="504"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depend on distributions from our subsidiaries to make payments on our indebtedness and these distributions may not be made;</w:t>
      </w:r>
    </w:p>
    <w:p>
      <w:pPr>
        <w:spacing w:after="0" w:line="128" w:lineRule="exact"/>
        <w:rPr>
          <w:rFonts w:ascii="Arial" w:cs="Arial" w:eastAsia="Arial" w:hAnsi="Arial"/>
          <w:sz w:val="17"/>
          <w:szCs w:val="17"/>
          <w:color w:val="auto"/>
        </w:rPr>
      </w:pPr>
    </w:p>
    <w:p>
      <w:pPr>
        <w:ind w:left="504" w:right="160" w:hanging="504"/>
        <w:spacing w:after="0" w:line="277" w:lineRule="auto"/>
        <w:tabs>
          <w:tab w:leader="none" w:pos="5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be able to satisfy our repurchase obligations in the event of a change of control because the terms of our indebtedness or lack of funds may prevent us from doing so;</w:t>
      </w:r>
    </w:p>
    <w:p>
      <w:pPr>
        <w:spacing w:after="0" w:line="61" w:lineRule="exact"/>
        <w:rPr>
          <w:rFonts w:ascii="Arial" w:cs="Arial" w:eastAsia="Arial" w:hAnsi="Arial"/>
          <w:sz w:val="18"/>
          <w:szCs w:val="18"/>
          <w:color w:val="auto"/>
        </w:rPr>
      </w:pPr>
    </w:p>
    <w:p>
      <w:pPr>
        <w:ind w:left="504" w:hanging="504"/>
        <w:spacing w:after="0"/>
        <w:tabs>
          <w:tab w:leader="none" w:pos="504"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conditional exchange feature of the 6.5% Exchangeable Senior Notes, if triggered, may adversely affect our financial condition;</w:t>
      </w:r>
    </w:p>
    <w:p>
      <w:pPr>
        <w:spacing w:after="0" w:line="128" w:lineRule="exact"/>
        <w:rPr>
          <w:rFonts w:ascii="Arial" w:cs="Arial" w:eastAsia="Arial" w:hAnsi="Arial"/>
          <w:sz w:val="17"/>
          <w:szCs w:val="17"/>
          <w:color w:val="auto"/>
        </w:rPr>
      </w:pPr>
    </w:p>
    <w:p>
      <w:pPr>
        <w:ind w:left="504" w:right="440" w:hanging="504"/>
        <w:spacing w:after="0" w:line="341" w:lineRule="auto"/>
        <w:tabs>
          <w:tab w:leader="none" w:pos="504"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second lien notes and the related guarantees are effectively subordinated to our and our subsidiary guarantors' current senior secured indebtedness and structurally subordinated to the indebtedness of our subsidiaries that do not guarantee the second lien notes;</w:t>
      </w:r>
    </w:p>
    <w:p>
      <w:pPr>
        <w:spacing w:after="0" w:line="16" w:lineRule="exact"/>
        <w:rPr>
          <w:rFonts w:ascii="Arial" w:cs="Arial" w:eastAsia="Arial" w:hAnsi="Arial"/>
          <w:sz w:val="16"/>
          <w:szCs w:val="16"/>
          <w:color w:val="auto"/>
        </w:rPr>
      </w:pPr>
    </w:p>
    <w:p>
      <w:pPr>
        <w:ind w:left="504" w:hanging="504"/>
        <w:spacing w:after="0"/>
        <w:tabs>
          <w:tab w:leader="none" w:pos="5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may be difficult to realize the value of the collateral securing the second lien notes and related guarantees;</w:t>
      </w:r>
    </w:p>
    <w:p>
      <w:pPr>
        <w:spacing w:after="0" w:line="225"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4"/>
          </w:cols>
          <w:pgMar w:left="836" w:top="665" w:right="339" w:bottom="1440" w:gutter="0" w:footer="0" w:header="0"/>
        </w:sectPr>
      </w:pPr>
    </w:p>
    <w:bookmarkStart w:id="73" w:name="page74"/>
    <w:bookmarkEnd w:id="73"/>
    <w:p>
      <w:pPr>
        <w:ind w:left="504" w:right="320" w:hanging="504"/>
        <w:spacing w:after="0" w:line="277" w:lineRule="auto"/>
        <w:tabs>
          <w:tab w:leader="none" w:pos="5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identify and successfully complete any potential sales of additional Company-owned assets and businesses in commercially advantageous terms on a timely basis, or at all;</w:t>
      </w:r>
    </w:p>
    <w:p>
      <w:pPr>
        <w:spacing w:after="0" w:line="61" w:lineRule="exact"/>
        <w:rPr>
          <w:rFonts w:ascii="Arial" w:cs="Arial" w:eastAsia="Arial" w:hAnsi="Arial"/>
          <w:sz w:val="18"/>
          <w:szCs w:val="18"/>
          <w:color w:val="auto"/>
        </w:rPr>
      </w:pPr>
    </w:p>
    <w:p>
      <w:pPr>
        <w:ind w:left="504" w:right="40" w:hanging="504"/>
        <w:spacing w:after="0" w:line="263" w:lineRule="auto"/>
        <w:tabs>
          <w:tab w:leader="none" w:pos="5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from time to time, we may not have a management contract with a client to operate existing beds at a facility or new beds at a facility that we are expanding, and we cannot assure you that such a contract will be obtained. Failure to obtain a management contract for these beds will subject us to carrying costs with no corresponding management revenue;</w:t>
      </w:r>
    </w:p>
    <w:p>
      <w:pPr>
        <w:spacing w:after="0" w:line="74" w:lineRule="exact"/>
        <w:rPr>
          <w:rFonts w:ascii="Arial" w:cs="Arial" w:eastAsia="Arial" w:hAnsi="Arial"/>
          <w:sz w:val="18"/>
          <w:szCs w:val="18"/>
          <w:color w:val="auto"/>
        </w:rPr>
      </w:pPr>
    </w:p>
    <w:p>
      <w:pPr>
        <w:ind w:left="504" w:right="320" w:hanging="504"/>
        <w:spacing w:after="0" w:line="277" w:lineRule="auto"/>
        <w:tabs>
          <w:tab w:leader="none" w:pos="5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negative conditions in the capital markets could prevent us from obtaining financing on desirable terms, which could materially harm our business;</w:t>
      </w:r>
    </w:p>
    <w:p>
      <w:pPr>
        <w:spacing w:after="0" w:line="61" w:lineRule="exact"/>
        <w:rPr>
          <w:rFonts w:ascii="Arial" w:cs="Arial" w:eastAsia="Arial" w:hAnsi="Arial"/>
          <w:sz w:val="18"/>
          <w:szCs w:val="18"/>
          <w:color w:val="auto"/>
        </w:rPr>
      </w:pPr>
    </w:p>
    <w:p>
      <w:pPr>
        <w:jc w:val="both"/>
        <w:ind w:left="504" w:right="200" w:hanging="504"/>
        <w:spacing w:after="0" w:line="263" w:lineRule="auto"/>
        <w:tabs>
          <w:tab w:leader="none" w:pos="5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are subject to the loss of our facility management contracts, due to executive orders, terminations, non-renewals or competitive re-bids, which could adversely affect our results of operations and liquidity, including our ability to secure new facility management contracts from other government customers;</w:t>
      </w:r>
    </w:p>
    <w:p>
      <w:pPr>
        <w:spacing w:after="0" w:line="74" w:lineRule="exact"/>
        <w:rPr>
          <w:rFonts w:ascii="Arial" w:cs="Arial" w:eastAsia="Arial" w:hAnsi="Arial"/>
          <w:sz w:val="18"/>
          <w:szCs w:val="18"/>
          <w:color w:val="auto"/>
        </w:rPr>
      </w:pPr>
    </w:p>
    <w:p>
      <w:pPr>
        <w:ind w:left="504" w:hanging="504"/>
        <w:spacing w:after="0" w:line="263" w:lineRule="auto"/>
        <w:tabs>
          <w:tab w:leader="none" w:pos="5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growth depends on our ability to secure contracts to develop and manage new secure facilities, processing centers and community-based facilities and to secure contracts to provide electronic monitoring services, community-based reentry services and monitoring and supervision services, the demand for which is outside our control;</w:t>
      </w:r>
    </w:p>
    <w:p>
      <w:pPr>
        <w:spacing w:after="0" w:line="74" w:lineRule="exact"/>
        <w:rPr>
          <w:rFonts w:ascii="Arial" w:cs="Arial" w:eastAsia="Arial" w:hAnsi="Arial"/>
          <w:sz w:val="18"/>
          <w:szCs w:val="18"/>
          <w:color w:val="auto"/>
        </w:rPr>
      </w:pPr>
    </w:p>
    <w:p>
      <w:pPr>
        <w:ind w:left="504" w:right="560" w:hanging="504"/>
        <w:spacing w:after="0" w:line="277" w:lineRule="auto"/>
        <w:tabs>
          <w:tab w:leader="none" w:pos="5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be able to meet state requirements for capital investment or locate land for the development of new facilities, which could adversely affect our results of operations and future growth;</w:t>
      </w:r>
    </w:p>
    <w:p>
      <w:pPr>
        <w:spacing w:after="0" w:line="61" w:lineRule="exact"/>
        <w:rPr>
          <w:rFonts w:ascii="Arial" w:cs="Arial" w:eastAsia="Arial" w:hAnsi="Arial"/>
          <w:sz w:val="18"/>
          <w:szCs w:val="18"/>
          <w:color w:val="auto"/>
        </w:rPr>
      </w:pPr>
    </w:p>
    <w:p>
      <w:pPr>
        <w:ind w:left="504" w:right="680" w:hanging="504"/>
        <w:spacing w:after="0" w:line="341" w:lineRule="auto"/>
        <w:tabs>
          <w:tab w:leader="none" w:pos="504"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partner with a limited number of governmental customers who account for a significant portion of our revenues. The loss of, or a significant decrease in revenues from, these customers could seriously harm our financial condition and results of operations;</w:t>
      </w:r>
    </w:p>
    <w:p>
      <w:pPr>
        <w:spacing w:after="0" w:line="16" w:lineRule="exact"/>
        <w:rPr>
          <w:rFonts w:ascii="Arial" w:cs="Arial" w:eastAsia="Arial" w:hAnsi="Arial"/>
          <w:sz w:val="16"/>
          <w:szCs w:val="16"/>
          <w:color w:val="auto"/>
        </w:rPr>
      </w:pPr>
    </w:p>
    <w:p>
      <w:pPr>
        <w:ind w:left="504" w:hanging="504"/>
        <w:spacing w:after="0"/>
        <w:tabs>
          <w:tab w:leader="none" w:pos="5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State budgetary constraints may have a material adverse impact on us;</w:t>
      </w:r>
    </w:p>
    <w:p>
      <w:pPr>
        <w:spacing w:after="0" w:line="116" w:lineRule="exact"/>
        <w:rPr>
          <w:rFonts w:ascii="Arial" w:cs="Arial" w:eastAsia="Arial" w:hAnsi="Arial"/>
          <w:sz w:val="18"/>
          <w:szCs w:val="18"/>
          <w:color w:val="auto"/>
        </w:rPr>
      </w:pPr>
    </w:p>
    <w:p>
      <w:pPr>
        <w:ind w:left="504" w:hanging="504"/>
        <w:spacing w:after="0"/>
        <w:tabs>
          <w:tab w:leader="none" w:pos="5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competition for contracts may adversely affect the profitability of our business;</w:t>
      </w:r>
    </w:p>
    <w:p>
      <w:pPr>
        <w:spacing w:after="0" w:line="116" w:lineRule="exact"/>
        <w:rPr>
          <w:rFonts w:ascii="Arial" w:cs="Arial" w:eastAsia="Arial" w:hAnsi="Arial"/>
          <w:sz w:val="18"/>
          <w:szCs w:val="18"/>
          <w:color w:val="auto"/>
        </w:rPr>
      </w:pPr>
    </w:p>
    <w:p>
      <w:pPr>
        <w:ind w:left="504" w:right="540" w:hanging="504"/>
        <w:spacing w:after="0" w:line="277" w:lineRule="auto"/>
        <w:tabs>
          <w:tab w:leader="none" w:pos="5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are dependent on government appropriations, which may not be made on a timely basis or at all and may be adversely impacted by budgetary constraints at the federal, state, local and foreign government levels;</w:t>
      </w:r>
    </w:p>
    <w:p>
      <w:pPr>
        <w:spacing w:after="0" w:line="61" w:lineRule="exact"/>
        <w:rPr>
          <w:rFonts w:ascii="Arial" w:cs="Arial" w:eastAsia="Arial" w:hAnsi="Arial"/>
          <w:sz w:val="18"/>
          <w:szCs w:val="18"/>
          <w:color w:val="auto"/>
        </w:rPr>
      </w:pPr>
    </w:p>
    <w:p>
      <w:pPr>
        <w:ind w:left="504" w:right="80" w:hanging="504"/>
        <w:spacing w:after="0" w:line="279" w:lineRule="auto"/>
        <w:tabs>
          <w:tab w:leader="none" w:pos="504" w:val="left"/>
        </w:tabs>
        <w:numPr>
          <w:ilvl w:val="0"/>
          <w:numId w:val="31"/>
        </w:numPr>
        <w:rPr>
          <w:rFonts w:ascii="Arial" w:cs="Arial" w:eastAsia="Arial" w:hAnsi="Arial"/>
          <w:sz w:val="17"/>
          <w:szCs w:val="17"/>
          <w:color w:val="auto"/>
        </w:rPr>
      </w:pPr>
      <w:r>
        <w:rPr>
          <w:rFonts w:ascii="Arial" w:cs="Arial" w:eastAsia="Arial" w:hAnsi="Arial"/>
          <w:sz w:val="17"/>
          <w:szCs w:val="17"/>
          <w:color w:val="auto"/>
        </w:rPr>
        <w:t>public and political resistance to the use of public-private partnerships for secure facilities, electronic monitoring and supervision as alternatives to detention, processing centers and community reentry centers could result in our inability to obtain new contracts or the loss of existing contracts, impact our ability to obtain or refinance debt financing or enter into commercial arrangements, which could have a material adverse effect on our business, financial condition, results of operations and the market price of our securities;</w:t>
      </w:r>
    </w:p>
    <w:p>
      <w:pPr>
        <w:spacing w:after="0" w:line="61" w:lineRule="exact"/>
        <w:rPr>
          <w:rFonts w:ascii="Arial" w:cs="Arial" w:eastAsia="Arial" w:hAnsi="Arial"/>
          <w:sz w:val="17"/>
          <w:szCs w:val="17"/>
          <w:color w:val="auto"/>
        </w:rPr>
      </w:pPr>
    </w:p>
    <w:p>
      <w:pPr>
        <w:ind w:left="504" w:hanging="504"/>
        <w:spacing w:after="0"/>
        <w:tabs>
          <w:tab w:leader="none" w:pos="5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publicity may negatively impact our ability to retain existing contracts and obtain new contracts;</w:t>
      </w:r>
    </w:p>
    <w:p>
      <w:pPr>
        <w:spacing w:after="0" w:line="116" w:lineRule="exact"/>
        <w:rPr>
          <w:rFonts w:ascii="Arial" w:cs="Arial" w:eastAsia="Arial" w:hAnsi="Arial"/>
          <w:sz w:val="18"/>
          <w:szCs w:val="18"/>
          <w:color w:val="auto"/>
        </w:rPr>
      </w:pPr>
    </w:p>
    <w:p>
      <w:pPr>
        <w:ind w:left="504" w:right="180" w:hanging="504"/>
        <w:spacing w:after="0" w:line="277" w:lineRule="auto"/>
        <w:tabs>
          <w:tab w:leader="none" w:pos="5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incur significant start-up and operating costs on new contracts before receiving related revenues, which may impact our cash flows and may not be recouped;</w:t>
      </w:r>
    </w:p>
    <w:p>
      <w:pPr>
        <w:spacing w:after="0" w:line="61" w:lineRule="exact"/>
        <w:rPr>
          <w:rFonts w:ascii="Arial" w:cs="Arial" w:eastAsia="Arial" w:hAnsi="Arial"/>
          <w:sz w:val="18"/>
          <w:szCs w:val="18"/>
          <w:color w:val="auto"/>
        </w:rPr>
      </w:pPr>
    </w:p>
    <w:p>
      <w:pPr>
        <w:ind w:left="504" w:right="140" w:hanging="504"/>
        <w:spacing w:after="0" w:line="277" w:lineRule="auto"/>
        <w:tabs>
          <w:tab w:leader="none" w:pos="5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comply with extensive government regulation and applicable contractual requirements could have a material adverse effect on our business, financial condition or results of operations;</w:t>
      </w:r>
    </w:p>
    <w:p>
      <w:pPr>
        <w:spacing w:after="0" w:line="61" w:lineRule="exact"/>
        <w:rPr>
          <w:rFonts w:ascii="Arial" w:cs="Arial" w:eastAsia="Arial" w:hAnsi="Arial"/>
          <w:sz w:val="18"/>
          <w:szCs w:val="18"/>
          <w:color w:val="auto"/>
        </w:rPr>
      </w:pPr>
    </w:p>
    <w:p>
      <w:pPr>
        <w:ind w:left="504" w:hanging="504"/>
        <w:spacing w:after="0"/>
        <w:tabs>
          <w:tab w:leader="none" w:pos="5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face community opposition to facility locations, which may adversely affect our ability to obtain new contracts;</w:t>
      </w:r>
    </w:p>
    <w:p>
      <w:pPr>
        <w:spacing w:after="0" w:line="116" w:lineRule="exact"/>
        <w:rPr>
          <w:rFonts w:ascii="Arial" w:cs="Arial" w:eastAsia="Arial" w:hAnsi="Arial"/>
          <w:sz w:val="18"/>
          <w:szCs w:val="18"/>
          <w:color w:val="auto"/>
        </w:rPr>
      </w:pPr>
    </w:p>
    <w:p>
      <w:pPr>
        <w:ind w:left="504" w:right="20" w:hanging="504"/>
        <w:spacing w:after="0" w:line="277" w:lineRule="auto"/>
        <w:tabs>
          <w:tab w:leader="none" w:pos="5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business operations expose us to various liabilities for which we may not have adequate insurance and may have a material adverse effect on our business, financial condition or results of operations;</w:t>
      </w:r>
    </w:p>
    <w:p>
      <w:pPr>
        <w:spacing w:after="0" w:line="61" w:lineRule="exact"/>
        <w:rPr>
          <w:rFonts w:ascii="Arial" w:cs="Arial" w:eastAsia="Arial" w:hAnsi="Arial"/>
          <w:sz w:val="18"/>
          <w:szCs w:val="18"/>
          <w:color w:val="auto"/>
        </w:rPr>
      </w:pPr>
    </w:p>
    <w:p>
      <w:pPr>
        <w:ind w:left="504" w:hanging="504"/>
        <w:spacing w:after="0"/>
        <w:tabs>
          <w:tab w:leader="none" w:pos="5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be able to obtain or maintain the insurance levels required by our government contracts;</w:t>
      </w:r>
    </w:p>
    <w:p>
      <w:pPr>
        <w:spacing w:after="0" w:line="116" w:lineRule="exact"/>
        <w:rPr>
          <w:rFonts w:ascii="Arial" w:cs="Arial" w:eastAsia="Arial" w:hAnsi="Arial"/>
          <w:sz w:val="18"/>
          <w:szCs w:val="18"/>
          <w:color w:val="auto"/>
        </w:rPr>
      </w:pPr>
    </w:p>
    <w:p>
      <w:pPr>
        <w:ind w:left="504" w:hanging="504"/>
        <w:spacing w:after="0"/>
        <w:tabs>
          <w:tab w:leader="none" w:pos="5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exposure to rising general insurance costs;</w:t>
      </w:r>
    </w:p>
    <w:p>
      <w:pPr>
        <w:spacing w:after="0" w:line="116" w:lineRule="exact"/>
        <w:rPr>
          <w:rFonts w:ascii="Arial" w:cs="Arial" w:eastAsia="Arial" w:hAnsi="Arial"/>
          <w:sz w:val="18"/>
          <w:szCs w:val="18"/>
          <w:color w:val="auto"/>
        </w:rPr>
      </w:pPr>
    </w:p>
    <w:p>
      <w:pPr>
        <w:ind w:left="504" w:right="300" w:hanging="504"/>
        <w:spacing w:after="0" w:line="277" w:lineRule="auto"/>
        <w:tabs>
          <w:tab w:leader="none" w:pos="5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natural disasters, pandemic outbreaks, global political events and other serious catastrophic events could disrupt operations and otherwise materially adversely affect our business and financial condition;</w:t>
      </w:r>
    </w:p>
    <w:p>
      <w:pPr>
        <w:spacing w:after="0" w:line="61" w:lineRule="exact"/>
        <w:rPr>
          <w:rFonts w:ascii="Arial" w:cs="Arial" w:eastAsia="Arial" w:hAnsi="Arial"/>
          <w:sz w:val="18"/>
          <w:szCs w:val="18"/>
          <w:color w:val="auto"/>
        </w:rPr>
      </w:pPr>
    </w:p>
    <w:p>
      <w:pPr>
        <w:ind w:left="504" w:hanging="504"/>
        <w:spacing w:after="0"/>
        <w:tabs>
          <w:tab w:leader="none" w:pos="504"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international operations expose us to risks that could materially adversely affect our financial condition and results of operations;</w:t>
      </w:r>
    </w:p>
    <w:p>
      <w:pPr>
        <w:spacing w:after="0" w:line="128" w:lineRule="exact"/>
        <w:rPr>
          <w:rFonts w:ascii="Arial" w:cs="Arial" w:eastAsia="Arial" w:hAnsi="Arial"/>
          <w:sz w:val="17"/>
          <w:szCs w:val="17"/>
          <w:color w:val="auto"/>
        </w:rPr>
      </w:pPr>
    </w:p>
    <w:p>
      <w:pPr>
        <w:ind w:left="504" w:right="100" w:hanging="504"/>
        <w:spacing w:after="0" w:line="277" w:lineRule="auto"/>
        <w:tabs>
          <w:tab w:leader="none" w:pos="5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conduct certain of our operations through joint ventures or consortiums, which may lead to disagreements with our joint venture partners or business partners and adversely affect our interest in the joint ventures or consortiums;</w:t>
      </w:r>
    </w:p>
    <w:p>
      <w:pPr>
        <w:spacing w:after="0" w:line="61" w:lineRule="exact"/>
        <w:rPr>
          <w:rFonts w:ascii="Arial" w:cs="Arial" w:eastAsia="Arial" w:hAnsi="Arial"/>
          <w:sz w:val="18"/>
          <w:szCs w:val="18"/>
          <w:color w:val="auto"/>
        </w:rPr>
      </w:pPr>
    </w:p>
    <w:p>
      <w:pPr>
        <w:ind w:left="504" w:hanging="504"/>
        <w:spacing w:after="0"/>
        <w:tabs>
          <w:tab w:leader="none" w:pos="5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are dependent upon our senior management and our ability to attract and retain sufficient qualified personnel;</w:t>
      </w:r>
    </w:p>
    <w:p>
      <w:pPr>
        <w:spacing w:after="0" w:line="116" w:lineRule="exact"/>
        <w:rPr>
          <w:rFonts w:ascii="Arial" w:cs="Arial" w:eastAsia="Arial" w:hAnsi="Arial"/>
          <w:sz w:val="18"/>
          <w:szCs w:val="18"/>
          <w:color w:val="auto"/>
        </w:rPr>
      </w:pPr>
    </w:p>
    <w:p>
      <w:pPr>
        <w:ind w:left="504" w:hanging="504"/>
        <w:spacing w:after="0"/>
        <w:tabs>
          <w:tab w:leader="none" w:pos="5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profitability may be materially adversely affected by inflation;</w:t>
      </w:r>
    </w:p>
    <w:p>
      <w:pPr>
        <w:spacing w:after="0" w:line="225" w:lineRule="exact"/>
        <w:rPr>
          <w:sz w:val="20"/>
          <w:szCs w:val="20"/>
          <w:color w:val="auto"/>
        </w:rPr>
      </w:pPr>
    </w:p>
    <w:p>
      <w:pPr>
        <w:jc w:val="center"/>
        <w:ind w:right="476"/>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4"/>
          </w:cols>
          <w:pgMar w:left="836" w:top="665" w:right="359" w:bottom="1440" w:gutter="0" w:footer="0" w:header="0"/>
        </w:sectPr>
      </w:pPr>
    </w:p>
    <w:bookmarkStart w:id="74" w:name="page75"/>
    <w:bookmarkEnd w:id="74"/>
    <w:p>
      <w:pPr>
        <w:ind w:left="504" w:right="80" w:hanging="504"/>
        <w:spacing w:after="0" w:line="277" w:lineRule="auto"/>
        <w:tabs>
          <w:tab w:leader="none" w:pos="5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various risks associated with the ownership of real estate may increase costs, expose us to uninsured losses and adversely affect our financial condition and results of operations;</w:t>
      </w:r>
    </w:p>
    <w:p>
      <w:pPr>
        <w:spacing w:after="0" w:line="61" w:lineRule="exact"/>
        <w:rPr>
          <w:rFonts w:ascii="Arial" w:cs="Arial" w:eastAsia="Arial" w:hAnsi="Arial"/>
          <w:sz w:val="18"/>
          <w:szCs w:val="18"/>
          <w:color w:val="auto"/>
        </w:rPr>
      </w:pPr>
    </w:p>
    <w:p>
      <w:pPr>
        <w:ind w:left="504" w:hanging="504"/>
        <w:spacing w:after="0"/>
        <w:tabs>
          <w:tab w:leader="none" w:pos="5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related to facility construction and development activities may increase our costs related to such activities;</w:t>
      </w:r>
    </w:p>
    <w:p>
      <w:pPr>
        <w:spacing w:after="0" w:line="116" w:lineRule="exact"/>
        <w:rPr>
          <w:rFonts w:ascii="Arial" w:cs="Arial" w:eastAsia="Arial" w:hAnsi="Arial"/>
          <w:sz w:val="18"/>
          <w:szCs w:val="18"/>
          <w:color w:val="auto"/>
        </w:rPr>
      </w:pPr>
    </w:p>
    <w:p>
      <w:pPr>
        <w:ind w:left="504" w:right="180" w:hanging="504"/>
        <w:spacing w:after="0" w:line="277" w:lineRule="auto"/>
        <w:tabs>
          <w:tab w:leader="none" w:pos="5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rising cost and increasing difficulty of obtaining adequate levels of surety credit on favorable terms could adversely affect our operating results;</w:t>
      </w:r>
    </w:p>
    <w:p>
      <w:pPr>
        <w:spacing w:after="0" w:line="61" w:lineRule="exact"/>
        <w:rPr>
          <w:rFonts w:ascii="Arial" w:cs="Arial" w:eastAsia="Arial" w:hAnsi="Arial"/>
          <w:sz w:val="18"/>
          <w:szCs w:val="18"/>
          <w:color w:val="auto"/>
        </w:rPr>
      </w:pPr>
    </w:p>
    <w:p>
      <w:pPr>
        <w:ind w:left="504" w:hanging="504"/>
        <w:spacing w:after="0"/>
        <w:tabs>
          <w:tab w:leader="none" w:pos="504"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adverse developments in our relationship with our employees could adversely affect our business, financial condition or results of operations;</w:t>
      </w:r>
    </w:p>
    <w:p>
      <w:pPr>
        <w:spacing w:after="0" w:line="139" w:lineRule="exact"/>
        <w:rPr>
          <w:rFonts w:ascii="Arial" w:cs="Arial" w:eastAsia="Arial" w:hAnsi="Arial"/>
          <w:sz w:val="16"/>
          <w:szCs w:val="16"/>
          <w:color w:val="auto"/>
        </w:rPr>
      </w:pPr>
    </w:p>
    <w:p>
      <w:pPr>
        <w:ind w:left="504" w:right="460" w:hanging="504"/>
        <w:spacing w:after="0" w:line="277" w:lineRule="auto"/>
        <w:tabs>
          <w:tab w:leader="none" w:pos="5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technological changes could cause our electronic monitoring products and technology to become obsolete or require the redesign of our electronic monitoring products, which could have a material adverse effect on our business;</w:t>
      </w:r>
    </w:p>
    <w:p>
      <w:pPr>
        <w:spacing w:after="0" w:line="61" w:lineRule="exact"/>
        <w:rPr>
          <w:rFonts w:ascii="Arial" w:cs="Arial" w:eastAsia="Arial" w:hAnsi="Arial"/>
          <w:sz w:val="18"/>
          <w:szCs w:val="18"/>
          <w:color w:val="auto"/>
        </w:rPr>
      </w:pPr>
    </w:p>
    <w:p>
      <w:pPr>
        <w:ind w:left="504" w:right="280" w:hanging="504"/>
        <w:spacing w:after="0" w:line="277" w:lineRule="auto"/>
        <w:tabs>
          <w:tab w:leader="none" w:pos="5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negative changes in the level of acceptance of or resistance to the use of electronic monitoring products and services by governmental customers could have a material adverse effect on our business, financial condition and results of operations;</w:t>
      </w:r>
    </w:p>
    <w:p>
      <w:pPr>
        <w:spacing w:after="0" w:line="61" w:lineRule="exact"/>
        <w:rPr>
          <w:rFonts w:ascii="Arial" w:cs="Arial" w:eastAsia="Arial" w:hAnsi="Arial"/>
          <w:sz w:val="18"/>
          <w:szCs w:val="18"/>
          <w:color w:val="auto"/>
        </w:rPr>
      </w:pPr>
    </w:p>
    <w:p>
      <w:pPr>
        <w:ind w:left="504" w:hanging="504"/>
        <w:spacing w:after="0" w:line="263" w:lineRule="auto"/>
        <w:tabs>
          <w:tab w:leader="none" w:pos="5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depend on a limited number of third parties to manufacture and supply quality infrastructure components for our electronic monitoring products. If our suppliers cannot provide the components or services we require in a timely manner and/or with such quality as we expect, our ability to market and sell our electronic monitoring products and services could be harmed;</w:t>
      </w:r>
    </w:p>
    <w:p>
      <w:pPr>
        <w:spacing w:after="0" w:line="74" w:lineRule="exact"/>
        <w:rPr>
          <w:rFonts w:ascii="Arial" w:cs="Arial" w:eastAsia="Arial" w:hAnsi="Arial"/>
          <w:sz w:val="18"/>
          <w:szCs w:val="18"/>
          <w:color w:val="auto"/>
        </w:rPr>
      </w:pPr>
    </w:p>
    <w:p>
      <w:pPr>
        <w:ind w:left="504" w:hanging="504"/>
        <w:spacing w:after="0"/>
        <w:tabs>
          <w:tab w:leader="none" w:pos="5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interruption, delay or failure of the provision of our services or information systems could adversely affect our business;</w:t>
      </w:r>
    </w:p>
    <w:p>
      <w:pPr>
        <w:spacing w:after="0" w:line="116" w:lineRule="exact"/>
        <w:rPr>
          <w:rFonts w:ascii="Arial" w:cs="Arial" w:eastAsia="Arial" w:hAnsi="Arial"/>
          <w:sz w:val="18"/>
          <w:szCs w:val="18"/>
          <w:color w:val="auto"/>
        </w:rPr>
      </w:pPr>
    </w:p>
    <w:p>
      <w:pPr>
        <w:ind w:left="504" w:right="220" w:hanging="504"/>
        <w:spacing w:after="0" w:line="277" w:lineRule="auto"/>
        <w:tabs>
          <w:tab w:leader="none" w:pos="5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inability to acquire, protect or maintain our intellectual property and patents in the electronic monitoring space could harm our ability to compete or grow;</w:t>
      </w:r>
    </w:p>
    <w:p>
      <w:pPr>
        <w:spacing w:after="0" w:line="61" w:lineRule="exact"/>
        <w:rPr>
          <w:rFonts w:ascii="Arial" w:cs="Arial" w:eastAsia="Arial" w:hAnsi="Arial"/>
          <w:sz w:val="18"/>
          <w:szCs w:val="18"/>
          <w:color w:val="auto"/>
        </w:rPr>
      </w:pPr>
    </w:p>
    <w:p>
      <w:pPr>
        <w:ind w:left="504" w:right="60" w:hanging="504"/>
        <w:spacing w:after="0" w:line="263" w:lineRule="auto"/>
        <w:tabs>
          <w:tab w:leader="none" w:pos="5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electronic monitoring products could infringe on the intellectual property rights of others, which may lead to litigation that could itself be costly, could result in the payment of substantial damages or royalties, and/or prevent us from using technology that is essential to our products;</w:t>
      </w:r>
    </w:p>
    <w:p>
      <w:pPr>
        <w:spacing w:after="0" w:line="74" w:lineRule="exact"/>
        <w:rPr>
          <w:rFonts w:ascii="Arial" w:cs="Arial" w:eastAsia="Arial" w:hAnsi="Arial"/>
          <w:sz w:val="18"/>
          <w:szCs w:val="18"/>
          <w:color w:val="auto"/>
        </w:rPr>
      </w:pPr>
    </w:p>
    <w:p>
      <w:pPr>
        <w:ind w:left="504" w:right="240" w:hanging="504"/>
        <w:spacing w:after="0" w:line="263" w:lineRule="auto"/>
        <w:tabs>
          <w:tab w:leader="none" w:pos="5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license intellectual property rights in the electronic monitoring space, including patents, from third party owners. If such owners do not properly maintain or enforce the intellectual property underlying such licenses, our competitive position and business prospects could be harmed. Our licensors may also seek to terminate our license;</w:t>
      </w:r>
    </w:p>
    <w:p>
      <w:pPr>
        <w:spacing w:after="0" w:line="74" w:lineRule="exact"/>
        <w:rPr>
          <w:rFonts w:ascii="Arial" w:cs="Arial" w:eastAsia="Arial" w:hAnsi="Arial"/>
          <w:sz w:val="18"/>
          <w:szCs w:val="18"/>
          <w:color w:val="auto"/>
        </w:rPr>
      </w:pPr>
    </w:p>
    <w:p>
      <w:pPr>
        <w:jc w:val="both"/>
        <w:ind w:left="504" w:right="140" w:hanging="504"/>
        <w:spacing w:after="0" w:line="341" w:lineRule="auto"/>
        <w:tabs>
          <w:tab w:leader="none" w:pos="504"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may be subject to costly product liability claims from the use of our electronic monitoring products, which could damage our reputation, impair the marketability of our products and services and force us to pay costs and damages that may not be covered by adequate insurance;</w:t>
      </w:r>
    </w:p>
    <w:p>
      <w:pPr>
        <w:spacing w:after="0" w:line="16" w:lineRule="exact"/>
        <w:rPr>
          <w:rFonts w:ascii="Arial" w:cs="Arial" w:eastAsia="Arial" w:hAnsi="Arial"/>
          <w:sz w:val="16"/>
          <w:szCs w:val="16"/>
          <w:color w:val="auto"/>
        </w:rPr>
      </w:pPr>
    </w:p>
    <w:p>
      <w:pPr>
        <w:ind w:left="504" w:hanging="504"/>
        <w:spacing w:after="0"/>
        <w:tabs>
          <w:tab w:leader="none" w:pos="5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identify suitable acquisitions or dispositions, and to successfully complete such acquistitons or dispositions;</w:t>
      </w:r>
    </w:p>
    <w:p>
      <w:pPr>
        <w:spacing w:after="0" w:line="116" w:lineRule="exact"/>
        <w:rPr>
          <w:rFonts w:ascii="Arial" w:cs="Arial" w:eastAsia="Arial" w:hAnsi="Arial"/>
          <w:sz w:val="18"/>
          <w:szCs w:val="18"/>
          <w:color w:val="auto"/>
        </w:rPr>
      </w:pPr>
    </w:p>
    <w:p>
      <w:pPr>
        <w:ind w:left="504" w:right="200" w:hanging="504"/>
        <w:spacing w:after="0" w:line="263" w:lineRule="auto"/>
        <w:tabs>
          <w:tab w:leader="none" w:pos="5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a result of our acquisitions, we have recorded and will continue to record a significant amount of goodwill and other intangible assets. In the future, our goodwill or other intangible assets may become impaired, which could result in material non-cash charges to our results of operations;</w:t>
      </w:r>
    </w:p>
    <w:p>
      <w:pPr>
        <w:spacing w:after="0" w:line="74" w:lineRule="exact"/>
        <w:rPr>
          <w:rFonts w:ascii="Arial" w:cs="Arial" w:eastAsia="Arial" w:hAnsi="Arial"/>
          <w:sz w:val="18"/>
          <w:szCs w:val="18"/>
          <w:color w:val="auto"/>
        </w:rPr>
      </w:pPr>
    </w:p>
    <w:p>
      <w:pPr>
        <w:ind w:left="504" w:hanging="504"/>
        <w:spacing w:after="0"/>
        <w:tabs>
          <w:tab w:leader="none" w:pos="5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are subject to risks related to corporate social responsibility;</w:t>
      </w:r>
    </w:p>
    <w:p>
      <w:pPr>
        <w:spacing w:after="0" w:line="116" w:lineRule="exact"/>
        <w:rPr>
          <w:rFonts w:ascii="Arial" w:cs="Arial" w:eastAsia="Arial" w:hAnsi="Arial"/>
          <w:sz w:val="18"/>
          <w:szCs w:val="18"/>
          <w:color w:val="auto"/>
        </w:rPr>
      </w:pPr>
    </w:p>
    <w:p>
      <w:pPr>
        <w:ind w:left="504" w:hanging="504"/>
        <w:spacing w:after="0"/>
        <w:tabs>
          <w:tab w:leader="none" w:pos="5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market price of our common stock may vary substantially;</w:t>
      </w:r>
    </w:p>
    <w:p>
      <w:pPr>
        <w:spacing w:after="0" w:line="116" w:lineRule="exact"/>
        <w:rPr>
          <w:rFonts w:ascii="Arial" w:cs="Arial" w:eastAsia="Arial" w:hAnsi="Arial"/>
          <w:sz w:val="18"/>
          <w:szCs w:val="18"/>
          <w:color w:val="auto"/>
        </w:rPr>
      </w:pPr>
    </w:p>
    <w:p>
      <w:pPr>
        <w:ind w:left="504" w:right="620" w:hanging="504"/>
        <w:spacing w:after="0" w:line="277" w:lineRule="auto"/>
        <w:tabs>
          <w:tab w:leader="none" w:pos="5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future sales of shares of our common stock or securities convertible into common stock could adversely affect the market price of our common stock and may be dilutive to current shareholders;</w:t>
      </w:r>
    </w:p>
    <w:p>
      <w:pPr>
        <w:spacing w:after="0" w:line="61" w:lineRule="exact"/>
        <w:rPr>
          <w:rFonts w:ascii="Arial" w:cs="Arial" w:eastAsia="Arial" w:hAnsi="Arial"/>
          <w:sz w:val="18"/>
          <w:szCs w:val="18"/>
          <w:color w:val="auto"/>
        </w:rPr>
      </w:pPr>
    </w:p>
    <w:p>
      <w:pPr>
        <w:ind w:left="504" w:right="180" w:hanging="504"/>
        <w:spacing w:after="0" w:line="277" w:lineRule="auto"/>
        <w:tabs>
          <w:tab w:leader="none" w:pos="5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various anti-takeover protections applicable to us may make an acquisition of us more difficult and reduce the market value of our common stock;</w:t>
      </w:r>
    </w:p>
    <w:p>
      <w:pPr>
        <w:spacing w:after="0" w:line="61" w:lineRule="exact"/>
        <w:rPr>
          <w:rFonts w:ascii="Arial" w:cs="Arial" w:eastAsia="Arial" w:hAnsi="Arial"/>
          <w:sz w:val="18"/>
          <w:szCs w:val="18"/>
          <w:color w:val="auto"/>
        </w:rPr>
      </w:pPr>
    </w:p>
    <w:p>
      <w:pPr>
        <w:ind w:left="504" w:right="60" w:hanging="504"/>
        <w:spacing w:after="0" w:line="277" w:lineRule="auto"/>
        <w:tabs>
          <w:tab w:leader="none" w:pos="5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maintain effective internal controls in accordance with Section 404 of the Sarbanes-Oxley Act of 2002 could have an adverse effect on our business and the trading price of our common stock;</w:t>
      </w:r>
    </w:p>
    <w:p>
      <w:pPr>
        <w:spacing w:after="0" w:line="61" w:lineRule="exact"/>
        <w:rPr>
          <w:rFonts w:ascii="Arial" w:cs="Arial" w:eastAsia="Arial" w:hAnsi="Arial"/>
          <w:sz w:val="18"/>
          <w:szCs w:val="18"/>
          <w:color w:val="auto"/>
        </w:rPr>
      </w:pPr>
    </w:p>
    <w:p>
      <w:pPr>
        <w:ind w:left="504" w:hanging="504"/>
        <w:spacing w:after="0"/>
        <w:tabs>
          <w:tab w:leader="none" w:pos="504"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issue additional debt securities that could limit our operating flexibility and negatively affect the value of our common stock;</w:t>
      </w:r>
    </w:p>
    <w:p>
      <w:pPr>
        <w:spacing w:after="0" w:line="128" w:lineRule="exact"/>
        <w:rPr>
          <w:rFonts w:ascii="Arial" w:cs="Arial" w:eastAsia="Arial" w:hAnsi="Arial"/>
          <w:sz w:val="17"/>
          <w:szCs w:val="17"/>
          <w:color w:val="auto"/>
        </w:rPr>
      </w:pPr>
    </w:p>
    <w:p>
      <w:pPr>
        <w:ind w:left="504" w:hanging="504"/>
        <w:spacing w:after="0"/>
        <w:tabs>
          <w:tab w:leader="none" w:pos="5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comply with anti-bribery and anti-corruption laws could subject us to penalties and other adverse consequences; and</w:t>
      </w:r>
    </w:p>
    <w:p>
      <w:pPr>
        <w:spacing w:after="0" w:line="116" w:lineRule="exact"/>
        <w:rPr>
          <w:rFonts w:ascii="Arial" w:cs="Arial" w:eastAsia="Arial" w:hAnsi="Arial"/>
          <w:sz w:val="18"/>
          <w:szCs w:val="18"/>
          <w:color w:val="auto"/>
        </w:rPr>
      </w:pPr>
    </w:p>
    <w:p>
      <w:pPr>
        <w:ind w:left="504" w:right="400" w:hanging="504"/>
        <w:spacing w:after="0" w:line="277" w:lineRule="auto"/>
        <w:tabs>
          <w:tab w:leader="none" w:pos="5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factors contained in our filings with the SEC, including, but not limited to, those detailed in this Annual Report on Form 10-K, our Quarterly Reports on Form 10-Q and our Current Reports on Form 8-K filed with the SEC.</w:t>
      </w:r>
    </w:p>
    <w:p>
      <w:pPr>
        <w:spacing w:after="0" w:line="169"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4"/>
          </w:cols>
          <w:pgMar w:left="836" w:top="665" w:right="339" w:bottom="1440" w:gutter="0" w:footer="0" w:header="0"/>
        </w:sectPr>
      </w:pPr>
    </w:p>
    <w:bookmarkStart w:id="75" w:name="page76"/>
    <w:bookmarkEnd w:id="75"/>
    <w:p>
      <w:pPr>
        <w:ind w:right="180" w:firstLine="509"/>
        <w:spacing w:after="0" w:line="263" w:lineRule="auto"/>
        <w:rPr>
          <w:sz w:val="20"/>
          <w:szCs w:val="20"/>
          <w:color w:val="auto"/>
        </w:rPr>
      </w:pPr>
      <w:r>
        <w:rPr>
          <w:rFonts w:ascii="Arial" w:cs="Arial" w:eastAsia="Arial" w:hAnsi="Arial"/>
          <w:sz w:val="18"/>
          <w:szCs w:val="18"/>
          <w:color w:val="auto"/>
        </w:rPr>
        <w:t>We undertake no obligation to update publicly any forward-looking statements, whether as a result of new information, future events or otherwise, except as required by law. All subsequent written and oral forward-looking statements attributable to us, or persons acting on our behalf, are expressly qualified in their entirety by the cautionary statements included in this report.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are exposed to market risks related to changes in interest rates with respect to our senior credit facility. Payments under the Senior Credit Facility are indexed to a variable interest rate. Based on borrowings outstanding as of December 31, 2022 under the Exchange Credit Agreement of $1,113.2 million, for every one percent increase in the interest rate applicable to the Exchange Credit Agreement, our total annual interest expense would increase by approximately $11.0 million.</w:t>
      </w:r>
    </w:p>
    <w:p>
      <w:pPr>
        <w:spacing w:after="0" w:line="185"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We have entered into certain interest rate swap arrangements for hedging purposes, fixing the interest rate on certain of our variable rate debt. The difference between the floating rate and the swap rate on these instruments is recognized in interest expense within the respective entity. Because the interest rates with respect to these instruments are fixed, a hypothetical 100 basis point change in the current interest rate would not have a material impact on our financial condition or results of operations.</w:t>
      </w:r>
    </w:p>
    <w:p>
      <w:pPr>
        <w:spacing w:after="0" w:line="185"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Additionally, we invest our cash in a variety of short-term financial instruments to provide a return. These instruments generally consist of highly liquid investments with original maturities at the date of purchase of three months or less. While these instruments are subject to interest rate risk, a hypothetical 100 basis point increase or decrease in market interest rates would not have a material impact on our financial condition or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75"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We are exposed to market risks related to fluctuations in foreign currency exchange rates between the U.S. Dollar, the Australian Dollar, the South African Rand and the British Pound currency exchange rates. Based upon our foreign currency exchange rate exposure as of December 31, 2022 with respect to our international operations, every 10 percent change in historical currency rates would have a $7.1 million effect on our financial position and a $1.6 million impact on our results of operations over the next fiscal year.</w:t>
      </w: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MANAGEMENT’S RESPONSIBILITY FOR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GEO Group, Inc.:</w:t>
      </w:r>
    </w:p>
    <w:p>
      <w:pPr>
        <w:spacing w:after="0" w:line="156"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They include amounts based on judgments and estimates.</w:t>
      </w:r>
    </w:p>
    <w:p>
      <w:pPr>
        <w:spacing w:after="0" w:line="169"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Representations in the consolidated financial statements and the fairness and integrity of such statements are the responsibility of management. In order to meet management’s responsibility, the Company maintains a system of internal controls and procedures and a program of internal audits designed to provide reasonable assurance that our assets are controlled and safeguarded, that transactions are executed in accordance with management’s authorization and properly recorded, and that accounting records may be relied upon in the preparation of financial statements.</w:t>
      </w:r>
    </w:p>
    <w:p>
      <w:pPr>
        <w:spacing w:after="0" w:line="156"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The consolidated financial statements have been audited by Grant Thornton LLP, independent registered public accountants, whose appointment by our Audit and Finance Committee was ratified by our shareholders. Their report, which is included in this Form 10-K, expresses an opinion as to whether management’s consolidated financial statements present fairly in all material respects, the Company's financial position, results of operations and cash flows for each of the three years in the period ended December 31, 2022 in conformity with accounting principles generally accepted in the United States of America. The effectiveness of our internal control over financial reporting as of December 31, 2022 has also been audited by Grant Thornton LLP, independent registered public accountants, as stated in their report which is included in this Form 10-K. Their audits were conducted in accordance with the standards of the Public Company Accounting Oversight Board (United States).</w:t>
      </w:r>
    </w:p>
    <w:p>
      <w:pPr>
        <w:spacing w:after="0" w:line="181" w:lineRule="exact"/>
        <w:rPr>
          <w:sz w:val="20"/>
          <w:szCs w:val="20"/>
          <w:color w:val="auto"/>
        </w:rPr>
      </w:pPr>
    </w:p>
    <w:p>
      <w:pPr>
        <w:ind w:right="280" w:firstLine="509"/>
        <w:spacing w:after="0" w:line="259" w:lineRule="auto"/>
        <w:rPr>
          <w:sz w:val="20"/>
          <w:szCs w:val="20"/>
          <w:color w:val="auto"/>
        </w:rPr>
      </w:pPr>
      <w:r>
        <w:rPr>
          <w:rFonts w:ascii="Arial" w:cs="Arial" w:eastAsia="Arial" w:hAnsi="Arial"/>
          <w:sz w:val="18"/>
          <w:szCs w:val="18"/>
          <w:color w:val="auto"/>
        </w:rPr>
        <w:t>The Audit and Finance Committee of the Board of Directors meets periodically with representatives of management, the independent registered public accountants and our internal auditors to review matters relating to financial reporting, internal accounting controls and auditing. Both the internal auditors and the independent registered public accountants have unrestricted access to the Audit and Finance Committee to discuss the results of their examinations.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Jose Gordo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Brian R. Evans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Securities Exchange Act of 1934. The Company’s internal control over financial reporting is a process designed under the supervision of the Company’s Chief Executive Officer and Chief Financial Officer that: (i) pertains to the maintenance of records that, in reasonable detail, accurately and fairly reflect the transactions and dispositions of the Company’s assets; (ii) provides reasonable assurance that transactions are recorded as necessary to permit preparation of financial statements for external reporting in accordance with accounting principles generally accepted in the United States, and that receipts and expenditures are being made only in accordance with authorization of the Company’s management and directors; and (iii) provides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Management has assessed the effectiveness of the Company’s internal control over financial reporting as of December 31, 2022. In making its assessment of internal control over financial reporting, management used the criteria set forth in the Internal Control - Integrated Framework issued by the 2013 Committee of Sponsoring Organizations of the Treadway Commission ("COSO") (the "2013 Internal Control - Integrated Framework").</w:t>
      </w:r>
    </w:p>
    <w:p>
      <w:pPr>
        <w:spacing w:after="0" w:line="191" w:lineRule="exact"/>
        <w:rPr>
          <w:sz w:val="20"/>
          <w:szCs w:val="20"/>
          <w:color w:val="auto"/>
        </w:rPr>
      </w:pPr>
    </w:p>
    <w:p>
      <w:pPr>
        <w:ind w:right="100" w:firstLine="509"/>
        <w:spacing w:after="0" w:line="301" w:lineRule="auto"/>
        <w:rPr>
          <w:sz w:val="20"/>
          <w:szCs w:val="20"/>
          <w:color w:val="auto"/>
        </w:rPr>
      </w:pPr>
      <w:r>
        <w:rPr>
          <w:rFonts w:ascii="Arial" w:cs="Arial" w:eastAsia="Arial" w:hAnsi="Arial"/>
          <w:sz w:val="16"/>
          <w:szCs w:val="16"/>
          <w:color w:val="auto"/>
        </w:rPr>
        <w:t>The Company evaluated, with the participation of its Chief Executive Officer and Chief Financial Officer, its internal control over financial reporting as of December 31, 2022, based on the 2013 Internal Control — Integrated Framework. Based on this evaluation, the Company’s management concluded that as of December 31, 2022, its internal control over financial reporting is effective in providing reasonable assurance regarding the reliability of financial reporting and the preparation of financial statements for external purposes in accordance with generally accepted accounting principles.</w:t>
      </w:r>
    </w:p>
    <w:p>
      <w:pPr>
        <w:spacing w:after="0" w:line="156"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Grant Thornton LLP, the independent registered public accounting firm that audited the financial statements included in this Annual Report on Form 10-K, has issued an attestation report on our internal control over financial reporting as of December 31, 2022.</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8" w:name="page79"/>
    <w:bookmarkEnd w:id="78"/>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GEO Group, Inc.</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00" w:lineRule="exact"/>
        <w:rPr>
          <w:sz w:val="20"/>
          <w:szCs w:val="20"/>
          <w:color w:val="auto"/>
        </w:rPr>
      </w:pPr>
    </w:p>
    <w:p>
      <w:pPr>
        <w:spacing w:after="0" w:line="244"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 xml:space="preserve">We have audited the internal control over financial reporting of The GEO Group, Inc. (a Florida corporation) and subsidiaries (the “Company”) as of December 31, 2022,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1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2022, and our report dated February 27, 2023 expressed an unqualified opinion on those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2023</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79" w:name="page80"/>
    <w:bookmarkEnd w:id="79"/>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GEO Group, Inc.</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audited the accompanying consolidated balance sheets of The GEO Group, Inc. (a Florida corporation) and subsidiaries (the “Company”) as of December 31, 2022 and 2021, the related consolidated statements of operations, comprehensive income (loss), shareholders’ equity, and cash flows for each of the three years in the period ended December 31, 2022, and the related notes and financial statement schedule included under Item 15(a)(2)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the 2013 Internal Control—Integrated Framework issued by the Committee of Sponsoring Organizations of the Treadway Commission (“COSO”), and our report dated February 27, 2023 expressed an unqualified opinion.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 reserves and related expenses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described further in Note 1 to the consolidated financial statements, the Company self-insures, up to certain policy-specified limits, certain risks related to general and workers’ compensation liability costs. The estimated cost of claims under these self-insurance programs is estimated and accrued as the claims are incurred (although actual settlement of the claims may not be made until future periods) and may subsequently be revised based on developments relating to such claims. We identified self-insurance reserves and related expenses (“self-insurance”) as a critical audit matter, specifically the reserves and related expenses related to the Company’s estimate for incurred but not reported claims.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principal considerations for our determination that self-insurance reserves and related expenses for claims that have been reported but not paid and claims incurred but not reported is a critical audit matter are that the accrual for self-insurance has higher risk of estimation uncertainty due to the loss development factors, including the frequency and severity of claims, and inherent assumptions in actuarial methods used in determining the required reserves. The estimation uncertainty and complexity of the actuarial methods utilized involved especially subjective auditor judgment and an increased extent of effort, including the need to involve an auditor-engaged actuarial specialist.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self-insurance reserves included the following, among others: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0" w:name="page81"/>
    <w:bookmarkEnd w:id="80"/>
    <w:p>
      <w:pPr>
        <w:ind w:left="1020" w:right="20" w:hanging="504"/>
        <w:spacing w:after="0" w:line="273"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obtained an understanding, evaluated the design and tested the operating effectiveness of key internal controls over financial reporting relating to self-insurance, including, but not limited to controls that (i) validate that claims were reported and submitted accurately and timely, (ii) validate that internal claims data was reconciled to claims data maintained by the third-party administrator and submitted to the Company’s actuary and (iii) validate management’s process and review of the third-party actuary report, including, but not limited to controls over management’s review of the relevance, adequacy and appropriateness of the data, assumptions, valuation methods, and mathematical accuracy used to determine the required reserves as of the reporting date.</w:t>
      </w:r>
    </w:p>
    <w:p>
      <w:pPr>
        <w:spacing w:after="0" w:line="68" w:lineRule="exact"/>
        <w:rPr>
          <w:rFonts w:ascii="Arial" w:cs="Arial" w:eastAsia="Arial" w:hAnsi="Arial"/>
          <w:sz w:val="17"/>
          <w:szCs w:val="17"/>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utilized an auditor-engaged actuarial specialist in evaluating management’s methods and assumptions.</w:t>
      </w:r>
    </w:p>
    <w:p>
      <w:pPr>
        <w:spacing w:after="0" w:line="116" w:lineRule="exact"/>
        <w:rPr>
          <w:rFonts w:ascii="Arial" w:cs="Arial" w:eastAsia="Arial" w:hAnsi="Arial"/>
          <w:sz w:val="18"/>
          <w:szCs w:val="18"/>
          <w:color w:val="auto"/>
        </w:rPr>
      </w:pPr>
    </w:p>
    <w:p>
      <w:pPr>
        <w:ind w:left="1020" w:right="580" w:hanging="504"/>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performed analytics that include a review of prior projections to current actual results to evaluate the reasonableness of changes in estimated ultimate losses.</w:t>
      </w:r>
    </w:p>
    <w:p>
      <w:pPr>
        <w:spacing w:after="0" w:line="61" w:lineRule="exact"/>
        <w:rPr>
          <w:rFonts w:ascii="Arial" w:cs="Arial" w:eastAsia="Arial" w:hAnsi="Arial"/>
          <w:sz w:val="18"/>
          <w:szCs w:val="18"/>
          <w:color w:val="auto"/>
        </w:rPr>
      </w:pPr>
    </w:p>
    <w:p>
      <w:pPr>
        <w:ind w:left="1020" w:right="400" w:hanging="504"/>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reconciled claims data maintained by the third-party administrator to the claims data submitted to the Company’s actuary used in the development of the loss triangles and selecting loss development factors.</w:t>
      </w:r>
    </w:p>
    <w:p>
      <w:pPr>
        <w:spacing w:after="0" w:line="61" w:lineRule="exact"/>
        <w:rPr>
          <w:rFonts w:ascii="Arial" w:cs="Arial" w:eastAsia="Arial" w:hAnsi="Arial"/>
          <w:sz w:val="18"/>
          <w:szCs w:val="18"/>
          <w:color w:val="auto"/>
        </w:rPr>
      </w:pPr>
    </w:p>
    <w:p>
      <w:pPr>
        <w:jc w:val="both"/>
        <w:ind w:left="1020" w:right="120" w:hanging="504"/>
        <w:spacing w:after="0" w:line="263"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selected a sample of underlying claims and reviewed the information utilized by management such as insurance claims and legal records to (i) test management’s estimation process to determine if the reserve was reasonable and (ii) test the accuracy of the significant claim data attributes.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idle facilities for impairment</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has property and equipment, net of approximately $2 billion as of December 31, 2022. As described further in Note 1 to the consolidated financial statements, the Company has approximately $349 million related to eleven idle facilities. The Company tests idle facilities for impairment upon notification that the facilities will no longer be utilized by the customer. In addition, the Company performs an impairment analysis for each of the idle facilities. The estimates of recoverability are based on projected undiscounted cash flows associated with actual marketing efforts, and in some instances, third-party appraisals or, in other instances, projected undiscounted cash flows that are comparable to historical cash flows from management contracts at similar facilities and sensitivity analyses that consider reductions to such cash flows. When the estimated undiscounted cash flows associated with the asset are less than their carrying value, an impairment is recognized as the difference between the carrying value of the asset and its fair value. We identified management’s evaluation of the selected idle facilities for impairment as a critical audit matter.</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principal considerations for our determination that management’s evaluation of idle facilities for impairment is a critical audit matter is the higher risk of estimation uncertainty due to the subjective nature of management’s estimates used in the projected undiscounted cash flows. These estimates are particularly sensitive to the assumption as to whether the Company will obtain contracts to utilize idle facilities or be able to sell the facilities in the future, which can be affected by expectations about market developments and public policy as well as management’s intent to hold and operate each facility over the term and in the manner assumed in the analysis.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management’s evaluation of idle facilities for impairment included the following, among others:</w:t>
      </w:r>
    </w:p>
    <w:p>
      <w:pPr>
        <w:spacing w:after="0" w:line="102" w:lineRule="exact"/>
        <w:rPr>
          <w:sz w:val="20"/>
          <w:szCs w:val="20"/>
          <w:color w:val="auto"/>
        </w:rPr>
      </w:pPr>
    </w:p>
    <w:p>
      <w:pPr>
        <w:jc w:val="both"/>
        <w:ind w:left="1020" w:hanging="504"/>
        <w:spacing w:after="0" w:line="259"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obtained an understanding, evaluated the design and tested the operating effectiveness of key internal controls over financial reporting relating to management’s evaluation of idle facilities for impairment, including controls over management’s review of the key inputs into the projected undiscounted cash flows, including management’s review of evidence supporting projected utilization of idle facilities and the assumptions utilized in the estimated cash flows.</w:t>
      </w:r>
    </w:p>
    <w:p>
      <w:pPr>
        <w:spacing w:after="0" w:line="77" w:lineRule="exact"/>
        <w:rPr>
          <w:rFonts w:ascii="Arial" w:cs="Arial" w:eastAsia="Arial" w:hAnsi="Arial"/>
          <w:sz w:val="18"/>
          <w:szCs w:val="18"/>
          <w:color w:val="auto"/>
        </w:rPr>
      </w:pPr>
    </w:p>
    <w:p>
      <w:pPr>
        <w:jc w:val="both"/>
        <w:ind w:left="1020" w:hanging="504"/>
        <w:spacing w:after="0" w:line="301"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 a selection of facilities, we evaluated the reasonableness of management’s projected undiscounted cash flow by evaluating evidence to support the projected utilization of the facilities, including actual marketing efforts, comparing the projections to historical cash flows from management contracts at similar facilities, and in certain instances evaluating third-party appraisals. In instances where a third-party appraisal was utilized, we had our internal valuation specialist review the model used and underlying assumptions for reasonableness.</w:t>
      </w:r>
    </w:p>
    <w:p>
      <w:pPr>
        <w:spacing w:after="0" w:line="47" w:lineRule="exact"/>
        <w:rPr>
          <w:rFonts w:ascii="Arial" w:cs="Arial" w:eastAsia="Arial" w:hAnsi="Arial"/>
          <w:sz w:val="16"/>
          <w:szCs w:val="16"/>
          <w:color w:val="auto"/>
        </w:rPr>
      </w:pPr>
    </w:p>
    <w:p>
      <w:pPr>
        <w:jc w:val="both"/>
        <w:ind w:left="1020" w:hanging="504"/>
        <w:spacing w:after="0" w:line="263"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performed a retrospective review of the Company’s historical experience in securing new facility management contracts to utilize facilities that had been previously idled for periods comparable to or in excess of the periods the Company's currently idle facilities have been idle, including assessing the recoverability of the net book value of the previously idled facilities.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the borrowings under the exchange credit facility</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described further in Notes 10 and 12 to the consolidated financial statements, on August 19, 2022, the Company completed an exchange offer to exchange certain of its outstanding 5.125% Senior Notes due 2023, 5.875% Senior Notes due 2024, 6.000% Senior Notes due 2026 and certain revolving credit loans and term loans under its senior secured credit facility into newly issued Senior Second Lien Secured Notes and a new credit facility. As of that date, the new notes were valued using the Black-Derman-Toy ("BDT") lattice model. Management utilized a third-party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1" w:name="page82"/>
    <w:bookmarkEnd w:id="81"/>
    <w:p>
      <w:pPr>
        <w:jc w:val="both"/>
        <w:spacing w:after="0" w:line="277" w:lineRule="auto"/>
        <w:rPr>
          <w:sz w:val="20"/>
          <w:szCs w:val="20"/>
          <w:color w:val="auto"/>
        </w:rPr>
      </w:pPr>
      <w:r>
        <w:rPr>
          <w:rFonts w:ascii="Arial" w:cs="Arial" w:eastAsia="Arial" w:hAnsi="Arial"/>
          <w:sz w:val="18"/>
          <w:szCs w:val="18"/>
          <w:color w:val="auto"/>
        </w:rPr>
        <w:t>valuation firm to assist with the estimation of the fair values on the date of issuance for the borrowings under the exchange credit facility using a BDT lattice model.</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Fair value, for which quoted prices by independent sources are not available or appropriate, are generally based on valuation techniques, such as the income and market approach, that require inputs that are significant to the overall fair value measurement and are unobservable. The BDT model is a single factor, stochastic, no arbitrage model that incorporates the issuer's option to prepay a debt instrument if optimal, which occurs when interest rates decline such that the holding value of the instrument exceeds the prepayment price. The significant assumptions used in the BDT model disclosed by Management include, among others, the Secured Overnight Financing Rate ("SOFR") forward rates, the risk-free rate curve based on U.S. Treasury rates, the yield volatility and the credit spreads of the new debt instruments. Changes in these assumptions could have an impact on the determination of fair value. As such, we identified fair value of the borrowings under the exchange credit facility measured using significant unobservable inputs and assumptions as a critical audit matter on the date of the exchange which occurred on August 19, 2022.</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principal considerations for our determination that fair value of the borrowings under the exchange credit facility measured using significant unobservable inputs is a critical audit matter are the significant management judgments used in developing complex valuation techniques and inherent estimation uncertainty. Auditing these investments requires a high degree of auditor judgment and subjectivity, in addition to the use of valuation professionals with specialized skills and knowledge, to evaluate the reasonableness of unobservable inputs and assumptions.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audit procedures related to management’s fair value measurement of the borrowings under the exchange credit facility included the following, among others:</w:t>
      </w:r>
    </w:p>
    <w:p>
      <w:pPr>
        <w:spacing w:after="0" w:line="62" w:lineRule="exact"/>
        <w:rPr>
          <w:sz w:val="20"/>
          <w:szCs w:val="20"/>
          <w:color w:val="auto"/>
        </w:rPr>
      </w:pPr>
    </w:p>
    <w:p>
      <w:pPr>
        <w:jc w:val="both"/>
        <w:ind w:left="1020" w:hanging="504"/>
        <w:spacing w:after="0" w:line="301" w:lineRule="auto"/>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obtained an understanding, evaluated the design and tested the operating effectiveness of key internal controls over financial reporting relating to management’s process and review of the fair value of the borrowings under the exchange credit facility, including, but not limited to controls over management’s review of the relevance, adequacy and appropriateness of the data, assumptions, valuation methods, and mathematical accuracy used to determine the fair value of the borrowings under the exchange credit facility as of the reporting date.</w:t>
      </w:r>
    </w:p>
    <w:p>
      <w:pPr>
        <w:spacing w:after="0" w:line="47" w:lineRule="exact"/>
        <w:rPr>
          <w:rFonts w:ascii="Arial" w:cs="Arial" w:eastAsia="Arial" w:hAnsi="Arial"/>
          <w:sz w:val="16"/>
          <w:szCs w:val="16"/>
          <w:color w:val="auto"/>
        </w:rPr>
      </w:pPr>
    </w:p>
    <w:p>
      <w:pPr>
        <w:ind w:left="1020" w:hanging="504"/>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 the assistance of internal valuation specialists, we performed audit procedures to:</w:t>
      </w:r>
    </w:p>
    <w:p>
      <w:pPr>
        <w:spacing w:after="0" w:line="116" w:lineRule="exact"/>
        <w:rPr>
          <w:rFonts w:ascii="Arial" w:cs="Arial" w:eastAsia="Arial" w:hAnsi="Arial"/>
          <w:sz w:val="18"/>
          <w:szCs w:val="18"/>
          <w:color w:val="auto"/>
        </w:rPr>
      </w:pPr>
    </w:p>
    <w:p>
      <w:pPr>
        <w:jc w:val="both"/>
        <w:ind w:left="2040" w:hanging="505"/>
        <w:spacing w:after="0" w:line="263" w:lineRule="auto"/>
        <w:tabs>
          <w:tab w:leader="none" w:pos="2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Determine mathematical accuracy and to determine that the data, valuation methods and significant unobservable inputs and assumptions used to determine the fair value of the borrowing under the exchange credit facility as of the transaction date were reasonable.</w:t>
      </w:r>
    </w:p>
    <w:p>
      <w:pPr>
        <w:spacing w:after="0" w:line="74" w:lineRule="exact"/>
        <w:rPr>
          <w:rFonts w:ascii="Arial" w:cs="Arial" w:eastAsia="Arial" w:hAnsi="Arial"/>
          <w:sz w:val="18"/>
          <w:szCs w:val="18"/>
          <w:color w:val="auto"/>
        </w:rPr>
      </w:pPr>
    </w:p>
    <w:p>
      <w:pPr>
        <w:ind w:left="2040" w:hanging="505"/>
        <w:spacing w:after="0" w:line="277" w:lineRule="auto"/>
        <w:tabs>
          <w:tab w:leader="none" w:pos="2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We evaluated the appropriateness of the use of the BDT lattice model methodology and tested certain key inputs and assumptions, including the following:</w:t>
      </w:r>
    </w:p>
    <w:p>
      <w:pPr>
        <w:spacing w:after="0" w:line="61" w:lineRule="exact"/>
        <w:rPr>
          <w:rFonts w:ascii="Arial" w:cs="Arial" w:eastAsia="Arial" w:hAnsi="Arial"/>
          <w:sz w:val="18"/>
          <w:szCs w:val="18"/>
          <w:color w:val="auto"/>
        </w:rPr>
      </w:pPr>
    </w:p>
    <w:p>
      <w:pPr>
        <w:ind w:left="2560" w:hanging="516"/>
        <w:spacing w:after="0"/>
        <w:tabs>
          <w:tab w:leader="none" w:pos="2560"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Secured Overnight Financing Rate (“SOFR”) forward rates</w:t>
      </w:r>
    </w:p>
    <w:p>
      <w:pPr>
        <w:spacing w:after="0" w:line="116" w:lineRule="exact"/>
        <w:rPr>
          <w:rFonts w:ascii="Arial" w:cs="Arial" w:eastAsia="Arial" w:hAnsi="Arial"/>
          <w:sz w:val="18"/>
          <w:szCs w:val="18"/>
          <w:color w:val="auto"/>
        </w:rPr>
      </w:pPr>
    </w:p>
    <w:p>
      <w:pPr>
        <w:ind w:left="2560" w:hanging="516"/>
        <w:spacing w:after="0"/>
        <w:tabs>
          <w:tab w:leader="none" w:pos="2560"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risk-risk free rate curves</w:t>
      </w:r>
    </w:p>
    <w:p>
      <w:pPr>
        <w:spacing w:after="0" w:line="116" w:lineRule="exact"/>
        <w:rPr>
          <w:rFonts w:ascii="Arial" w:cs="Arial" w:eastAsia="Arial" w:hAnsi="Arial"/>
          <w:sz w:val="18"/>
          <w:szCs w:val="18"/>
          <w:color w:val="auto"/>
        </w:rPr>
      </w:pPr>
    </w:p>
    <w:p>
      <w:pPr>
        <w:ind w:left="2560" w:hanging="516"/>
        <w:spacing w:after="0"/>
        <w:tabs>
          <w:tab w:leader="none" w:pos="2560"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yield volatility</w:t>
      </w:r>
    </w:p>
    <w:p>
      <w:pPr>
        <w:spacing w:after="0" w:line="116" w:lineRule="exact"/>
        <w:rPr>
          <w:rFonts w:ascii="Arial" w:cs="Arial" w:eastAsia="Arial" w:hAnsi="Arial"/>
          <w:sz w:val="18"/>
          <w:szCs w:val="18"/>
          <w:color w:val="auto"/>
        </w:rPr>
      </w:pPr>
    </w:p>
    <w:p>
      <w:pPr>
        <w:ind w:left="2560" w:hanging="516"/>
        <w:spacing w:after="0"/>
        <w:tabs>
          <w:tab w:leader="none" w:pos="2560"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credit spread</w:t>
      </w:r>
    </w:p>
    <w:p>
      <w:pPr>
        <w:spacing w:after="0" w:line="116" w:lineRule="exact"/>
        <w:rPr>
          <w:rFonts w:ascii="Arial" w:cs="Arial" w:eastAsia="Arial" w:hAnsi="Arial"/>
          <w:sz w:val="18"/>
          <w:szCs w:val="18"/>
          <w:color w:val="auto"/>
        </w:rPr>
      </w:pPr>
    </w:p>
    <w:p>
      <w:pPr>
        <w:ind w:left="2040" w:hanging="505"/>
        <w:spacing w:after="0"/>
        <w:tabs>
          <w:tab w:leader="none" w:pos="2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Developed an independent estimate of fair value.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2023</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b w:val="1"/>
                <w:bCs w:val="1"/>
                <w:color w:val="auto"/>
              </w:rPr>
              <w:t>(In</w:t>
            </w: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w w:val="82"/>
              </w:rPr>
              <w:t>thousands, except per share</w:t>
            </w:r>
          </w:p>
        </w:tc>
        <w:tc>
          <w:tcPr>
            <w:tcW w:w="500" w:type="dxa"/>
            <w:vAlign w:val="bottom"/>
            <w:gridSpan w:val="2"/>
          </w:tcPr>
          <w:p>
            <w:pPr>
              <w:jc w:val="center"/>
              <w:ind w:right="10"/>
              <w:spacing w:after="0"/>
              <w:rPr>
                <w:sz w:val="20"/>
                <w:szCs w:val="20"/>
                <w:color w:val="auto"/>
              </w:rPr>
            </w:pPr>
            <w:r>
              <w:rPr>
                <w:rFonts w:ascii="Arial" w:cs="Arial" w:eastAsia="Arial" w:hAnsi="Arial"/>
                <w:sz w:val="14"/>
                <w:szCs w:val="14"/>
                <w:b w:val="1"/>
                <w:bCs w:val="1"/>
                <w:color w:val="auto"/>
                <w:w w:val="95"/>
              </w:rPr>
              <w:t>data)</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2,376,727</w:t>
            </w: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2,256,612</w:t>
            </w:r>
          </w:p>
        </w:tc>
        <w:tc>
          <w:tcPr>
            <w:tcW w:w="5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2,350,098</w:t>
            </w:r>
          </w:p>
        </w:tc>
        <w:tc>
          <w:tcPr>
            <w:tcW w:w="0" w:type="dxa"/>
            <w:vAlign w:val="bottom"/>
          </w:tcPr>
          <w:p>
            <w:pPr>
              <w:spacing w:after="0"/>
              <w:rPr>
                <w:sz w:val="1"/>
                <w:szCs w:val="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Operating Expenses (excluding depreciation and amortization)</w:t>
            </w:r>
          </w:p>
        </w:tc>
        <w:tc>
          <w:tcPr>
            <w:tcW w:w="3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1,663,728</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1,629,046</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1,771,495</w:t>
            </w:r>
          </w:p>
        </w:tc>
        <w:tc>
          <w:tcPr>
            <w:tcW w:w="0" w:type="dxa"/>
            <w:vAlign w:val="bottom"/>
          </w:tcPr>
          <w:p>
            <w:pPr>
              <w:spacing w:after="0"/>
              <w:rPr>
                <w:sz w:val="1"/>
                <w:szCs w:val="1"/>
                <w:color w:val="auto"/>
              </w:rPr>
            </w:pP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132,925</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135,177</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134,680</w:t>
            </w:r>
          </w:p>
        </w:tc>
        <w:tc>
          <w:tcPr>
            <w:tcW w:w="0" w:type="dxa"/>
            <w:vAlign w:val="bottom"/>
          </w:tcPr>
          <w:p>
            <w:pPr>
              <w:spacing w:after="0"/>
              <w:rPr>
                <w:sz w:val="1"/>
                <w:szCs w:val="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General and Administrative Expenses</w:t>
            </w:r>
          </w:p>
        </w:tc>
        <w:tc>
          <w:tcPr>
            <w:tcW w:w="3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196,972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204,306</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193,372</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Goodwill Impairment Charge</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21,146</w:t>
            </w:r>
          </w:p>
        </w:tc>
        <w:tc>
          <w:tcPr>
            <w:tcW w:w="0" w:type="dxa"/>
            <w:vAlign w:val="bottom"/>
          </w:tcPr>
          <w:p>
            <w:pPr>
              <w:spacing w:after="0"/>
              <w:rPr>
                <w:sz w:val="1"/>
                <w:szCs w:val="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Operating Income</w:t>
            </w:r>
          </w:p>
        </w:tc>
        <w:tc>
          <w:tcPr>
            <w:tcW w:w="3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383,102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288,083</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229,405</w:t>
            </w:r>
          </w:p>
        </w:tc>
        <w:tc>
          <w:tcPr>
            <w:tcW w:w="0" w:type="dxa"/>
            <w:vAlign w:val="bottom"/>
          </w:tcPr>
          <w:p>
            <w:pPr>
              <w:spacing w:after="0"/>
              <w:rPr>
                <w:sz w:val="1"/>
                <w:szCs w:val="1"/>
                <w:color w:val="auto"/>
              </w:rPr>
            </w:pP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Interest Income</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16,831</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24,007</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23,072</w:t>
            </w:r>
          </w:p>
        </w:tc>
        <w:tc>
          <w:tcPr>
            <w:tcW w:w="0" w:type="dxa"/>
            <w:vAlign w:val="bottom"/>
          </w:tcPr>
          <w:p>
            <w:pPr>
              <w:spacing w:after="0"/>
              <w:rPr>
                <w:sz w:val="1"/>
                <w:szCs w:val="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Interest Expense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(164,550 )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(129,460 )</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(126,837 )</w:t>
            </w:r>
          </w:p>
        </w:tc>
        <w:tc>
          <w:tcPr>
            <w:tcW w:w="0" w:type="dxa"/>
            <w:vAlign w:val="bottom"/>
          </w:tcPr>
          <w:p>
            <w:pPr>
              <w:spacing w:after="0"/>
              <w:rPr>
                <w:sz w:val="1"/>
                <w:szCs w:val="1"/>
                <w:color w:val="auto"/>
              </w:rPr>
            </w:pP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(Loss) gain on Extinguishment of Debt</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(37,895 )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4,693</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5,319</w:t>
            </w:r>
          </w:p>
        </w:tc>
        <w:tc>
          <w:tcPr>
            <w:tcW w:w="0" w:type="dxa"/>
            <w:vAlign w:val="bottom"/>
          </w:tcPr>
          <w:p>
            <w:pPr>
              <w:spacing w:after="0"/>
              <w:rPr>
                <w:sz w:val="1"/>
                <w:szCs w:val="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Net gain (loss) on dispositions of assets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32,332</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5,499</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(6,831 )</w:t>
            </w:r>
          </w:p>
        </w:tc>
        <w:tc>
          <w:tcPr>
            <w:tcW w:w="0" w:type="dxa"/>
            <w:vAlign w:val="bottom"/>
          </w:tcPr>
          <w:p>
            <w:pPr>
              <w:spacing w:after="0"/>
              <w:rPr>
                <w:sz w:val="1"/>
                <w:szCs w:val="1"/>
                <w:color w:val="auto"/>
              </w:rPr>
            </w:pPr>
          </w:p>
        </w:tc>
      </w:tr>
      <w:tr>
        <w:trPr>
          <w:trHeight w:val="242"/>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Income Before Income Taxes and Equity in Earnings of Affiliates</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229,820</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192,822</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124,128</w:t>
            </w:r>
          </w:p>
        </w:tc>
        <w:tc>
          <w:tcPr>
            <w:tcW w:w="0" w:type="dxa"/>
            <w:vAlign w:val="bottom"/>
          </w:tcPr>
          <w:p>
            <w:pPr>
              <w:spacing w:after="0"/>
              <w:rPr>
                <w:sz w:val="1"/>
                <w:szCs w:val="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Provision for Income Taxes</w:t>
            </w:r>
          </w:p>
        </w:tc>
        <w:tc>
          <w:tcPr>
            <w:tcW w:w="3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62,899</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122,730</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20,463</w:t>
            </w:r>
          </w:p>
        </w:tc>
        <w:tc>
          <w:tcPr>
            <w:tcW w:w="0" w:type="dxa"/>
            <w:vAlign w:val="bottom"/>
          </w:tcPr>
          <w:p>
            <w:pPr>
              <w:spacing w:after="0"/>
              <w:rPr>
                <w:sz w:val="1"/>
                <w:szCs w:val="1"/>
                <w:color w:val="auto"/>
              </w:rPr>
            </w:pPr>
          </w:p>
        </w:tc>
      </w:tr>
      <w:tr>
        <w:trPr>
          <w:trHeight w:val="221"/>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w w:val="97"/>
              </w:rPr>
              <w:t>Equity in Earnings of Affiliates, net of income tax provision of $740, $1,035 and</w:t>
            </w:r>
          </w:p>
        </w:tc>
        <w:tc>
          <w:tcPr>
            <w:tcW w:w="320" w:type="dxa"/>
            <w:vAlign w:val="bottom"/>
            <w:shd w:val="clear" w:color="auto" w:fill="CFF0FC"/>
          </w:tcPr>
          <w:p>
            <w:pPr>
              <w:spacing w:after="0"/>
              <w:rPr>
                <w:sz w:val="19"/>
                <w:szCs w:val="19"/>
                <w:color w:val="auto"/>
              </w:rPr>
            </w:pPr>
          </w:p>
        </w:tc>
        <w:tc>
          <w:tcPr>
            <w:tcW w:w="114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4,771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7,141</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9,166</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$1,784</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Net Income</w:t>
            </w:r>
          </w:p>
        </w:tc>
        <w:tc>
          <w:tcPr>
            <w:tcW w:w="32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171,692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77,233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112,831</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Loss Attributable to Noncontrolling Interests</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121</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185</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Net Income Attributable to The GEO Group, Inc.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171,813</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77,418</w:t>
            </w: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113,032</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Weighted Average Common Shares Outstanding:</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121,040</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120,384</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119,719</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122,281</w:t>
            </w:r>
          </w:p>
        </w:tc>
        <w:tc>
          <w:tcPr>
            <w:tcW w:w="1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120,732</w:t>
            </w:r>
          </w:p>
        </w:tc>
        <w:tc>
          <w:tcPr>
            <w:tcW w:w="1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119,991</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Income per Common Share Attributable to The GEO Group, Inc.:</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b w:val="1"/>
                <w:bCs w:val="1"/>
                <w:i w:val="1"/>
                <w:iCs w:val="1"/>
                <w:color w:val="auto"/>
              </w:rPr>
              <w:t>Basic:</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Net income per share — 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1.18</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0.59</w:t>
            </w: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b w:val="1"/>
                <w:bCs w:val="1"/>
                <w:i w:val="1"/>
                <w:iCs w:val="1"/>
                <w:color w:val="auto"/>
              </w:rPr>
              <w:t>Diluted:</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Net income per share — diluted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0.58</w:t>
            </w:r>
          </w:p>
        </w:tc>
        <w:tc>
          <w:tcPr>
            <w:tcW w:w="160" w:type="dxa"/>
            <w:vAlign w:val="bottom"/>
          </w:tcPr>
          <w:p>
            <w:pPr>
              <w:spacing w:after="0"/>
              <w:rPr>
                <w:sz w:val="20"/>
                <w:szCs w:val="20"/>
                <w:color w:val="auto"/>
              </w:rPr>
            </w:pPr>
          </w:p>
        </w:tc>
        <w:tc>
          <w:tcPr>
            <w:tcW w:w="3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Dividends declared per share</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0.25</w:t>
            </w:r>
          </w:p>
        </w:tc>
        <w:tc>
          <w:tcPr>
            <w:tcW w:w="1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jc w:val="center"/>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-3398520</wp:posOffset>
            </wp:positionV>
            <wp:extent cx="93980" cy="162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-3398520</wp:posOffset>
            </wp:positionV>
            <wp:extent cx="93980" cy="162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-2019935</wp:posOffset>
            </wp:positionV>
            <wp:extent cx="93980" cy="162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-2019935</wp:posOffset>
            </wp:positionV>
            <wp:extent cx="93980" cy="162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-1703070</wp:posOffset>
            </wp:positionV>
            <wp:extent cx="93980"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-1703070</wp:posOffset>
            </wp:positionV>
            <wp:extent cx="93980"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-1026795</wp:posOffset>
            </wp:positionV>
            <wp:extent cx="1096010" cy="1797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96010" cy="17970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-24765</wp:posOffset>
            </wp:positionV>
            <wp:extent cx="939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939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-24765</wp:posOffset>
            </wp:positionV>
            <wp:extent cx="939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-7620</wp:posOffset>
            </wp:positionV>
            <wp:extent cx="939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253"/>
              <w:spacing w:after="0"/>
              <w:rPr>
                <w:sz w:val="20"/>
                <w:szCs w:val="20"/>
                <w:color w:val="auto"/>
              </w:rPr>
            </w:pPr>
            <w:r>
              <w:rPr>
                <w:rFonts w:ascii="Arial" w:cs="Arial" w:eastAsia="Arial" w:hAnsi="Arial"/>
                <w:sz w:val="14"/>
                <w:szCs w:val="14"/>
                <w:b w:val="1"/>
                <w:bCs w:val="1"/>
                <w:color w:val="auto"/>
                <w:w w:val="95"/>
              </w:rPr>
              <w:t>(In thousands)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171,692</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77,233</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112,831</w:t>
            </w:r>
          </w:p>
        </w:tc>
        <w:tc>
          <w:tcPr>
            <w:tcW w:w="0" w:type="dxa"/>
            <w:vAlign w:val="bottom"/>
          </w:tcPr>
          <w:p>
            <w:pPr>
              <w:spacing w:after="0"/>
              <w:rPr>
                <w:sz w:val="1"/>
                <w:szCs w:val="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4"/>
              </w:rPr>
              <w:t>Change in marketable securities, net of income tax provision (benefit) of $(255), $2 and</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$0</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(960 )</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(7,548 )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(3,244 )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21"/>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7"/>
              </w:rPr>
              <w:t>Pension liability adjustment, net of income tax provision (benefit) of $1,500, $902 and</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$(554), respectively</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5,642</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3,392</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(2,085 )</w:t>
            </w:r>
          </w:p>
        </w:tc>
        <w:tc>
          <w:tcPr>
            <w:tcW w:w="0" w:type="dxa"/>
            <w:vAlign w:val="bottom"/>
          </w:tcPr>
          <w:p>
            <w:pPr>
              <w:spacing w:after="0"/>
              <w:rPr>
                <w:sz w:val="1"/>
                <w:szCs w:val="1"/>
                <w:color w:val="auto"/>
              </w:rPr>
            </w:pPr>
          </w:p>
        </w:tc>
      </w:tr>
      <w:tr>
        <w:trPr>
          <w:trHeight w:val="215"/>
        </w:trPr>
        <w:tc>
          <w:tcPr>
            <w:tcW w:w="6620" w:type="dxa"/>
            <w:vAlign w:val="bottom"/>
          </w:tcPr>
          <w:p>
            <w:pPr>
              <w:ind w:left="20"/>
              <w:spacing w:after="0"/>
              <w:rPr>
                <w:sz w:val="20"/>
                <w:szCs w:val="20"/>
                <w:color w:val="auto"/>
              </w:rPr>
            </w:pPr>
            <w:r>
              <w:rPr>
                <w:rFonts w:ascii="Arial" w:cs="Arial" w:eastAsia="Arial" w:hAnsi="Arial"/>
                <w:sz w:val="18"/>
                <w:szCs w:val="18"/>
                <w:color w:val="auto"/>
              </w:rPr>
              <w:t>Change in fair value of derivative instrument classified as cash flow hedge, net of</w:t>
            </w:r>
          </w:p>
        </w:tc>
        <w:tc>
          <w:tcPr>
            <w:tcW w:w="320" w:type="dxa"/>
            <w:vAlign w:val="bottom"/>
          </w:tcPr>
          <w:p>
            <w:pPr>
              <w:spacing w:after="0"/>
              <w:rPr>
                <w:sz w:val="18"/>
                <w:szCs w:val="18"/>
                <w:color w:val="auto"/>
              </w:rPr>
            </w:pPr>
          </w:p>
        </w:tc>
        <w:tc>
          <w:tcPr>
            <w:tcW w:w="1140" w:type="dxa"/>
            <w:vAlign w:val="bottom"/>
            <w:vMerge w:val="restart"/>
          </w:tcPr>
          <w:p>
            <w:pPr>
              <w:jc w:val="right"/>
              <w:ind w:right="32"/>
              <w:spacing w:after="0"/>
              <w:rPr>
                <w:sz w:val="20"/>
                <w:szCs w:val="20"/>
                <w:color w:val="auto"/>
              </w:rPr>
            </w:pPr>
            <w:r>
              <w:rPr>
                <w:rFonts w:ascii="Arial" w:cs="Arial" w:eastAsia="Arial" w:hAnsi="Arial"/>
                <w:sz w:val="18"/>
                <w:szCs w:val="18"/>
                <w:color w:val="auto"/>
              </w:rPr>
              <w:t>6,169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vMerge w:val="restart"/>
          </w:tcPr>
          <w:p>
            <w:pPr>
              <w:jc w:val="right"/>
              <w:ind w:right="33"/>
              <w:spacing w:after="0"/>
              <w:rPr>
                <w:sz w:val="20"/>
                <w:szCs w:val="20"/>
                <w:color w:val="auto"/>
              </w:rPr>
            </w:pPr>
            <w:r>
              <w:rPr>
                <w:rFonts w:ascii="Arial" w:cs="Arial" w:eastAsia="Arial" w:hAnsi="Arial"/>
                <w:sz w:val="18"/>
                <w:szCs w:val="18"/>
                <w:color w:val="auto"/>
              </w:rPr>
              <w:t>2,228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(3,276 )</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income tax provision (benefit) of $1,640, $592 and $(871), respectively</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3,303</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2,383</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(2,291 )</w:t>
            </w:r>
          </w:p>
        </w:tc>
        <w:tc>
          <w:tcPr>
            <w:tcW w:w="0" w:type="dxa"/>
            <w:vAlign w:val="bottom"/>
          </w:tcPr>
          <w:p>
            <w:pPr>
              <w:spacing w:after="0"/>
              <w:rPr>
                <w:sz w:val="1"/>
                <w:szCs w:val="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3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174,995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79,616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110,540</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loss attributable to noncontrolling interests</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115</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175</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Comprehensive income attributable to The GEO Group, Inc.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175,110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79,791</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110,778</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5540"/>
              <w:spacing w:after="0"/>
              <w:rPr>
                <w:sz w:val="20"/>
                <w:szCs w:val="20"/>
                <w:color w:val="auto"/>
              </w:rPr>
            </w:pPr>
            <w:r>
              <w:rPr>
                <w:rFonts w:ascii="Arial" w:cs="Arial" w:eastAsia="Arial" w:hAnsi="Arial"/>
                <w:sz w:val="18"/>
                <w:szCs w:val="18"/>
                <w:color w:val="auto"/>
              </w:rPr>
              <w:t>83</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6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-1001395</wp:posOffset>
            </wp:positionV>
            <wp:extent cx="93980" cy="162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-1001395</wp:posOffset>
            </wp:positionV>
            <wp:extent cx="93980" cy="162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-684530</wp:posOffset>
            </wp:positionV>
            <wp:extent cx="93980"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-684530</wp:posOffset>
            </wp:positionV>
            <wp:extent cx="9398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2021</w:t>
            </w:r>
          </w:p>
        </w:tc>
      </w:tr>
      <w:tr>
        <w:trPr>
          <w:trHeight w:val="133"/>
        </w:trPr>
        <w:tc>
          <w:tcPr>
            <w:tcW w:w="7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40" w:type="dxa"/>
            <w:vAlign w:val="bottom"/>
            <w:gridSpan w:val="3"/>
          </w:tcPr>
          <w:p>
            <w:pPr>
              <w:jc w:val="right"/>
              <w:ind w:right="60"/>
              <w:spacing w:after="0" w:line="133" w:lineRule="exact"/>
              <w:rPr>
                <w:sz w:val="20"/>
                <w:szCs w:val="20"/>
                <w:color w:val="auto"/>
              </w:rPr>
            </w:pPr>
            <w:r>
              <w:rPr>
                <w:rFonts w:ascii="Arial" w:cs="Arial" w:eastAsia="Arial" w:hAnsi="Arial"/>
                <w:sz w:val="14"/>
                <w:szCs w:val="14"/>
                <w:b w:val="1"/>
                <w:bCs w:val="1"/>
                <w:color w:val="auto"/>
              </w:rPr>
              <w:t>(In thousands, except</w:t>
            </w:r>
          </w:p>
        </w:tc>
        <w:tc>
          <w:tcPr>
            <w:tcW w:w="1100" w:type="dxa"/>
            <w:vAlign w:val="bottom"/>
          </w:tcPr>
          <w:p>
            <w:pPr>
              <w:spacing w:after="0"/>
              <w:rPr>
                <w:sz w:val="11"/>
                <w:szCs w:val="11"/>
                <w:color w:val="auto"/>
              </w:rPr>
            </w:pPr>
          </w:p>
        </w:tc>
      </w:tr>
      <w:tr>
        <w:trPr>
          <w:trHeight w:val="185"/>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share data)</w:t>
            </w:r>
          </w:p>
        </w:tc>
        <w:tc>
          <w:tcPr>
            <w:tcW w:w="1100" w:type="dxa"/>
            <w:vAlign w:val="bottom"/>
          </w:tcPr>
          <w:p>
            <w:pPr>
              <w:spacing w:after="0"/>
              <w:rPr>
                <w:sz w:val="16"/>
                <w:szCs w:val="16"/>
                <w:color w:val="auto"/>
              </w:rPr>
            </w:pPr>
          </w:p>
        </w:tc>
      </w:tr>
      <w:tr>
        <w:trPr>
          <w:trHeight w:val="229"/>
        </w:trPr>
        <w:tc>
          <w:tcPr>
            <w:tcW w:w="7720" w:type="dxa"/>
            <w:vAlign w:val="bottom"/>
            <w:shd w:val="clear" w:color="auto" w:fill="CFF0FC"/>
          </w:tcPr>
          <w:p>
            <w:pPr>
              <w:ind w:left="5260"/>
              <w:spacing w:after="0"/>
              <w:rPr>
                <w:sz w:val="20"/>
                <w:szCs w:val="20"/>
                <w:color w:val="auto"/>
              </w:rPr>
            </w:pPr>
            <w:r>
              <w:rPr>
                <w:rFonts w:ascii="Arial" w:cs="Arial" w:eastAsia="Arial" w:hAnsi="Arial"/>
                <w:sz w:val="16"/>
                <w:szCs w:val="16"/>
                <w:b w:val="1"/>
                <w:bCs w:val="1"/>
                <w:color w:val="auto"/>
              </w:rPr>
              <w:t>ASSETS</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Current Assets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95,073</w:t>
            </w:r>
          </w:p>
        </w:tc>
        <w:tc>
          <w:tcPr>
            <w:tcW w:w="7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506,491</w:t>
            </w: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Restricted cash and investments</w:t>
            </w:r>
          </w:p>
        </w:tc>
        <w:tc>
          <w:tcPr>
            <w:tcW w:w="380" w:type="dxa"/>
            <w:vAlign w:val="bottom"/>
          </w:tcPr>
          <w:p>
            <w:pPr>
              <w:spacing w:after="0"/>
              <w:rPr>
                <w:sz w:val="19"/>
                <w:szCs w:val="19"/>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20,161</w:t>
            </w: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 less allowance for doubtful accounts of $809 and $1,155, respectively</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416,399</w:t>
            </w: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365,573</w:t>
            </w: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Contract receivable, current portion</w:t>
            </w:r>
          </w:p>
        </w:tc>
        <w:tc>
          <w:tcPr>
            <w:tcW w:w="380" w:type="dxa"/>
            <w:vAlign w:val="bottom"/>
          </w:tcPr>
          <w:p>
            <w:pPr>
              <w:spacing w:after="0"/>
              <w:rPr>
                <w:sz w:val="19"/>
                <w:szCs w:val="19"/>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6,507</w:t>
            </w:r>
          </w:p>
        </w:tc>
      </w:tr>
      <w:tr>
        <w:trPr>
          <w:trHeight w:val="232"/>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43,536</w:t>
            </w:r>
          </w:p>
        </w:tc>
        <w:tc>
          <w:tcPr>
            <w:tcW w:w="18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45,176</w:t>
            </w:r>
          </w:p>
        </w:tc>
      </w:tr>
      <w:tr>
        <w:trPr>
          <w:trHeight w:val="220"/>
        </w:trPr>
        <w:tc>
          <w:tcPr>
            <w:tcW w:w="772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380" w:type="dxa"/>
            <w:vAlign w:val="bottom"/>
          </w:tcPr>
          <w:p>
            <w:pPr>
              <w:spacing w:after="0"/>
              <w:rPr>
                <w:sz w:val="19"/>
                <w:szCs w:val="19"/>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555,008</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943,908</w:t>
            </w: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Restricted Cash and Investments</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111,691</w:t>
            </w: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76,158</w:t>
            </w: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Property and Equipment, Net</w:t>
            </w:r>
          </w:p>
        </w:tc>
        <w:tc>
          <w:tcPr>
            <w:tcW w:w="380" w:type="dxa"/>
            <w:vAlign w:val="bottom"/>
          </w:tcPr>
          <w:p>
            <w:pPr>
              <w:spacing w:after="0"/>
              <w:rPr>
                <w:sz w:val="19"/>
                <w:szCs w:val="19"/>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2,002,021</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2,037,845</w:t>
            </w: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Contract Receivable</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367,071</w:t>
            </w: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Operating Lease Right-of-Use Assets, Net</w:t>
            </w:r>
          </w:p>
        </w:tc>
        <w:tc>
          <w:tcPr>
            <w:tcW w:w="380" w:type="dxa"/>
            <w:vAlign w:val="bottom"/>
          </w:tcPr>
          <w:p>
            <w:pPr>
              <w:spacing w:after="0"/>
              <w:rPr>
                <w:sz w:val="19"/>
                <w:szCs w:val="19"/>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90,950</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112,187</w:t>
            </w: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Assets Held for Sale</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480</w:t>
            </w: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7,877</w:t>
            </w: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Deferred Income Tax Assets</w:t>
            </w:r>
          </w:p>
        </w:tc>
        <w:tc>
          <w:tcPr>
            <w:tcW w:w="380" w:type="dxa"/>
            <w:vAlign w:val="bottom"/>
          </w:tcPr>
          <w:p>
            <w:pPr>
              <w:spacing w:after="0"/>
              <w:rPr>
                <w:sz w:val="19"/>
                <w:szCs w:val="19"/>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8,005</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Goodwill</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755,199</w:t>
            </w: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755,225</w:t>
            </w: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Intangible Assets, Net</w:t>
            </w:r>
          </w:p>
        </w:tc>
        <w:tc>
          <w:tcPr>
            <w:tcW w:w="380" w:type="dxa"/>
            <w:vAlign w:val="bottom"/>
          </w:tcPr>
          <w:p>
            <w:pPr>
              <w:spacing w:after="0"/>
              <w:rPr>
                <w:sz w:val="19"/>
                <w:szCs w:val="19"/>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147,688</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166,124</w:t>
            </w:r>
          </w:p>
        </w:tc>
      </w:tr>
      <w:tr>
        <w:trPr>
          <w:trHeight w:val="232"/>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Other Non-Current Assets</w:t>
            </w:r>
          </w:p>
        </w:tc>
        <w:tc>
          <w:tcPr>
            <w:tcW w:w="3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89,341</w:t>
            </w:r>
          </w:p>
        </w:tc>
        <w:tc>
          <w:tcPr>
            <w:tcW w:w="18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71,013</w:t>
            </w: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3,760,383</w:t>
            </w:r>
          </w:p>
        </w:tc>
        <w:tc>
          <w:tcPr>
            <w:tcW w:w="7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4,537,408</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7720" w:type="dxa"/>
            <w:vAlign w:val="bottom"/>
            <w:shd w:val="clear" w:color="auto" w:fill="CFF0FC"/>
          </w:tcPr>
          <w:p>
            <w:pPr>
              <w:ind w:left="3820"/>
              <w:spacing w:after="0"/>
              <w:rPr>
                <w:sz w:val="20"/>
                <w:szCs w:val="20"/>
                <w:color w:val="auto"/>
              </w:rPr>
            </w:pPr>
            <w:r>
              <w:rPr>
                <w:rFonts w:ascii="Arial" w:cs="Arial" w:eastAsia="Arial" w:hAnsi="Arial"/>
                <w:sz w:val="16"/>
                <w:szCs w:val="16"/>
                <w:b w:val="1"/>
                <w:bCs w:val="1"/>
                <w:color w:val="auto"/>
              </w:rPr>
              <w:t>LIABILITIES AND SHAREHOLDERS’ EQUITY</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Current Liabilities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79,312</w:t>
            </w:r>
          </w:p>
        </w:tc>
        <w:tc>
          <w:tcPr>
            <w:tcW w:w="7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64,073</w:t>
            </w: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Accrued payroll and related taxes</w:t>
            </w:r>
          </w:p>
        </w:tc>
        <w:tc>
          <w:tcPr>
            <w:tcW w:w="380" w:type="dxa"/>
            <w:vAlign w:val="bottom"/>
          </w:tcPr>
          <w:p>
            <w:pPr>
              <w:spacing w:after="0"/>
              <w:rPr>
                <w:sz w:val="19"/>
                <w:szCs w:val="19"/>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53,225</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67,210</w:t>
            </w: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237,369</w:t>
            </w: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200,712</w:t>
            </w: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Operating lease liabilities, current portion</w:t>
            </w:r>
          </w:p>
        </w:tc>
        <w:tc>
          <w:tcPr>
            <w:tcW w:w="380" w:type="dxa"/>
            <w:vAlign w:val="bottom"/>
          </w:tcPr>
          <w:p>
            <w:pPr>
              <w:spacing w:after="0"/>
              <w:rPr>
                <w:sz w:val="19"/>
                <w:szCs w:val="19"/>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22,584</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28,279</w:t>
            </w:r>
          </w:p>
        </w:tc>
      </w:tr>
      <w:tr>
        <w:trPr>
          <w:trHeight w:val="232"/>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Current portion of finance lease liabilities, long-term debt and non-recourse debt</w:t>
            </w:r>
          </w:p>
        </w:tc>
        <w:tc>
          <w:tcPr>
            <w:tcW w:w="3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44,722</w:t>
            </w:r>
          </w:p>
        </w:tc>
        <w:tc>
          <w:tcPr>
            <w:tcW w:w="18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18,568</w:t>
            </w:r>
          </w:p>
        </w:tc>
      </w:tr>
      <w:tr>
        <w:trPr>
          <w:trHeight w:val="220"/>
        </w:trPr>
        <w:tc>
          <w:tcPr>
            <w:tcW w:w="772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380" w:type="dxa"/>
            <w:vAlign w:val="bottom"/>
          </w:tcPr>
          <w:p>
            <w:pPr>
              <w:spacing w:after="0"/>
              <w:rPr>
                <w:sz w:val="19"/>
                <w:szCs w:val="19"/>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437,212</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378,842</w:t>
            </w: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Deferred Income Tax Liabilities</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75,849</w:t>
            </w: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80,768</w:t>
            </w: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Other Non-Current Liabilities</w:t>
            </w:r>
          </w:p>
        </w:tc>
        <w:tc>
          <w:tcPr>
            <w:tcW w:w="380" w:type="dxa"/>
            <w:vAlign w:val="bottom"/>
          </w:tcPr>
          <w:p>
            <w:pPr>
              <w:spacing w:after="0"/>
              <w:rPr>
                <w:sz w:val="19"/>
                <w:szCs w:val="19"/>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74,008</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87,073</w:t>
            </w: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Operating Lease Liabilities</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73,801</w:t>
            </w: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89,917</w:t>
            </w: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Finance Lease Obligations</w:t>
            </w:r>
          </w:p>
        </w:tc>
        <w:tc>
          <w:tcPr>
            <w:tcW w:w="380" w:type="dxa"/>
            <w:vAlign w:val="bottom"/>
          </w:tcPr>
          <w:p>
            <w:pPr>
              <w:spacing w:after="0"/>
              <w:rPr>
                <w:sz w:val="19"/>
                <w:szCs w:val="19"/>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1,280</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1,977</w:t>
            </w: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Long-Term Debt</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1,933,145</w:t>
            </w: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2,625,959</w:t>
            </w: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Non-Recourse Debt</w:t>
            </w:r>
          </w:p>
        </w:tc>
        <w:tc>
          <w:tcPr>
            <w:tcW w:w="380" w:type="dxa"/>
            <w:vAlign w:val="bottom"/>
          </w:tcPr>
          <w:p>
            <w:pPr>
              <w:spacing w:after="0"/>
              <w:rPr>
                <w:sz w:val="19"/>
                <w:szCs w:val="19"/>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297,856</w:t>
            </w: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Commitments and Contingencies (Note 17)</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Shareholders’ Equity</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Preferred stock, $0.01 par value, 30,000,000 shares authorized, none issued or outstanding</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6"/>
        </w:trPr>
        <w:tc>
          <w:tcPr>
            <w:tcW w:w="7720" w:type="dxa"/>
            <w:vAlign w:val="bottom"/>
          </w:tcPr>
          <w:p>
            <w:pPr>
              <w:ind w:left="200"/>
              <w:spacing w:after="0"/>
              <w:rPr>
                <w:sz w:val="20"/>
                <w:szCs w:val="20"/>
                <w:color w:val="auto"/>
              </w:rPr>
            </w:pPr>
            <w:r>
              <w:rPr>
                <w:rFonts w:ascii="Arial" w:cs="Arial" w:eastAsia="Arial" w:hAnsi="Arial"/>
                <w:sz w:val="16"/>
                <w:szCs w:val="16"/>
                <w:color w:val="auto"/>
                <w:w w:val="98"/>
              </w:rPr>
              <w:t>Common stock, $0.01 par value, 187,500,000 shares authorized, 128,912,410 and 127,323,762 issued and</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6"/>
                <w:szCs w:val="16"/>
                <w:color w:val="auto"/>
              </w:rPr>
              <w:t>124,060,038 and 122,471,390 outstanding, respectively</w:t>
            </w:r>
          </w:p>
        </w:tc>
        <w:tc>
          <w:tcPr>
            <w:tcW w:w="38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1,289</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1,273</w:t>
            </w: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Additional paid-in capital</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1,291,363</w:t>
            </w: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1,276,213</w:t>
            </w: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Distributions in excess of earnings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(4,236 )</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(175,960 )</w:t>
            </w: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loss</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(16,919 )</w:t>
            </w: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(20,216 )</w:t>
            </w:r>
          </w:p>
        </w:tc>
      </w:tr>
      <w:tr>
        <w:trPr>
          <w:trHeight w:val="223"/>
        </w:trPr>
        <w:tc>
          <w:tcPr>
            <w:tcW w:w="7720" w:type="dxa"/>
            <w:vAlign w:val="bottom"/>
          </w:tcPr>
          <w:p>
            <w:pPr>
              <w:ind w:left="200"/>
              <w:spacing w:after="0"/>
              <w:rPr>
                <w:sz w:val="20"/>
                <w:szCs w:val="20"/>
                <w:color w:val="auto"/>
              </w:rPr>
            </w:pPr>
            <w:r>
              <w:rPr>
                <w:rFonts w:ascii="Arial" w:cs="Arial" w:eastAsia="Arial" w:hAnsi="Arial"/>
                <w:sz w:val="16"/>
                <w:szCs w:val="16"/>
                <w:color w:val="auto"/>
              </w:rPr>
              <w:t>Treasury stock, 4,852,372 shares, at cost</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(105,099 )</w:t>
            </w:r>
          </w:p>
        </w:tc>
        <w:tc>
          <w:tcPr>
            <w:tcW w:w="1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(105,099 )</w:t>
            </w:r>
          </w:p>
        </w:tc>
      </w:tr>
      <w:tr>
        <w:trPr>
          <w:trHeight w:val="22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 shareholders’ equity attributable to The GEO Group, Inc.</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1,166,398</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976,211</w:t>
            </w:r>
          </w:p>
        </w:tc>
      </w:tr>
      <w:tr>
        <w:trPr>
          <w:trHeight w:val="223"/>
        </w:trPr>
        <w:tc>
          <w:tcPr>
            <w:tcW w:w="7720" w:type="dxa"/>
            <w:vAlign w:val="bottom"/>
          </w:tcPr>
          <w:p>
            <w:pPr>
              <w:ind w:left="200"/>
              <w:spacing w:after="0"/>
              <w:rPr>
                <w:sz w:val="20"/>
                <w:szCs w:val="20"/>
                <w:color w:val="auto"/>
              </w:rPr>
            </w:pPr>
            <w:r>
              <w:rPr>
                <w:rFonts w:ascii="Arial" w:cs="Arial" w:eastAsia="Arial" w:hAnsi="Arial"/>
                <w:sz w:val="16"/>
                <w:szCs w:val="16"/>
                <w:color w:val="auto"/>
              </w:rPr>
              <w:t>Noncontrolling interests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(1,310 )</w:t>
            </w:r>
          </w:p>
        </w:tc>
        <w:tc>
          <w:tcPr>
            <w:tcW w:w="1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(1,195 )</w:t>
            </w:r>
          </w:p>
        </w:tc>
      </w:tr>
      <w:tr>
        <w:trPr>
          <w:trHeight w:val="223"/>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shareholders’ equity</w:t>
            </w: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1,165,088</w:t>
            </w: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975,016</w:t>
            </w: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color w:val="auto"/>
              </w:rPr>
              <w:t>Total Liabilities and Shareholders’ Equity</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3,760,383</w:t>
            </w:r>
          </w:p>
        </w:tc>
        <w:tc>
          <w:tcPr>
            <w:tcW w:w="7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4,537,408</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-5616575</wp:posOffset>
            </wp:positionV>
            <wp:extent cx="111125"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-4152265</wp:posOffset>
            </wp:positionV>
            <wp:extent cx="111125" cy="179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-2953385</wp:posOffset>
            </wp:positionV>
            <wp:extent cx="111125"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-179070</wp:posOffset>
            </wp:positionV>
            <wp:extent cx="111125" cy="1797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1125" cy="17970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2022, 2021 and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6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6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2"/>
                <w:szCs w:val="12"/>
                <w:b w:val="1"/>
                <w:bCs w:val="1"/>
                <w:color w:val="auto"/>
              </w:rPr>
              <w:t>2021</w:t>
            </w: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3"/>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55"/>
        </w:trPr>
        <w:tc>
          <w:tcPr>
            <w:tcW w:w="6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ind w:right="353"/>
              <w:spacing w:after="0"/>
              <w:rPr>
                <w:sz w:val="20"/>
                <w:szCs w:val="20"/>
                <w:color w:val="auto"/>
              </w:rPr>
            </w:pPr>
            <w:r>
              <w:rPr>
                <w:rFonts w:ascii="Arial" w:cs="Arial" w:eastAsia="Arial" w:hAnsi="Arial"/>
                <w:sz w:val="12"/>
                <w:szCs w:val="12"/>
                <w:b w:val="1"/>
                <w:bCs w:val="1"/>
                <w:color w:val="auto"/>
                <w:w w:val="99"/>
              </w:rPr>
              <w:t>(In thousands)</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6660" w:type="dxa"/>
            <w:vAlign w:val="bottom"/>
            <w:shd w:val="clear" w:color="auto" w:fill="CFF0FC"/>
          </w:tcPr>
          <w:p>
            <w:pPr>
              <w:ind w:left="20"/>
              <w:spacing w:after="0"/>
              <w:rPr>
                <w:sz w:val="20"/>
                <w:szCs w:val="20"/>
                <w:color w:val="auto"/>
              </w:rPr>
            </w:pPr>
            <w:r>
              <w:rPr>
                <w:rFonts w:ascii="Arial" w:cs="Arial" w:eastAsia="Arial" w:hAnsi="Arial"/>
                <w:sz w:val="13"/>
                <w:szCs w:val="13"/>
                <w:b w:val="1"/>
                <w:bCs w:val="1"/>
                <w:i w:val="1"/>
                <w:iCs w:val="1"/>
                <w:color w:val="auto"/>
              </w:rPr>
              <w:t>Cash Flow from Operating Activities:</w:t>
            </w:r>
          </w:p>
        </w:tc>
        <w:tc>
          <w:tcPr>
            <w:tcW w:w="7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780" w:type="dxa"/>
            <w:vAlign w:val="bottom"/>
          </w:tcPr>
          <w:p>
            <w:pPr>
              <w:jc w:val="right"/>
              <w:ind w:right="633"/>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171,692</w:t>
            </w:r>
          </w:p>
        </w:tc>
        <w:tc>
          <w:tcPr>
            <w:tcW w:w="30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77,233</w:t>
            </w:r>
          </w:p>
        </w:tc>
        <w:tc>
          <w:tcPr>
            <w:tcW w:w="440" w:type="dxa"/>
            <w:vAlign w:val="bottom"/>
            <w:gridSpan w:val="2"/>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112,831</w:t>
            </w:r>
          </w:p>
        </w:tc>
        <w:tc>
          <w:tcPr>
            <w:tcW w:w="0" w:type="dxa"/>
            <w:vAlign w:val="bottom"/>
          </w:tcPr>
          <w:p>
            <w:pPr>
              <w:spacing w:after="0"/>
              <w:rPr>
                <w:sz w:val="1"/>
                <w:szCs w:val="1"/>
                <w:color w:val="auto"/>
              </w:rPr>
            </w:pPr>
          </w:p>
        </w:tc>
      </w:tr>
      <w:tr>
        <w:trPr>
          <w:trHeight w:val="175"/>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Net loss attributable to noncontrolling interests</w:t>
            </w:r>
          </w:p>
        </w:tc>
        <w:tc>
          <w:tcPr>
            <w:tcW w:w="78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121</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185</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69"/>
        </w:trPr>
        <w:tc>
          <w:tcPr>
            <w:tcW w:w="6660" w:type="dxa"/>
            <w:vAlign w:val="bottom"/>
          </w:tcPr>
          <w:p>
            <w:pPr>
              <w:ind w:left="20"/>
              <w:spacing w:after="0"/>
              <w:rPr>
                <w:sz w:val="20"/>
                <w:szCs w:val="20"/>
                <w:color w:val="auto"/>
              </w:rPr>
            </w:pPr>
            <w:r>
              <w:rPr>
                <w:rFonts w:ascii="Arial" w:cs="Arial" w:eastAsia="Arial" w:hAnsi="Arial"/>
                <w:sz w:val="13"/>
                <w:szCs w:val="13"/>
                <w:color w:val="auto"/>
              </w:rPr>
              <w:t>Net income attributable to The GEO Group, Inc.</w:t>
            </w:r>
          </w:p>
        </w:tc>
        <w:tc>
          <w:tcPr>
            <w:tcW w:w="780" w:type="dxa"/>
            <w:vAlign w:val="bottom"/>
          </w:tcPr>
          <w:p>
            <w:pPr>
              <w:spacing w:after="0"/>
              <w:rPr>
                <w:sz w:val="14"/>
                <w:szCs w:val="14"/>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171,813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77,418</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113,032</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8"/>
              </w:rPr>
              <w:t>Adjustments to reconcile net income attributable to The GEO Group, Inc. to net cash provided by operating activities:</w:t>
            </w:r>
          </w:p>
        </w:tc>
        <w:tc>
          <w:tcPr>
            <w:tcW w:w="7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60" w:type="dxa"/>
            <w:vAlign w:val="bottom"/>
          </w:tcPr>
          <w:p>
            <w:pPr>
              <w:ind w:left="200"/>
              <w:spacing w:after="0"/>
              <w:rPr>
                <w:sz w:val="20"/>
                <w:szCs w:val="20"/>
                <w:color w:val="auto"/>
              </w:rPr>
            </w:pPr>
            <w:r>
              <w:rPr>
                <w:rFonts w:ascii="Arial" w:cs="Arial" w:eastAsia="Arial" w:hAnsi="Arial"/>
                <w:sz w:val="13"/>
                <w:szCs w:val="13"/>
                <w:color w:val="auto"/>
              </w:rPr>
              <w:t>Depreciation and amortization expense</w:t>
            </w:r>
          </w:p>
        </w:tc>
        <w:tc>
          <w:tcPr>
            <w:tcW w:w="780" w:type="dxa"/>
            <w:vAlign w:val="bottom"/>
          </w:tcPr>
          <w:p>
            <w:pPr>
              <w:spacing w:after="0"/>
              <w:rPr>
                <w:sz w:val="15"/>
                <w:szCs w:val="15"/>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132,925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135,177</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134,680</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Deferred tax provision (benefit)</w:t>
            </w:r>
          </w:p>
        </w:tc>
        <w:tc>
          <w:tcPr>
            <w:tcW w:w="7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(13,126 )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86,380</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11,221</w:t>
            </w:r>
          </w:p>
        </w:tc>
        <w:tc>
          <w:tcPr>
            <w:tcW w:w="0" w:type="dxa"/>
            <w:vAlign w:val="bottom"/>
          </w:tcPr>
          <w:p>
            <w:pPr>
              <w:spacing w:after="0"/>
              <w:rPr>
                <w:sz w:val="1"/>
                <w:szCs w:val="1"/>
                <w:color w:val="auto"/>
              </w:rPr>
            </w:pPr>
          </w:p>
        </w:tc>
      </w:tr>
      <w:tr>
        <w:trPr>
          <w:trHeight w:val="175"/>
        </w:trPr>
        <w:tc>
          <w:tcPr>
            <w:tcW w:w="6660" w:type="dxa"/>
            <w:vAlign w:val="bottom"/>
          </w:tcPr>
          <w:p>
            <w:pPr>
              <w:ind w:left="200"/>
              <w:spacing w:after="0"/>
              <w:rPr>
                <w:sz w:val="20"/>
                <w:szCs w:val="20"/>
                <w:color w:val="auto"/>
              </w:rPr>
            </w:pPr>
            <w:r>
              <w:rPr>
                <w:rFonts w:ascii="Arial" w:cs="Arial" w:eastAsia="Arial" w:hAnsi="Arial"/>
                <w:sz w:val="13"/>
                <w:szCs w:val="13"/>
                <w:color w:val="auto"/>
              </w:rPr>
              <w:t>Amortization of debt issuance costs, discount and/or premium and other non-cash interest</w:t>
            </w:r>
          </w:p>
        </w:tc>
        <w:tc>
          <w:tcPr>
            <w:tcW w:w="780" w:type="dxa"/>
            <w:vAlign w:val="bottom"/>
          </w:tcPr>
          <w:p>
            <w:pPr>
              <w:spacing w:after="0"/>
              <w:rPr>
                <w:sz w:val="15"/>
                <w:szCs w:val="15"/>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9,004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7,498</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6,892</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Goodwill impairment charge</w:t>
            </w:r>
          </w:p>
        </w:tc>
        <w:tc>
          <w:tcPr>
            <w:tcW w:w="78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21,146</w:t>
            </w:r>
          </w:p>
        </w:tc>
        <w:tc>
          <w:tcPr>
            <w:tcW w:w="0" w:type="dxa"/>
            <w:vAlign w:val="bottom"/>
          </w:tcPr>
          <w:p>
            <w:pPr>
              <w:spacing w:after="0"/>
              <w:rPr>
                <w:sz w:val="1"/>
                <w:szCs w:val="1"/>
                <w:color w:val="auto"/>
              </w:rPr>
            </w:pPr>
          </w:p>
        </w:tc>
      </w:tr>
      <w:tr>
        <w:trPr>
          <w:trHeight w:val="175"/>
        </w:trPr>
        <w:tc>
          <w:tcPr>
            <w:tcW w:w="666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780" w:type="dxa"/>
            <w:vAlign w:val="bottom"/>
          </w:tcPr>
          <w:p>
            <w:pPr>
              <w:spacing w:after="0"/>
              <w:rPr>
                <w:sz w:val="15"/>
                <w:szCs w:val="15"/>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16,204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19,199</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23,896</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(Gain) loss on extinguishment of debt</w:t>
            </w:r>
          </w:p>
        </w:tc>
        <w:tc>
          <w:tcPr>
            <w:tcW w:w="78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37,895</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(4,693 )</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(5,319 )</w:t>
            </w:r>
          </w:p>
        </w:tc>
        <w:tc>
          <w:tcPr>
            <w:tcW w:w="0" w:type="dxa"/>
            <w:vAlign w:val="bottom"/>
          </w:tcPr>
          <w:p>
            <w:pPr>
              <w:spacing w:after="0"/>
              <w:rPr>
                <w:sz w:val="1"/>
                <w:szCs w:val="1"/>
                <w:color w:val="auto"/>
              </w:rPr>
            </w:pPr>
          </w:p>
        </w:tc>
      </w:tr>
      <w:tr>
        <w:trPr>
          <w:trHeight w:val="175"/>
        </w:trPr>
        <w:tc>
          <w:tcPr>
            <w:tcW w:w="6660" w:type="dxa"/>
            <w:vAlign w:val="bottom"/>
          </w:tcPr>
          <w:p>
            <w:pPr>
              <w:ind w:left="200"/>
              <w:spacing w:after="0"/>
              <w:rPr>
                <w:sz w:val="20"/>
                <w:szCs w:val="20"/>
                <w:color w:val="auto"/>
              </w:rPr>
            </w:pPr>
            <w:r>
              <w:rPr>
                <w:rFonts w:ascii="Arial" w:cs="Arial" w:eastAsia="Arial" w:hAnsi="Arial"/>
                <w:sz w:val="13"/>
                <w:szCs w:val="13"/>
                <w:color w:val="auto"/>
              </w:rPr>
              <w:t>Provision for doubtful accounts</w:t>
            </w:r>
          </w:p>
        </w:tc>
        <w:tc>
          <w:tcPr>
            <w:tcW w:w="780" w:type="dxa"/>
            <w:vAlign w:val="bottom"/>
          </w:tcPr>
          <w:p>
            <w:pPr>
              <w:spacing w:after="0"/>
              <w:rPr>
                <w:sz w:val="15"/>
                <w:szCs w:val="15"/>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258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263</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Equity in earnings of affiliates, net of tax</w:t>
            </w:r>
          </w:p>
        </w:tc>
        <w:tc>
          <w:tcPr>
            <w:tcW w:w="7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(4,771 )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(7,141 )</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(9,166 )</w:t>
            </w:r>
          </w:p>
        </w:tc>
        <w:tc>
          <w:tcPr>
            <w:tcW w:w="0" w:type="dxa"/>
            <w:vAlign w:val="bottom"/>
          </w:tcPr>
          <w:p>
            <w:pPr>
              <w:spacing w:after="0"/>
              <w:rPr>
                <w:sz w:val="1"/>
                <w:szCs w:val="1"/>
                <w:color w:val="auto"/>
              </w:rPr>
            </w:pPr>
          </w:p>
        </w:tc>
      </w:tr>
      <w:tr>
        <w:trPr>
          <w:trHeight w:val="175"/>
        </w:trPr>
        <w:tc>
          <w:tcPr>
            <w:tcW w:w="6660" w:type="dxa"/>
            <w:vAlign w:val="bottom"/>
          </w:tcPr>
          <w:p>
            <w:pPr>
              <w:ind w:left="200"/>
              <w:spacing w:after="0"/>
              <w:rPr>
                <w:sz w:val="20"/>
                <w:szCs w:val="20"/>
                <w:color w:val="auto"/>
              </w:rPr>
            </w:pPr>
            <w:r>
              <w:rPr>
                <w:rFonts w:ascii="Arial" w:cs="Arial" w:eastAsia="Arial" w:hAnsi="Arial"/>
                <w:sz w:val="13"/>
                <w:szCs w:val="13"/>
                <w:color w:val="auto"/>
              </w:rPr>
              <w:t>(Gain) loss on sale/disposal of property and equipment</w:t>
            </w:r>
          </w:p>
        </w:tc>
        <w:tc>
          <w:tcPr>
            <w:tcW w:w="7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(114 )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8,447</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1,720</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(gain) loss on disposition of assets</w:t>
            </w:r>
          </w:p>
        </w:tc>
        <w:tc>
          <w:tcPr>
            <w:tcW w:w="7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(32,332 )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(5,499 )</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6,831</w:t>
            </w:r>
          </w:p>
        </w:tc>
        <w:tc>
          <w:tcPr>
            <w:tcW w:w="0" w:type="dxa"/>
            <w:vAlign w:val="bottom"/>
          </w:tcPr>
          <w:p>
            <w:pPr>
              <w:spacing w:after="0"/>
              <w:rPr>
                <w:sz w:val="1"/>
                <w:szCs w:val="1"/>
                <w:color w:val="auto"/>
              </w:rPr>
            </w:pPr>
          </w:p>
        </w:tc>
      </w:tr>
      <w:tr>
        <w:trPr>
          <w:trHeight w:val="175"/>
        </w:trPr>
        <w:tc>
          <w:tcPr>
            <w:tcW w:w="6660" w:type="dxa"/>
            <w:vAlign w:val="bottom"/>
          </w:tcPr>
          <w:p>
            <w:pPr>
              <w:ind w:left="200"/>
              <w:spacing w:after="0"/>
              <w:rPr>
                <w:sz w:val="20"/>
                <w:szCs w:val="20"/>
                <w:color w:val="auto"/>
              </w:rPr>
            </w:pPr>
            <w:r>
              <w:rPr>
                <w:rFonts w:ascii="Arial" w:cs="Arial" w:eastAsia="Arial" w:hAnsi="Arial"/>
                <w:sz w:val="13"/>
                <w:szCs w:val="13"/>
                <w:color w:val="auto"/>
              </w:rPr>
              <w:t>Dividends received from unconsolidated joint ventures</w:t>
            </w:r>
          </w:p>
        </w:tc>
        <w:tc>
          <w:tcPr>
            <w:tcW w:w="780" w:type="dxa"/>
            <w:vAlign w:val="bottom"/>
          </w:tcPr>
          <w:p>
            <w:pPr>
              <w:spacing w:after="0"/>
              <w:rPr>
                <w:sz w:val="15"/>
                <w:szCs w:val="15"/>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4,486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8,263</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5,934</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Changes in assets and liabilities, net of acquisition:</w:t>
            </w:r>
          </w:p>
        </w:tc>
        <w:tc>
          <w:tcPr>
            <w:tcW w:w="7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60" w:type="dxa"/>
            <w:vAlign w:val="bottom"/>
          </w:tcPr>
          <w:p>
            <w:pPr>
              <w:ind w:left="200"/>
              <w:spacing w:after="0"/>
              <w:rPr>
                <w:sz w:val="20"/>
                <w:szCs w:val="20"/>
                <w:color w:val="auto"/>
              </w:rPr>
            </w:pPr>
            <w:r>
              <w:rPr>
                <w:rFonts w:ascii="Arial" w:cs="Arial" w:eastAsia="Arial" w:hAnsi="Arial"/>
                <w:sz w:val="13"/>
                <w:szCs w:val="13"/>
                <w:color w:val="auto"/>
              </w:rPr>
              <w:t>Changes in accounts receivable, prepaid expenses and other assets</w:t>
            </w:r>
          </w:p>
        </w:tc>
        <w:tc>
          <w:tcPr>
            <w:tcW w:w="7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(52,980 )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9,466</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68,181</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Changes in contract receivable</w:t>
            </w:r>
          </w:p>
        </w:tc>
        <w:tc>
          <w:tcPr>
            <w:tcW w:w="78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5,305</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6,231</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5,156</w:t>
            </w:r>
          </w:p>
        </w:tc>
        <w:tc>
          <w:tcPr>
            <w:tcW w:w="0" w:type="dxa"/>
            <w:vAlign w:val="bottom"/>
          </w:tcPr>
          <w:p>
            <w:pPr>
              <w:spacing w:after="0"/>
              <w:rPr>
                <w:sz w:val="1"/>
                <w:szCs w:val="1"/>
                <w:color w:val="auto"/>
              </w:rPr>
            </w:pPr>
          </w:p>
        </w:tc>
      </w:tr>
      <w:tr>
        <w:trPr>
          <w:trHeight w:val="175"/>
        </w:trPr>
        <w:tc>
          <w:tcPr>
            <w:tcW w:w="6660" w:type="dxa"/>
            <w:vAlign w:val="bottom"/>
          </w:tcPr>
          <w:p>
            <w:pPr>
              <w:ind w:left="200"/>
              <w:spacing w:after="0"/>
              <w:rPr>
                <w:sz w:val="20"/>
                <w:szCs w:val="20"/>
                <w:color w:val="auto"/>
              </w:rPr>
            </w:pPr>
            <w:r>
              <w:rPr>
                <w:rFonts w:ascii="Arial" w:cs="Arial" w:eastAsia="Arial" w:hAnsi="Arial"/>
                <w:sz w:val="13"/>
                <w:szCs w:val="13"/>
                <w:color w:val="auto"/>
              </w:rPr>
              <w:t>Changes in accounts payable, accrued expenses and other liabilities</w:t>
            </w:r>
          </w:p>
        </w:tc>
        <w:tc>
          <w:tcPr>
            <w:tcW w:w="7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21,845</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(58,111 )</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57,266</w:t>
            </w:r>
          </w:p>
        </w:tc>
        <w:tc>
          <w:tcPr>
            <w:tcW w:w="0" w:type="dxa"/>
            <w:vAlign w:val="bottom"/>
          </w:tcPr>
          <w:p>
            <w:pPr>
              <w:spacing w:after="0"/>
              <w:rPr>
                <w:sz w:val="1"/>
                <w:szCs w:val="1"/>
                <w:color w:val="auto"/>
              </w:rPr>
            </w:pPr>
          </w:p>
        </w:tc>
      </w:tr>
      <w:tr>
        <w:trPr>
          <w:trHeight w:val="169"/>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7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296,412</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282,635</w:t>
            </w:r>
          </w:p>
        </w:tc>
        <w:tc>
          <w:tcPr>
            <w:tcW w:w="14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441,733</w:t>
            </w:r>
          </w:p>
        </w:tc>
        <w:tc>
          <w:tcPr>
            <w:tcW w:w="0" w:type="dxa"/>
            <w:vAlign w:val="bottom"/>
          </w:tcPr>
          <w:p>
            <w:pPr>
              <w:spacing w:after="0"/>
              <w:rPr>
                <w:sz w:val="1"/>
                <w:szCs w:val="1"/>
                <w:color w:val="auto"/>
              </w:rPr>
            </w:pPr>
          </w:p>
        </w:tc>
      </w:tr>
      <w:tr>
        <w:trPr>
          <w:trHeight w:val="169"/>
        </w:trPr>
        <w:tc>
          <w:tcPr>
            <w:tcW w:w="666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Cash Flow from Investing Activities:</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sale of property and equipment</w:t>
            </w:r>
          </w:p>
        </w:tc>
        <w:tc>
          <w:tcPr>
            <w:tcW w:w="78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4,130</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75"/>
        </w:trPr>
        <w:tc>
          <w:tcPr>
            <w:tcW w:w="6660" w:type="dxa"/>
            <w:vAlign w:val="bottom"/>
          </w:tcPr>
          <w:p>
            <w:pPr>
              <w:ind w:left="20"/>
              <w:spacing w:after="0"/>
              <w:rPr>
                <w:sz w:val="20"/>
                <w:szCs w:val="20"/>
                <w:color w:val="auto"/>
              </w:rPr>
            </w:pPr>
            <w:r>
              <w:rPr>
                <w:rFonts w:ascii="Arial" w:cs="Arial" w:eastAsia="Arial" w:hAnsi="Arial"/>
                <w:sz w:val="13"/>
                <w:szCs w:val="13"/>
                <w:color w:val="auto"/>
              </w:rPr>
              <w:t>Insurance proceeds - damaged property</w:t>
            </w:r>
          </w:p>
        </w:tc>
        <w:tc>
          <w:tcPr>
            <w:tcW w:w="780" w:type="dxa"/>
            <w:vAlign w:val="bottom"/>
          </w:tcPr>
          <w:p>
            <w:pPr>
              <w:spacing w:after="0"/>
              <w:rPr>
                <w:sz w:val="15"/>
                <w:szCs w:val="15"/>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1,027</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9,497</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sale of real estate and other assets</w:t>
            </w:r>
          </w:p>
        </w:tc>
        <w:tc>
          <w:tcPr>
            <w:tcW w:w="78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101,419</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21,239</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2,406</w:t>
            </w:r>
          </w:p>
        </w:tc>
        <w:tc>
          <w:tcPr>
            <w:tcW w:w="0" w:type="dxa"/>
            <w:vAlign w:val="bottom"/>
          </w:tcPr>
          <w:p>
            <w:pPr>
              <w:spacing w:after="0"/>
              <w:rPr>
                <w:sz w:val="1"/>
                <w:szCs w:val="1"/>
                <w:color w:val="auto"/>
              </w:rPr>
            </w:pPr>
          </w:p>
        </w:tc>
      </w:tr>
      <w:tr>
        <w:trPr>
          <w:trHeight w:val="175"/>
        </w:trPr>
        <w:tc>
          <w:tcPr>
            <w:tcW w:w="6660" w:type="dxa"/>
            <w:vAlign w:val="bottom"/>
          </w:tcPr>
          <w:p>
            <w:pPr>
              <w:ind w:left="20"/>
              <w:spacing w:after="0"/>
              <w:rPr>
                <w:sz w:val="20"/>
                <w:szCs w:val="20"/>
                <w:color w:val="auto"/>
              </w:rPr>
            </w:pPr>
            <w:r>
              <w:rPr>
                <w:rFonts w:ascii="Arial" w:cs="Arial" w:eastAsia="Arial" w:hAnsi="Arial"/>
                <w:sz w:val="13"/>
                <w:szCs w:val="13"/>
                <w:color w:val="auto"/>
              </w:rPr>
              <w:t>Payment received on note receivable</w:t>
            </w:r>
          </w:p>
        </w:tc>
        <w:tc>
          <w:tcPr>
            <w:tcW w:w="780" w:type="dxa"/>
            <w:vAlign w:val="bottom"/>
          </w:tcPr>
          <w:p>
            <w:pPr>
              <w:spacing w:after="0"/>
              <w:rPr>
                <w:sz w:val="15"/>
                <w:szCs w:val="15"/>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8,000</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Change in restricted investments</w:t>
            </w:r>
          </w:p>
        </w:tc>
        <w:tc>
          <w:tcPr>
            <w:tcW w:w="7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(8,433 )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(18,739 )</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(7,417 )</w:t>
            </w:r>
          </w:p>
        </w:tc>
        <w:tc>
          <w:tcPr>
            <w:tcW w:w="0" w:type="dxa"/>
            <w:vAlign w:val="bottom"/>
          </w:tcPr>
          <w:p>
            <w:pPr>
              <w:spacing w:after="0"/>
              <w:rPr>
                <w:sz w:val="1"/>
                <w:szCs w:val="1"/>
                <w:color w:val="auto"/>
              </w:rPr>
            </w:pPr>
          </w:p>
        </w:tc>
      </w:tr>
      <w:tr>
        <w:trPr>
          <w:trHeight w:val="175"/>
        </w:trPr>
        <w:tc>
          <w:tcPr>
            <w:tcW w:w="6660" w:type="dxa"/>
            <w:vAlign w:val="bottom"/>
          </w:tcPr>
          <w:p>
            <w:pPr>
              <w:ind w:left="20"/>
              <w:spacing w:after="0"/>
              <w:rPr>
                <w:sz w:val="20"/>
                <w:szCs w:val="20"/>
                <w:color w:val="auto"/>
              </w:rPr>
            </w:pPr>
            <w:r>
              <w:rPr>
                <w:rFonts w:ascii="Arial" w:cs="Arial" w:eastAsia="Arial" w:hAnsi="Arial"/>
                <w:sz w:val="13"/>
                <w:szCs w:val="13"/>
                <w:color w:val="auto"/>
              </w:rPr>
              <w:t>Capital expenditures</w:t>
            </w:r>
          </w:p>
        </w:tc>
        <w:tc>
          <w:tcPr>
            <w:tcW w:w="7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(90,026 )</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(69,394 )</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(108,800 )</w:t>
            </w:r>
          </w:p>
        </w:tc>
        <w:tc>
          <w:tcPr>
            <w:tcW w:w="0" w:type="dxa"/>
            <w:vAlign w:val="bottom"/>
          </w:tcPr>
          <w:p>
            <w:pPr>
              <w:spacing w:after="0"/>
              <w:rPr>
                <w:sz w:val="1"/>
                <w:szCs w:val="1"/>
                <w:color w:val="auto"/>
              </w:rPr>
            </w:pPr>
          </w:p>
        </w:tc>
      </w:tr>
      <w:tr>
        <w:trPr>
          <w:trHeight w:val="169"/>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Net cash provided by (used in) investing activities</w:t>
            </w:r>
          </w:p>
        </w:tc>
        <w:tc>
          <w:tcPr>
            <w:tcW w:w="7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2,960</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(53,737 )</w:t>
            </w:r>
          </w:p>
        </w:tc>
        <w:tc>
          <w:tcPr>
            <w:tcW w:w="14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(104,174 )</w:t>
            </w:r>
          </w:p>
        </w:tc>
        <w:tc>
          <w:tcPr>
            <w:tcW w:w="0" w:type="dxa"/>
            <w:vAlign w:val="bottom"/>
          </w:tcPr>
          <w:p>
            <w:pPr>
              <w:spacing w:after="0"/>
              <w:rPr>
                <w:sz w:val="1"/>
                <w:szCs w:val="1"/>
                <w:color w:val="auto"/>
              </w:rPr>
            </w:pPr>
          </w:p>
        </w:tc>
      </w:tr>
      <w:tr>
        <w:trPr>
          <w:trHeight w:val="169"/>
        </w:trPr>
        <w:tc>
          <w:tcPr>
            <w:tcW w:w="666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Cash Flow from Financing Activities:</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Payments on long-term debt</w:t>
            </w:r>
          </w:p>
        </w:tc>
        <w:tc>
          <w:tcPr>
            <w:tcW w:w="7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(680,850 )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(360,296 )</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(816,191 )</w:t>
            </w:r>
          </w:p>
        </w:tc>
        <w:tc>
          <w:tcPr>
            <w:tcW w:w="0" w:type="dxa"/>
            <w:vAlign w:val="bottom"/>
          </w:tcPr>
          <w:p>
            <w:pPr>
              <w:spacing w:after="0"/>
              <w:rPr>
                <w:sz w:val="1"/>
                <w:szCs w:val="1"/>
                <w:color w:val="auto"/>
              </w:rPr>
            </w:pPr>
          </w:p>
        </w:tc>
      </w:tr>
      <w:tr>
        <w:trPr>
          <w:trHeight w:val="175"/>
        </w:trPr>
        <w:tc>
          <w:tcPr>
            <w:tcW w:w="6660" w:type="dxa"/>
            <w:vAlign w:val="bottom"/>
          </w:tcPr>
          <w:p>
            <w:pPr>
              <w:ind w:left="20"/>
              <w:spacing w:after="0"/>
              <w:rPr>
                <w:sz w:val="20"/>
                <w:szCs w:val="20"/>
                <w:color w:val="auto"/>
              </w:rPr>
            </w:pPr>
            <w:r>
              <w:rPr>
                <w:rFonts w:ascii="Arial" w:cs="Arial" w:eastAsia="Arial" w:hAnsi="Arial"/>
                <w:sz w:val="13"/>
                <w:szCs w:val="13"/>
                <w:color w:val="auto"/>
              </w:rPr>
              <w:t>Proceeds from long term debt</w:t>
            </w:r>
          </w:p>
        </w:tc>
        <w:tc>
          <w:tcPr>
            <w:tcW w:w="780" w:type="dxa"/>
            <w:vAlign w:val="bottom"/>
          </w:tcPr>
          <w:p>
            <w:pPr>
              <w:spacing w:after="0"/>
              <w:rPr>
                <w:sz w:val="15"/>
                <w:szCs w:val="15"/>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30,000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435,000</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960,579</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Payments on non-recourse debt</w:t>
            </w:r>
          </w:p>
        </w:tc>
        <w:tc>
          <w:tcPr>
            <w:tcW w:w="7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(5,676 )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(21,575 )</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(13,805 )</w:t>
            </w:r>
          </w:p>
        </w:tc>
        <w:tc>
          <w:tcPr>
            <w:tcW w:w="0" w:type="dxa"/>
            <w:vAlign w:val="bottom"/>
          </w:tcPr>
          <w:p>
            <w:pPr>
              <w:spacing w:after="0"/>
              <w:rPr>
                <w:sz w:val="1"/>
                <w:szCs w:val="1"/>
                <w:color w:val="auto"/>
              </w:rPr>
            </w:pPr>
          </w:p>
        </w:tc>
      </w:tr>
      <w:tr>
        <w:trPr>
          <w:trHeight w:val="175"/>
        </w:trPr>
        <w:tc>
          <w:tcPr>
            <w:tcW w:w="6660" w:type="dxa"/>
            <w:vAlign w:val="bottom"/>
          </w:tcPr>
          <w:p>
            <w:pPr>
              <w:ind w:left="20"/>
              <w:spacing w:after="0"/>
              <w:rPr>
                <w:sz w:val="20"/>
                <w:szCs w:val="20"/>
                <w:color w:val="auto"/>
              </w:rPr>
            </w:pPr>
            <w:r>
              <w:rPr>
                <w:rFonts w:ascii="Arial" w:cs="Arial" w:eastAsia="Arial" w:hAnsi="Arial"/>
                <w:sz w:val="13"/>
                <w:szCs w:val="13"/>
                <w:color w:val="auto"/>
              </w:rPr>
              <w:t>Taxes paid related to net share settlements of equity awards</w:t>
            </w:r>
          </w:p>
        </w:tc>
        <w:tc>
          <w:tcPr>
            <w:tcW w:w="7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(1,302 )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(2,090 )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(2,789 )</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Debt issuance costs</w:t>
            </w:r>
          </w:p>
        </w:tc>
        <w:tc>
          <w:tcPr>
            <w:tcW w:w="7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(41,536 )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(9,587 )</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6660" w:type="dxa"/>
            <w:vAlign w:val="bottom"/>
          </w:tcPr>
          <w:p>
            <w:pPr>
              <w:ind w:left="20"/>
              <w:spacing w:after="0"/>
              <w:rPr>
                <w:sz w:val="20"/>
                <w:szCs w:val="20"/>
                <w:color w:val="auto"/>
              </w:rPr>
            </w:pPr>
            <w:r>
              <w:rPr>
                <w:rFonts w:ascii="Arial" w:cs="Arial" w:eastAsia="Arial" w:hAnsi="Arial"/>
                <w:sz w:val="13"/>
                <w:szCs w:val="13"/>
                <w:color w:val="auto"/>
              </w:rPr>
              <w:t>Payments for purchase of treasury shares</w:t>
            </w:r>
          </w:p>
        </w:tc>
        <w:tc>
          <w:tcPr>
            <w:tcW w:w="780" w:type="dxa"/>
            <w:vAlign w:val="bottom"/>
          </w:tcPr>
          <w:p>
            <w:pPr>
              <w:spacing w:after="0"/>
              <w:rPr>
                <w:sz w:val="15"/>
                <w:szCs w:val="15"/>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(9,009 )</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stock options exercised</w:t>
            </w:r>
          </w:p>
        </w:tc>
        <w:tc>
          <w:tcPr>
            <w:tcW w:w="78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66</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15</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6660" w:type="dxa"/>
            <w:vAlign w:val="bottom"/>
          </w:tcPr>
          <w:p>
            <w:pPr>
              <w:ind w:left="20"/>
              <w:spacing w:after="0"/>
              <w:rPr>
                <w:sz w:val="20"/>
                <w:szCs w:val="20"/>
                <w:color w:val="auto"/>
              </w:rPr>
            </w:pPr>
            <w:r>
              <w:rPr>
                <w:rFonts w:ascii="Arial" w:cs="Arial" w:eastAsia="Arial" w:hAnsi="Arial"/>
                <w:sz w:val="13"/>
                <w:szCs w:val="13"/>
                <w:color w:val="auto"/>
              </w:rPr>
              <w:t>Proceeds from issuance of common stock in connection with ESPP</w:t>
            </w:r>
          </w:p>
        </w:tc>
        <w:tc>
          <w:tcPr>
            <w:tcW w:w="780" w:type="dxa"/>
            <w:vAlign w:val="bottom"/>
          </w:tcPr>
          <w:p>
            <w:pPr>
              <w:spacing w:after="0"/>
              <w:rPr>
                <w:sz w:val="15"/>
                <w:szCs w:val="15"/>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198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282</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616</w:t>
            </w:r>
          </w:p>
        </w:tc>
        <w:tc>
          <w:tcPr>
            <w:tcW w:w="0" w:type="dxa"/>
            <w:vAlign w:val="bottom"/>
          </w:tcPr>
          <w:p>
            <w:pPr>
              <w:spacing w:after="0"/>
              <w:rPr>
                <w:sz w:val="1"/>
                <w:szCs w:val="1"/>
                <w:color w:val="auto"/>
              </w:rPr>
            </w:pPr>
          </w:p>
        </w:tc>
      </w:tr>
      <w:tr>
        <w:trPr>
          <w:trHeight w:val="175"/>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Dividends paid</w:t>
            </w:r>
          </w:p>
        </w:tc>
        <w:tc>
          <w:tcPr>
            <w:tcW w:w="78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(30,486 )</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(216,145 )</w:t>
            </w:r>
          </w:p>
        </w:tc>
        <w:tc>
          <w:tcPr>
            <w:tcW w:w="0" w:type="dxa"/>
            <w:vAlign w:val="bottom"/>
          </w:tcPr>
          <w:p>
            <w:pPr>
              <w:spacing w:after="0"/>
              <w:rPr>
                <w:sz w:val="1"/>
                <w:szCs w:val="1"/>
                <w:color w:val="auto"/>
              </w:rPr>
            </w:pPr>
          </w:p>
        </w:tc>
      </w:tr>
      <w:tr>
        <w:trPr>
          <w:trHeight w:val="169"/>
        </w:trPr>
        <w:tc>
          <w:tcPr>
            <w:tcW w:w="6660" w:type="dxa"/>
            <w:vAlign w:val="bottom"/>
          </w:tcPr>
          <w:p>
            <w:pPr>
              <w:ind w:left="20"/>
              <w:spacing w:after="0"/>
              <w:rPr>
                <w:sz w:val="20"/>
                <w:szCs w:val="20"/>
                <w:color w:val="auto"/>
              </w:rPr>
            </w:pPr>
            <w:r>
              <w:rPr>
                <w:rFonts w:ascii="Arial" w:cs="Arial" w:eastAsia="Arial" w:hAnsi="Arial"/>
                <w:sz w:val="13"/>
                <w:szCs w:val="13"/>
                <w:color w:val="auto"/>
              </w:rPr>
              <w:t>Net cash provided by (used in) financing activities</w:t>
            </w:r>
          </w:p>
        </w:tc>
        <w:tc>
          <w:tcPr>
            <w:tcW w:w="7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(699,100 )</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11,263</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(96,744 )</w:t>
            </w:r>
          </w:p>
        </w:tc>
        <w:tc>
          <w:tcPr>
            <w:tcW w:w="0" w:type="dxa"/>
            <w:vAlign w:val="bottom"/>
          </w:tcPr>
          <w:p>
            <w:pPr>
              <w:spacing w:after="0"/>
              <w:rPr>
                <w:sz w:val="1"/>
                <w:szCs w:val="1"/>
                <w:color w:val="auto"/>
              </w:rPr>
            </w:pPr>
          </w:p>
        </w:tc>
      </w:tr>
      <w:tr>
        <w:trPr>
          <w:trHeight w:val="169"/>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i w:val="1"/>
                <w:iCs w:val="1"/>
                <w:color w:val="auto"/>
              </w:rPr>
              <w:t>Effect of Exchange Rate Changes on Cash, Cash Equivalents and Restricted Cash and Cash Equivalents</w:t>
            </w:r>
          </w:p>
        </w:tc>
        <w:tc>
          <w:tcPr>
            <w:tcW w:w="7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(4,751 )</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(3,692 )</w:t>
            </w:r>
          </w:p>
        </w:tc>
        <w:tc>
          <w:tcPr>
            <w:tcW w:w="14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3,566</w:t>
            </w:r>
          </w:p>
        </w:tc>
        <w:tc>
          <w:tcPr>
            <w:tcW w:w="0" w:type="dxa"/>
            <w:vAlign w:val="bottom"/>
          </w:tcPr>
          <w:p>
            <w:pPr>
              <w:spacing w:after="0"/>
              <w:rPr>
                <w:sz w:val="1"/>
                <w:szCs w:val="1"/>
                <w:color w:val="auto"/>
              </w:rPr>
            </w:pPr>
          </w:p>
        </w:tc>
      </w:tr>
      <w:tr>
        <w:trPr>
          <w:trHeight w:val="169"/>
        </w:trPr>
        <w:tc>
          <w:tcPr>
            <w:tcW w:w="666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Net Increase (Decrease) in Cash, Cash Equivalents and Restricted Cash and Cash Equivalents</w:t>
            </w:r>
          </w:p>
        </w:tc>
        <w:tc>
          <w:tcPr>
            <w:tcW w:w="7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(404,479 )</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236,469</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244,381</w:t>
            </w:r>
          </w:p>
        </w:tc>
        <w:tc>
          <w:tcPr>
            <w:tcW w:w="0" w:type="dxa"/>
            <w:vAlign w:val="bottom"/>
          </w:tcPr>
          <w:p>
            <w:pPr>
              <w:spacing w:after="0"/>
              <w:rPr>
                <w:sz w:val="1"/>
                <w:szCs w:val="1"/>
                <w:color w:val="auto"/>
              </w:rPr>
            </w:pPr>
          </w:p>
        </w:tc>
      </w:tr>
      <w:tr>
        <w:trPr>
          <w:trHeight w:val="175"/>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i w:val="1"/>
                <w:iCs w:val="1"/>
                <w:color w:val="auto"/>
              </w:rPr>
              <w:t>Cash, Cash Equivalents and Restricted Cash and Cash Equivalents, beginning of period</w:t>
            </w:r>
          </w:p>
        </w:tc>
        <w:tc>
          <w:tcPr>
            <w:tcW w:w="78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548,322</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311,853</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67,472</w:t>
            </w:r>
          </w:p>
        </w:tc>
        <w:tc>
          <w:tcPr>
            <w:tcW w:w="0" w:type="dxa"/>
            <w:vAlign w:val="bottom"/>
          </w:tcPr>
          <w:p>
            <w:pPr>
              <w:spacing w:after="0"/>
              <w:rPr>
                <w:sz w:val="1"/>
                <w:szCs w:val="1"/>
                <w:color w:val="auto"/>
              </w:rPr>
            </w:pPr>
          </w:p>
        </w:tc>
      </w:tr>
      <w:tr>
        <w:trPr>
          <w:trHeight w:val="169"/>
        </w:trPr>
        <w:tc>
          <w:tcPr>
            <w:tcW w:w="666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Cash, Cash Equivalents and Restricted Cash and Cash Equivalents, end of period</w:t>
            </w:r>
          </w:p>
        </w:tc>
        <w:tc>
          <w:tcPr>
            <w:tcW w:w="780" w:type="dxa"/>
            <w:vAlign w:val="bottom"/>
          </w:tcPr>
          <w:p>
            <w:pPr>
              <w:jc w:val="right"/>
              <w:ind w:right="633"/>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143,843</w:t>
            </w:r>
          </w:p>
        </w:tc>
        <w:tc>
          <w:tcPr>
            <w:tcW w:w="30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548,322</w:t>
            </w:r>
          </w:p>
        </w:tc>
        <w:tc>
          <w:tcPr>
            <w:tcW w:w="440" w:type="dxa"/>
            <w:vAlign w:val="bottom"/>
            <w:gridSpan w:val="2"/>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311,853</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60" w:type="dxa"/>
            <w:vAlign w:val="bottom"/>
            <w:shd w:val="clear" w:color="auto" w:fill="CFF0FC"/>
          </w:tcPr>
          <w:p>
            <w:pPr>
              <w:ind w:left="20"/>
              <w:spacing w:after="0"/>
              <w:rPr>
                <w:sz w:val="20"/>
                <w:szCs w:val="20"/>
                <w:color w:val="auto"/>
              </w:rPr>
            </w:pPr>
            <w:r>
              <w:rPr>
                <w:rFonts w:ascii="Arial" w:cs="Arial" w:eastAsia="Arial" w:hAnsi="Arial"/>
                <w:sz w:val="13"/>
                <w:szCs w:val="13"/>
                <w:b w:val="1"/>
                <w:bCs w:val="1"/>
                <w:i w:val="1"/>
                <w:iCs w:val="1"/>
                <w:color w:val="auto"/>
              </w:rPr>
              <w:t>Supplemental Disclosures</w:t>
            </w:r>
          </w:p>
        </w:tc>
        <w:tc>
          <w:tcPr>
            <w:tcW w:w="7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66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Cash paid during the year for:</w:t>
            </w: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Income taxes</w:t>
            </w:r>
          </w:p>
        </w:tc>
        <w:tc>
          <w:tcPr>
            <w:tcW w:w="780" w:type="dxa"/>
            <w:vAlign w:val="bottom"/>
            <w:tcBorders>
              <w:bottom w:val="single" w:sz="8" w:color="auto"/>
            </w:tcBorders>
            <w:shd w:val="clear" w:color="auto" w:fill="CFF0FC"/>
          </w:tcPr>
          <w:p>
            <w:pPr>
              <w:jc w:val="right"/>
              <w:ind w:right="633"/>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44,612</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49,483</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5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5,358</w:t>
            </w:r>
          </w:p>
        </w:tc>
        <w:tc>
          <w:tcPr>
            <w:tcW w:w="0" w:type="dxa"/>
            <w:vAlign w:val="bottom"/>
          </w:tcPr>
          <w:p>
            <w:pPr>
              <w:spacing w:after="0"/>
              <w:rPr>
                <w:sz w:val="1"/>
                <w:szCs w:val="1"/>
                <w:color w:val="auto"/>
              </w:rPr>
            </w:pPr>
          </w:p>
        </w:tc>
      </w:tr>
      <w:tr>
        <w:trPr>
          <w:trHeight w:val="156"/>
        </w:trPr>
        <w:tc>
          <w:tcPr>
            <w:tcW w:w="6660" w:type="dxa"/>
            <w:vAlign w:val="bottom"/>
          </w:tcPr>
          <w:p>
            <w:pPr>
              <w:ind w:left="20"/>
              <w:spacing w:after="0"/>
              <w:rPr>
                <w:sz w:val="20"/>
                <w:szCs w:val="20"/>
                <w:color w:val="auto"/>
              </w:rPr>
            </w:pPr>
            <w:r>
              <w:rPr>
                <w:rFonts w:ascii="Arial" w:cs="Arial" w:eastAsia="Arial" w:hAnsi="Arial"/>
                <w:sz w:val="13"/>
                <w:szCs w:val="13"/>
                <w:color w:val="auto"/>
              </w:rPr>
              <w:t>Interest</w:t>
            </w:r>
          </w:p>
        </w:tc>
        <w:tc>
          <w:tcPr>
            <w:tcW w:w="780" w:type="dxa"/>
            <w:vAlign w:val="bottom"/>
          </w:tcPr>
          <w:p>
            <w:pPr>
              <w:jc w:val="right"/>
              <w:ind w:right="633"/>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103,752</w:t>
            </w:r>
          </w:p>
        </w:tc>
        <w:tc>
          <w:tcPr>
            <w:tcW w:w="30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122,162</w:t>
            </w:r>
          </w:p>
        </w:tc>
        <w:tc>
          <w:tcPr>
            <w:tcW w:w="440" w:type="dxa"/>
            <w:vAlign w:val="bottom"/>
            <w:gridSpan w:val="2"/>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113,304</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60" w:type="dxa"/>
            <w:vAlign w:val="bottom"/>
            <w:shd w:val="clear" w:color="auto" w:fill="CFF0FC"/>
          </w:tcPr>
          <w:p>
            <w:pPr>
              <w:ind w:left="20"/>
              <w:spacing w:after="0"/>
              <w:rPr>
                <w:sz w:val="20"/>
                <w:szCs w:val="20"/>
                <w:color w:val="auto"/>
              </w:rPr>
            </w:pPr>
            <w:r>
              <w:rPr>
                <w:rFonts w:ascii="Arial" w:cs="Arial" w:eastAsia="Arial" w:hAnsi="Arial"/>
                <w:sz w:val="13"/>
                <w:szCs w:val="13"/>
                <w:b w:val="1"/>
                <w:bCs w:val="1"/>
                <w:i w:val="1"/>
                <w:iCs w:val="1"/>
                <w:color w:val="auto"/>
              </w:rPr>
              <w:t>Non-cash investing and financing activities:</w:t>
            </w:r>
          </w:p>
        </w:tc>
        <w:tc>
          <w:tcPr>
            <w:tcW w:w="78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ind w:left="20"/>
              <w:spacing w:after="0"/>
              <w:rPr>
                <w:sz w:val="20"/>
                <w:szCs w:val="20"/>
                <w:color w:val="auto"/>
              </w:rPr>
            </w:pPr>
            <w:r>
              <w:rPr>
                <w:rFonts w:ascii="Arial" w:cs="Arial" w:eastAsia="Arial" w:hAnsi="Arial"/>
                <w:sz w:val="13"/>
                <w:szCs w:val="13"/>
                <w:color w:val="auto"/>
              </w:rPr>
              <w:t>Assets obtained from finance lease liabilities</w:t>
            </w: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60" w:type="dxa"/>
            <w:vAlign w:val="bottom"/>
            <w:vMerge w:val="continue"/>
          </w:tcPr>
          <w:p>
            <w:pPr>
              <w:spacing w:after="0"/>
              <w:rPr>
                <w:sz w:val="13"/>
                <w:szCs w:val="13"/>
                <w:color w:val="auto"/>
              </w:rPr>
            </w:pPr>
          </w:p>
        </w:tc>
        <w:tc>
          <w:tcPr>
            <w:tcW w:w="78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1,198</w:t>
            </w:r>
          </w:p>
        </w:tc>
        <w:tc>
          <w:tcPr>
            <w:tcW w:w="140" w:type="dxa"/>
            <w:vAlign w:val="bottom"/>
          </w:tcPr>
          <w:p>
            <w:pPr>
              <w:spacing w:after="0"/>
              <w:rPr>
                <w:sz w:val="13"/>
                <w:szCs w:val="13"/>
                <w:color w:val="auto"/>
              </w:rPr>
            </w:pP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2,260</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Principal Exchanges of Debt</w:t>
            </w:r>
          </w:p>
        </w:tc>
        <w:tc>
          <w:tcPr>
            <w:tcW w:w="780" w:type="dxa"/>
            <w:vAlign w:val="bottom"/>
            <w:tcBorders>
              <w:bottom w:val="single" w:sz="8" w:color="auto"/>
            </w:tcBorders>
            <w:shd w:val="clear" w:color="auto" w:fill="CFF0FC"/>
          </w:tcPr>
          <w:p>
            <w:pPr>
              <w:jc w:val="right"/>
              <w:ind w:right="633"/>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w w:val="93"/>
              </w:rPr>
              <w:t>1,620,318</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5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6660" w:type="dxa"/>
            <w:vAlign w:val="bottom"/>
          </w:tcPr>
          <w:p>
            <w:pPr>
              <w:ind w:left="20"/>
              <w:spacing w:after="0"/>
              <w:rPr>
                <w:sz w:val="20"/>
                <w:szCs w:val="20"/>
                <w:color w:val="auto"/>
              </w:rPr>
            </w:pPr>
            <w:r>
              <w:rPr>
                <w:rFonts w:ascii="Arial" w:cs="Arial" w:eastAsia="Arial" w:hAnsi="Arial"/>
                <w:sz w:val="13"/>
                <w:szCs w:val="13"/>
                <w:color w:val="auto"/>
              </w:rPr>
              <w:t>Debt Issuance Costs in Accrued Expenses</w:t>
            </w:r>
          </w:p>
        </w:tc>
        <w:tc>
          <w:tcPr>
            <w:tcW w:w="78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11,245</w:t>
            </w:r>
          </w:p>
        </w:tc>
        <w:tc>
          <w:tcPr>
            <w:tcW w:w="120" w:type="dxa"/>
            <w:vAlign w:val="bottom"/>
          </w:tcPr>
          <w:p>
            <w:pPr>
              <w:spacing w:after="0"/>
              <w:rPr>
                <w:sz w:val="13"/>
                <w:szCs w:val="13"/>
                <w:color w:val="auto"/>
              </w:rPr>
            </w:pP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Conversion of pension liability to shares of common stock</w:t>
            </w:r>
          </w:p>
        </w:tc>
        <w:tc>
          <w:tcPr>
            <w:tcW w:w="780" w:type="dxa"/>
            <w:vAlign w:val="bottom"/>
            <w:tcBorders>
              <w:bottom w:val="single" w:sz="8" w:color="auto"/>
            </w:tcBorders>
            <w:shd w:val="clear" w:color="auto" w:fill="CFF0FC"/>
          </w:tcPr>
          <w:p>
            <w:pPr>
              <w:jc w:val="right"/>
              <w:ind w:right="633"/>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5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8,925</w:t>
            </w:r>
          </w:p>
        </w:tc>
        <w:tc>
          <w:tcPr>
            <w:tcW w:w="0" w:type="dxa"/>
            <w:vAlign w:val="bottom"/>
          </w:tcPr>
          <w:p>
            <w:pPr>
              <w:spacing w:after="0"/>
              <w:rPr>
                <w:sz w:val="1"/>
                <w:szCs w:val="1"/>
                <w:color w:val="auto"/>
              </w:rPr>
            </w:pPr>
          </w:p>
        </w:tc>
      </w:tr>
      <w:tr>
        <w:trPr>
          <w:trHeight w:val="156"/>
        </w:trPr>
        <w:tc>
          <w:tcPr>
            <w:tcW w:w="6660" w:type="dxa"/>
            <w:vAlign w:val="bottom"/>
          </w:tcPr>
          <w:p>
            <w:pPr>
              <w:ind w:left="20"/>
              <w:spacing w:after="0"/>
              <w:rPr>
                <w:sz w:val="20"/>
                <w:szCs w:val="20"/>
                <w:color w:val="auto"/>
              </w:rPr>
            </w:pPr>
            <w:r>
              <w:rPr>
                <w:rFonts w:ascii="Arial" w:cs="Arial" w:eastAsia="Arial" w:hAnsi="Arial"/>
                <w:sz w:val="13"/>
                <w:szCs w:val="13"/>
                <w:color w:val="auto"/>
              </w:rPr>
              <w:t>Conversion of shares of common stock to pension liability</w:t>
            </w:r>
          </w:p>
        </w:tc>
        <w:tc>
          <w:tcPr>
            <w:tcW w:w="78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3,600</w:t>
            </w:r>
          </w:p>
        </w:tc>
        <w:tc>
          <w:tcPr>
            <w:tcW w:w="140" w:type="dxa"/>
            <w:vAlign w:val="bottom"/>
          </w:tcPr>
          <w:p>
            <w:pPr>
              <w:spacing w:after="0"/>
              <w:rPr>
                <w:sz w:val="13"/>
                <w:szCs w:val="13"/>
                <w:color w:val="auto"/>
              </w:rPr>
            </w:pP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Right-of-use assets obtained from operating lease liabilities (subsequent to initial adoption)</w:t>
            </w:r>
          </w:p>
        </w:tc>
        <w:tc>
          <w:tcPr>
            <w:tcW w:w="780" w:type="dxa"/>
            <w:vAlign w:val="bottom"/>
            <w:tcBorders>
              <w:bottom w:val="single" w:sz="8" w:color="auto"/>
            </w:tcBorders>
            <w:shd w:val="clear" w:color="auto" w:fill="CFF0FC"/>
          </w:tcPr>
          <w:p>
            <w:pPr>
              <w:jc w:val="right"/>
              <w:ind w:right="633"/>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11,697</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10,786</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5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23,940</w:t>
            </w:r>
          </w:p>
        </w:tc>
        <w:tc>
          <w:tcPr>
            <w:tcW w:w="0" w:type="dxa"/>
            <w:vAlign w:val="bottom"/>
          </w:tcPr>
          <w:p>
            <w:pPr>
              <w:spacing w:after="0"/>
              <w:rPr>
                <w:sz w:val="1"/>
                <w:szCs w:val="1"/>
                <w:color w:val="auto"/>
              </w:rPr>
            </w:pPr>
          </w:p>
        </w:tc>
      </w:tr>
      <w:tr>
        <w:trPr>
          <w:trHeight w:val="156"/>
        </w:trPr>
        <w:tc>
          <w:tcPr>
            <w:tcW w:w="6660" w:type="dxa"/>
            <w:vAlign w:val="bottom"/>
          </w:tcPr>
          <w:p>
            <w:pPr>
              <w:ind w:left="20"/>
              <w:spacing w:after="0"/>
              <w:rPr>
                <w:sz w:val="20"/>
                <w:szCs w:val="20"/>
                <w:color w:val="auto"/>
              </w:rPr>
            </w:pPr>
            <w:r>
              <w:rPr>
                <w:rFonts w:ascii="Arial" w:cs="Arial" w:eastAsia="Arial" w:hAnsi="Arial"/>
                <w:sz w:val="13"/>
                <w:szCs w:val="13"/>
                <w:color w:val="auto"/>
              </w:rPr>
              <w:t>Capital expenditures in accounts payable and accrued expenses</w:t>
            </w:r>
          </w:p>
        </w:tc>
        <w:tc>
          <w:tcPr>
            <w:tcW w:w="780" w:type="dxa"/>
            <w:vAlign w:val="bottom"/>
          </w:tcPr>
          <w:p>
            <w:pPr>
              <w:jc w:val="right"/>
              <w:ind w:right="633"/>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6,127</w:t>
            </w:r>
          </w:p>
        </w:tc>
        <w:tc>
          <w:tcPr>
            <w:tcW w:w="30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7,340</w:t>
            </w:r>
          </w:p>
        </w:tc>
        <w:tc>
          <w:tcPr>
            <w:tcW w:w="440" w:type="dxa"/>
            <w:vAlign w:val="bottom"/>
            <w:gridSpan w:val="2"/>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1,445</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5151120</wp:posOffset>
            </wp:positionH>
            <wp:positionV relativeFrom="paragraph">
              <wp:posOffset>-6258560</wp:posOffset>
            </wp:positionV>
            <wp:extent cx="85725" cy="1200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-6258560</wp:posOffset>
            </wp:positionV>
            <wp:extent cx="85725" cy="1200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-4237990</wp:posOffset>
            </wp:positionV>
            <wp:extent cx="85725" cy="1200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-4237990</wp:posOffset>
            </wp:positionV>
            <wp:extent cx="85725" cy="1200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-3329940</wp:posOffset>
            </wp:positionV>
            <wp:extent cx="85725" cy="1200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-3329940</wp:posOffset>
            </wp:positionV>
            <wp:extent cx="85725" cy="1200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-2208530</wp:posOffset>
            </wp:positionV>
            <wp:extent cx="85725" cy="1282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128270"/>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-2208530</wp:posOffset>
            </wp:positionV>
            <wp:extent cx="85725" cy="1282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12827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-1968500</wp:posOffset>
            </wp:positionV>
            <wp:extent cx="85725" cy="1200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-1968500</wp:posOffset>
            </wp:positionV>
            <wp:extent cx="85725" cy="1200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-1737360</wp:posOffset>
            </wp:positionV>
            <wp:extent cx="85725" cy="145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-1737360</wp:posOffset>
            </wp:positionV>
            <wp:extent cx="85725" cy="145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-1257935</wp:posOffset>
            </wp:positionV>
            <wp:extent cx="1078865" cy="162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78865" cy="16256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-709930</wp:posOffset>
            </wp:positionV>
            <wp:extent cx="1078865" cy="162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78865" cy="16256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-436245</wp:posOffset>
            </wp:positionV>
            <wp:extent cx="1078865" cy="162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78865" cy="16256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-161925</wp:posOffset>
            </wp:positionV>
            <wp:extent cx="1078865" cy="1625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78865" cy="162560"/>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3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7"/>
          </w:tcPr>
          <w:p>
            <w:pPr>
              <w:jc w:val="center"/>
              <w:ind w:left="346"/>
              <w:spacing w:after="0"/>
              <w:rPr>
                <w:sz w:val="20"/>
                <w:szCs w:val="20"/>
                <w:color w:val="auto"/>
              </w:rPr>
            </w:pPr>
            <w:r>
              <w:rPr>
                <w:rFonts w:ascii="Arial" w:cs="Arial" w:eastAsia="Arial" w:hAnsi="Arial"/>
                <w:sz w:val="11"/>
                <w:szCs w:val="11"/>
                <w:b w:val="1"/>
                <w:bCs w:val="1"/>
                <w:color w:val="auto"/>
                <w:w w:val="89"/>
              </w:rPr>
              <w:t>GEO Group Inc. Shareholders</w:t>
            </w: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1560" w:type="dxa"/>
            <w:vAlign w:val="bottom"/>
            <w:gridSpan w:val="4"/>
            <w:vMerge w:val="restart"/>
          </w:tcPr>
          <w:p>
            <w:pPr>
              <w:jc w:val="right"/>
              <w:ind w:right="426"/>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126"/>
              <w:spacing w:after="0" w:line="119" w:lineRule="exact"/>
              <w:rPr>
                <w:sz w:val="20"/>
                <w:szCs w:val="20"/>
                <w:color w:val="auto"/>
              </w:rPr>
            </w:pPr>
            <w:r>
              <w:rPr>
                <w:rFonts w:ascii="Arial" w:cs="Arial" w:eastAsia="Arial" w:hAnsi="Arial"/>
                <w:sz w:val="11"/>
                <w:szCs w:val="11"/>
                <w:b w:val="1"/>
                <w:bCs w:val="1"/>
                <w:color w:val="auto"/>
                <w:w w:val="90"/>
              </w:rPr>
              <w:t>(Distributions in</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4"/>
            <w:vMerge w:val="restart"/>
          </w:tcPr>
          <w:p>
            <w:pPr>
              <w:jc w:val="right"/>
              <w:ind w:right="406"/>
              <w:spacing w:after="0"/>
              <w:rPr>
                <w:sz w:val="20"/>
                <w:szCs w:val="20"/>
                <w:color w:val="auto"/>
              </w:rPr>
            </w:pPr>
            <w:r>
              <w:rPr>
                <w:rFonts w:ascii="Arial" w:cs="Arial" w:eastAsia="Arial" w:hAnsi="Arial"/>
                <w:sz w:val="11"/>
                <w:szCs w:val="11"/>
                <w:b w:val="1"/>
                <w:bCs w:val="1"/>
                <w:color w:val="auto"/>
              </w:rPr>
              <w:t>Treasury Stock</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320" w:type="dxa"/>
            <w:vAlign w:val="bottom"/>
          </w:tcPr>
          <w:p>
            <w:pPr>
              <w:spacing w:after="0"/>
              <w:rPr>
                <w:sz w:val="11"/>
                <w:szCs w:val="11"/>
                <w:color w:val="auto"/>
              </w:rPr>
            </w:pPr>
          </w:p>
        </w:tc>
        <w:tc>
          <w:tcPr>
            <w:tcW w:w="1560" w:type="dxa"/>
            <w:vAlign w:val="bottom"/>
            <w:tcBorders>
              <w:bottom w:val="single" w:sz="8" w:color="auto"/>
            </w:tcBorders>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106"/>
              <w:spacing w:after="0"/>
              <w:rPr>
                <w:sz w:val="20"/>
                <w:szCs w:val="20"/>
                <w:color w:val="auto"/>
              </w:rPr>
            </w:pPr>
            <w:r>
              <w:rPr>
                <w:rFonts w:ascii="Arial" w:cs="Arial" w:eastAsia="Arial" w:hAnsi="Arial"/>
                <w:sz w:val="11"/>
                <w:szCs w:val="11"/>
                <w:b w:val="1"/>
                <w:bCs w:val="1"/>
                <w:color w:val="auto"/>
                <w:w w:val="81"/>
              </w:rPr>
              <w:t>Excess of</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86"/>
              </w:rPr>
              <w:t>Accumulated</w:t>
            </w:r>
          </w:p>
        </w:tc>
        <w:tc>
          <w:tcPr>
            <w:tcW w:w="1520" w:type="dxa"/>
            <w:vAlign w:val="bottom"/>
            <w:tcBorders>
              <w:bottom w:val="single" w:sz="8" w:color="auto"/>
            </w:tcBorders>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tcPr>
          <w:p>
            <w:pPr>
              <w:jc w:val="center"/>
              <w:ind w:right="320"/>
              <w:spacing w:after="0" w:line="115" w:lineRule="exact"/>
              <w:rPr>
                <w:sz w:val="20"/>
                <w:szCs w:val="20"/>
                <w:color w:val="auto"/>
              </w:rPr>
            </w:pPr>
            <w:r>
              <w:rPr>
                <w:rFonts w:ascii="Arial" w:cs="Arial" w:eastAsia="Arial" w:hAnsi="Arial"/>
                <w:sz w:val="11"/>
                <w:szCs w:val="11"/>
                <w:b w:val="1"/>
                <w:bCs w:val="1"/>
                <w:color w:val="auto"/>
                <w:w w:val="95"/>
              </w:rPr>
              <w:t>Other</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126"/>
              <w:spacing w:after="0" w:line="122" w:lineRule="exact"/>
              <w:rPr>
                <w:sz w:val="20"/>
                <w:szCs w:val="20"/>
                <w:color w:val="auto"/>
              </w:rPr>
            </w:pPr>
            <w:r>
              <w:rPr>
                <w:rFonts w:ascii="Arial" w:cs="Arial" w:eastAsia="Arial" w:hAnsi="Arial"/>
                <w:sz w:val="11"/>
                <w:szCs w:val="11"/>
                <w:b w:val="1"/>
                <w:bCs w:val="1"/>
                <w:color w:val="auto"/>
                <w:w w:val="96"/>
              </w:rPr>
              <w:t>Additional</w:t>
            </w:r>
          </w:p>
        </w:tc>
        <w:tc>
          <w:tcPr>
            <w:tcW w:w="120" w:type="dxa"/>
            <w:vAlign w:val="bottom"/>
          </w:tcPr>
          <w:p>
            <w:pPr>
              <w:spacing w:after="0"/>
              <w:rPr>
                <w:sz w:val="10"/>
                <w:szCs w:val="10"/>
                <w:color w:val="auto"/>
              </w:rPr>
            </w:pPr>
          </w:p>
        </w:tc>
        <w:tc>
          <w:tcPr>
            <w:tcW w:w="1020" w:type="dxa"/>
            <w:vAlign w:val="bottom"/>
            <w:gridSpan w:val="2"/>
          </w:tcPr>
          <w:p>
            <w:pPr>
              <w:jc w:val="center"/>
              <w:ind w:right="26"/>
              <w:spacing w:after="0" w:line="122" w:lineRule="exact"/>
              <w:rPr>
                <w:sz w:val="20"/>
                <w:szCs w:val="20"/>
                <w:color w:val="auto"/>
              </w:rPr>
            </w:pPr>
            <w:r>
              <w:rPr>
                <w:rFonts w:ascii="Arial" w:cs="Arial" w:eastAsia="Arial" w:hAnsi="Arial"/>
                <w:sz w:val="11"/>
                <w:szCs w:val="11"/>
                <w:b w:val="1"/>
                <w:bCs w:val="1"/>
                <w:color w:val="auto"/>
                <w:w w:val="89"/>
              </w:rPr>
              <w:t>Earnings)/Earnings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Comprehensiv</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ind w:right="286"/>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21"/>
        </w:trPr>
        <w:tc>
          <w:tcPr>
            <w:tcW w:w="3320" w:type="dxa"/>
            <w:vAlign w:val="bottom"/>
          </w:tcPr>
          <w:p>
            <w:pPr>
              <w:spacing w:after="0"/>
              <w:rPr>
                <w:sz w:val="10"/>
                <w:szCs w:val="10"/>
                <w:color w:val="auto"/>
              </w:rPr>
            </w:pPr>
          </w:p>
        </w:tc>
        <w:tc>
          <w:tcPr>
            <w:tcW w:w="740" w:type="dxa"/>
            <w:vAlign w:val="bottom"/>
          </w:tcPr>
          <w:p>
            <w:pPr>
              <w:jc w:val="right"/>
              <w:ind w:right="186"/>
              <w:spacing w:after="0" w:line="122" w:lineRule="exact"/>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186"/>
              <w:spacing w:after="0" w:line="122" w:lineRule="exact"/>
              <w:rPr>
                <w:sz w:val="20"/>
                <w:szCs w:val="20"/>
                <w:color w:val="auto"/>
              </w:rPr>
            </w:pPr>
            <w:r>
              <w:rPr>
                <w:rFonts w:ascii="Arial" w:cs="Arial" w:eastAsia="Arial" w:hAnsi="Arial"/>
                <w:sz w:val="11"/>
                <w:szCs w:val="11"/>
                <w:b w:val="1"/>
                <w:bCs w:val="1"/>
                <w:color w:val="auto"/>
                <w:w w:val="98"/>
              </w:rPr>
              <w:t>Paid-In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106"/>
              <w:spacing w:after="0" w:line="122" w:lineRule="exact"/>
              <w:rPr>
                <w:sz w:val="20"/>
                <w:szCs w:val="20"/>
                <w:color w:val="auto"/>
              </w:rPr>
            </w:pPr>
            <w:r>
              <w:rPr>
                <w:rFonts w:ascii="Arial" w:cs="Arial" w:eastAsia="Arial" w:hAnsi="Arial"/>
                <w:sz w:val="11"/>
                <w:szCs w:val="11"/>
                <w:b w:val="1"/>
                <w:bCs w:val="1"/>
                <w:color w:val="auto"/>
                <w:w w:val="84"/>
              </w:rPr>
              <w:t>in Excess of</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71"/>
              </w:rPr>
              <w:t>e</w:t>
            </w:r>
          </w:p>
        </w:tc>
        <w:tc>
          <w:tcPr>
            <w:tcW w:w="68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Noncontrolling</w:t>
            </w:r>
          </w:p>
        </w:tc>
        <w:tc>
          <w:tcPr>
            <w:tcW w:w="8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Shareholders’</w:t>
            </w: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740" w:type="dxa"/>
            <w:vAlign w:val="bottom"/>
          </w:tcPr>
          <w:p>
            <w:pPr>
              <w:jc w:val="right"/>
              <w:ind w:right="166"/>
              <w:spacing w:after="0"/>
              <w:rPr>
                <w:sz w:val="20"/>
                <w:szCs w:val="20"/>
                <w:color w:val="auto"/>
              </w:rPr>
            </w:pPr>
            <w:r>
              <w:rPr>
                <w:rFonts w:ascii="Arial" w:cs="Arial" w:eastAsia="Arial" w:hAnsi="Arial"/>
                <w:sz w:val="11"/>
                <w:szCs w:val="11"/>
                <w:b w:val="1"/>
                <w:bCs w:val="1"/>
                <w:color w:val="auto"/>
                <w:w w:val="99"/>
              </w:rPr>
              <w:t>of 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66"/>
              <w:spacing w:after="0"/>
              <w:rPr>
                <w:sz w:val="20"/>
                <w:szCs w:val="20"/>
                <w:color w:val="auto"/>
              </w:rPr>
            </w:pPr>
            <w:r>
              <w:rPr>
                <w:rFonts w:ascii="Arial" w:cs="Arial" w:eastAsia="Arial" w:hAnsi="Arial"/>
                <w:sz w:val="11"/>
                <w:szCs w:val="11"/>
                <w:b w:val="1"/>
                <w:bCs w:val="1"/>
                <w:color w:val="auto"/>
                <w:w w:val="91"/>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86"/>
              <w:spacing w:after="0"/>
              <w:rPr>
                <w:sz w:val="20"/>
                <w:szCs w:val="20"/>
                <w:color w:val="auto"/>
              </w:rPr>
            </w:pPr>
            <w:r>
              <w:rPr>
                <w:rFonts w:ascii="Arial" w:cs="Arial" w:eastAsia="Arial" w:hAnsi="Arial"/>
                <w:sz w:val="11"/>
                <w:szCs w:val="11"/>
                <w:b w:val="1"/>
                <w:bCs w:val="1"/>
                <w:color w:val="auto"/>
                <w:w w:val="98"/>
              </w:rPr>
              <w:t>Capital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126"/>
              <w:spacing w:after="0"/>
              <w:rPr>
                <w:sz w:val="20"/>
                <w:szCs w:val="20"/>
                <w:color w:val="auto"/>
              </w:rPr>
            </w:pPr>
            <w:r>
              <w:rPr>
                <w:rFonts w:ascii="Arial" w:cs="Arial" w:eastAsia="Arial" w:hAnsi="Arial"/>
                <w:sz w:val="11"/>
                <w:szCs w:val="11"/>
                <w:b w:val="1"/>
                <w:bCs w:val="1"/>
                <w:color w:val="auto"/>
                <w:w w:val="88"/>
              </w:rPr>
              <w:t>Distributions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ind w:left="40"/>
              <w:spacing w:after="0"/>
              <w:rPr>
                <w:sz w:val="20"/>
                <w:szCs w:val="20"/>
                <w:color w:val="auto"/>
              </w:rPr>
            </w:pPr>
            <w:r>
              <w:rPr>
                <w:rFonts w:ascii="Arial" w:cs="Arial" w:eastAsia="Arial" w:hAnsi="Arial"/>
                <w:sz w:val="11"/>
                <w:szCs w:val="11"/>
                <w:b w:val="1"/>
                <w:bCs w:val="1"/>
                <w:color w:val="auto"/>
              </w:rPr>
              <w:t>Income (Loss)</w:t>
            </w:r>
          </w:p>
        </w:tc>
        <w:tc>
          <w:tcPr>
            <w:tcW w:w="680" w:type="dxa"/>
            <w:vAlign w:val="bottom"/>
          </w:tcPr>
          <w:p>
            <w:pPr>
              <w:jc w:val="right"/>
              <w:ind w:right="126"/>
              <w:spacing w:after="0"/>
              <w:rPr>
                <w:sz w:val="20"/>
                <w:szCs w:val="20"/>
                <w:color w:val="auto"/>
              </w:rPr>
            </w:pPr>
            <w:r>
              <w:rPr>
                <w:rFonts w:ascii="Arial" w:cs="Arial" w:eastAsia="Arial" w:hAnsi="Arial"/>
                <w:sz w:val="11"/>
                <w:szCs w:val="11"/>
                <w:b w:val="1"/>
                <w:bCs w:val="1"/>
                <w:color w:val="auto"/>
                <w:w w:val="95"/>
              </w:rPr>
              <w:t>of 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86"/>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246"/>
              <w:spacing w:after="0"/>
              <w:rPr>
                <w:sz w:val="20"/>
                <w:szCs w:val="20"/>
                <w:color w:val="auto"/>
              </w:rPr>
            </w:pPr>
            <w:r>
              <w:rPr>
                <w:rFonts w:ascii="Arial" w:cs="Arial" w:eastAsia="Arial" w:hAnsi="Arial"/>
                <w:sz w:val="11"/>
                <w:szCs w:val="11"/>
                <w:b w:val="1"/>
                <w:bCs w:val="1"/>
                <w:color w:val="auto"/>
              </w:rPr>
              <w:t>Interest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24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44"/>
        </w:trPr>
        <w:tc>
          <w:tcPr>
            <w:tcW w:w="33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9"/>
                <w:szCs w:val="9"/>
                <w:b w:val="1"/>
                <w:bCs w:val="1"/>
                <w:color w:val="auto"/>
                <w:w w:val="72"/>
              </w:rPr>
              <w:t>(In</w:t>
            </w:r>
          </w:p>
        </w:tc>
        <w:tc>
          <w:tcPr>
            <w:tcW w:w="820" w:type="dxa"/>
            <w:vAlign w:val="bottom"/>
            <w:tcBorders>
              <w:top w:val="single" w:sz="8" w:color="auto"/>
            </w:tcBorders>
            <w:gridSpan w:val="2"/>
          </w:tcPr>
          <w:p>
            <w:pPr>
              <w:jc w:val="right"/>
              <w:ind w:right="206"/>
              <w:spacing w:after="0"/>
              <w:rPr>
                <w:sz w:val="20"/>
                <w:szCs w:val="20"/>
                <w:color w:val="auto"/>
              </w:rPr>
            </w:pPr>
            <w:r>
              <w:rPr>
                <w:rFonts w:ascii="Arial" w:cs="Arial" w:eastAsia="Arial" w:hAnsi="Arial"/>
                <w:sz w:val="11"/>
                <w:szCs w:val="11"/>
                <w:b w:val="1"/>
                <w:bCs w:val="1"/>
                <w:color w:val="auto"/>
                <w:w w:val="91"/>
              </w:rPr>
              <w:t>thousands)</w:t>
            </w:r>
          </w:p>
        </w:tc>
        <w:tc>
          <w:tcPr>
            <w:tcW w:w="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i w:val="1"/>
                <w:iCs w:val="1"/>
                <w:color w:val="auto"/>
              </w:rPr>
              <w:t>Balance, January 1, 2020</w:t>
            </w:r>
          </w:p>
        </w:tc>
        <w:tc>
          <w:tcPr>
            <w:tcW w:w="740" w:type="dxa"/>
            <w:vAlign w:val="bottom"/>
            <w:tcBorders>
              <w:bottom w:val="single" w:sz="8" w:color="auto"/>
            </w:tcBorders>
            <w:shd w:val="clear" w:color="auto" w:fill="CFF0FC"/>
          </w:tcPr>
          <w:p>
            <w:pPr>
              <w:jc w:val="right"/>
              <w:ind w:right="86"/>
              <w:spacing w:after="0"/>
              <w:rPr>
                <w:sz w:val="20"/>
                <w:szCs w:val="20"/>
                <w:color w:val="auto"/>
              </w:rPr>
            </w:pPr>
            <w:r>
              <w:rPr>
                <w:rFonts w:ascii="Arial" w:cs="Arial" w:eastAsia="Arial" w:hAnsi="Arial"/>
                <w:sz w:val="11"/>
                <w:szCs w:val="11"/>
                <w:color w:val="auto"/>
              </w:rPr>
              <w:t>121,225</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1,254</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w w:val="97"/>
              </w:rPr>
              <w:t>1,230,865</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(119,779 )</w:t>
            </w:r>
          </w:p>
        </w:tc>
        <w:tc>
          <w:tcPr>
            <w:tcW w:w="4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(20,335 )</w:t>
            </w:r>
          </w:p>
        </w:tc>
        <w:tc>
          <w:tcPr>
            <w:tcW w:w="8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4,210</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(95,175 )</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(782 )</w:t>
            </w: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996,048</w:t>
            </w:r>
          </w:p>
        </w:tc>
        <w:tc>
          <w:tcPr>
            <w:tcW w:w="0" w:type="dxa"/>
            <w:vAlign w:val="bottom"/>
          </w:tcPr>
          <w:p>
            <w:pPr>
              <w:spacing w:after="0"/>
              <w:rPr>
                <w:sz w:val="1"/>
                <w:szCs w:val="1"/>
                <w:color w:val="auto"/>
              </w:rPr>
            </w:pPr>
          </w:p>
        </w:tc>
      </w:tr>
      <w:tr>
        <w:trPr>
          <w:trHeight w:val="142"/>
        </w:trPr>
        <w:tc>
          <w:tcPr>
            <w:tcW w:w="3320" w:type="dxa"/>
            <w:vAlign w:val="bottom"/>
          </w:tcPr>
          <w:p>
            <w:pPr>
              <w:ind w:left="20"/>
              <w:spacing w:after="0"/>
              <w:rPr>
                <w:sz w:val="20"/>
                <w:szCs w:val="20"/>
                <w:color w:val="auto"/>
              </w:rPr>
            </w:pPr>
            <w:r>
              <w:rPr>
                <w:rFonts w:ascii="Arial" w:cs="Arial" w:eastAsia="Arial" w:hAnsi="Arial"/>
                <w:sz w:val="11"/>
                <w:szCs w:val="11"/>
                <w:color w:val="auto"/>
              </w:rPr>
              <w:t>Proceeds from stock options exercised</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3320" w:type="dxa"/>
            <w:vAlign w:val="bottom"/>
            <w:shd w:val="clear" w:color="auto" w:fill="CFF0FC"/>
          </w:tcPr>
          <w:p>
            <w:pPr>
              <w:ind w:left="20"/>
              <w:spacing w:after="0"/>
              <w:rPr>
                <w:sz w:val="20"/>
                <w:szCs w:val="20"/>
                <w:color w:val="auto"/>
              </w:rPr>
            </w:pPr>
            <w:r>
              <w:rPr>
                <w:rFonts w:ascii="Arial" w:cs="Arial" w:eastAsia="Arial" w:hAnsi="Arial"/>
                <w:sz w:val="11"/>
                <w:szCs w:val="11"/>
                <w:color w:val="auto"/>
              </w:rPr>
              <w:t>Stock based compensation expense</w:t>
            </w:r>
          </w:p>
        </w:tc>
        <w:tc>
          <w:tcPr>
            <w:tcW w:w="7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23,896</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23,896</w:t>
            </w: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Arial" w:cs="Arial" w:eastAsia="Arial" w:hAnsi="Arial"/>
                <w:sz w:val="11"/>
                <w:szCs w:val="11"/>
                <w:color w:val="auto"/>
              </w:rPr>
              <w:t>Shares withheld for net settlements of share-based awards [1]</w:t>
            </w: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(174 )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(2,788 )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(2,789 )</w:t>
            </w:r>
          </w:p>
        </w:tc>
        <w:tc>
          <w:tcPr>
            <w:tcW w:w="0" w:type="dxa"/>
            <w:vAlign w:val="bottom"/>
          </w:tcPr>
          <w:p>
            <w:pPr>
              <w:spacing w:after="0"/>
              <w:rPr>
                <w:sz w:val="1"/>
                <w:szCs w:val="1"/>
                <w:color w:val="auto"/>
              </w:rPr>
            </w:pPr>
          </w:p>
        </w:tc>
      </w:tr>
      <w:tr>
        <w:trPr>
          <w:trHeight w:val="153"/>
        </w:trPr>
        <w:tc>
          <w:tcPr>
            <w:tcW w:w="3320" w:type="dxa"/>
            <w:vAlign w:val="bottom"/>
            <w:shd w:val="clear" w:color="auto" w:fill="CFF0FC"/>
          </w:tcPr>
          <w:p>
            <w:pPr>
              <w:ind w:left="20"/>
              <w:spacing w:after="0"/>
              <w:rPr>
                <w:sz w:val="20"/>
                <w:szCs w:val="20"/>
                <w:color w:val="auto"/>
              </w:rPr>
            </w:pPr>
            <w:r>
              <w:rPr>
                <w:rFonts w:ascii="Arial" w:cs="Arial" w:eastAsia="Arial" w:hAnsi="Arial"/>
                <w:sz w:val="11"/>
                <w:szCs w:val="11"/>
                <w:color w:val="auto"/>
              </w:rPr>
              <w:t>Restricted stock granted</w:t>
            </w:r>
          </w:p>
        </w:tc>
        <w:tc>
          <w:tcPr>
            <w:tcW w:w="7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900</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(9 )</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Arial" w:cs="Arial" w:eastAsia="Arial" w:hAnsi="Arial"/>
                <w:sz w:val="11"/>
                <w:szCs w:val="11"/>
                <w:color w:val="auto"/>
              </w:rPr>
              <w:t>Restricted stock canceled</w:t>
            </w: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(58 )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3320" w:type="dxa"/>
            <w:vAlign w:val="bottom"/>
            <w:shd w:val="clear" w:color="auto" w:fill="CFF0FC"/>
          </w:tcPr>
          <w:p>
            <w:pPr>
              <w:ind w:left="20"/>
              <w:spacing w:after="0"/>
              <w:rPr>
                <w:sz w:val="20"/>
                <w:szCs w:val="20"/>
                <w:color w:val="auto"/>
              </w:rPr>
            </w:pPr>
            <w:r>
              <w:rPr>
                <w:rFonts w:ascii="Arial" w:cs="Arial" w:eastAsia="Arial" w:hAnsi="Arial"/>
                <w:sz w:val="11"/>
                <w:szCs w:val="11"/>
                <w:color w:val="auto"/>
              </w:rPr>
              <w:t>Dividends - paid</w:t>
            </w:r>
          </w:p>
        </w:tc>
        <w:tc>
          <w:tcPr>
            <w:tcW w:w="7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(216,145 )</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(216,145 )</w:t>
            </w: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Arial" w:cs="Arial" w:eastAsia="Arial" w:hAnsi="Arial"/>
                <w:sz w:val="11"/>
                <w:szCs w:val="11"/>
                <w:color w:val="auto"/>
              </w:rPr>
              <w:t>Other adjustments to Additional Paid-In-Capital [2]</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9,687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9,687</w:t>
            </w:r>
          </w:p>
        </w:tc>
        <w:tc>
          <w:tcPr>
            <w:tcW w:w="0" w:type="dxa"/>
            <w:vAlign w:val="bottom"/>
          </w:tcPr>
          <w:p>
            <w:pPr>
              <w:spacing w:after="0"/>
              <w:rPr>
                <w:sz w:val="1"/>
                <w:szCs w:val="1"/>
                <w:color w:val="auto"/>
              </w:rPr>
            </w:pPr>
          </w:p>
        </w:tc>
      </w:tr>
      <w:tr>
        <w:trPr>
          <w:trHeight w:val="153"/>
        </w:trPr>
        <w:tc>
          <w:tcPr>
            <w:tcW w:w="3320" w:type="dxa"/>
            <w:vAlign w:val="bottom"/>
            <w:shd w:val="clear" w:color="auto" w:fill="CFF0FC"/>
          </w:tcPr>
          <w:p>
            <w:pPr>
              <w:ind w:left="20"/>
              <w:spacing w:after="0"/>
              <w:rPr>
                <w:sz w:val="20"/>
                <w:szCs w:val="20"/>
                <w:color w:val="auto"/>
              </w:rPr>
            </w:pPr>
            <w:r>
              <w:rPr>
                <w:rFonts w:ascii="Arial" w:cs="Arial" w:eastAsia="Arial" w:hAnsi="Arial"/>
                <w:sz w:val="11"/>
                <w:szCs w:val="11"/>
                <w:color w:val="auto"/>
              </w:rPr>
              <w:t>Purchase of treasury shares</w:t>
            </w:r>
          </w:p>
        </w:tc>
        <w:tc>
          <w:tcPr>
            <w:tcW w:w="74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(625 )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625</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(9,771 )</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(9,771 )</w:t>
            </w: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Arial" w:cs="Arial" w:eastAsia="Arial" w:hAnsi="Arial"/>
                <w:sz w:val="11"/>
                <w:szCs w:val="11"/>
                <w:color w:val="auto"/>
              </w:rPr>
              <w:t>Issuance of common stock (ESPP)</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50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616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616</w:t>
            </w:r>
          </w:p>
        </w:tc>
        <w:tc>
          <w:tcPr>
            <w:tcW w:w="0" w:type="dxa"/>
            <w:vAlign w:val="bottom"/>
          </w:tcPr>
          <w:p>
            <w:pPr>
              <w:spacing w:after="0"/>
              <w:rPr>
                <w:sz w:val="1"/>
                <w:szCs w:val="1"/>
                <w:color w:val="auto"/>
              </w:rPr>
            </w:pPr>
          </w:p>
        </w:tc>
      </w:tr>
      <w:tr>
        <w:trPr>
          <w:trHeight w:val="153"/>
        </w:trPr>
        <w:tc>
          <w:tcPr>
            <w:tcW w:w="332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income (loss)</w:t>
            </w:r>
          </w:p>
        </w:tc>
        <w:tc>
          <w:tcPr>
            <w:tcW w:w="7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113,032</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(201 )</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112,831</w:t>
            </w: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Arial" w:cs="Arial" w:eastAsia="Arial" w:hAnsi="Arial"/>
                <w:sz w:val="11"/>
                <w:szCs w:val="11"/>
                <w:color w:val="auto"/>
              </w:rPr>
              <w:t>Other comprehensive income</w:t>
            </w:r>
          </w:p>
        </w:tc>
        <w:tc>
          <w:tcPr>
            <w:tcW w:w="7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(2,254 )</w:t>
            </w:r>
          </w:p>
        </w:tc>
        <w:tc>
          <w:tcPr>
            <w:tcW w:w="80" w:type="dxa"/>
            <w:vAlign w:val="bottom"/>
          </w:tcPr>
          <w:p>
            <w:pPr>
              <w:spacing w:after="0"/>
              <w:rPr>
                <w:sz w:val="12"/>
                <w:szCs w:val="12"/>
                <w:color w:val="auto"/>
              </w:rPr>
            </w:pPr>
          </w:p>
        </w:tc>
        <w:tc>
          <w:tcPr>
            <w:tcW w:w="6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(37 )</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(2,291 )</w:t>
            </w:r>
          </w:p>
        </w:tc>
        <w:tc>
          <w:tcPr>
            <w:tcW w:w="0" w:type="dxa"/>
            <w:vAlign w:val="bottom"/>
          </w:tcPr>
          <w:p>
            <w:pPr>
              <w:spacing w:after="0"/>
              <w:rPr>
                <w:sz w:val="1"/>
                <w:szCs w:val="1"/>
                <w:color w:val="auto"/>
              </w:rPr>
            </w:pPr>
          </w:p>
        </w:tc>
      </w:tr>
      <w:tr>
        <w:trPr>
          <w:trHeight w:val="142"/>
        </w:trPr>
        <w:tc>
          <w:tcPr>
            <w:tcW w:w="3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i w:val="1"/>
                <w:iCs w:val="1"/>
                <w:color w:val="auto"/>
              </w:rPr>
              <w:t>Balance, December 31, 2020</w:t>
            </w:r>
          </w:p>
        </w:tc>
        <w:tc>
          <w:tcPr>
            <w:tcW w:w="740" w:type="dxa"/>
            <w:vAlign w:val="bottom"/>
            <w:tcBorders>
              <w:bottom w:val="single" w:sz="8" w:color="auto"/>
            </w:tcBorders>
            <w:shd w:val="clear" w:color="auto" w:fill="CFF0FC"/>
          </w:tcPr>
          <w:p>
            <w:pPr>
              <w:jc w:val="right"/>
              <w:ind w:right="86"/>
              <w:spacing w:after="0"/>
              <w:rPr>
                <w:sz w:val="20"/>
                <w:szCs w:val="20"/>
                <w:color w:val="auto"/>
              </w:rPr>
            </w:pPr>
            <w:r>
              <w:rPr>
                <w:rFonts w:ascii="Arial" w:cs="Arial" w:eastAsia="Arial" w:hAnsi="Arial"/>
                <w:sz w:val="11"/>
                <w:szCs w:val="11"/>
                <w:color w:val="auto"/>
              </w:rPr>
              <w:t>121,318</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1,262</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w w:val="97"/>
              </w:rPr>
              <w:t>1,262,267</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(222,892 )</w:t>
            </w:r>
          </w:p>
        </w:tc>
        <w:tc>
          <w:tcPr>
            <w:tcW w:w="4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(22,589 )</w:t>
            </w:r>
          </w:p>
        </w:tc>
        <w:tc>
          <w:tcPr>
            <w:tcW w:w="8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4,835</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(104,946 )</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(1,020 )</w:t>
            </w: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912,082</w:t>
            </w:r>
          </w:p>
        </w:tc>
        <w:tc>
          <w:tcPr>
            <w:tcW w:w="0" w:type="dxa"/>
            <w:vAlign w:val="bottom"/>
          </w:tcPr>
          <w:p>
            <w:pPr>
              <w:spacing w:after="0"/>
              <w:rPr>
                <w:sz w:val="1"/>
                <w:szCs w:val="1"/>
                <w:color w:val="auto"/>
              </w:rPr>
            </w:pPr>
          </w:p>
        </w:tc>
      </w:tr>
      <w:tr>
        <w:trPr>
          <w:trHeight w:val="142"/>
        </w:trPr>
        <w:tc>
          <w:tcPr>
            <w:tcW w:w="3320" w:type="dxa"/>
            <w:vAlign w:val="bottom"/>
          </w:tcPr>
          <w:p>
            <w:pPr>
              <w:ind w:left="20"/>
              <w:spacing w:after="0"/>
              <w:rPr>
                <w:sz w:val="20"/>
                <w:szCs w:val="20"/>
                <w:color w:val="auto"/>
              </w:rPr>
            </w:pPr>
            <w:r>
              <w:rPr>
                <w:rFonts w:ascii="Arial" w:cs="Arial" w:eastAsia="Arial" w:hAnsi="Arial"/>
                <w:sz w:val="11"/>
                <w:szCs w:val="11"/>
                <w:color w:val="auto"/>
              </w:rPr>
              <w:t>Proceeds from stock options exercised</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53"/>
        </w:trPr>
        <w:tc>
          <w:tcPr>
            <w:tcW w:w="3320" w:type="dxa"/>
            <w:vAlign w:val="bottom"/>
            <w:shd w:val="clear" w:color="auto" w:fill="CFF0FC"/>
          </w:tcPr>
          <w:p>
            <w:pPr>
              <w:ind w:left="20"/>
              <w:spacing w:after="0"/>
              <w:rPr>
                <w:sz w:val="20"/>
                <w:szCs w:val="20"/>
                <w:color w:val="auto"/>
              </w:rPr>
            </w:pPr>
            <w:r>
              <w:rPr>
                <w:rFonts w:ascii="Arial" w:cs="Arial" w:eastAsia="Arial" w:hAnsi="Arial"/>
                <w:sz w:val="11"/>
                <w:szCs w:val="11"/>
                <w:color w:val="auto"/>
              </w:rPr>
              <w:t>Stock based compensation expense</w:t>
            </w:r>
          </w:p>
        </w:tc>
        <w:tc>
          <w:tcPr>
            <w:tcW w:w="7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19,199</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19,199</w:t>
            </w: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Arial" w:cs="Arial" w:eastAsia="Arial" w:hAnsi="Arial"/>
                <w:sz w:val="11"/>
                <w:szCs w:val="11"/>
                <w:color w:val="auto"/>
              </w:rPr>
              <w:t>Shares withheld for net settlements of share-based awards [1]</w:t>
            </w: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(268 )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(3 )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(2,087 )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(2,090 )</w:t>
            </w:r>
          </w:p>
        </w:tc>
        <w:tc>
          <w:tcPr>
            <w:tcW w:w="0" w:type="dxa"/>
            <w:vAlign w:val="bottom"/>
          </w:tcPr>
          <w:p>
            <w:pPr>
              <w:spacing w:after="0"/>
              <w:rPr>
                <w:sz w:val="1"/>
                <w:szCs w:val="1"/>
                <w:color w:val="auto"/>
              </w:rPr>
            </w:pPr>
          </w:p>
        </w:tc>
      </w:tr>
      <w:tr>
        <w:trPr>
          <w:trHeight w:val="153"/>
        </w:trPr>
        <w:tc>
          <w:tcPr>
            <w:tcW w:w="3320" w:type="dxa"/>
            <w:vAlign w:val="bottom"/>
            <w:shd w:val="clear" w:color="auto" w:fill="CFF0FC"/>
          </w:tcPr>
          <w:p>
            <w:pPr>
              <w:ind w:left="20"/>
              <w:spacing w:after="0"/>
              <w:rPr>
                <w:sz w:val="20"/>
                <w:szCs w:val="20"/>
                <w:color w:val="auto"/>
              </w:rPr>
            </w:pPr>
            <w:r>
              <w:rPr>
                <w:rFonts w:ascii="Arial" w:cs="Arial" w:eastAsia="Arial" w:hAnsi="Arial"/>
                <w:sz w:val="11"/>
                <w:szCs w:val="11"/>
                <w:color w:val="auto"/>
              </w:rPr>
              <w:t>Restricted stock granted</w:t>
            </w:r>
          </w:p>
        </w:tc>
        <w:tc>
          <w:tcPr>
            <w:tcW w:w="7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1,551</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16</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(16 )</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Arial" w:cs="Arial" w:eastAsia="Arial" w:hAnsi="Arial"/>
                <w:sz w:val="11"/>
                <w:szCs w:val="11"/>
                <w:color w:val="auto"/>
              </w:rPr>
              <w:t>Restricted stock canceled</w:t>
            </w: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(157 )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(2 )</w:t>
            </w:r>
          </w:p>
        </w:tc>
        <w:tc>
          <w:tcPr>
            <w:tcW w:w="0" w:type="dxa"/>
            <w:vAlign w:val="bottom"/>
          </w:tcPr>
          <w:p>
            <w:pPr>
              <w:spacing w:after="0"/>
              <w:rPr>
                <w:sz w:val="1"/>
                <w:szCs w:val="1"/>
                <w:color w:val="auto"/>
              </w:rPr>
            </w:pPr>
          </w:p>
        </w:tc>
      </w:tr>
      <w:tr>
        <w:trPr>
          <w:trHeight w:val="153"/>
        </w:trPr>
        <w:tc>
          <w:tcPr>
            <w:tcW w:w="3320" w:type="dxa"/>
            <w:vAlign w:val="bottom"/>
            <w:shd w:val="clear" w:color="auto" w:fill="CFF0FC"/>
          </w:tcPr>
          <w:p>
            <w:pPr>
              <w:ind w:left="20"/>
              <w:spacing w:after="0"/>
              <w:rPr>
                <w:sz w:val="20"/>
                <w:szCs w:val="20"/>
                <w:color w:val="auto"/>
              </w:rPr>
            </w:pPr>
            <w:r>
              <w:rPr>
                <w:rFonts w:ascii="Arial" w:cs="Arial" w:eastAsia="Arial" w:hAnsi="Arial"/>
                <w:sz w:val="11"/>
                <w:szCs w:val="11"/>
                <w:color w:val="auto"/>
              </w:rPr>
              <w:t>Dividends paid</w:t>
            </w:r>
          </w:p>
        </w:tc>
        <w:tc>
          <w:tcPr>
            <w:tcW w:w="7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(30,486 )</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(30,486 )</w:t>
            </w: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Arial" w:cs="Arial" w:eastAsia="Arial" w:hAnsi="Arial"/>
                <w:sz w:val="11"/>
                <w:szCs w:val="11"/>
                <w:color w:val="auto"/>
              </w:rPr>
              <w:t>Issuance of common stock (ESPP)</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43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282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282</w:t>
            </w:r>
          </w:p>
        </w:tc>
        <w:tc>
          <w:tcPr>
            <w:tcW w:w="0" w:type="dxa"/>
            <w:vAlign w:val="bottom"/>
          </w:tcPr>
          <w:p>
            <w:pPr>
              <w:spacing w:after="0"/>
              <w:rPr>
                <w:sz w:val="1"/>
                <w:szCs w:val="1"/>
                <w:color w:val="auto"/>
              </w:rPr>
            </w:pPr>
          </w:p>
        </w:tc>
      </w:tr>
      <w:tr>
        <w:trPr>
          <w:trHeight w:val="153"/>
        </w:trPr>
        <w:tc>
          <w:tcPr>
            <w:tcW w:w="3320" w:type="dxa"/>
            <w:vAlign w:val="bottom"/>
            <w:shd w:val="clear" w:color="auto" w:fill="CFF0FC"/>
          </w:tcPr>
          <w:p>
            <w:pPr>
              <w:ind w:left="20"/>
              <w:spacing w:after="0"/>
              <w:rPr>
                <w:sz w:val="20"/>
                <w:szCs w:val="20"/>
                <w:color w:val="auto"/>
              </w:rPr>
            </w:pPr>
            <w:r>
              <w:rPr>
                <w:rFonts w:ascii="Arial" w:cs="Arial" w:eastAsia="Arial" w:hAnsi="Arial"/>
                <w:sz w:val="11"/>
                <w:szCs w:val="11"/>
                <w:color w:val="auto"/>
              </w:rPr>
              <w:t>Purchase of treasury shares</w:t>
            </w:r>
          </w:p>
        </w:tc>
        <w:tc>
          <w:tcPr>
            <w:tcW w:w="74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(17 )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(153 )</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(153 )</w:t>
            </w: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Arial" w:cs="Arial" w:eastAsia="Arial" w:hAnsi="Arial"/>
                <w:sz w:val="11"/>
                <w:szCs w:val="11"/>
                <w:color w:val="auto"/>
              </w:rPr>
              <w:t>Other adjustments to Additional Paid-In-Capital [2]</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(3,447 )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(3,447 )</w:t>
            </w:r>
          </w:p>
        </w:tc>
        <w:tc>
          <w:tcPr>
            <w:tcW w:w="0" w:type="dxa"/>
            <w:vAlign w:val="bottom"/>
          </w:tcPr>
          <w:p>
            <w:pPr>
              <w:spacing w:after="0"/>
              <w:rPr>
                <w:sz w:val="1"/>
                <w:szCs w:val="1"/>
                <w:color w:val="auto"/>
              </w:rPr>
            </w:pPr>
          </w:p>
        </w:tc>
      </w:tr>
      <w:tr>
        <w:trPr>
          <w:trHeight w:val="153"/>
        </w:trPr>
        <w:tc>
          <w:tcPr>
            <w:tcW w:w="332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income (loss)</w:t>
            </w:r>
          </w:p>
        </w:tc>
        <w:tc>
          <w:tcPr>
            <w:tcW w:w="7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77,418</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(185 )</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77,233</w:t>
            </w: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Arial" w:cs="Arial" w:eastAsia="Arial" w:hAnsi="Arial"/>
                <w:sz w:val="11"/>
                <w:szCs w:val="11"/>
                <w:color w:val="auto"/>
              </w:rPr>
              <w:t>Other comprehensive income (loss)</w:t>
            </w:r>
          </w:p>
        </w:tc>
        <w:tc>
          <w:tcPr>
            <w:tcW w:w="7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2,373</w:t>
            </w:r>
          </w:p>
        </w:tc>
        <w:tc>
          <w:tcPr>
            <w:tcW w:w="80" w:type="dxa"/>
            <w:vAlign w:val="bottom"/>
          </w:tcPr>
          <w:p>
            <w:pPr>
              <w:spacing w:after="0"/>
              <w:rPr>
                <w:sz w:val="12"/>
                <w:szCs w:val="12"/>
                <w:color w:val="auto"/>
              </w:rPr>
            </w:pPr>
          </w:p>
        </w:tc>
        <w:tc>
          <w:tcPr>
            <w:tcW w:w="6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2,383</w:t>
            </w:r>
          </w:p>
        </w:tc>
        <w:tc>
          <w:tcPr>
            <w:tcW w:w="0" w:type="dxa"/>
            <w:vAlign w:val="bottom"/>
          </w:tcPr>
          <w:p>
            <w:pPr>
              <w:spacing w:after="0"/>
              <w:rPr>
                <w:sz w:val="1"/>
                <w:szCs w:val="1"/>
                <w:color w:val="auto"/>
              </w:rPr>
            </w:pPr>
          </w:p>
        </w:tc>
      </w:tr>
      <w:tr>
        <w:trPr>
          <w:trHeight w:val="142"/>
        </w:trPr>
        <w:tc>
          <w:tcPr>
            <w:tcW w:w="3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i w:val="1"/>
                <w:iCs w:val="1"/>
                <w:color w:val="auto"/>
              </w:rPr>
              <w:t>Balance, December 31, 2021</w:t>
            </w:r>
          </w:p>
        </w:tc>
        <w:tc>
          <w:tcPr>
            <w:tcW w:w="740" w:type="dxa"/>
            <w:vAlign w:val="bottom"/>
            <w:tcBorders>
              <w:bottom w:val="single" w:sz="8" w:color="auto"/>
            </w:tcBorders>
            <w:shd w:val="clear" w:color="auto" w:fill="CFF0FC"/>
          </w:tcPr>
          <w:p>
            <w:pPr>
              <w:jc w:val="right"/>
              <w:ind w:right="86"/>
              <w:spacing w:after="0"/>
              <w:rPr>
                <w:sz w:val="20"/>
                <w:szCs w:val="20"/>
                <w:color w:val="auto"/>
              </w:rPr>
            </w:pPr>
            <w:r>
              <w:rPr>
                <w:rFonts w:ascii="Arial" w:cs="Arial" w:eastAsia="Arial" w:hAnsi="Arial"/>
                <w:sz w:val="11"/>
                <w:szCs w:val="11"/>
                <w:color w:val="auto"/>
              </w:rPr>
              <w:t>122,472</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1,273</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w w:val="97"/>
              </w:rPr>
              <w:t>1,276,213</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(175,960 )</w:t>
            </w:r>
          </w:p>
        </w:tc>
        <w:tc>
          <w:tcPr>
            <w:tcW w:w="4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(20,216 )</w:t>
            </w:r>
          </w:p>
        </w:tc>
        <w:tc>
          <w:tcPr>
            <w:tcW w:w="8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4,852</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(105,099 )</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(1,195 )</w:t>
            </w: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975,016</w:t>
            </w:r>
          </w:p>
        </w:tc>
        <w:tc>
          <w:tcPr>
            <w:tcW w:w="0" w:type="dxa"/>
            <w:vAlign w:val="bottom"/>
          </w:tcPr>
          <w:p>
            <w:pPr>
              <w:spacing w:after="0"/>
              <w:rPr>
                <w:sz w:val="1"/>
                <w:szCs w:val="1"/>
                <w:color w:val="auto"/>
              </w:rPr>
            </w:pPr>
          </w:p>
        </w:tc>
      </w:tr>
      <w:tr>
        <w:trPr>
          <w:trHeight w:val="142"/>
        </w:trPr>
        <w:tc>
          <w:tcPr>
            <w:tcW w:w="3320" w:type="dxa"/>
            <w:vAlign w:val="bottom"/>
          </w:tcPr>
          <w:p>
            <w:pPr>
              <w:ind w:left="20"/>
              <w:spacing w:after="0"/>
              <w:rPr>
                <w:sz w:val="20"/>
                <w:szCs w:val="20"/>
                <w:color w:val="auto"/>
              </w:rPr>
            </w:pPr>
            <w:r>
              <w:rPr>
                <w:rFonts w:ascii="Arial" w:cs="Arial" w:eastAsia="Arial" w:hAnsi="Arial"/>
                <w:sz w:val="11"/>
                <w:szCs w:val="11"/>
                <w:color w:val="auto"/>
              </w:rPr>
              <w:t>Proceeds from stock options exercised</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66</w:t>
            </w:r>
          </w:p>
        </w:tc>
        <w:tc>
          <w:tcPr>
            <w:tcW w:w="0" w:type="dxa"/>
            <w:vAlign w:val="bottom"/>
          </w:tcPr>
          <w:p>
            <w:pPr>
              <w:spacing w:after="0"/>
              <w:rPr>
                <w:sz w:val="1"/>
                <w:szCs w:val="1"/>
                <w:color w:val="auto"/>
              </w:rPr>
            </w:pPr>
          </w:p>
        </w:tc>
      </w:tr>
      <w:tr>
        <w:trPr>
          <w:trHeight w:val="153"/>
        </w:trPr>
        <w:tc>
          <w:tcPr>
            <w:tcW w:w="3320" w:type="dxa"/>
            <w:vAlign w:val="bottom"/>
            <w:shd w:val="clear" w:color="auto" w:fill="CFF0FC"/>
          </w:tcPr>
          <w:p>
            <w:pPr>
              <w:ind w:left="20"/>
              <w:spacing w:after="0"/>
              <w:rPr>
                <w:sz w:val="20"/>
                <w:szCs w:val="20"/>
                <w:color w:val="auto"/>
              </w:rPr>
            </w:pPr>
            <w:r>
              <w:rPr>
                <w:rFonts w:ascii="Arial" w:cs="Arial" w:eastAsia="Arial" w:hAnsi="Arial"/>
                <w:sz w:val="11"/>
                <w:szCs w:val="11"/>
                <w:color w:val="auto"/>
              </w:rPr>
              <w:t>Stock based compensation expense</w:t>
            </w:r>
          </w:p>
        </w:tc>
        <w:tc>
          <w:tcPr>
            <w:tcW w:w="7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16,204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16,204</w:t>
            </w: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Arial" w:cs="Arial" w:eastAsia="Arial" w:hAnsi="Arial"/>
                <w:sz w:val="11"/>
                <w:szCs w:val="11"/>
                <w:color w:val="auto"/>
              </w:rPr>
              <w:t>Shares withheld for net settlements of share-based awards [1]</w:t>
            </w: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(229 )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(1,300 )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(1,302 )</w:t>
            </w:r>
          </w:p>
        </w:tc>
        <w:tc>
          <w:tcPr>
            <w:tcW w:w="0" w:type="dxa"/>
            <w:vAlign w:val="bottom"/>
          </w:tcPr>
          <w:p>
            <w:pPr>
              <w:spacing w:after="0"/>
              <w:rPr>
                <w:sz w:val="1"/>
                <w:szCs w:val="1"/>
                <w:color w:val="auto"/>
              </w:rPr>
            </w:pPr>
          </w:p>
        </w:tc>
      </w:tr>
      <w:tr>
        <w:trPr>
          <w:trHeight w:val="153"/>
        </w:trPr>
        <w:tc>
          <w:tcPr>
            <w:tcW w:w="3320" w:type="dxa"/>
            <w:vAlign w:val="bottom"/>
            <w:shd w:val="clear" w:color="auto" w:fill="CFF0FC"/>
          </w:tcPr>
          <w:p>
            <w:pPr>
              <w:ind w:left="20"/>
              <w:spacing w:after="0"/>
              <w:rPr>
                <w:sz w:val="20"/>
                <w:szCs w:val="20"/>
                <w:color w:val="auto"/>
              </w:rPr>
            </w:pPr>
            <w:r>
              <w:rPr>
                <w:rFonts w:ascii="Arial" w:cs="Arial" w:eastAsia="Arial" w:hAnsi="Arial"/>
                <w:sz w:val="11"/>
                <w:szCs w:val="11"/>
                <w:color w:val="auto"/>
              </w:rPr>
              <w:t>Restricted stock granted</w:t>
            </w:r>
          </w:p>
        </w:tc>
        <w:tc>
          <w:tcPr>
            <w:tcW w:w="7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1,836</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18</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(18 )</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Arial" w:cs="Arial" w:eastAsia="Arial" w:hAnsi="Arial"/>
                <w:sz w:val="11"/>
                <w:szCs w:val="11"/>
                <w:color w:val="auto"/>
              </w:rPr>
              <w:t>Restricted stock canceled</w:t>
            </w: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(53 )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3320" w:type="dxa"/>
            <w:vAlign w:val="bottom"/>
            <w:shd w:val="clear" w:color="auto" w:fill="CFF0FC"/>
          </w:tcPr>
          <w:p>
            <w:pPr>
              <w:ind w:left="20"/>
              <w:spacing w:after="0"/>
              <w:rPr>
                <w:sz w:val="20"/>
                <w:szCs w:val="20"/>
                <w:color w:val="auto"/>
              </w:rPr>
            </w:pPr>
            <w:r>
              <w:rPr>
                <w:rFonts w:ascii="Arial" w:cs="Arial" w:eastAsia="Arial" w:hAnsi="Arial"/>
                <w:sz w:val="11"/>
                <w:szCs w:val="11"/>
                <w:color w:val="auto"/>
              </w:rPr>
              <w:t>Other adjustment</w:t>
            </w:r>
          </w:p>
        </w:tc>
        <w:tc>
          <w:tcPr>
            <w:tcW w:w="7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(89 )</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(89 )</w:t>
            </w: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Arial" w:cs="Arial" w:eastAsia="Arial" w:hAnsi="Arial"/>
                <w:sz w:val="11"/>
                <w:szCs w:val="11"/>
                <w:color w:val="auto"/>
              </w:rPr>
              <w:t>Purchase of treasury shares</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3320" w:type="dxa"/>
            <w:vAlign w:val="bottom"/>
            <w:shd w:val="clear" w:color="auto" w:fill="CFF0FC"/>
          </w:tcPr>
          <w:p>
            <w:pPr>
              <w:ind w:left="20"/>
              <w:spacing w:after="0"/>
              <w:rPr>
                <w:sz w:val="20"/>
                <w:szCs w:val="20"/>
                <w:color w:val="auto"/>
              </w:rPr>
            </w:pPr>
            <w:r>
              <w:rPr>
                <w:rFonts w:ascii="Arial" w:cs="Arial" w:eastAsia="Arial" w:hAnsi="Arial"/>
                <w:sz w:val="11"/>
                <w:szCs w:val="11"/>
                <w:color w:val="auto"/>
              </w:rPr>
              <w:t>Issuance of common stock (ESPP)</w:t>
            </w:r>
          </w:p>
        </w:tc>
        <w:tc>
          <w:tcPr>
            <w:tcW w:w="7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26</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198</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198</w:t>
            </w: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171,813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(121 )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171,692</w:t>
            </w:r>
          </w:p>
        </w:tc>
        <w:tc>
          <w:tcPr>
            <w:tcW w:w="0" w:type="dxa"/>
            <w:vAlign w:val="bottom"/>
          </w:tcPr>
          <w:p>
            <w:pPr>
              <w:spacing w:after="0"/>
              <w:rPr>
                <w:sz w:val="1"/>
                <w:szCs w:val="1"/>
                <w:color w:val="auto"/>
              </w:rPr>
            </w:pPr>
          </w:p>
        </w:tc>
      </w:tr>
      <w:tr>
        <w:trPr>
          <w:trHeight w:val="148"/>
        </w:trPr>
        <w:tc>
          <w:tcPr>
            <w:tcW w:w="3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Other comprehensive income (loss)</w:t>
            </w:r>
          </w:p>
        </w:tc>
        <w:tc>
          <w:tcPr>
            <w:tcW w:w="740" w:type="dxa"/>
            <w:vAlign w:val="bottom"/>
            <w:tcBorders>
              <w:bottom w:val="single" w:sz="8" w:color="auto"/>
            </w:tcBorders>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3,297</w:t>
            </w:r>
          </w:p>
        </w:tc>
        <w:tc>
          <w:tcPr>
            <w:tcW w:w="8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ind w:right="86"/>
              <w:spacing w:after="0"/>
              <w:rPr>
                <w:sz w:val="20"/>
                <w:szCs w:val="20"/>
                <w:color w:val="auto"/>
              </w:rPr>
            </w:pPr>
            <w:r>
              <w:rPr>
                <w:rFonts w:ascii="Arial" w:cs="Arial" w:eastAsia="Arial" w:hAnsi="Arial"/>
                <w:sz w:val="11"/>
                <w:szCs w:val="11"/>
                <w:color w:val="auto"/>
              </w:rPr>
              <w:t>6</w:t>
            </w: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3,303</w:t>
            </w:r>
          </w:p>
        </w:tc>
        <w:tc>
          <w:tcPr>
            <w:tcW w:w="0" w:type="dxa"/>
            <w:vAlign w:val="bottom"/>
          </w:tcPr>
          <w:p>
            <w:pPr>
              <w:spacing w:after="0"/>
              <w:rPr>
                <w:sz w:val="1"/>
                <w:szCs w:val="1"/>
                <w:color w:val="auto"/>
              </w:rPr>
            </w:pPr>
          </w:p>
        </w:tc>
      </w:tr>
      <w:tr>
        <w:trPr>
          <w:trHeight w:val="142"/>
        </w:trPr>
        <w:tc>
          <w:tcPr>
            <w:tcW w:w="332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Balance, December 31, 2022</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124,061</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1,289</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6"/>
              <w:spacing w:after="0"/>
              <w:rPr>
                <w:sz w:val="20"/>
                <w:szCs w:val="20"/>
                <w:color w:val="auto"/>
              </w:rPr>
            </w:pPr>
            <w:r>
              <w:rPr>
                <w:rFonts w:ascii="Arial" w:cs="Arial" w:eastAsia="Arial" w:hAnsi="Arial"/>
                <w:sz w:val="11"/>
                <w:szCs w:val="11"/>
                <w:color w:val="auto"/>
                <w:w w:val="97"/>
              </w:rPr>
              <w:t>1,291,363</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(4,236 )</w:t>
            </w:r>
          </w:p>
        </w:tc>
        <w:tc>
          <w:tcPr>
            <w:tcW w:w="280" w:type="dxa"/>
            <w:vAlign w:val="bottom"/>
            <w:gridSpan w:val="3"/>
          </w:tcPr>
          <w:p>
            <w:pPr>
              <w:ind w:left="16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(16,919 )</w:t>
            </w:r>
          </w:p>
        </w:tc>
        <w:tc>
          <w:tcPr>
            <w:tcW w:w="80" w:type="dxa"/>
            <w:vAlign w:val="bottom"/>
          </w:tcPr>
          <w:p>
            <w:pPr>
              <w:spacing w:after="0"/>
              <w:rPr>
                <w:sz w:val="12"/>
                <w:szCs w:val="12"/>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4,852</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(105,099 )</w:t>
            </w:r>
          </w:p>
        </w:tc>
        <w:tc>
          <w:tcPr>
            <w:tcW w:w="2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(1,310 )</w:t>
            </w:r>
          </w:p>
        </w:tc>
        <w:tc>
          <w:tcPr>
            <w:tcW w:w="2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1,165,088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-3373120</wp:posOffset>
            </wp:positionV>
            <wp:extent cx="68580" cy="1028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-3373120</wp:posOffset>
            </wp:positionV>
            <wp:extent cx="68580" cy="1028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-3373120</wp:posOffset>
            </wp:positionV>
            <wp:extent cx="68580" cy="1028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-3373120</wp:posOffset>
            </wp:positionV>
            <wp:extent cx="68580" cy="1028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-3373120</wp:posOffset>
            </wp:positionV>
            <wp:extent cx="59690" cy="1028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102870"/>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-3373120</wp:posOffset>
            </wp:positionV>
            <wp:extent cx="59690" cy="1028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690" cy="10287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-3373120</wp:posOffset>
            </wp:positionV>
            <wp:extent cx="59690" cy="1028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10287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-3373120</wp:posOffset>
            </wp:positionV>
            <wp:extent cx="59690" cy="1028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90" cy="10287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-2225675</wp:posOffset>
            </wp:positionV>
            <wp:extent cx="68580" cy="1028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-2225675</wp:posOffset>
            </wp:positionV>
            <wp:extent cx="68580" cy="1028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-2225675</wp:posOffset>
            </wp:positionV>
            <wp:extent cx="68580" cy="1028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-2225675</wp:posOffset>
            </wp:positionV>
            <wp:extent cx="68580" cy="1028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-2225675</wp:posOffset>
            </wp:positionV>
            <wp:extent cx="59690" cy="1028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90" cy="102870"/>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-2225675</wp:posOffset>
            </wp:positionV>
            <wp:extent cx="59690" cy="1028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90" cy="10287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-2225675</wp:posOffset>
            </wp:positionV>
            <wp:extent cx="59690" cy="1028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10287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-2225675</wp:posOffset>
            </wp:positionV>
            <wp:extent cx="59690" cy="1028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10287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-1078230</wp:posOffset>
            </wp:positionV>
            <wp:extent cx="68580" cy="1028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-1078230</wp:posOffset>
            </wp:positionV>
            <wp:extent cx="68580" cy="1028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-1078230</wp:posOffset>
            </wp:positionV>
            <wp:extent cx="68580" cy="1028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-1078230</wp:posOffset>
            </wp:positionV>
            <wp:extent cx="68580" cy="1028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-1078230</wp:posOffset>
            </wp:positionV>
            <wp:extent cx="59690" cy="1028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102870"/>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-1078230</wp:posOffset>
            </wp:positionV>
            <wp:extent cx="59690" cy="1028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10287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-1078230</wp:posOffset>
            </wp:positionV>
            <wp:extent cx="59690" cy="1028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10287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-1078230</wp:posOffset>
            </wp:positionV>
            <wp:extent cx="59690" cy="1028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10287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-127635</wp:posOffset>
            </wp:positionV>
            <wp:extent cx="68580" cy="1282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-127635</wp:posOffset>
            </wp:positionV>
            <wp:extent cx="68580" cy="1282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-127635</wp:posOffset>
            </wp:positionV>
            <wp:extent cx="68580" cy="1282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-127635</wp:posOffset>
            </wp:positionV>
            <wp:extent cx="68580" cy="1282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-127635</wp:posOffset>
            </wp:positionV>
            <wp:extent cx="59690" cy="1282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690" cy="128270"/>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-127635</wp:posOffset>
            </wp:positionV>
            <wp:extent cx="59690" cy="1282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90" cy="12827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-127635</wp:posOffset>
            </wp:positionV>
            <wp:extent cx="59690" cy="1282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690" cy="12827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-127635</wp:posOffset>
            </wp:positionV>
            <wp:extent cx="59690" cy="1282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90" cy="128270"/>
                    </a:xfrm>
                    <a:prstGeom prst="rect">
                      <a:avLst/>
                    </a:prstGeom>
                    <a:noFill/>
                  </pic:spPr>
                </pic:pic>
              </a:graphicData>
            </a:graphic>
          </wp:anchor>
        </w:drawing>
      </w:r>
    </w:p>
    <w:p>
      <w:pPr>
        <w:spacing w:after="0" w:line="65" w:lineRule="exact"/>
        <w:rPr>
          <w:sz w:val="20"/>
          <w:szCs w:val="20"/>
          <w:color w:val="auto"/>
        </w:rPr>
      </w:pPr>
    </w:p>
    <w:p>
      <w:pPr>
        <w:ind w:right="20" w:firstLine="8"/>
        <w:spacing w:after="0" w:line="292" w:lineRule="auto"/>
        <w:tabs>
          <w:tab w:leader="none" w:pos="229" w:val="left"/>
        </w:tabs>
        <w:numPr>
          <w:ilvl w:val="0"/>
          <w:numId w:val="36"/>
        </w:numPr>
        <w:rPr>
          <w:rFonts w:ascii="Arial" w:cs="Arial" w:eastAsia="Arial" w:hAnsi="Arial"/>
          <w:sz w:val="16"/>
          <w:szCs w:val="16"/>
          <w:color w:val="auto"/>
        </w:rPr>
      </w:pPr>
      <w:r>
        <w:rPr>
          <w:rFonts w:ascii="Arial" w:cs="Arial" w:eastAsia="Arial" w:hAnsi="Arial"/>
          <w:sz w:val="16"/>
          <w:szCs w:val="16"/>
          <w:color w:val="auto"/>
        </w:rPr>
        <w:t>During the years ended December 31, 2022, 2021 and 2020, the Company withheld shares through net share settlements to satisfy statutory tax withholding requirements upon vesting of shares of restricted stock held by employees.</w:t>
      </w:r>
    </w:p>
    <w:p>
      <w:pPr>
        <w:spacing w:after="0" w:line="37" w:lineRule="exact"/>
        <w:rPr>
          <w:rFonts w:ascii="Arial" w:cs="Arial" w:eastAsia="Arial" w:hAnsi="Arial"/>
          <w:sz w:val="16"/>
          <w:szCs w:val="16"/>
          <w:color w:val="auto"/>
        </w:rPr>
      </w:pPr>
    </w:p>
    <w:p>
      <w:pPr>
        <w:ind w:right="200" w:firstLine="8"/>
        <w:spacing w:after="0" w:line="278" w:lineRule="auto"/>
        <w:tabs>
          <w:tab w:leader="none" w:pos="229"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reclassifications between equity and other non-current liabilities in connection with an Amended and Restated Executive Retirement Agreement with the Company's former CEO. The former CEO's retirement payment will no longer be settled with a fixed number of shares but will instead be paid in cash. Refer to Note 14 – Benefit Plans for further information.</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7" w:name="page88"/>
    <w:bookmarkEnd w:id="87"/>
    <w:p>
      <w:pPr>
        <w:ind w:left="4640"/>
        <w:spacing w:after="0"/>
        <w:rPr>
          <w:sz w:val="20"/>
          <w:szCs w:val="20"/>
          <w:color w:val="auto"/>
        </w:rPr>
      </w:pPr>
      <w:r>
        <w:rPr>
          <w:rFonts w:ascii="Arial" w:cs="Arial" w:eastAsia="Arial" w:hAnsi="Arial"/>
          <w:sz w:val="18"/>
          <w:szCs w:val="18"/>
          <w:b w:val="1"/>
          <w:bCs w:val="1"/>
          <w:color w:val="auto"/>
        </w:rPr>
        <w:t>THE GEO GROUP, INC.</w:t>
      </w:r>
    </w:p>
    <w:p>
      <w:pPr>
        <w:spacing w:after="0" w:line="90"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206"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Business Organization, Operations and Significant Accounting Policies</w:t>
      </w:r>
    </w:p>
    <w:p>
      <w:pPr>
        <w:spacing w:after="0" w:line="175"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The GEO Group, Inc., a Florida corporation, and subsidiaries (the “Company” or “GEO”) specializes in the ownership, leasing and management of secure facilities, processing centers and reentry centers in the United States, Australia, South Africa and the United Kingdom. The Company owns, leases and operates a broad range of facilities including maximum, medium and minimum-security facilities, processing centers, as well as community-based reentry facilities and offers an expanded delivery of rehabilitation services under its 'GEO Continuum of Care' platform. The 'GEO Continuum of Care' platform integrates enhanced rehabilitative programs, which are evidence-based and include cognitive behavioral treatment and post-release services and provides academic and vocational classes in life skills and treatment programs while helping individuals reintegrate into their communities. The Company develops new facilities based on contract awards, using its project development expertise and experience to design, construct and finance what it believes are state-of-the-art facilities that maximize security and efficiency. The Company provides innovative compliance technologies, industry-leading monitoring services, and evidence-based supervision and treatment programs for community-based parolees, probationers and pretrial defendants. The Company also provides secure transportation services for offender and detainee populations as contracted domestically and in the United Kingdom through its joint venture GEOAmey PECS Ltd. (“GEOAmey”). As of December 31, 2022, GEO's worldwide operations included the ownership and/or management of approximately 82,000 beds at 102 secure and community services facilities, including idle facilities and projects under development, and also includes the provision of reentry and electronic monitoring and supervision services for more than 500,000 offenders and pretrial defendants, including more than 195,000 individuals through an array of technology products including radio frequency, GPS, and alcohol monitoring devices.</w:t>
      </w:r>
    </w:p>
    <w:p>
      <w:pPr>
        <w:spacing w:after="0" w:line="113" w:lineRule="exact"/>
        <w:rPr>
          <w:sz w:val="20"/>
          <w:szCs w:val="20"/>
          <w:color w:val="auto"/>
        </w:rPr>
      </w:pPr>
    </w:p>
    <w:p>
      <w:pPr>
        <w:ind w:right="160" w:firstLine="509"/>
        <w:spacing w:after="0" w:line="254" w:lineRule="auto"/>
        <w:rPr>
          <w:sz w:val="20"/>
          <w:szCs w:val="20"/>
          <w:color w:val="auto"/>
        </w:rPr>
      </w:pPr>
      <w:r>
        <w:rPr>
          <w:rFonts w:ascii="Arial" w:cs="Arial" w:eastAsia="Arial" w:hAnsi="Arial"/>
          <w:sz w:val="18"/>
          <w:szCs w:val="18"/>
          <w:color w:val="auto"/>
        </w:rPr>
        <w:t>GEO operated as a real estate investment trust ("REIT") from January 1, 2013 through December 31, 2020. As a REIT, the Company provided services and conducted other business activities through taxable REIT subsidiaries ("TRSs"). A TRS is a subsidiary of a REIT that is subject to applicable corporate income tax rates and certain qualification requirements. The Company's use of TRSs permitted GEO to engage in certain business activities in which the REIT could not engage directly, so long as those activities were conducted in entities that elected to be treated as TRSs under the Internal Revenue Code of 1986, as amended, and enabled GEO to, among other things, provide correctional services at facilities it owns and at facilities owned by its government partners. A TRS is not subject to the distribution requirements applicable to REITs so it may retain income generated by its operations for reinvestment.</w:t>
      </w:r>
    </w:p>
    <w:p>
      <w:pPr>
        <w:spacing w:after="0" w:line="139"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On December 2, 2021, the Company announced that its Board unanimously approved a plan to terminate the Company's REIT status and become a taxable C Corporation, effective for the year ended December 31, 2021. As a result, the Company is no longer required to operate under REIT rules, including the requirement to distribute at least 90% of REIT taxable income to its stockholders, which provides the Company with greater flexibility to use its free cash flow. Effective January 1, 2021, the Company is subject to federal and state income taxes on its taxable income at applicable tax rates and is no longer entitled to a tax deduction for dividends paid. The Company operated as a REIT for the 2020 tax year, and existing REIT requirements and limitations, including those established by the Company’s organizational documents, remained in place until December 31, 2020. The Board also voted unanimously to discontinue the Company's quarterly dividend.</w:t>
      </w:r>
    </w:p>
    <w:p>
      <w:pPr>
        <w:spacing w:after="0" w:line="12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As a result of GEO’s Board announcing the change in corporate structure to a taxable C Corporation in fiscal year 2021, the Company incurred a one-time, non-cash deferred tax charge of approximately $70.8 million during the fourth quarter of 2021. GEO also incurred approximately $29.3 million in incremental income tax expense in the fourth quarter of 2021 due to the resulting higher corporate tax rate for 2021, including a catch-up tax expense of approximately $16.8 million in connection with the first three quarters of 2021.</w:t>
      </w:r>
    </w:p>
    <w:p>
      <w:pPr>
        <w:spacing w:after="0" w:line="185"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of America. The significant accounting policies of the Company are described below.</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Order</w:t>
      </w:r>
    </w:p>
    <w:p>
      <w:pPr>
        <w:spacing w:after="0" w:line="175"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On January 26, 2021, President Biden signed an executive order directing the United States Attorney General not to renew Department of Justice (“DOJ”) contracts with privately operated criminal detention facilities, as consistent with applicable law. Two agencies of the DOJ, the Federal Bureau of Prisons (“BOP”) and the U.S. Marshals Service (“USMS”), utilize GEO’s support services. The BOP houses inmates who have been convicted of federal crimes, and the USMS is generally responsible for detainees who are awaiting trial or sentencing in U.S. federal courts. As of December 31, 2022, GEO has three company-owned/company leased facilities under direct contracts with USMS, which have current contract option periods that expire between February 28, 2023 and September 30, 2023. As of December 31, 2022, the Company no longer has any contracts with the BOP for secure correctional facilities.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ind w:right="60" w:firstLine="404"/>
        <w:spacing w:after="0" w:line="259" w:lineRule="auto"/>
        <w:rPr>
          <w:sz w:val="20"/>
          <w:szCs w:val="20"/>
          <w:color w:val="auto"/>
        </w:rPr>
      </w:pPr>
      <w:r>
        <w:rPr>
          <w:rFonts w:ascii="Arial" w:cs="Arial" w:eastAsia="Arial" w:hAnsi="Arial"/>
          <w:sz w:val="18"/>
          <w:szCs w:val="18"/>
          <w:color w:val="auto"/>
        </w:rPr>
        <w:t>The Company has been and is currently closely monitoring the impact of the COVID-19 pandemic and the efficacy and distribution of COVID-19 vaccines on all aspects of our business and geographies, including how it will impact those entrusted in our care and governmental partners. The Company is unable to predict the overall future impact that the COVID-19 pandemic may have on our financial condition, results of operations and cash flows due to numerous uncertainties.</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171"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 owned subsidiaries. The equity method of accounting is used for investments in non-controlled affiliates in which the Company’s ownership ranges from 20 to 50 percent, or in instances in which the Company is able to exercise significant influence but not control. The Company reports South Africa Custodial Services ("SACS") and its 50% owned joint venture in the United Kingdom, GEOAmey, under the equity method of accounting. Noncontrolling interests in consolidated entities represent equity that other investors have contributed to South Africa Custodial Management ("SACM"). Non-controlling interests are adjusted for income and losses allocable to the other shareholders in these entities. All significant intercompany balances and transactions have been eliminated.</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certain estimates, judgments and assumptions that affect the reported amounts of assets and liabilities and disclosure of contingent assets and liabilities at the date of the financial statements and the reported amounts of revenues and expenses during the reporting period. The Company’s significant estimates include reserves for self-insured retention related to general liability and workers’ compensation insurance, projected cash flows used to evaluate asset impairment, pension assumptions, useful lives of its property, equipment and intangible assets. These estimates and assumptions affect the reported amounts of assets and liabilities at the date of the financial statements and the reported amounts of revenues and expenses during the reporting period. While the Company believes that such estimates are reasonable when considered in conjunction with the consolidated financial statements taken as a whole, the actual amounts of such estimates, when known, will vary from these estimates. If actual results significantly differ from the Company’s estimates, the Company’s financial condition and results of operations could be materially impacted.</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As discussed above, on December 2, 2021, GEO’s Board unanimously approved a plan to terminate the Company's REIT status and become a taxable C Corporation, effective for the year ended December 31, 2021. In connection with terminating the Company’s REIT status, the Board also voted unanimously to discontinue the Company's quarterly dividend.</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Cash and cash equivalents include all interest-bearing deposits or investments with original maturities of three months or less when purchased. The Company maintains cash and cash equivalents with various financial institutions. These financial institutions are located throughout the United States, Australia, South Africa and the United Kingdom. As of December 31, 2022 and 2021, the Company had $19.7 million and $33.0 million in cash and cash equivalents held by its international subsidiaries, respectively.</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The Company maintains deposits of cash in excess of federally insured limits with certain financial institutions and accordingly the Company is subject to credit risk. Other than cash, financial instruments that potentially subject the Company to concentrations of credit risk consist principally of trade accounts receivable, investments in marketable securities, long-term debt and financial instruments used in hedging activities. The Company’s cash management and investment policies restrict investments to low-risk, highly liquid securities, and the Company performs periodic evaluations of the credit standing of the financial institutions with which it deals.</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jc w:val="both"/>
        <w:ind w:right="580" w:firstLine="509"/>
        <w:spacing w:after="0" w:line="311" w:lineRule="auto"/>
        <w:rPr>
          <w:sz w:val="20"/>
          <w:szCs w:val="20"/>
          <w:color w:val="auto"/>
        </w:rPr>
      </w:pPr>
      <w:r>
        <w:rPr>
          <w:rFonts w:ascii="Arial" w:cs="Arial" w:eastAsia="Arial" w:hAnsi="Arial"/>
          <w:sz w:val="16"/>
          <w:szCs w:val="16"/>
          <w:color w:val="auto"/>
        </w:rPr>
        <w:t>Accounts receivable consists primarily of trade accounts receivable due from federal, state, local and international government agencies for operating and managing secure facilities, providing community-based services, providing electronic monitoring and supervision services, providing construction and design services and providing residential and transportation services. The Company generates receivables with its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89" w:name="page90"/>
    <w:bookmarkEnd w:id="89"/>
    <w:p>
      <w:pPr>
        <w:ind w:right="60"/>
        <w:spacing w:after="0" w:line="293" w:lineRule="auto"/>
        <w:rPr>
          <w:sz w:val="20"/>
          <w:szCs w:val="20"/>
          <w:color w:val="auto"/>
        </w:rPr>
      </w:pPr>
      <w:r>
        <w:rPr>
          <w:rFonts w:ascii="Arial" w:cs="Arial" w:eastAsia="Arial" w:hAnsi="Arial"/>
          <w:sz w:val="16"/>
          <w:szCs w:val="16"/>
          <w:color w:val="auto"/>
        </w:rPr>
        <w:t>governmental clients and with other parties in the normal course of business as a result of billing and receiving payment. The Company regularly reviews outstanding receivables and provides for estimated losses through an allowance for doubtful accounts. In evaluating the level of established loss reserves, the Company makes judgments regarding its customers’ ability to make required payments, economic events and other factors. As the financial condition of these parties change, circumstances develop or additional information becomes available, adjustments to the allowance for doubtful accounts may be required. The Company also performs ongoing credit evaluations for some of its customers’ financial conditions and generally does not require collateral. Generally, the Company receives payment for these services thirty to sixty days in arrears. However, certain of the Company’s accounts receivable are paid by customers after the completion of their program year and therefore can be aged in excess of one year. The Company maintains reserves for potential credit losses, and such losses traditionally have been within its expectations. Actual write-offs are charged against the allowance when collection efforts have been unsuccessful. As of December 31, 2022 and 2021, the Company's trade receivables that were considered to be long-term were not significant.</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 Receivable</w:t>
      </w:r>
    </w:p>
    <w:p>
      <w:pPr>
        <w:spacing w:after="0" w:line="171"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The Company's Australian subsidiary had recorded a contract receivable in connection with the construction of a 1,300-bed detention facility in Ravenhall, Australia for the State of Victoria. The contract receivable represented costs incurred and estimated earnings in excess of billings and was recorded at net present value based on the timing of expected future settlement. On September 20, 2022, the Company sold its equity investment interest in the Ravenhall project and, as a result, the Contract Receivable was transferred to the buyer and is no longer an asset of the Company. Refer to Note 6 - Contract Receivable and Note 17 - Commitments, Contingencies and Other Matters for further information.</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71"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and cash equivalents reported on the consolidated balance sheets that sum to the total of the same such amounts shown in the consolidated statements of cash flows: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1"/>
              </w:rPr>
              <w:t>December 31, 2022</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1"/>
              </w:rPr>
              <w:t>December 31, 2021</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36"/>
        </w:trPr>
        <w:tc>
          <w:tcPr>
            <w:tcW w:w="6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95,073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506,491</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283,524</w:t>
            </w:r>
          </w:p>
        </w:tc>
        <w:tc>
          <w:tcPr>
            <w:tcW w:w="0" w:type="dxa"/>
            <w:vAlign w:val="bottom"/>
          </w:tcPr>
          <w:p>
            <w:pPr>
              <w:spacing w:after="0"/>
              <w:rPr>
                <w:sz w:val="1"/>
                <w:szCs w:val="1"/>
                <w:color w:val="auto"/>
              </w:rPr>
            </w:pPr>
          </w:p>
        </w:tc>
      </w:tr>
      <w:tr>
        <w:trPr>
          <w:trHeight w:val="236"/>
        </w:trPr>
        <w:tc>
          <w:tcPr>
            <w:tcW w:w="6220" w:type="dxa"/>
            <w:vAlign w:val="bottom"/>
          </w:tcPr>
          <w:p>
            <w:pPr>
              <w:ind w:left="20"/>
              <w:spacing w:after="0"/>
              <w:rPr>
                <w:sz w:val="20"/>
                <w:szCs w:val="20"/>
                <w:color w:val="auto"/>
              </w:rPr>
            </w:pPr>
            <w:r>
              <w:rPr>
                <w:rFonts w:ascii="Arial" w:cs="Arial" w:eastAsia="Arial" w:hAnsi="Arial"/>
                <w:sz w:val="18"/>
                <w:szCs w:val="18"/>
                <w:color w:val="auto"/>
              </w:rPr>
              <w:t>Restricted cash and cash equivalents - current</w:t>
            </w:r>
          </w:p>
        </w:tc>
        <w:tc>
          <w:tcPr>
            <w:tcW w:w="140" w:type="dxa"/>
            <w:vAlign w:val="bottom"/>
          </w:tcPr>
          <w:p>
            <w:pPr>
              <w:spacing w:after="0"/>
              <w:rPr>
                <w:sz w:val="20"/>
                <w:szCs w:val="20"/>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20,161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26,740</w:t>
            </w:r>
          </w:p>
        </w:tc>
        <w:tc>
          <w:tcPr>
            <w:tcW w:w="0" w:type="dxa"/>
            <w:vAlign w:val="bottom"/>
          </w:tcPr>
          <w:p>
            <w:pPr>
              <w:spacing w:after="0"/>
              <w:rPr>
                <w:sz w:val="1"/>
                <w:szCs w:val="1"/>
                <w:color w:val="auto"/>
              </w:rPr>
            </w:pPr>
          </w:p>
        </w:tc>
      </w:tr>
      <w:tr>
        <w:trPr>
          <w:trHeight w:val="249"/>
        </w:trPr>
        <w:tc>
          <w:tcPr>
            <w:tcW w:w="6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 and investments - non-current</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111,691</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76,158</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37,338</w:t>
            </w:r>
          </w:p>
        </w:tc>
        <w:tc>
          <w:tcPr>
            <w:tcW w:w="0" w:type="dxa"/>
            <w:vAlign w:val="bottom"/>
          </w:tcPr>
          <w:p>
            <w:pPr>
              <w:spacing w:after="0"/>
              <w:rPr>
                <w:sz w:val="1"/>
                <w:szCs w:val="1"/>
                <w:color w:val="auto"/>
              </w:rPr>
            </w:pPr>
          </w:p>
        </w:tc>
      </w:tr>
      <w:tr>
        <w:trPr>
          <w:trHeight w:val="236"/>
        </w:trPr>
        <w:tc>
          <w:tcPr>
            <w:tcW w:w="6220" w:type="dxa"/>
            <w:vAlign w:val="bottom"/>
          </w:tcPr>
          <w:p>
            <w:pPr>
              <w:ind w:left="20"/>
              <w:spacing w:after="0"/>
              <w:rPr>
                <w:sz w:val="20"/>
                <w:szCs w:val="20"/>
                <w:color w:val="auto"/>
              </w:rPr>
            </w:pPr>
            <w:r>
              <w:rPr>
                <w:rFonts w:ascii="Arial" w:cs="Arial" w:eastAsia="Arial" w:hAnsi="Arial"/>
                <w:sz w:val="18"/>
                <w:szCs w:val="18"/>
                <w:color w:val="auto"/>
              </w:rPr>
              <w:t>Less Restricted investments - non-current</w:t>
            </w: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(62,921 )</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(54,488 )</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(35,749 )</w:t>
            </w:r>
          </w:p>
        </w:tc>
        <w:tc>
          <w:tcPr>
            <w:tcW w:w="0" w:type="dxa"/>
            <w:vAlign w:val="bottom"/>
          </w:tcPr>
          <w:p>
            <w:pPr>
              <w:spacing w:after="0"/>
              <w:rPr>
                <w:sz w:val="1"/>
                <w:szCs w:val="1"/>
                <w:color w:val="auto"/>
              </w:rPr>
            </w:pPr>
          </w:p>
        </w:tc>
      </w:tr>
      <w:tr>
        <w:trPr>
          <w:trHeight w:val="215"/>
        </w:trPr>
        <w:tc>
          <w:tcPr>
            <w:tcW w:w="6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3"/>
              </w:rPr>
              <w:t>Total cash, cash equivalents and restricted cash and cash equivalents shown in the</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143,843</w:t>
            </w:r>
          </w:p>
        </w:tc>
        <w:tc>
          <w:tcPr>
            <w:tcW w:w="160" w:type="dxa"/>
            <w:vAlign w:val="bottom"/>
            <w:vMerge w:val="restart"/>
            <w:shd w:val="clear" w:color="auto" w:fill="CFF0FC"/>
          </w:tcPr>
          <w:p>
            <w:pPr>
              <w:spacing w:after="0"/>
              <w:rPr>
                <w:sz w:val="18"/>
                <w:szCs w:val="18"/>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548,322</w:t>
            </w:r>
          </w:p>
        </w:tc>
        <w:tc>
          <w:tcPr>
            <w:tcW w:w="140" w:type="dxa"/>
            <w:vAlign w:val="bottom"/>
            <w:vMerge w:val="restart"/>
            <w:shd w:val="clear" w:color="auto" w:fill="CFF0FC"/>
          </w:tcPr>
          <w:p>
            <w:pPr>
              <w:spacing w:after="0"/>
              <w:rPr>
                <w:sz w:val="18"/>
                <w:szCs w:val="18"/>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311,853</w:t>
            </w:r>
          </w:p>
        </w:tc>
        <w:tc>
          <w:tcPr>
            <w:tcW w:w="0" w:type="dxa"/>
            <w:vAlign w:val="bottom"/>
          </w:tcPr>
          <w:p>
            <w:pPr>
              <w:spacing w:after="0"/>
              <w:rPr>
                <w:sz w:val="1"/>
                <w:szCs w:val="1"/>
                <w:color w:val="auto"/>
              </w:rPr>
            </w:pPr>
          </w:p>
        </w:tc>
      </w:tr>
      <w:tr>
        <w:trPr>
          <w:trHeight w:val="243"/>
        </w:trPr>
        <w:tc>
          <w:tcPr>
            <w:tcW w:w="6220" w:type="dxa"/>
            <w:vAlign w:val="bottom"/>
            <w:tcBorders>
              <w:bottom w:val="single" w:sz="8" w:color="CFF0FC"/>
            </w:tcBorders>
            <w:shd w:val="clear" w:color="auto" w:fill="CFF0FC"/>
          </w:tcPr>
          <w:p>
            <w:pPr>
              <w:ind w:left="20"/>
              <w:spacing w:after="0" w:line="203" w:lineRule="exact"/>
              <w:rPr>
                <w:sz w:val="20"/>
                <w:szCs w:val="20"/>
                <w:color w:val="auto"/>
              </w:rPr>
            </w:pPr>
            <w:r>
              <w:rPr>
                <w:rFonts w:ascii="Arial" w:cs="Arial" w:eastAsia="Arial" w:hAnsi="Arial"/>
                <w:sz w:val="18"/>
                <w:szCs w:val="18"/>
                <w:color w:val="auto"/>
              </w:rPr>
              <w:t>statement of cash flows</w:t>
            </w: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146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tcBorders>
            <w:vMerge w:val="continue"/>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144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vMerge w:val="continue"/>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144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4971415</wp:posOffset>
            </wp:positionH>
            <wp:positionV relativeFrom="paragraph">
              <wp:posOffset>-24765</wp:posOffset>
            </wp:positionV>
            <wp:extent cx="939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-7620</wp:posOffset>
            </wp:positionV>
            <wp:extent cx="939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857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857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Amounts included in restricted cash and cash equivalents are attributable to certain contractual cash restriction requirements at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Company's wholly owned Australian subsidiary related to non-recourse debt (which were included in Restricted Cash and cash equivalents current)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asset replacement funds contractually required to be maintained and other guarantees. The Company sold shares/units in certain of its wholly owned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Australian subsidiaries related to its Ravenhall facility. Upon the sale, the restricted cash related to these subsidiaries was transferred to the buyer. As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 current restricted cash and cash equivalents at December 31, 2022. Refer to Note 17 - Commitments, Contingencies and Other Matters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further information. Restricted investments - non-current (included in Restricted Cash and Investments in the accompanying consolidated balance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sheets) consists of the Company's rabbi trust established for an employee and employer contributions to The GEO Group, Inc. Non-qualified Deferred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Compensation Plan, investments in equity and fixed income mutual funds held in the Company’s captive insurance subsidiary, Florina, and certain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contractual cash requirements at the Company’s wholly owned Australian subsidiary related to certain performance guarantees at its Ravenhall facility.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rabbi trust and the investments held in Florina are not considered to be restricted cash equivalents. Refer to Note 9 - Financial Instruments.</w:t>
      </w:r>
    </w:p>
    <w:p>
      <w:pPr>
        <w:spacing w:after="0" w:line="23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71"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Prepaid expenses and other current assets include assets that are expected to be realized within the next fiscal year. Included in the balance at December 31, 2022 is approximately $11.3 million of federal, state and international tax overpayments that will be applied against tax payments in 2023. Included in the balance at December 31, 2021 is approximately $10.8 million of federal, state and international tax overpayments that were applied against tax payments in 2022.</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ind w:right="340" w:firstLine="509"/>
        <w:spacing w:after="0" w:line="263" w:lineRule="auto"/>
        <w:rPr>
          <w:sz w:val="20"/>
          <w:szCs w:val="20"/>
          <w:color w:val="auto"/>
        </w:rPr>
      </w:pPr>
      <w:r>
        <w:rPr>
          <w:rFonts w:ascii="Arial" w:cs="Arial" w:eastAsia="Arial" w:hAnsi="Arial"/>
          <w:sz w:val="18"/>
          <w:szCs w:val="18"/>
          <w:color w:val="auto"/>
        </w:rPr>
        <w:t>Inventory, which consists primarily of component parts related to electronic monitoring equipment, is stated at the lower of average cost or net realizable value and is approximately $20.7 million and $9.0 million at December 31, 2022 and 2021, respectively. Inventory is included in Other Non-Current Assets in the accompanying consolidated balance sheets.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sectPr>
      </w:pPr>
    </w:p>
    <w:bookmarkStart w:id="90" w:name="page91"/>
    <w:bookmarkEnd w:id="90"/>
    <w:p>
      <w:pPr>
        <w:ind w:left="2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jc w:val="both"/>
        <w:ind w:right="120" w:firstLine="509"/>
        <w:spacing w:after="0" w:line="286" w:lineRule="auto"/>
        <w:rPr>
          <w:sz w:val="20"/>
          <w:szCs w:val="20"/>
          <w:color w:val="auto"/>
        </w:rPr>
      </w:pPr>
      <w:r>
        <w:rPr>
          <w:rFonts w:ascii="Arial" w:cs="Arial" w:eastAsia="Arial" w:hAnsi="Arial"/>
          <w:sz w:val="16"/>
          <w:szCs w:val="16"/>
          <w:color w:val="auto"/>
        </w:rPr>
        <w:t>Property and equipment are stated at cost, less accumulated amortization and depreciation. Depreciation is computed using the straight-line method over the estimated useful lives of the related assets. Buildings and improvements are depreciated over 2 to 50 years. Equipment and furniture and fixtures are depreciated over 3 to 10 years. Leasehold improvements are amortized on a straight-line basis over the shorter of the useful life of the improvement or the term of the lease. The Company performs ongoing evaluations of the estimated useful lives of the property and equipment for depreciation purposes.</w:t>
      </w:r>
    </w:p>
    <w:p>
      <w:pPr>
        <w:ind w:right="40"/>
        <w:spacing w:after="0" w:line="286" w:lineRule="auto"/>
        <w:rPr>
          <w:sz w:val="20"/>
          <w:szCs w:val="20"/>
          <w:color w:val="auto"/>
        </w:rPr>
      </w:pPr>
      <w:r>
        <w:rPr>
          <w:rFonts w:ascii="Arial" w:cs="Arial" w:eastAsia="Arial" w:hAnsi="Arial"/>
          <w:sz w:val="16"/>
          <w:szCs w:val="16"/>
          <w:color w:val="auto"/>
        </w:rPr>
        <w:t>The estimated useful lives are determined and continually evaluated based on the period over which services are expected to be rendered by the asset. If the assessment indicates that assets will be used for a longer or shorter period than previously anticipated, the useful lives of the assets are revised, resulting in a change in estimate. The Company has not made any such changes in estimates during the years ended December 31, 2022, 2021 and 2020. Maintenance and repairs are expensed as incurred. Interest is capitalized in connection with the construction of company-owned secure facilities. Cost for self-constructed secure facilities includes direct materials and labor, capitalized interest and certain other indirect costs associated with construction of the facility, such as property taxes, other indirect labor and related benefits and payroll taxes. The Company begins the capitalization of costs during the pre-construction phase, which is the period during which costs are incurred to evaluate the site and continues until the facility is substantially complete and ready for occupancy. Labor costs capitalized for the years ended December 31, 2022, 2021 and 2020 were not significant. The capitalized costs of real estate projects are assigned to individual components of the project based on specific identification. Capitalized interest is recorded as part of the asset to which it relates and is amortized over the asset’s estimated useful life. Refer to Note 5 - Property and Equipment.</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171"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As of December 31, 2022, the Company had one property classified as held for sale included in its U.S Secure Services segment in the accompanying consolidated balance sheet. The Company classifies a long-lived asset (disposal group) as held for sale in the period in which all of the following criteria are met (i) Management, having the authority to approve the action, commits to a plan to sell the asset (disposal group), (ii) the asset (disposal group) is available for immediate sale in its present condition subject only to the terms that are usual and customary for sales of such assets (disposal groups), (iii) an active program to locate a buyer and other actions required to complete the plan to sell the asset (disposal group) have been initiated, (iv) the sale of the asset (disposal group) is probable, and transfer of the asset (disposal group) is expected to qualify for recognition as a completed sale, within one year, except as permitted, (v) the asset (disposal group) is being actively marketed for sale at a price that is reasonable in relation to its current fair value, and (vi) actions required to complete the plan indicate that it is unlikely that significant changes to the plan will be made or that the plan will be withdrawn. The Company records assets held for sale at the lower of cost or estimated fair value and estimates fair value by using third party appraisers or other valuation techniques. The Company does not record depreciation for assets held for sale. Any gain or loss on the sale of operating assets is included in the operating income of the reportable segment to which it relates.</w:t>
      </w:r>
    </w:p>
    <w:p>
      <w:pPr>
        <w:spacing w:after="0" w:line="179"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property that is classified as held for sale at December 31, 2022 is a parcel of undeveloped land located in Texas. At December 31, 2022, the aggregate carrying values of this property was approximately $0.5 million. At December 31, 2021, the Company had three properties that were classified as held for sale which consisted of a parcel of undeveloped land in Hobart, Indiana and two idle reentry facilities. At December 31, 2021, the aggregate carrying value of the properties was approximately $7.9 million.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sectPr>
      </w:pPr>
    </w:p>
    <w:bookmarkStart w:id="91" w:name="page92"/>
    <w:bookmarkEnd w:id="91"/>
    <w:p>
      <w:pPr>
        <w:ind w:left="260"/>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171" w:lineRule="exact"/>
        <w:rPr>
          <w:sz w:val="20"/>
          <w:szCs w:val="20"/>
          <w:color w:val="auto"/>
        </w:rPr>
      </w:pPr>
    </w:p>
    <w:p>
      <w:pPr>
        <w:ind w:right="160" w:firstLine="509"/>
        <w:spacing w:after="0" w:line="258" w:lineRule="auto"/>
        <w:rPr>
          <w:sz w:val="20"/>
          <w:szCs w:val="20"/>
          <w:color w:val="auto"/>
        </w:rPr>
      </w:pPr>
      <w:r>
        <w:rPr>
          <w:rFonts w:ascii="Arial" w:cs="Arial" w:eastAsia="Arial" w:hAnsi="Arial"/>
          <w:sz w:val="18"/>
          <w:szCs w:val="18"/>
          <w:color w:val="auto"/>
        </w:rPr>
        <w:t>The following table summarizes the Company’s idled facilities as of December 31, 2022 and their respective carrying values, excluding equipment and other assets that can be easily transferred to other facilities.</w:t>
      </w:r>
    </w:p>
    <w:tbl>
      <w:tblPr>
        <w:tblLayout w:type="fixed"/>
        <w:tblInd w:w="0" w:type="dxa"/>
        <w:tblCellMar>
          <w:top w:w="0" w:type="dxa"/>
          <w:left w:w="0" w:type="dxa"/>
          <w:bottom w:w="0" w:type="dxa"/>
          <w:right w:w="0" w:type="dxa"/>
        </w:tblCellMar>
      </w:tblPr>
      <w:tr>
        <w:trPr>
          <w:trHeight w:val="140"/>
        </w:trPr>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175"/>
              <w:spacing w:after="0" w:line="140" w:lineRule="exact"/>
              <w:rPr>
                <w:sz w:val="20"/>
                <w:szCs w:val="20"/>
                <w:color w:val="auto"/>
              </w:rPr>
            </w:pPr>
            <w:r>
              <w:rPr>
                <w:rFonts w:ascii="Arial" w:cs="Arial" w:eastAsia="Arial" w:hAnsi="Arial"/>
                <w:sz w:val="14"/>
                <w:szCs w:val="14"/>
                <w:b w:val="1"/>
                <w:bCs w:val="1"/>
                <w:color w:val="auto"/>
                <w:w w:val="89"/>
              </w:rPr>
              <w:t>Secure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176"/>
              <w:spacing w:after="0" w:line="140" w:lineRule="exact"/>
              <w:rPr>
                <w:sz w:val="20"/>
                <w:szCs w:val="20"/>
                <w:color w:val="auto"/>
              </w:rPr>
            </w:pPr>
            <w:r>
              <w:rPr>
                <w:rFonts w:ascii="Arial" w:cs="Arial" w:eastAsia="Arial" w:hAnsi="Arial"/>
                <w:sz w:val="14"/>
                <w:szCs w:val="14"/>
                <w:b w:val="1"/>
                <w:bCs w:val="1"/>
                <w:color w:val="auto"/>
                <w:w w:val="95"/>
              </w:rPr>
              <w:t>Reentry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restart"/>
          </w:tcPr>
          <w:p>
            <w:pPr>
              <w:jc w:val="center"/>
              <w:ind w:right="17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175"/>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76"/>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5"/>
              </w:rPr>
              <w:t>Secure</w:t>
            </w:r>
          </w:p>
        </w:tc>
        <w:tc>
          <w:tcPr>
            <w:tcW w:w="120" w:type="dxa"/>
            <w:vAlign w:val="bottom"/>
          </w:tcPr>
          <w:p>
            <w:pPr>
              <w:spacing w:after="0"/>
              <w:rPr>
                <w:sz w:val="12"/>
                <w:szCs w:val="12"/>
                <w:color w:val="auto"/>
              </w:rPr>
            </w:pPr>
          </w:p>
        </w:tc>
        <w:tc>
          <w:tcPr>
            <w:tcW w:w="11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5"/>
              </w:rPr>
              <w:t>Reentry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58"/>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5"/>
                <w:szCs w:val="15"/>
                <w:color w:val="auto"/>
              </w:rPr>
            </w:pPr>
          </w:p>
        </w:tc>
        <w:tc>
          <w:tcPr>
            <w:tcW w:w="1180" w:type="dxa"/>
            <w:vAlign w:val="bottom"/>
          </w:tcPr>
          <w:p>
            <w:pPr>
              <w:jc w:val="center"/>
              <w:ind w:right="36"/>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76"/>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1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8"/>
        </w:trPr>
        <w:tc>
          <w:tcPr>
            <w:tcW w:w="352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Facility</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Year Idled</w:t>
            </w:r>
          </w:p>
        </w:tc>
        <w:tc>
          <w:tcPr>
            <w:tcW w:w="120" w:type="dxa"/>
            <w:vAlign w:val="bottom"/>
          </w:tcPr>
          <w:p>
            <w:pPr>
              <w:spacing w:after="0"/>
              <w:rPr>
                <w:sz w:val="12"/>
                <w:szCs w:val="12"/>
                <w:color w:val="auto"/>
              </w:rPr>
            </w:pPr>
          </w:p>
        </w:tc>
        <w:tc>
          <w:tcPr>
            <w:tcW w:w="11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5"/>
              </w:rPr>
              <w:t>Design</w:t>
            </w:r>
          </w:p>
        </w:tc>
        <w:tc>
          <w:tcPr>
            <w:tcW w:w="120" w:type="dxa"/>
            <w:vAlign w:val="bottom"/>
          </w:tcPr>
          <w:p>
            <w:pPr>
              <w:spacing w:after="0"/>
              <w:rPr>
                <w:sz w:val="12"/>
                <w:szCs w:val="12"/>
                <w:color w:val="auto"/>
              </w:rPr>
            </w:pPr>
          </w:p>
        </w:tc>
        <w:tc>
          <w:tcPr>
            <w:tcW w:w="11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Design</w:t>
            </w:r>
          </w:p>
        </w:tc>
        <w:tc>
          <w:tcPr>
            <w:tcW w:w="100" w:type="dxa"/>
            <w:vAlign w:val="bottom"/>
          </w:tcPr>
          <w:p>
            <w:pPr>
              <w:spacing w:after="0"/>
              <w:rPr>
                <w:sz w:val="12"/>
                <w:szCs w:val="12"/>
                <w:color w:val="auto"/>
              </w:rPr>
            </w:pPr>
          </w:p>
        </w:tc>
        <w:tc>
          <w:tcPr>
            <w:tcW w:w="1360" w:type="dxa"/>
            <w:vAlign w:val="bottom"/>
            <w:gridSpan w:val="2"/>
            <w:vMerge w:val="restart"/>
          </w:tcPr>
          <w:p>
            <w:pPr>
              <w:jc w:val="center"/>
              <w:ind w:right="35"/>
              <w:spacing w:after="0"/>
              <w:rPr>
                <w:sz w:val="20"/>
                <w:szCs w:val="20"/>
                <w:color w:val="auto"/>
              </w:rPr>
            </w:pPr>
            <w:r>
              <w:rPr>
                <w:rFonts w:ascii="Arial" w:cs="Arial" w:eastAsia="Arial" w:hAnsi="Arial"/>
                <w:sz w:val="14"/>
                <w:szCs w:val="14"/>
                <w:b w:val="1"/>
                <w:bCs w:val="1"/>
                <w:color w:val="auto"/>
                <w:w w:val="91"/>
              </w:rPr>
              <w:t>December 31, 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196"/>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1320" w:type="dxa"/>
            <w:vAlign w:val="bottom"/>
            <w:gridSpan w:val="2"/>
            <w:vMerge w:val="restart"/>
          </w:tcPr>
          <w:p>
            <w:pPr>
              <w:jc w:val="center"/>
              <w:ind w:right="34"/>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185"/>
        </w:trPr>
        <w:tc>
          <w:tcPr>
            <w:tcW w:w="35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5"/>
              </w:rPr>
              <w:t>Capacity</w:t>
            </w: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Capacity</w:t>
            </w:r>
          </w:p>
        </w:tc>
        <w:tc>
          <w:tcPr>
            <w:tcW w:w="100" w:type="dxa"/>
            <w:vAlign w:val="bottom"/>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Great Plains Correctional Facility</w:t>
            </w: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1,940</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69,367</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69,367</w:t>
            </w:r>
          </w:p>
        </w:tc>
        <w:tc>
          <w:tcPr>
            <w:tcW w:w="0" w:type="dxa"/>
            <w:vAlign w:val="bottom"/>
          </w:tcPr>
          <w:p>
            <w:pPr>
              <w:spacing w:after="0"/>
              <w:rPr>
                <w:sz w:val="1"/>
                <w:szCs w:val="1"/>
                <w:color w:val="auto"/>
              </w:rPr>
            </w:pPr>
          </w:p>
        </w:tc>
      </w:tr>
      <w:tr>
        <w:trPr>
          <w:trHeight w:val="236"/>
        </w:trPr>
        <w:tc>
          <w:tcPr>
            <w:tcW w:w="3520" w:type="dxa"/>
            <w:vAlign w:val="bottom"/>
          </w:tcPr>
          <w:p>
            <w:pPr>
              <w:ind w:left="20"/>
              <w:spacing w:after="0"/>
              <w:rPr>
                <w:sz w:val="20"/>
                <w:szCs w:val="20"/>
                <w:color w:val="auto"/>
              </w:rPr>
            </w:pPr>
            <w:r>
              <w:rPr>
                <w:rFonts w:ascii="Arial" w:cs="Arial" w:eastAsia="Arial" w:hAnsi="Arial"/>
                <w:sz w:val="18"/>
                <w:szCs w:val="18"/>
                <w:color w:val="auto"/>
              </w:rPr>
              <w:t>D. Ray James Correctional Facility</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1240" w:type="dxa"/>
            <w:vAlign w:val="bottom"/>
            <w:gridSpan w:val="2"/>
          </w:tcPr>
          <w:p>
            <w:pPr>
              <w:jc w:val="right"/>
              <w:ind w:right="58"/>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20"/>
                <w:szCs w:val="20"/>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50,829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50,829</w:t>
            </w:r>
          </w:p>
        </w:tc>
        <w:tc>
          <w:tcPr>
            <w:tcW w:w="0" w:type="dxa"/>
            <w:vAlign w:val="bottom"/>
          </w:tcPr>
          <w:p>
            <w:pPr>
              <w:spacing w:after="0"/>
              <w:rPr>
                <w:sz w:val="1"/>
                <w:szCs w:val="1"/>
                <w:color w:val="auto"/>
              </w:rPr>
            </w:pPr>
          </w:p>
        </w:tc>
      </w:tr>
      <w:tr>
        <w:trPr>
          <w:trHeight w:val="249"/>
        </w:trPr>
        <w:tc>
          <w:tcPr>
            <w:tcW w:w="3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Northlake Correctional Facility</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2022</w:t>
            </w:r>
          </w:p>
        </w:tc>
        <w:tc>
          <w:tcPr>
            <w:tcW w:w="1240" w:type="dxa"/>
            <w:vAlign w:val="bottom"/>
            <w:gridSpan w:val="2"/>
            <w:shd w:val="clear" w:color="auto" w:fill="CFF0FC"/>
          </w:tcPr>
          <w:p>
            <w:pPr>
              <w:jc w:val="right"/>
              <w:ind w:right="58"/>
              <w:spacing w:after="0"/>
              <w:rPr>
                <w:sz w:val="20"/>
                <w:szCs w:val="20"/>
                <w:color w:val="auto"/>
              </w:rPr>
            </w:pPr>
            <w:r>
              <w:rPr>
                <w:rFonts w:ascii="Arial" w:cs="Arial" w:eastAsia="Arial" w:hAnsi="Arial"/>
                <w:sz w:val="18"/>
                <w:szCs w:val="18"/>
                <w:color w:val="auto"/>
              </w:rPr>
              <w:t>1,800</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68,524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68,524</w:t>
            </w:r>
          </w:p>
        </w:tc>
        <w:tc>
          <w:tcPr>
            <w:tcW w:w="0" w:type="dxa"/>
            <w:vAlign w:val="bottom"/>
          </w:tcPr>
          <w:p>
            <w:pPr>
              <w:spacing w:after="0"/>
              <w:rPr>
                <w:sz w:val="1"/>
                <w:szCs w:val="1"/>
                <w:color w:val="auto"/>
              </w:rPr>
            </w:pPr>
          </w:p>
        </w:tc>
      </w:tr>
      <w:tr>
        <w:trPr>
          <w:trHeight w:val="236"/>
        </w:trPr>
        <w:tc>
          <w:tcPr>
            <w:tcW w:w="3520" w:type="dxa"/>
            <w:vAlign w:val="bottom"/>
          </w:tcPr>
          <w:p>
            <w:pPr>
              <w:ind w:left="20"/>
              <w:spacing w:after="0"/>
              <w:rPr>
                <w:sz w:val="20"/>
                <w:szCs w:val="20"/>
                <w:color w:val="auto"/>
              </w:rPr>
            </w:pPr>
            <w:r>
              <w:rPr>
                <w:rFonts w:ascii="Arial" w:cs="Arial" w:eastAsia="Arial" w:hAnsi="Arial"/>
                <w:sz w:val="18"/>
                <w:szCs w:val="18"/>
                <w:color w:val="auto"/>
              </w:rPr>
              <w:t>Rivers Correctional Facility</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1240" w:type="dxa"/>
            <w:vAlign w:val="bottom"/>
            <w:gridSpan w:val="2"/>
          </w:tcPr>
          <w:p>
            <w:pPr>
              <w:jc w:val="right"/>
              <w:ind w:right="58"/>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0"/>
                <w:szCs w:val="20"/>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37,911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37,911</w:t>
            </w:r>
          </w:p>
        </w:tc>
        <w:tc>
          <w:tcPr>
            <w:tcW w:w="0" w:type="dxa"/>
            <w:vAlign w:val="bottom"/>
          </w:tcPr>
          <w:p>
            <w:pPr>
              <w:spacing w:after="0"/>
              <w:rPr>
                <w:sz w:val="1"/>
                <w:szCs w:val="1"/>
                <w:color w:val="auto"/>
              </w:rPr>
            </w:pPr>
          </w:p>
        </w:tc>
      </w:tr>
      <w:tr>
        <w:trPr>
          <w:trHeight w:val="249"/>
        </w:trPr>
        <w:tc>
          <w:tcPr>
            <w:tcW w:w="3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Big Spring Correctional Facility</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1240" w:type="dxa"/>
            <w:vAlign w:val="bottom"/>
            <w:gridSpan w:val="2"/>
            <w:shd w:val="clear" w:color="auto" w:fill="CFF0FC"/>
          </w:tcPr>
          <w:p>
            <w:pPr>
              <w:jc w:val="right"/>
              <w:ind w:right="58"/>
              <w:spacing w:after="0"/>
              <w:rPr>
                <w:sz w:val="20"/>
                <w:szCs w:val="20"/>
                <w:color w:val="auto"/>
              </w:rPr>
            </w:pPr>
            <w:r>
              <w:rPr>
                <w:rFonts w:ascii="Arial" w:cs="Arial" w:eastAsia="Arial" w:hAnsi="Arial"/>
                <w:sz w:val="18"/>
                <w:szCs w:val="18"/>
                <w:color w:val="auto"/>
              </w:rPr>
              <w:t>1,732</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32,959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32,959</w:t>
            </w:r>
          </w:p>
        </w:tc>
        <w:tc>
          <w:tcPr>
            <w:tcW w:w="0" w:type="dxa"/>
            <w:vAlign w:val="bottom"/>
          </w:tcPr>
          <w:p>
            <w:pPr>
              <w:spacing w:after="0"/>
              <w:rPr>
                <w:sz w:val="1"/>
                <w:szCs w:val="1"/>
                <w:color w:val="auto"/>
              </w:rPr>
            </w:pPr>
          </w:p>
        </w:tc>
      </w:tr>
      <w:tr>
        <w:trPr>
          <w:trHeight w:val="236"/>
        </w:trPr>
        <w:tc>
          <w:tcPr>
            <w:tcW w:w="3520" w:type="dxa"/>
            <w:vAlign w:val="bottom"/>
          </w:tcPr>
          <w:p>
            <w:pPr>
              <w:ind w:left="20"/>
              <w:spacing w:after="0"/>
              <w:rPr>
                <w:sz w:val="20"/>
                <w:szCs w:val="20"/>
                <w:color w:val="auto"/>
              </w:rPr>
            </w:pPr>
            <w:r>
              <w:rPr>
                <w:rFonts w:ascii="Arial" w:cs="Arial" w:eastAsia="Arial" w:hAnsi="Arial"/>
                <w:sz w:val="18"/>
                <w:szCs w:val="18"/>
                <w:color w:val="auto"/>
              </w:rPr>
              <w:t>Flightline Correctional Facility</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1240" w:type="dxa"/>
            <w:vAlign w:val="bottom"/>
            <w:gridSpan w:val="2"/>
          </w:tcPr>
          <w:p>
            <w:pPr>
              <w:jc w:val="right"/>
              <w:ind w:right="58"/>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20"/>
                <w:szCs w:val="20"/>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35,094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35,094</w:t>
            </w:r>
          </w:p>
        </w:tc>
        <w:tc>
          <w:tcPr>
            <w:tcW w:w="0" w:type="dxa"/>
            <w:vAlign w:val="bottom"/>
          </w:tcPr>
          <w:p>
            <w:pPr>
              <w:spacing w:after="0"/>
              <w:rPr>
                <w:sz w:val="1"/>
                <w:szCs w:val="1"/>
                <w:color w:val="auto"/>
              </w:rPr>
            </w:pPr>
          </w:p>
        </w:tc>
      </w:tr>
      <w:tr>
        <w:trPr>
          <w:trHeight w:val="221"/>
        </w:trPr>
        <w:tc>
          <w:tcPr>
            <w:tcW w:w="3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McFarland Female Community</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5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Reentry Facility</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1240" w:type="dxa"/>
            <w:vAlign w:val="bottom"/>
            <w:gridSpan w:val="2"/>
            <w:shd w:val="clear" w:color="auto" w:fill="CFF0FC"/>
          </w:tcPr>
          <w:p>
            <w:pPr>
              <w:jc w:val="right"/>
              <w:ind w:right="58"/>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10,900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10,900</w:t>
            </w:r>
          </w:p>
        </w:tc>
        <w:tc>
          <w:tcPr>
            <w:tcW w:w="0" w:type="dxa"/>
            <w:vAlign w:val="bottom"/>
          </w:tcPr>
          <w:p>
            <w:pPr>
              <w:spacing w:after="0"/>
              <w:rPr>
                <w:sz w:val="1"/>
                <w:szCs w:val="1"/>
                <w:color w:val="auto"/>
              </w:rPr>
            </w:pPr>
          </w:p>
        </w:tc>
      </w:tr>
      <w:tr>
        <w:trPr>
          <w:trHeight w:val="236"/>
        </w:trPr>
        <w:tc>
          <w:tcPr>
            <w:tcW w:w="3520" w:type="dxa"/>
            <w:vAlign w:val="bottom"/>
          </w:tcPr>
          <w:p>
            <w:pPr>
              <w:ind w:left="20"/>
              <w:spacing w:after="0"/>
              <w:rPr>
                <w:sz w:val="20"/>
                <w:szCs w:val="20"/>
                <w:color w:val="auto"/>
              </w:rPr>
            </w:pPr>
            <w:r>
              <w:rPr>
                <w:rFonts w:ascii="Arial" w:cs="Arial" w:eastAsia="Arial" w:hAnsi="Arial"/>
                <w:sz w:val="18"/>
                <w:szCs w:val="18"/>
                <w:color w:val="auto"/>
              </w:rPr>
              <w:t>Cheyenne Mountain Recovery Center</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12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6"/>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16,659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16,659</w:t>
            </w:r>
          </w:p>
        </w:tc>
        <w:tc>
          <w:tcPr>
            <w:tcW w:w="0" w:type="dxa"/>
            <w:vAlign w:val="bottom"/>
          </w:tcPr>
          <w:p>
            <w:pPr>
              <w:spacing w:after="0"/>
              <w:rPr>
                <w:sz w:val="1"/>
                <w:szCs w:val="1"/>
                <w:color w:val="auto"/>
              </w:rPr>
            </w:pPr>
          </w:p>
        </w:tc>
      </w:tr>
      <w:tr>
        <w:trPr>
          <w:trHeight w:val="221"/>
        </w:trPr>
        <w:tc>
          <w:tcPr>
            <w:tcW w:w="3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Albert Bo Robinson Assessment &amp;</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5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Treatment Center</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14,011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14,011</w:t>
            </w:r>
          </w:p>
        </w:tc>
        <w:tc>
          <w:tcPr>
            <w:tcW w:w="0" w:type="dxa"/>
            <w:vAlign w:val="bottom"/>
          </w:tcPr>
          <w:p>
            <w:pPr>
              <w:spacing w:after="0"/>
              <w:rPr>
                <w:sz w:val="1"/>
                <w:szCs w:val="1"/>
                <w:color w:val="auto"/>
              </w:rPr>
            </w:pPr>
          </w:p>
        </w:tc>
      </w:tr>
      <w:tr>
        <w:trPr>
          <w:trHeight w:val="236"/>
        </w:trPr>
        <w:tc>
          <w:tcPr>
            <w:tcW w:w="3520" w:type="dxa"/>
            <w:vAlign w:val="bottom"/>
          </w:tcPr>
          <w:p>
            <w:pPr>
              <w:ind w:left="20"/>
              <w:spacing w:after="0"/>
              <w:rPr>
                <w:sz w:val="20"/>
                <w:szCs w:val="20"/>
                <w:color w:val="auto"/>
              </w:rPr>
            </w:pPr>
            <w:r>
              <w:rPr>
                <w:rFonts w:ascii="Arial" w:cs="Arial" w:eastAsia="Arial" w:hAnsi="Arial"/>
                <w:sz w:val="18"/>
                <w:szCs w:val="18"/>
                <w:color w:val="auto"/>
              </w:rPr>
              <w:t>Coleman Hall</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12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6"/>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7,759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7,759</w:t>
            </w:r>
          </w:p>
        </w:tc>
        <w:tc>
          <w:tcPr>
            <w:tcW w:w="0" w:type="dxa"/>
            <w:vAlign w:val="bottom"/>
          </w:tcPr>
          <w:p>
            <w:pPr>
              <w:spacing w:after="0"/>
              <w:rPr>
                <w:sz w:val="1"/>
                <w:szCs w:val="1"/>
                <w:color w:val="auto"/>
              </w:rPr>
            </w:pPr>
          </w:p>
        </w:tc>
      </w:tr>
      <w:tr>
        <w:trPr>
          <w:trHeight w:val="249"/>
        </w:trPr>
        <w:tc>
          <w:tcPr>
            <w:tcW w:w="3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Hector Garza Center</w:t>
            </w:r>
          </w:p>
        </w:tc>
        <w:tc>
          <w:tcPr>
            <w:tcW w:w="9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4,794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4,794</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gridSpan w:val="2"/>
          </w:tcPr>
          <w:p>
            <w:pPr>
              <w:jc w:val="right"/>
              <w:ind w:right="58"/>
              <w:spacing w:after="0"/>
              <w:rPr>
                <w:sz w:val="20"/>
                <w:szCs w:val="20"/>
                <w:color w:val="auto"/>
              </w:rPr>
            </w:pPr>
            <w:r>
              <w:rPr>
                <w:rFonts w:ascii="Arial" w:cs="Arial" w:eastAsia="Arial" w:hAnsi="Arial"/>
                <w:sz w:val="18"/>
                <w:szCs w:val="18"/>
                <w:color w:val="auto"/>
              </w:rPr>
              <w:t>10,922</w:t>
            </w:r>
          </w:p>
        </w:tc>
        <w:tc>
          <w:tcPr>
            <w:tcW w:w="1300" w:type="dxa"/>
            <w:vAlign w:val="bottom"/>
            <w:gridSpan w:val="2"/>
          </w:tcPr>
          <w:p>
            <w:pPr>
              <w:jc w:val="right"/>
              <w:ind w:right="36"/>
              <w:spacing w:after="0"/>
              <w:rPr>
                <w:sz w:val="20"/>
                <w:szCs w:val="20"/>
                <w:color w:val="auto"/>
              </w:rPr>
            </w:pPr>
            <w:r>
              <w:rPr>
                <w:rFonts w:ascii="Arial" w:cs="Arial" w:eastAsia="Arial" w:hAnsi="Arial"/>
                <w:sz w:val="18"/>
                <w:szCs w:val="18"/>
                <w:color w:val="auto"/>
              </w:rPr>
              <w:t>2,139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305,584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43,223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348,807</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3592830</wp:posOffset>
            </wp:positionH>
            <wp:positionV relativeFrom="paragraph">
              <wp:posOffset>-187960</wp:posOffset>
            </wp:positionV>
            <wp:extent cx="76835"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-187960</wp:posOffset>
            </wp:positionV>
            <wp:extent cx="68580"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-187960</wp:posOffset>
            </wp:positionV>
            <wp:extent cx="68580"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-187960</wp:posOffset>
            </wp:positionV>
            <wp:extent cx="68580"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right="80" w:firstLine="509"/>
        <w:spacing w:after="0" w:line="281"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b w:val="1"/>
          <w:bCs w:val="1"/>
          <w:i w:val="1"/>
          <w:iCs w:val="1"/>
          <w:color w:val="auto"/>
        </w:rPr>
        <w:t>Risks and Uncertainties</w:t>
      </w:r>
      <w:r>
        <w:rPr>
          <w:rFonts w:ascii="Arial" w:cs="Arial" w:eastAsia="Arial" w:hAnsi="Arial"/>
          <w:sz w:val="18"/>
          <w:szCs w:val="18"/>
          <w:color w:val="auto"/>
        </w:rPr>
        <w:t xml:space="preserve"> – </w:t>
      </w:r>
      <w:r>
        <w:rPr>
          <w:rFonts w:ascii="Arial" w:cs="Arial" w:eastAsia="Arial" w:hAnsi="Arial"/>
          <w:sz w:val="18"/>
          <w:szCs w:val="18"/>
          <w:b w:val="1"/>
          <w:bCs w:val="1"/>
          <w:color w:val="auto"/>
        </w:rPr>
        <w:t>Executive Order</w:t>
      </w:r>
      <w:r>
        <w:rPr>
          <w:rFonts w:ascii="Arial" w:cs="Arial" w:eastAsia="Arial" w:hAnsi="Arial"/>
          <w:sz w:val="18"/>
          <w:szCs w:val="18"/>
          <w:color w:val="auto"/>
        </w:rPr>
        <w:t xml:space="preserve"> above for a discussion of recent developments. There was no indication of impairment related to the Company’s idle facilities during the year ended December 31, 2022.</w:t>
      </w:r>
    </w:p>
    <w:p>
      <w:pPr>
        <w:spacing w:after="0" w:line="167" w:lineRule="exact"/>
        <w:rPr>
          <w:sz w:val="20"/>
          <w:szCs w:val="20"/>
          <w:color w:val="auto"/>
        </w:rPr>
      </w:pPr>
    </w:p>
    <w:p>
      <w:pPr>
        <w:ind w:right="140" w:firstLine="509"/>
        <w:spacing w:after="0" w:line="256" w:lineRule="auto"/>
        <w:rPr>
          <w:sz w:val="20"/>
          <w:szCs w:val="20"/>
          <w:color w:val="auto"/>
        </w:rPr>
      </w:pPr>
      <w:r>
        <w:rPr>
          <w:rFonts w:ascii="Arial" w:cs="Arial" w:eastAsia="Arial" w:hAnsi="Arial"/>
          <w:sz w:val="18"/>
          <w:szCs w:val="18"/>
          <w:color w:val="auto"/>
        </w:rPr>
        <w:t>The Company reviews long-lived assets to be held and used for impairment whenever events or changes in circumstances indicate that the carrying amount of such assets may not be fully recoverable. Events that would trigger an impairment assessment include deterioration of profits for a business segment that has long-lived assets, or when other changes occur that might impair recovery of long-lived assets such as the termination of a management contract or a prolonged decrease in population. If impairment indicators are present, the Company performs a recoverability test to determine whether or not an impairment loss should be measured.</w:t>
      </w:r>
    </w:p>
    <w:p>
      <w:pPr>
        <w:spacing w:after="0" w:line="191"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The Company tests idle facilities for impairment upon notification that the facilities will no longer be utilized by the customer. If a long-lived asset is part of a group that includes other assets, the unit of accounting for the long-lived asset is its group. Generally, the Company groups assets by facility for the purpose of considering whether any impairment exists. The estimates of recoverability are based on projected undiscounted cash flows associated with actual marketing efforts where available or, in other instances, projected undiscounted cash flows that are comparable to historical cash flows from management contracts achieved in the past at that facility or at similar facilities and probability weighted cash flows. The Company's probability weighted cash flows include adjustments to projected cash flows compared to the historical cash flows due to current business conditions which impact per diem rates as well as labor and other operating costs, changes related to facility mission due to changes in prospective clients, and changes in projected capacity and occupancy rates. The Company also factors in prolonged periods of vacancies as well as the time and costs required to ramp up facility population once a contract is obtained. The Company performs the impairment analysis on an annual basis, or more frequently as needed, for each of the idle facilities and takes into consideration updates each quarter for market developments affecting the potential utilization of each of the facilities in order to identify events that may cause the Company to reconsider the most recent assumptions. Such events could include negotiations with a prospective customer for the utilization of an idle facility at terms significantly less favorable than the terms used in the Company's most recent impairment analysis, or changes in legislation surrounding a particular facility that could impact the Company's ability to house certain types of individuals at such facility. Further, a substantial increase in the number of available beds at other facilities the Company owns, or in the marketplace, could lead to deterioration in market conditions and projected cash flows. Although they are not frequently received, an unsolicited offer to purchase any of the Company's idle facilities, at amounts that are less than their carrying value could also cause the Company to reconsider the assumptions used in the most recent impairment analysis. The Company has identified marketing prospects to utilize each of the remaining currently idled facilities and has determined that no current impairment exists. The Company has also received valuations from a third party on certain facilities. However, the Company can provide no assurance that it will be able to secure management contracts to utilize its idle facilities, or that it will not incur impairment charges in the future. In all cases, the projected value in the Company’s analysis as of December 31, 2022, exceeded the carrying amounts of each facility, therefore no impairment charges were recorded. During the year ended December 31, 2020, the Company recorded an impairment charge of approximately $5.7 million, included in Operating Expenses in the Consolidated Statements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sectPr>
      </w:pPr>
    </w:p>
    <w:bookmarkStart w:id="92" w:name="page93"/>
    <w:bookmarkEnd w:id="92"/>
    <w:p>
      <w:pPr>
        <w:ind w:right="200"/>
        <w:spacing w:after="0" w:line="307" w:lineRule="auto"/>
        <w:rPr>
          <w:sz w:val="20"/>
          <w:szCs w:val="20"/>
          <w:color w:val="auto"/>
        </w:rPr>
      </w:pPr>
      <w:r>
        <w:rPr>
          <w:rFonts w:ascii="Arial" w:cs="Arial" w:eastAsia="Arial" w:hAnsi="Arial"/>
          <w:sz w:val="17"/>
          <w:szCs w:val="17"/>
          <w:color w:val="auto"/>
        </w:rPr>
        <w:t>Operation, related to one leased facility where the projected undiscounted cash flows of the facility did not exceed the carrying amount. The expense was included in the Reentry Services segment. There were no impairment charges recorded for the year ended December 31, 2021.</w:t>
      </w:r>
    </w:p>
    <w:p>
      <w:pPr>
        <w:spacing w:after="0" w:line="147"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The Company's evaluations also take into consideration historical experience in securing new facility management contracts to utilize facilities that had been previously idled for periods comparable to or in excess of the periods the Company's currently idle facilities have been idle. Such previously idled facilities are currently being operated under contracts that generate cash flows resulting in the recoverability of the net book value of the previously idled facilities by substantial amounts. Due to a variety of factors, the lead time to negotiate contracts with federal and state agencies to utilize idle bed capacity is generally lengthy which has historically resulted in periods of idleness similar to the ones the Company is currently experiencing.</w:t>
      </w:r>
    </w:p>
    <w:p>
      <w:pPr>
        <w:spacing w:after="0" w:line="160"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By their nature, these estimates contain uncertainties with respect to the extent and timing of the respective cash flows due to potential delays or material changes to forecasted terms and conditions in contracts with prospective customers that could impact the estimate of projected cash flows. Notwithstanding the effects the current economy has had on the Company's customers for available beds in the short term which has led to the Company’s decision to idle certain facilities, the Company believes the long-term trends favor an increase in the utilization of its idle facilities. This belief is also based on the Company's experience in working with governmental agencies faced with significant budgetary challenges which is a primary contributing factor to the lack of appropriated funding to build new bed capacity by federal and state agencies.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adopted ASU 2016-02 and ASU 2018-11, cumulatively ("ASC 842"), on January 1, 2019, using the modified retrospective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transition method. The Company elected the package of transition expedients available for expired or existing lease contracts, which allowed it to carry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forward its historical assessments of (1) whether contracts are or contain leases, (2) lease classification and (3) initial direct costs. The Company also</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elected not to apply the recognition requirements to lease arrangements that have terms of twelve months or less.</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leases where the Company is the lessor, upon adoption of ASC 842, the Company elected to also apply the practical expedient to not</w:t>
      </w:r>
    </w:p>
    <w:p>
      <w:pPr>
        <w:spacing w:after="0" w:line="3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separate non-lease components from the associated lease component if certain criteria are met for each class of underlying assets. Lease components are elements of an arrangement that provide the customer with the right to use an identified asset. Non-lease components are distinct elements of a contract that are not related to securing the use of the leased asset and revenue is recognized in accordance with ASC 606. The Company considers common area maintenance ("CAM") and service income associated with tenant work orders to be non-lease components because they represent delivery of a separate service but are not considered a cost of securing the identified asset. In the case of the Company’s business, the identified asset would be the leased real estate. The Company assessed and concluded that the timing and pattern of transfer for non-lease components and the associated lease component are the same. The Company determined that the predominant component was the lease component and as such its leases continue to qualify as operating leases. The Company made a policy election to account for and present the lease component and the non-lease component as a single component in revenue.</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Assets Held under Finance Leases</w:t>
      </w:r>
    </w:p>
    <w:p>
      <w:pPr>
        <w:spacing w:after="0" w:line="171"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Assets held under finance leases are recorded at the lower of the net present value of the minimum lease payments or the fair value of the leased asset at the inception of the lease. Amortization expense is recognized using the straight-line method over the shorter of the estimated useful life of the asset or the term of the related lease and is included in depreciation expense.</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 and Other Intangible Assets, Net</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right="140" w:firstLine="509"/>
        <w:spacing w:after="0" w:line="296" w:lineRule="auto"/>
        <w:rPr>
          <w:sz w:val="20"/>
          <w:szCs w:val="20"/>
          <w:color w:val="auto"/>
        </w:rPr>
      </w:pPr>
      <w:r>
        <w:rPr>
          <w:rFonts w:ascii="Arial" w:cs="Arial" w:eastAsia="Arial" w:hAnsi="Arial"/>
          <w:sz w:val="16"/>
          <w:szCs w:val="16"/>
          <w:color w:val="auto"/>
        </w:rPr>
        <w:t>The Company has recorded goodwill as a result of its business combinations. Goodwill is recorded as the difference, if any, between the aggregate consideration paid for an acquisition and the fair value of the net tangible assets and other intangible assets acquired. The Company's goodwill is not amortized and is tested for impairment annually on the first day of the fourth quarter, and whenever events or circumstances arise that indicate impairment may have occurred. Impairment testing is performed for all reporting units that contain goodwill. The reporting units are the same as the reportable segments for U.S. Secure Services, Electronic Monitoring and Supervision Services, Reentry Services and International Services.</w:t>
      </w:r>
    </w:p>
    <w:p>
      <w:pPr>
        <w:spacing w:after="0" w:line="160"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On the annual measurement date of October 1, 2022, the Company's management elected to qualitatively assess the Company's goodwill for impairment for all of its reporting units. Under provisions of the qualitative analysis, when testing goodwill for impairment, the Company first assesses qualitative factors to determine whether the existence of events or circumstances leads to a determination that it is more likely than not that the fair value of a reporting unit is less than its carrying amount. If, after assessing the totality of events or circumstances, the Company determines it is more likely than not that the fair value of a reporting unit is less than its carrying amount, the Company performs 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93" w:name="page94"/>
    <w:bookmarkEnd w:id="93"/>
    <w:p>
      <w:pPr>
        <w:ind w:right="20"/>
        <w:spacing w:after="0" w:line="287" w:lineRule="auto"/>
        <w:rPr>
          <w:sz w:val="20"/>
          <w:szCs w:val="20"/>
          <w:color w:val="auto"/>
        </w:rPr>
      </w:pPr>
      <w:r>
        <w:rPr>
          <w:rFonts w:ascii="Arial" w:cs="Arial" w:eastAsia="Arial" w:hAnsi="Arial"/>
          <w:sz w:val="16"/>
          <w:szCs w:val="16"/>
          <w:color w:val="auto"/>
        </w:rPr>
        <w:t>quantitative impairment test to identify goodwill impairment and measures the amount of goodwill impairment loss to be recognized, if any. The qualitative factors used by the Company’s management to determine the likelihood that the fair value of the reporting unit is less than the carrying amount include, among other things, a review of overall economic conditions and their current and future impact on the Company’s existing business, the Company’s financial performance and stock price, industry outlook and market competition. With respect to the qualitative assessments, management determined that, as of October 1, 2022, it was more likely than not that the fair values of the reporting units exceeded their carrying values. During the year ended December 31, 2020, in connection with the Company’s annual impairment test, the Company performed a quantitative analysis for its Reentry Services reporting unit using a third-party valuation firm to determine the estimated fair value of the reporting unit using a discounted cash flow model. A discount rate of 10% was utilized to adjust the cash flow forecasts based on the Company’s estimate of a market participant’s weighted-average cost of capital. Growth rates for sales and profits were determined using inputs from the Company’s long-term planning process. The Company also made estimates for discount rates and other factors based on market conditions, historical experience and other economic factors. Changes in these factors could significantly impact the fair value of the reporting unit. With respect to the Reentry Services reporting unit that was assessed quantitatively, management determined that the carrying value exceeded its fair value due to future declines in cash flow projections primarily due to the negative impact of the COVID-19 pandemic on the Company’s reentry facilities. As such, the Company recorded a goodwill impairment charge of $21.1 million during the year ended December 31, 2020. A change in one or combination of the assumptions discussed above could have impacted the estimated fair value of the reporting unit. If the Company’s expectations of future results and cash flows decrease significantly or other economic conditions deteriorate, goodwill may be further impaired. No impairment charges were recorded for the years ended December 31, 2022 or 2021.</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Intangible Assets, Net</w:t>
      </w:r>
    </w:p>
    <w:p>
      <w:pPr>
        <w:spacing w:after="0" w:line="171"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The Company has also recorded other finite and indefinite lived intangible assets as a result of previously completed business combinations. Other acquired finite and indefinite lived intangible assets are recognized separately if the benefit of the intangible asset is obtained through contractual or other legal rights, or if the intangible asset can be sold, transferred, licensed, rented or exchanged, regardless of the Company’s intent to do so. The Company’s intangible assets include facility management contracts, trade names and technology. The facility management contracts represent customer relationships in the form of management contracts acquired at the time of each business combination; the value of BI’s and Protocol Criminal Justice, Inc.'s ("Protocol") trade names represent, among other intangible benefits, name recognition to its customers and intellectual property rights; and the acquired technology represents BI’s innovation with respect to its GPS tracking, monitoring, radio frequency monitoring, voice verification monitoring and alcohol compliance systems, Protocol's innovation with respect to its customer relationship management software and Soberlink, Inc.'s innovation with respect to its alcohol monitoring devices. When establishing useful lives, the Company considers the period and the pattern in which the economic benefits of the intangible asset are consumed or otherwise used up; or, if that pattern cannot be reliably determined, using a straight-line amortization method over a period that may be shorter than the ultimate life of such intangible asset. The Company also considers the impact of renewal terms when establishing useful lives. The Company currently amortizes its acquired facility management contracts over periods ranging from three to twenty-one years and its acquired technology over seven years to eight years. There is no residual value associated with the Company’s finite-lived intangible assets. The Company reviews its trade name assets for impairment whenever events or changes in circumstances indicate that the carrying amount of such assets may not be fully recoverable. The Company does not amortize its indefinite lived intangible assets. The Company reviews its indefinite lived intangible assets annually or more frequently if events or changes in circumstances indicate that the asset might be impaired. These reviews resulted in no significant impairment to the carrying value of the indefinite lived intangible assets for all periods presented. The Company records the costs associated with renewal and extension of facility management contracts as expenses in the period they are incurred.</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Internal-Use Software</w:t>
      </w:r>
    </w:p>
    <w:p>
      <w:pPr>
        <w:spacing w:after="0" w:line="171"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Costs incurred to develop software for internal use are capitalized and amortized over the estimated useful lives of the software. Costs related to design or maintenance of internal-use software are expensed as incurred. As of December 31, 2022 and 2021, included in Property and Equipment, Net is approximately $9.9 million and $10.9 million of capitalized internal-use software costs, respectively.</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71"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Debt issuance costs, net of accumulated amortization of $44.1 million and $18.6 million, totaling $32.5 million and $26.7 million at December 31, 2022 and 2021, respectively, are included in Long-Term Debt, Non-Recourse Debt and Other Non-Current Assets in the accompanying Consolidated Balance Sheets and are amortized to interest expense using the effective interest method over the term of the related debt. Refer to Note 12 - Debt for discussion of debt issuance costs written off in connection with the Company's exchange offer.</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 Revenue</w:t>
      </w:r>
    </w:p>
    <w:p>
      <w:pPr>
        <w:spacing w:after="0" w:line="90" w:lineRule="exact"/>
        <w:rPr>
          <w:sz w:val="20"/>
          <w:szCs w:val="20"/>
          <w:color w:val="auto"/>
        </w:rPr>
      </w:pPr>
    </w:p>
    <w:p>
      <w:pPr>
        <w:ind w:right="100" w:firstLine="509"/>
        <w:spacing w:after="0" w:line="286" w:lineRule="auto"/>
        <w:rPr>
          <w:sz w:val="20"/>
          <w:szCs w:val="20"/>
          <w:color w:val="auto"/>
        </w:rPr>
      </w:pPr>
      <w:r>
        <w:rPr>
          <w:rFonts w:ascii="Arial" w:cs="Arial" w:eastAsia="Arial" w:hAnsi="Arial"/>
          <w:sz w:val="17"/>
          <w:szCs w:val="17"/>
          <w:color w:val="auto"/>
        </w:rPr>
        <w:t>The Company leases eight of its owned facilities to unrelated parties. Six of which have a term of two years and expire in June 2023 with options to extend for one additional one-year term. The carrying value of these leased facilities as of December 31, 2022 is $48.4 million, net of accumulated depreciation of $22.3 million. One facility has a term that expires in February 2023. The carrying value of this leased facility as of</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94" w:name="page95"/>
    <w:bookmarkEnd w:id="94"/>
    <w:p>
      <w:pPr>
        <w:ind w:right="80"/>
        <w:spacing w:after="0" w:line="310" w:lineRule="auto"/>
        <w:rPr>
          <w:sz w:val="20"/>
          <w:szCs w:val="20"/>
          <w:color w:val="auto"/>
        </w:rPr>
      </w:pPr>
      <w:r>
        <w:rPr>
          <w:rFonts w:ascii="Arial" w:cs="Arial" w:eastAsia="Arial" w:hAnsi="Arial"/>
          <w:sz w:val="16"/>
          <w:szCs w:val="16"/>
          <w:color w:val="auto"/>
        </w:rPr>
        <w:t>December 31, 2022 was $2.0 million, net of accumulated depreciation of $0.6 million. The remaining facility has a term of twenty years with renewals and expires in October 2041. The carrying value of this leased facility as of December 31, 2022 was $18.2 million, net of accumulated depreciation of $15.9 million. Rental income, included in Revenues, for these leases for the year ended December 31, 2022 was approximately $5.6 million. As of December 31,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2022, future minimum rentals to be received on these leases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jc w:val="right"/>
              <w:ind w:right="514"/>
              <w:spacing w:after="0"/>
              <w:rPr>
                <w:sz w:val="20"/>
                <w:szCs w:val="20"/>
                <w:color w:val="auto"/>
              </w:rPr>
            </w:pPr>
            <w:r>
              <w:rPr>
                <w:rFonts w:ascii="Arial" w:cs="Arial" w:eastAsia="Arial" w:hAnsi="Arial"/>
                <w:sz w:val="14"/>
                <w:szCs w:val="14"/>
                <w:b w:val="1"/>
                <w:bCs w:val="1"/>
                <w:color w:val="auto"/>
              </w:rPr>
              <w:t>Annual Rental</w:t>
            </w:r>
          </w:p>
        </w:tc>
      </w:tr>
      <w:tr>
        <w:trPr>
          <w:trHeight w:val="185"/>
        </w:trPr>
        <w:tc>
          <w:tcPr>
            <w:tcW w:w="9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(in thousands)</w:t>
            </w:r>
          </w:p>
        </w:tc>
      </w:tr>
      <w:tr>
        <w:trPr>
          <w:trHeight w:val="236"/>
        </w:trPr>
        <w:tc>
          <w:tcPr>
            <w:tcW w:w="9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4,675</w:t>
            </w:r>
          </w:p>
        </w:tc>
      </w:tr>
      <w:tr>
        <w:trPr>
          <w:trHeight w:val="236"/>
        </w:trPr>
        <w:tc>
          <w:tcPr>
            <w:tcW w:w="902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4,080</w:t>
            </w:r>
          </w:p>
        </w:tc>
      </w:tr>
      <w:tr>
        <w:trPr>
          <w:trHeight w:val="249"/>
        </w:trPr>
        <w:tc>
          <w:tcPr>
            <w:tcW w:w="9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4,094</w:t>
            </w:r>
          </w:p>
        </w:tc>
      </w:tr>
      <w:tr>
        <w:trPr>
          <w:trHeight w:val="236"/>
        </w:trPr>
        <w:tc>
          <w:tcPr>
            <w:tcW w:w="9020" w:type="dxa"/>
            <w:vAlign w:val="bottom"/>
          </w:tcPr>
          <w:p>
            <w:pPr>
              <w:ind w:left="2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4,162</w:t>
            </w:r>
          </w:p>
        </w:tc>
      </w:tr>
      <w:tr>
        <w:trPr>
          <w:trHeight w:val="249"/>
        </w:trPr>
        <w:tc>
          <w:tcPr>
            <w:tcW w:w="9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4,175</w:t>
            </w:r>
          </w:p>
        </w:tc>
      </w:tr>
      <w:tr>
        <w:trPr>
          <w:trHeight w:val="243"/>
        </w:trPr>
        <w:tc>
          <w:tcPr>
            <w:tcW w:w="90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62,407</w:t>
            </w:r>
          </w:p>
        </w:tc>
      </w:tr>
      <w:tr>
        <w:trPr>
          <w:trHeight w:val="276"/>
        </w:trPr>
        <w:tc>
          <w:tcPr>
            <w:tcW w:w="9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83,593</w:t>
            </w:r>
          </w:p>
        </w:tc>
      </w:tr>
    </w:tbl>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71"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color w:val="auto"/>
        </w:rPr>
        <w:t>The Company evaluates its joint ventures and other entities in which it has a variable interest (a “VIE”), generally in the form of investments, loans, guarantees, or equity in order to determine if it has a controlling financial interest and is required to consolidate the entity as a result. The reporting entity with a variable interest that provides the entity with a controlling financial interest in the VIE will have both of the following characteristics: (i) the power to direct the activities of a VIE that most significantly impact the VIE's economic performance and (ii) the obligation to absorb the losses of the VIE that could potentially be significant to the VIE or the right to receive benefits from the VIE that could potentially be significant to the VIE.</w:t>
      </w:r>
    </w:p>
    <w:p>
      <w:pPr>
        <w:spacing w:after="0" w:line="160"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The Company does not consolidate its 50% owned South African joint venture interest in SACS, a VIE. SACS joint venture investors are GEO and Kensani Corrections, Pty. Ltd (an independent third party); each partner owns a 50% share. The Company has determined it is not the primary beneficiary of SACS since it does not have the power to direct the activities of SACS that most significantly impact its performance. As such, the Company's investment in this entity is accounted for under the equity method of accounting. SACS was established and subsequently, in 2001, was awarded a 25-year contract to design, finance and build the Kutama Sinthumule Correctional Centre in Louis Trichardt, South Africa. To fund the construction of the prison, SACS obtained long-term financing from its equity partners and lenders, the repayment of which is fully guaranteed by the South African government, except in the event of default, in which case the government guarantee is reduced to 80%. The Company's maximum exposure for loss under this contract is limited to its investment in the joint venture of approximately $10.2 million at December 31, 2022.</w:t>
      </w:r>
    </w:p>
    <w:p>
      <w:pPr>
        <w:spacing w:after="0" w:line="177"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The Company does not consolidate its 50% owned joint venture in the United Kingdom. In February 2011, GEO UK, executed a Shareholders Agreement (the “Shareholders Agreement”) with Amey Community Limited (“Amey”) and Amey UK PLC (“Amey Guarantor”) to form GEOAmey, a private company limited by shares incorporated in England and Wales. GEOAmey was formed by GEO UK and Amey (an independent third party) for the purpose of performing escort and related custody services in England, Wales and Scotland. In order to form this private company, GEOAmey issued share capital of £100 divided into 100 shares of £1 each and allocated the shares 50/50 to GEO UK and Amey. GEO UK and Amey each have three directors appointed to the Board of Directors and neither party has the power to direct the activities that most significantly impact the performance of GEOAmey. As such, the Company's investment in this entity is accounted for under the equity method of accounting. The Company's maximum exposure for loss under this contract is limited to its investment in the joint venture of approximately $8.7 million at December 31, 2022.</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The Company defines fair value as the price that would be received to sell an asset or paid to transfer a liability in an orderly transaction between market participants at the measurement date (“exit price”). The Company carries certain of its assets and liabilities at fair value, measured on a recurring basis, in the accompanying Consolidated Balance Sheets. The Company also has certain assets and liabilities which are not carried at fair value in its accompanying Consolidated Balance Sheets and discloses the fair value measurements compared to the carrying values as of each balance sheet date. The Company’s fair value measurements are disclosed in Note 9 - Financial Instruments and Note 10 - Fair Value of Assets and Liabilities. The Company establishes fair value of its assets and liabilities using a fair value hierarchy that prioritizes the inputs to valuation techniques used to measure fair value into three broad levels which distinguish between assumptions based on market data (observable inputs) and the Company’s assumptions (unobservable inputs). The level in the fair value hierarchy within which the respective fair value measurement falls is determined based on the lowest level input that is significant to the measurement in its entirety. Level 1 inputs are quoted market prices in active markets for identical assets or liabilities. Level 2 inputs are other than quotable market prices included in Level 1 that are observable for the asset or liability either directly or indirectly through corroboration with observable market data.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95" w:name="page96"/>
    <w:bookmarkEnd w:id="95"/>
    <w:p>
      <w:pPr>
        <w:ind w:right="300"/>
        <w:spacing w:after="0" w:line="263" w:lineRule="auto"/>
        <w:rPr>
          <w:sz w:val="20"/>
          <w:szCs w:val="20"/>
          <w:color w:val="auto"/>
        </w:rPr>
      </w:pPr>
      <w:r>
        <w:rPr>
          <w:rFonts w:ascii="Arial" w:cs="Arial" w:eastAsia="Arial" w:hAnsi="Arial"/>
          <w:sz w:val="18"/>
          <w:szCs w:val="18"/>
          <w:color w:val="auto"/>
        </w:rPr>
        <w:t>Level 3 inputs are unobservable inputs for the assets or liabilities that reflect management’s own assumptions about the assumptions market participants would use in pricing the asset or liability. The Company recognizes transfers between Levels 1, 2 and 3 as of the actual date of the event or change in circumstances that cause the transfer.</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Revenue is recognized when control of the promised goods or services is transferred to GEO's customers, in an amount that reflects the consideration GEO expects to be entitled to in exchange for those goods or services. Sales, value-added and other taxes GEO collects concurrent with revenue producing activities and that are subsequently remitted to governmental authorities are excluded from revenues. The guidance distinguishes between goods and services. The definition of services under the guidance includes everything other than goods. As such, in the case of GEO, this guidance views the provision of housing and electronic monitoring as a service.</w:t>
      </w:r>
    </w:p>
    <w:p>
      <w:pPr>
        <w:spacing w:after="0" w:line="191"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When a contract includes variable consideration, GEO determines an estimate of the variable consideration and evaluates whether the estimate needs to be constrained; therefore, GEO includes the variable consideration in the transaction price only to the extent that it is probable that a significant reversal of the amount of cumulative revenue recognized will not occur when the uncertainty associated with the variable consideration is subsequently resolved. Variable consideration estimates are updated at each reporting date. A limited number of GEO's domestic contracts have provisions upon which a small portion of the revenue for the contract is based on the performance of certain targets. Domestically, revenue based on the performance of certain targets is less than 1% of the Company's consolidated domestic revenues and was not significant during the periods presented. One of GEO's international contracts, related to its Ravenhall facility (discussed further below), contains a provision where a significant portion of the revenue for the contract is based on the performance of certain targets. These performance targets are based on specific criteria to be met over specific periods of time. Such criteria include the Company's ability to achieve certain contractual benchmarks relative to the quality of service it provides, non-occurrence of certain disruptive events, effectiveness of its quality control programs and its responsiveness to customer requirements. The performance of these targets is measured quarterly and there was no significant constraint on the estimate of such variable consideration for this contract during the years ended December 31, 2022, 2021 and 2020.</w:t>
      </w:r>
    </w:p>
    <w:p>
      <w:pPr>
        <w:spacing w:after="0" w:line="183"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GEO does not disclose the value of unsatisfied performance obligations for (i) contracts with an expected length of one year or less and (ii) contracts for which revenue is recognized at the amount to which GEO has the right to invoice for services performed, which is generally the case for all of GEO's contracts. Incidental items that are immaterial in the context of the contract are recognized as expense. GEO generally does not incur incremental costs related to obtaining a contract with its customers that would meet the requirement for capitalization. There were no assets recognized from costs to obtain a contract with a customer at December 31, 2022 or 2021.</w:t>
      </w:r>
    </w:p>
    <w:p>
      <w:pPr>
        <w:spacing w:after="0" w:line="191"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The timing of revenue recognition may differ from the timing of invoicing to customers. GEO records a receivable when services are performed which are due from its customers based on the passage of time. GEO records a contract liability if consideration is received in advance of the performance of services. Generally, GEO's customers do not provide payment in advance of the performance of services. Therefore, any contract liability is not significant at December 31, 2022 or 2021. Revenue recognized during the years ended December 31, 2022 and 2021 that was included in the opening balance of unearned revenue was not significant. There have been no significant amounts of revenue recorded in the periods presented from performance obligations either wholly or partially satisfied in prior periods.</w:t>
      </w:r>
    </w:p>
    <w:p>
      <w:pPr>
        <w:spacing w:after="0" w:line="191"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auto"/>
        </w:rPr>
        <w:t>The right to consideration under GEO's contracts is only dependent on the passage of time and is therefore considered to be unconditional. Payment terms and conditions vary by contract type, although, with the exception of the contract receivable related to GEO's Ravenhall facility (further discussed below), terms generally include a requirement of payment within 30 days after performance obligations are satisfied and generally do not include a significant financing component. There have been no significant changes in receivables or unearned revenue balances during the periods other than regular invoicing and collection activity.</w:t>
      </w:r>
    </w:p>
    <w:p>
      <w:pPr>
        <w:spacing w:after="0" w:line="191"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The following table disaggregates GEO's revenue by major source and also provides a reconciliation with revenue information disclosed for reportable segments in Note 15 - Business Segments and Geographic Information: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gridSpan w:val="7"/>
          </w:tcPr>
          <w:p>
            <w:pPr>
              <w:jc w:val="right"/>
              <w:ind w:right="593"/>
              <w:spacing w:after="0"/>
              <w:rPr>
                <w:sz w:val="20"/>
                <w:szCs w:val="20"/>
                <w:color w:val="auto"/>
              </w:rPr>
            </w:pPr>
            <w:r>
              <w:rPr>
                <w:rFonts w:ascii="Arial" w:cs="Arial" w:eastAsia="Arial" w:hAnsi="Arial"/>
                <w:sz w:val="14"/>
                <w:szCs w:val="14"/>
                <w:b w:val="1"/>
                <w:bCs w:val="1"/>
                <w:color w:val="auto"/>
              </w:rPr>
              <w:t>Year Ended December 31, 2022 (in thousands)</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center"/>
              <w:ind w:right="218"/>
              <w:spacing w:after="0" w:line="133" w:lineRule="exact"/>
              <w:rPr>
                <w:sz w:val="20"/>
                <w:szCs w:val="20"/>
                <w:color w:val="auto"/>
              </w:rPr>
            </w:pPr>
            <w:r>
              <w:rPr>
                <w:rFonts w:ascii="Arial" w:cs="Arial" w:eastAsia="Arial" w:hAnsi="Arial"/>
                <w:sz w:val="14"/>
                <w:szCs w:val="14"/>
                <w:b w:val="1"/>
                <w:bCs w:val="1"/>
                <w:color w:val="auto"/>
                <w:w w:val="91"/>
              </w:rPr>
              <w:t>Electronic</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5"/>
              </w:rPr>
              <w:t>U.S. Secure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58"/>
              <w:spacing w:after="0" w:line="149" w:lineRule="exact"/>
              <w:rPr>
                <w:sz w:val="20"/>
                <w:szCs w:val="20"/>
                <w:color w:val="auto"/>
              </w:rPr>
            </w:pPr>
            <w:r>
              <w:rPr>
                <w:rFonts w:ascii="Arial" w:cs="Arial" w:eastAsia="Arial" w:hAnsi="Arial"/>
                <w:sz w:val="14"/>
                <w:szCs w:val="14"/>
                <w:b w:val="1"/>
                <w:bCs w:val="1"/>
                <w:color w:val="auto"/>
                <w:w w:val="96"/>
              </w:rPr>
              <w:t>Monitoring and</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2"/>
              </w:rPr>
              <w:t>Supervision</w:t>
            </w:r>
          </w:p>
        </w:tc>
        <w:tc>
          <w:tcPr>
            <w:tcW w:w="120" w:type="dxa"/>
            <w:vAlign w:val="bottom"/>
          </w:tcPr>
          <w:p>
            <w:pPr>
              <w:spacing w:after="0"/>
              <w:rPr>
                <w:sz w:val="12"/>
                <w:szCs w:val="12"/>
                <w:color w:val="auto"/>
              </w:rPr>
            </w:pPr>
          </w:p>
        </w:tc>
        <w:tc>
          <w:tcPr>
            <w:tcW w:w="126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5"/>
              </w:rPr>
              <w:t>Reentry Services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7"/>
              </w:rPr>
              <w:t>International</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255"/>
              <w:spacing w:after="0"/>
              <w:rPr>
                <w:sz w:val="20"/>
                <w:szCs w:val="20"/>
                <w:color w:val="auto"/>
              </w:rPr>
            </w:pPr>
            <w:r>
              <w:rPr>
                <w:rFonts w:ascii="Arial" w:cs="Arial" w:eastAsia="Arial" w:hAnsi="Arial"/>
                <w:sz w:val="14"/>
                <w:szCs w:val="14"/>
                <w:b w:val="1"/>
                <w:bCs w:val="1"/>
                <w:color w:val="auto"/>
              </w:rPr>
              <w:t>Services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178"/>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Owned and Leased: Secure Services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1,109,923</w:t>
            </w: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39"/>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1,109,923</w:t>
            </w:r>
          </w:p>
        </w:tc>
        <w:tc>
          <w:tcPr>
            <w:tcW w:w="0" w:type="dxa"/>
            <w:vAlign w:val="bottom"/>
          </w:tcPr>
          <w:p>
            <w:pPr>
              <w:spacing w:after="0"/>
              <w:rPr>
                <w:sz w:val="1"/>
                <w:szCs w:val="1"/>
                <w:color w:val="auto"/>
              </w:rPr>
            </w:pPr>
          </w:p>
        </w:tc>
      </w:tr>
      <w:tr>
        <w:trPr>
          <w:trHeight w:val="236"/>
        </w:trPr>
        <w:tc>
          <w:tcPr>
            <w:tcW w:w="4320" w:type="dxa"/>
            <w:vAlign w:val="bottom"/>
          </w:tcPr>
          <w:p>
            <w:pPr>
              <w:ind w:left="20"/>
              <w:spacing w:after="0"/>
              <w:rPr>
                <w:sz w:val="20"/>
                <w:szCs w:val="20"/>
                <w:color w:val="auto"/>
              </w:rPr>
            </w:pPr>
            <w:r>
              <w:rPr>
                <w:rFonts w:ascii="Arial" w:cs="Arial" w:eastAsia="Arial" w:hAnsi="Arial"/>
                <w:sz w:val="18"/>
                <w:szCs w:val="18"/>
                <w:color w:val="auto"/>
              </w:rPr>
              <w:t>Owned and Leased: Community-based</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155,932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155,932</w:t>
            </w:r>
          </w:p>
        </w:tc>
        <w:tc>
          <w:tcPr>
            <w:tcW w:w="0" w:type="dxa"/>
            <w:vAlign w:val="bottom"/>
          </w:tcPr>
          <w:p>
            <w:pPr>
              <w:spacing w:after="0"/>
              <w:rPr>
                <w:sz w:val="1"/>
                <w:szCs w:val="1"/>
                <w:color w:val="auto"/>
              </w:rPr>
            </w:pPr>
          </w:p>
        </w:tc>
      </w:tr>
      <w:tr>
        <w:trPr>
          <w:trHeight w:val="249"/>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Managed Only</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327,908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6,913</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187,200</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522,021</w:t>
            </w:r>
          </w:p>
        </w:tc>
        <w:tc>
          <w:tcPr>
            <w:tcW w:w="0" w:type="dxa"/>
            <w:vAlign w:val="bottom"/>
          </w:tcPr>
          <w:p>
            <w:pPr>
              <w:spacing w:after="0"/>
              <w:rPr>
                <w:sz w:val="1"/>
                <w:szCs w:val="1"/>
                <w:color w:val="auto"/>
              </w:rPr>
            </w:pPr>
          </w:p>
        </w:tc>
      </w:tr>
      <w:tr>
        <w:trPr>
          <w:trHeight w:val="236"/>
        </w:trPr>
        <w:tc>
          <w:tcPr>
            <w:tcW w:w="4320" w:type="dxa"/>
            <w:vAlign w:val="bottom"/>
          </w:tcPr>
          <w:p>
            <w:pPr>
              <w:ind w:left="20"/>
              <w:spacing w:after="0"/>
              <w:rPr>
                <w:sz w:val="20"/>
                <w:szCs w:val="20"/>
                <w:color w:val="auto"/>
              </w:rPr>
            </w:pPr>
            <w:r>
              <w:rPr>
                <w:rFonts w:ascii="Arial" w:cs="Arial" w:eastAsia="Arial" w:hAnsi="Arial"/>
                <w:sz w:val="18"/>
                <w:szCs w:val="18"/>
                <w:color w:val="auto"/>
              </w:rPr>
              <w:t>Electronic Monitoring Services and Other Reentry</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496,268</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92,583</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588,851</w:t>
            </w:r>
          </w:p>
        </w:tc>
        <w:tc>
          <w:tcPr>
            <w:tcW w:w="0" w:type="dxa"/>
            <w:vAlign w:val="bottom"/>
          </w:tcPr>
          <w:p>
            <w:pPr>
              <w:spacing w:after="0"/>
              <w:rPr>
                <w:sz w:val="1"/>
                <w:szCs w:val="1"/>
                <w:color w:val="auto"/>
              </w:rPr>
            </w:pPr>
          </w:p>
        </w:tc>
      </w:tr>
      <w:tr>
        <w:trPr>
          <w:trHeight w:val="276"/>
        </w:trPr>
        <w:tc>
          <w:tcPr>
            <w:tcW w:w="4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1,437,831</w:t>
            </w:r>
          </w:p>
        </w:tc>
        <w:tc>
          <w:tcPr>
            <w:tcW w:w="12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496,268</w:t>
            </w:r>
          </w:p>
        </w:tc>
        <w:tc>
          <w:tcPr>
            <w:tcW w:w="1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255,428</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187,200</w:t>
            </w:r>
          </w:p>
        </w:tc>
        <w:tc>
          <w:tcPr>
            <w:tcW w:w="1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2,376,727</w:t>
            </w:r>
          </w:p>
        </w:tc>
        <w:tc>
          <w:tcPr>
            <w:tcW w:w="0" w:type="dxa"/>
            <w:vAlign w:val="bottom"/>
          </w:tcPr>
          <w:p>
            <w:pPr>
              <w:spacing w:after="0"/>
              <w:rPr>
                <w:sz w:val="1"/>
                <w:szCs w:val="1"/>
                <w:color w:val="auto"/>
              </w:rPr>
            </w:pPr>
          </w:p>
        </w:tc>
      </w:tr>
      <w:tr>
        <w:trPr>
          <w:trHeight w:val="634"/>
        </w:trPr>
        <w:tc>
          <w:tcPr>
            <w:tcW w:w="4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95</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-521970</wp:posOffset>
            </wp:positionV>
            <wp:extent cx="939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-504825</wp:posOffset>
            </wp:positionV>
            <wp:extent cx="939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-521970</wp:posOffset>
            </wp:positionV>
            <wp:extent cx="857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-504825</wp:posOffset>
            </wp:positionV>
            <wp:extent cx="85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-521970</wp:posOffset>
            </wp:positionV>
            <wp:extent cx="857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-504825</wp:posOffset>
            </wp:positionV>
            <wp:extent cx="857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-521970</wp:posOffset>
            </wp:positionV>
            <wp:extent cx="857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-504825</wp:posOffset>
            </wp:positionV>
            <wp:extent cx="85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11"/>
          </w:tcPr>
          <w:p>
            <w:pPr>
              <w:jc w:val="center"/>
              <w:ind w:right="260"/>
              <w:spacing w:after="0"/>
              <w:rPr>
                <w:sz w:val="20"/>
                <w:szCs w:val="20"/>
                <w:color w:val="auto"/>
              </w:rPr>
            </w:pPr>
            <w:r>
              <w:rPr>
                <w:rFonts w:ascii="Arial" w:cs="Arial" w:eastAsia="Arial" w:hAnsi="Arial"/>
                <w:sz w:val="14"/>
                <w:szCs w:val="14"/>
                <w:b w:val="1"/>
                <w:bCs w:val="1"/>
                <w:color w:val="auto"/>
                <w:w w:val="91"/>
              </w:rPr>
              <w:t>Year Ended December 31, 2021 (in thousands)</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1"/>
              </w:rPr>
              <w:t>Electronic</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U.S. Secure</w:t>
            </w:r>
          </w:p>
        </w:tc>
        <w:tc>
          <w:tcPr>
            <w:tcW w:w="140" w:type="dxa"/>
            <w:vAlign w:val="bottom"/>
          </w:tcPr>
          <w:p>
            <w:pPr>
              <w:spacing w:after="0"/>
              <w:rPr>
                <w:sz w:val="12"/>
                <w:szCs w:val="12"/>
                <w:color w:val="auto"/>
              </w:rPr>
            </w:pPr>
          </w:p>
        </w:tc>
        <w:tc>
          <w:tcPr>
            <w:tcW w:w="12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Monitoring and</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Supervision</w:t>
            </w:r>
          </w:p>
        </w:tc>
        <w:tc>
          <w:tcPr>
            <w:tcW w:w="120" w:type="dxa"/>
            <w:vAlign w:val="bottom"/>
          </w:tcPr>
          <w:p>
            <w:pPr>
              <w:spacing w:after="0"/>
              <w:rPr>
                <w:sz w:val="12"/>
                <w:szCs w:val="12"/>
                <w:color w:val="auto"/>
              </w:rPr>
            </w:pP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Reentry Services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Services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Owned and Leased - Secure Services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1,127,688</w:t>
            </w:r>
          </w:p>
        </w:tc>
        <w:tc>
          <w:tcPr>
            <w:tcW w:w="2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2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1,127,688</w:t>
            </w:r>
          </w:p>
        </w:tc>
        <w:tc>
          <w:tcPr>
            <w:tcW w:w="0" w:type="dxa"/>
            <w:vAlign w:val="bottom"/>
          </w:tcPr>
          <w:p>
            <w:pPr>
              <w:spacing w:after="0"/>
              <w:rPr>
                <w:sz w:val="1"/>
                <w:szCs w:val="1"/>
                <w:color w:val="auto"/>
              </w:rPr>
            </w:pPr>
          </w:p>
        </w:tc>
      </w:tr>
      <w:tr>
        <w:trPr>
          <w:trHeight w:val="236"/>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Owned and Leased - Community-based</w:t>
            </w:r>
          </w:p>
        </w:tc>
        <w:tc>
          <w:tcPr>
            <w:tcW w:w="1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150,888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150,888</w:t>
            </w:r>
          </w:p>
        </w:tc>
        <w:tc>
          <w:tcPr>
            <w:tcW w:w="0" w:type="dxa"/>
            <w:vAlign w:val="bottom"/>
          </w:tcPr>
          <w:p>
            <w:pPr>
              <w:spacing w:after="0"/>
              <w:rPr>
                <w:sz w:val="1"/>
                <w:szCs w:val="1"/>
                <w:color w:val="auto"/>
              </w:rPr>
            </w:pPr>
          </w:p>
        </w:tc>
      </w:tr>
      <w:tr>
        <w:trPr>
          <w:trHeight w:val="249"/>
        </w:trPr>
        <w:tc>
          <w:tcPr>
            <w:tcW w:w="4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Owned and Leased - Youth Services</w:t>
            </w: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33,920</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33,920</w:t>
            </w:r>
          </w:p>
        </w:tc>
        <w:tc>
          <w:tcPr>
            <w:tcW w:w="0" w:type="dxa"/>
            <w:vAlign w:val="bottom"/>
          </w:tcPr>
          <w:p>
            <w:pPr>
              <w:spacing w:after="0"/>
              <w:rPr>
                <w:sz w:val="1"/>
                <w:szCs w:val="1"/>
                <w:color w:val="auto"/>
              </w:rPr>
            </w:pPr>
          </w:p>
        </w:tc>
      </w:tr>
      <w:tr>
        <w:trPr>
          <w:trHeight w:val="236"/>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Managed Only</w:t>
            </w:r>
          </w:p>
        </w:tc>
        <w:tc>
          <w:tcPr>
            <w:tcW w:w="18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361,248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3,977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213,849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579,074</w:t>
            </w:r>
          </w:p>
        </w:tc>
        <w:tc>
          <w:tcPr>
            <w:tcW w:w="0" w:type="dxa"/>
            <w:vAlign w:val="bottom"/>
          </w:tcPr>
          <w:p>
            <w:pPr>
              <w:spacing w:after="0"/>
              <w:rPr>
                <w:sz w:val="1"/>
                <w:szCs w:val="1"/>
                <w:color w:val="auto"/>
              </w:rPr>
            </w:pPr>
          </w:p>
        </w:tc>
      </w:tr>
      <w:tr>
        <w:trPr>
          <w:trHeight w:val="243"/>
        </w:trPr>
        <w:tc>
          <w:tcPr>
            <w:tcW w:w="43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Electronic Monitoring Services and Other Reentry</w:t>
            </w:r>
          </w:p>
        </w:tc>
        <w:tc>
          <w:tcPr>
            <w:tcW w:w="1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rPr>
              <w:t>278,934</w:t>
            </w:r>
          </w:p>
        </w:tc>
        <w:tc>
          <w:tcPr>
            <w:tcW w:w="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86,108</w:t>
            </w:r>
          </w:p>
        </w:tc>
        <w:tc>
          <w:tcPr>
            <w:tcW w:w="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365,042</w:t>
            </w:r>
          </w:p>
        </w:tc>
        <w:tc>
          <w:tcPr>
            <w:tcW w:w="0" w:type="dxa"/>
            <w:vAlign w:val="bottom"/>
          </w:tcPr>
          <w:p>
            <w:pPr>
              <w:spacing w:after="0"/>
              <w:rPr>
                <w:sz w:val="1"/>
                <w:szCs w:val="1"/>
                <w:color w:val="auto"/>
              </w:rPr>
            </w:pPr>
          </w:p>
        </w:tc>
      </w:tr>
      <w:tr>
        <w:trPr>
          <w:trHeight w:val="236"/>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1,488,936</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278,934</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2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274,893</w:t>
            </w:r>
          </w:p>
        </w:tc>
        <w:tc>
          <w:tcPr>
            <w:tcW w:w="20" w:type="dxa"/>
            <w:vAlign w:val="bottom"/>
            <w:tcBorders>
              <w:bottom w:val="single" w:sz="8" w:color="auto"/>
            </w:tcBorders>
          </w:tcPr>
          <w:p>
            <w:pPr>
              <w:spacing w:after="0"/>
              <w:rPr>
                <w:sz w:val="20"/>
                <w:szCs w:val="20"/>
                <w:color w:val="auto"/>
              </w:rPr>
            </w:pPr>
          </w:p>
        </w:tc>
        <w:tc>
          <w:tcPr>
            <w:tcW w:w="140" w:type="dxa"/>
            <w:vAlign w:val="bottom"/>
            <w:gridSpan w:val="2"/>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213,849</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2,256,612</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11"/>
          </w:tcPr>
          <w:p>
            <w:pPr>
              <w:jc w:val="center"/>
              <w:ind w:right="280"/>
              <w:spacing w:after="0"/>
              <w:rPr>
                <w:sz w:val="20"/>
                <w:szCs w:val="20"/>
                <w:color w:val="auto"/>
              </w:rPr>
            </w:pPr>
            <w:r>
              <w:rPr>
                <w:rFonts w:ascii="Arial" w:cs="Arial" w:eastAsia="Arial" w:hAnsi="Arial"/>
                <w:sz w:val="14"/>
                <w:szCs w:val="14"/>
                <w:b w:val="1"/>
                <w:bCs w:val="1"/>
                <w:color w:val="auto"/>
                <w:w w:val="92"/>
              </w:rPr>
              <w:t>Year Ended December 31, 2020 (in thousands)</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1"/>
              </w:rPr>
              <w:t>Electronic</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U.S Secure</w:t>
            </w:r>
          </w:p>
        </w:tc>
        <w:tc>
          <w:tcPr>
            <w:tcW w:w="140" w:type="dxa"/>
            <w:vAlign w:val="bottom"/>
          </w:tcPr>
          <w:p>
            <w:pPr>
              <w:spacing w:after="0"/>
              <w:rPr>
                <w:sz w:val="12"/>
                <w:szCs w:val="12"/>
                <w:color w:val="auto"/>
              </w:rPr>
            </w:pPr>
          </w:p>
        </w:tc>
        <w:tc>
          <w:tcPr>
            <w:tcW w:w="12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Monitoring and</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Supervision</w:t>
            </w:r>
          </w:p>
        </w:tc>
        <w:tc>
          <w:tcPr>
            <w:tcW w:w="120" w:type="dxa"/>
            <w:vAlign w:val="bottom"/>
          </w:tcPr>
          <w:p>
            <w:pPr>
              <w:spacing w:after="0"/>
              <w:rPr>
                <w:sz w:val="12"/>
                <w:szCs w:val="12"/>
                <w:color w:val="auto"/>
              </w:rPr>
            </w:pP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Reentry Services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Services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Owned and Leased - Secure Services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1,198,881</w:t>
            </w:r>
          </w:p>
        </w:tc>
        <w:tc>
          <w:tcPr>
            <w:tcW w:w="2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1,198,881</w:t>
            </w:r>
          </w:p>
        </w:tc>
        <w:tc>
          <w:tcPr>
            <w:tcW w:w="0" w:type="dxa"/>
            <w:vAlign w:val="bottom"/>
          </w:tcPr>
          <w:p>
            <w:pPr>
              <w:spacing w:after="0"/>
              <w:rPr>
                <w:sz w:val="1"/>
                <w:szCs w:val="1"/>
                <w:color w:val="auto"/>
              </w:rPr>
            </w:pPr>
          </w:p>
        </w:tc>
      </w:tr>
      <w:tr>
        <w:trPr>
          <w:trHeight w:val="236"/>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Owned and Leased - Community-based</w:t>
            </w: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145,491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145,491</w:t>
            </w:r>
          </w:p>
        </w:tc>
        <w:tc>
          <w:tcPr>
            <w:tcW w:w="0" w:type="dxa"/>
            <w:vAlign w:val="bottom"/>
          </w:tcPr>
          <w:p>
            <w:pPr>
              <w:spacing w:after="0"/>
              <w:rPr>
                <w:sz w:val="1"/>
                <w:szCs w:val="1"/>
                <w:color w:val="auto"/>
              </w:rPr>
            </w:pPr>
          </w:p>
        </w:tc>
      </w:tr>
      <w:tr>
        <w:trPr>
          <w:trHeight w:val="249"/>
        </w:trPr>
        <w:tc>
          <w:tcPr>
            <w:tcW w:w="4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Owned and Leased - Youth Services</w:t>
            </w: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75,792</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75,792</w:t>
            </w:r>
          </w:p>
        </w:tc>
        <w:tc>
          <w:tcPr>
            <w:tcW w:w="0" w:type="dxa"/>
            <w:vAlign w:val="bottom"/>
          </w:tcPr>
          <w:p>
            <w:pPr>
              <w:spacing w:after="0"/>
              <w:rPr>
                <w:sz w:val="1"/>
                <w:szCs w:val="1"/>
                <w:color w:val="auto"/>
              </w:rPr>
            </w:pPr>
          </w:p>
        </w:tc>
      </w:tr>
      <w:tr>
        <w:trPr>
          <w:trHeight w:val="236"/>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Managed Only</w:t>
            </w:r>
          </w:p>
        </w:tc>
        <w:tc>
          <w:tcPr>
            <w:tcW w:w="180" w:type="dxa"/>
            <w:vAlign w:val="bottom"/>
          </w:tcPr>
          <w:p>
            <w:pPr>
              <w:spacing w:after="0"/>
              <w:rPr>
                <w:sz w:val="20"/>
                <w:szCs w:val="20"/>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372,335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5,513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227,540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605,388</w:t>
            </w:r>
          </w:p>
        </w:tc>
        <w:tc>
          <w:tcPr>
            <w:tcW w:w="0" w:type="dxa"/>
            <w:vAlign w:val="bottom"/>
          </w:tcPr>
          <w:p>
            <w:pPr>
              <w:spacing w:after="0"/>
              <w:rPr>
                <w:sz w:val="1"/>
                <w:szCs w:val="1"/>
                <w:color w:val="auto"/>
              </w:rPr>
            </w:pPr>
          </w:p>
        </w:tc>
      </w:tr>
      <w:tr>
        <w:trPr>
          <w:trHeight w:val="243"/>
        </w:trPr>
        <w:tc>
          <w:tcPr>
            <w:tcW w:w="4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Electronic Monitoring Services and Other Reentry</w:t>
            </w:r>
          </w:p>
        </w:tc>
        <w:tc>
          <w:tcPr>
            <w:tcW w:w="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241,944</w:t>
            </w: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82,602</w:t>
            </w: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324,546</w:t>
            </w:r>
          </w:p>
        </w:tc>
        <w:tc>
          <w:tcPr>
            <w:tcW w:w="0" w:type="dxa"/>
            <w:vAlign w:val="bottom"/>
          </w:tcPr>
          <w:p>
            <w:pPr>
              <w:spacing w:after="0"/>
              <w:rPr>
                <w:sz w:val="1"/>
                <w:szCs w:val="1"/>
                <w:color w:val="auto"/>
              </w:rPr>
            </w:pPr>
          </w:p>
        </w:tc>
      </w:tr>
      <w:tr>
        <w:trPr>
          <w:trHeight w:val="236"/>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1,571,216</w:t>
            </w:r>
          </w:p>
        </w:tc>
        <w:tc>
          <w:tcPr>
            <w:tcW w:w="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241,944</w:t>
            </w:r>
          </w:p>
        </w:tc>
        <w:tc>
          <w:tcPr>
            <w:tcW w:w="20" w:type="dxa"/>
            <w:vAlign w:val="bottom"/>
          </w:tcPr>
          <w:p>
            <w:pPr>
              <w:spacing w:after="0"/>
              <w:rPr>
                <w:sz w:val="20"/>
                <w:szCs w:val="20"/>
                <w:color w:val="auto"/>
              </w:rPr>
            </w:pPr>
          </w:p>
        </w:tc>
        <w:tc>
          <w:tcPr>
            <w:tcW w:w="4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309,398</w:t>
            </w:r>
          </w:p>
        </w:tc>
        <w:tc>
          <w:tcPr>
            <w:tcW w:w="2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227,540</w:t>
            </w:r>
          </w:p>
        </w:tc>
        <w:tc>
          <w:tcPr>
            <w:tcW w:w="20" w:type="dxa"/>
            <w:vAlign w:val="bottom"/>
          </w:tcPr>
          <w:p>
            <w:pPr>
              <w:spacing w:after="0"/>
              <w:rPr>
                <w:sz w:val="20"/>
                <w:szCs w:val="20"/>
                <w:color w:val="auto"/>
              </w:rPr>
            </w:pP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2,350,098</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-1814830</wp:posOffset>
            </wp:positionV>
            <wp:extent cx="93980" cy="1885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-1814830</wp:posOffset>
            </wp:positionV>
            <wp:extent cx="85725" cy="1885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-1814830</wp:posOffset>
            </wp:positionV>
            <wp:extent cx="85725" cy="1885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-1814830</wp:posOffset>
            </wp:positionV>
            <wp:extent cx="85725" cy="188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3558540</wp:posOffset>
            </wp:positionH>
            <wp:positionV relativeFrom="paragraph">
              <wp:posOffset>-187960</wp:posOffset>
            </wp:positionV>
            <wp:extent cx="93980" cy="1885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-187960</wp:posOffset>
            </wp:positionV>
            <wp:extent cx="85725" cy="1885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-187960</wp:posOffset>
            </wp:positionV>
            <wp:extent cx="85725" cy="1885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-187960</wp:posOffset>
            </wp:positionV>
            <wp:extent cx="85725" cy="1885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Owned and Leased - Secure Services</w:t>
      </w:r>
    </w:p>
    <w:p>
      <w:pPr>
        <w:spacing w:after="0" w:line="175"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GEO recognizes revenue for secure housing services where GEO owns or leases the facility as services are performed. GEO provides for the safe and secure housing and care of incarcerated individuals under public-private partnerships with federal, state and local government agencies. This includes providing 24-hour care and supervision, including but not limited to, such services as medical, transportation, food service, laundry services and various programming activities. These tasks are considered to be activities to fulfill the safe and secure housing performance obligation and are not considered to be individually separate promises in the contract. Each of these activities is highly interrelated and GEO performs a significant level of integration of these activities. GEO has identified these activities as a bundle of services and determined that each day of the promised service is distinct. The services provided are part of a series of distinct services that are substantially the same and are measured using the same measure of progress (time-based output method). GEO has determined that revenue for these services are recognized over time as its customers simultaneously receive and consume the benefits as the services are performed, which is on a continual daily basis, and GEO has a right to payment for performance completed to date. Time-based output methods of revenue recognition are considered to be a faithful depiction of GEO's efforts to fulfill its obligations under its contracts and therefore reflect the transfer of services to its customers. GEO's customers generally pay for these services based on a net rate per day per individual or on a fixed monthly rate.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Owned and Leased - Community-based</w:t>
      </w:r>
    </w:p>
    <w:p>
      <w:pPr>
        <w:spacing w:after="0" w:line="175"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GEO recognizes revenue for community-based reentry services where GEO owns or leases the facility in a manner similar to its secure services discussed above. GEO provides individuals nearing the end of their judicially imposed sentence with the resources necessary to productively transition back into society. Through its residential reentry centers, GEO provides federal and state parolees and probationers with temporary housing, rehabilitation, substance abuse counseling and vocational and educational programs. These activities are considered to be a bundle of services which are a part of a series of distinct services recognized over time based on the same criteria as discussed above for secure services revenues. GEO's customers also generally pay for these services based on a net rate per day per individual or on a fixed monthly rate.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Owned and Leased - Youth Services</w:t>
      </w:r>
    </w:p>
    <w:p>
      <w:pPr>
        <w:spacing w:after="0" w:line="175" w:lineRule="exact"/>
        <w:rPr>
          <w:sz w:val="20"/>
          <w:szCs w:val="20"/>
          <w:color w:val="auto"/>
        </w:rPr>
      </w:pPr>
    </w:p>
    <w:p>
      <w:pPr>
        <w:ind w:right="260" w:firstLine="509"/>
        <w:spacing w:after="0" w:line="256" w:lineRule="auto"/>
        <w:rPr>
          <w:sz w:val="20"/>
          <w:szCs w:val="20"/>
          <w:color w:val="auto"/>
        </w:rPr>
      </w:pPr>
      <w:r>
        <w:rPr>
          <w:rFonts w:ascii="Arial" w:cs="Arial" w:eastAsia="Arial" w:hAnsi="Arial"/>
          <w:sz w:val="18"/>
          <w:szCs w:val="18"/>
          <w:color w:val="auto"/>
        </w:rPr>
        <w:t>GEO recognized revenues for youth services where GEO owned or leased the facility in the same manner as discussed above for the housing, supervision, care and rehabilitation of troubled youth residents. The activities to house and care for troubled youth residents were also considered to be a bundle of services which are part of a series of distinct services recognized over time based on the same criteria discussed for the previous two revenue streams. GEO's customers generally paid for these services based on a net rate per day per individual. On July 1, 2021, the Company completed a divestiture of its youth division.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Managed Only</w:t>
      </w:r>
    </w:p>
    <w:p>
      <w:pPr>
        <w:spacing w:after="0" w:line="175" w:lineRule="exact"/>
        <w:rPr>
          <w:sz w:val="20"/>
          <w:szCs w:val="20"/>
          <w:color w:val="auto"/>
        </w:rPr>
      </w:pPr>
    </w:p>
    <w:p>
      <w:pPr>
        <w:ind w:right="520" w:firstLine="509"/>
        <w:spacing w:after="0" w:line="341" w:lineRule="auto"/>
        <w:rPr>
          <w:sz w:val="20"/>
          <w:szCs w:val="20"/>
          <w:color w:val="auto"/>
        </w:rPr>
      </w:pPr>
      <w:r>
        <w:rPr>
          <w:rFonts w:ascii="Arial" w:cs="Arial" w:eastAsia="Arial" w:hAnsi="Arial"/>
          <w:sz w:val="16"/>
          <w:szCs w:val="16"/>
          <w:color w:val="auto"/>
        </w:rPr>
        <w:t>GEO recognizes revenue for its managed only contracts in the same manner as its Owned and Leased Secure Services and Owned and Leased Community-based contracts as discussed above. The primary exception is that GEO does not own or lease the facility. The facility is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97" w:name="page98"/>
    <w:bookmarkEnd w:id="97"/>
    <w:p>
      <w:pPr>
        <w:jc w:val="both"/>
        <w:ind w:right="120"/>
        <w:spacing w:after="0" w:line="263" w:lineRule="auto"/>
        <w:rPr>
          <w:sz w:val="20"/>
          <w:szCs w:val="20"/>
          <w:color w:val="auto"/>
        </w:rPr>
      </w:pPr>
      <w:r>
        <w:rPr>
          <w:rFonts w:ascii="Arial" w:cs="Arial" w:eastAsia="Arial" w:hAnsi="Arial"/>
          <w:sz w:val="18"/>
          <w:szCs w:val="18"/>
          <w:color w:val="auto"/>
        </w:rPr>
        <w:t>owned by the customer. In certain circumstances, GEO's customers may request that GEO make certain capital improvements to the facility or make other payments related to the facility. These payments are amortized as a reduction of revenues over the life of the contract. GEO's customers generally pay for these services based on a net rate per day per individual or a fixed monthly rate.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Monitoring and Supervision Services and Other Reentry</w:t>
      </w:r>
    </w:p>
    <w:p>
      <w:pPr>
        <w:spacing w:after="0" w:line="175"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Electronic Monitoring and Supervision Services and Other Reentry revenue consist of the Company's contracts with federal and various state and local governments to provide location, alcohol and drug detecting electronic monitoring and case management services to individuals on an as needed or as requested basis. This category also includes the Company's day reporting centers.</w:t>
      </w:r>
    </w:p>
    <w:p>
      <w:pPr>
        <w:spacing w:after="0" w:line="183"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GEO recognizes revenues for electronic monitoring and case management services as the services are performed. Services provided consist of community-based supervision (home visits), in-person reporting, telephonic reporting and GPS and other electronic monitoring as well as overall contract management services. The rates for the various services are considered to be stated at their individual stand-alone selling prices. GEO has determined that the services to be provided are recognized over time based on the unit of occurrence of the various services as its customer simultaneously receives and consumes the benefits as the services are performed and GEO has a right to payment for performance completed to date. Generally, these services are paid based on a net rate per occurrence and a monthly fee for management services.</w:t>
      </w:r>
    </w:p>
    <w:p>
      <w:pPr>
        <w:spacing w:after="0" w:line="176"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Certain of the Company's electronic monitoring contracts include providing monitoring equipment and related monitoring services activities (using internal proprietary software platforms) to its customers. These tasks are considered to be activities to fulfill the promise to provide electronic monitoring services to individuals and are not considered to be individually separate promises in the contract. In the context of the contract, the equipment and monitoring service is not considered to be capable of being distinct as the customer typically cannot benefit from the equipment or monitoring service on its own or with other readily available resources. Management has identified these activities as a bundle of services and determined that each day or unit of the promised service is distinct. These services are part of a series of distinct services that are substantially the same and are measured using the same measure of progress (time-based output method) and are therefore accounted for as a single performance obligation. GEO has determined that services are recognized over time as the customer simultaneously receives and consumes the benefits as the services are performed and GEO has a right to payment for performance completed to date.</w:t>
      </w:r>
    </w:p>
    <w:p>
      <w:pPr>
        <w:spacing w:after="0" w:line="178" w:lineRule="exact"/>
        <w:rPr>
          <w:sz w:val="20"/>
          <w:szCs w:val="20"/>
          <w:color w:val="auto"/>
        </w:rPr>
      </w:pPr>
    </w:p>
    <w:p>
      <w:pPr>
        <w:ind w:right="620" w:firstLine="509"/>
        <w:spacing w:after="0" w:line="277" w:lineRule="auto"/>
        <w:rPr>
          <w:sz w:val="20"/>
          <w:szCs w:val="20"/>
          <w:color w:val="auto"/>
        </w:rPr>
      </w:pPr>
      <w:r>
        <w:rPr>
          <w:rFonts w:ascii="Arial" w:cs="Arial" w:eastAsia="Arial" w:hAnsi="Arial"/>
          <w:sz w:val="18"/>
          <w:szCs w:val="18"/>
          <w:color w:val="auto"/>
        </w:rPr>
        <w:t>Services provided for GEO's day reporting centers are similar to its Owned and Leased Community-based services discussed above with the exception of temporary housing.</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100" w:firstLine="509"/>
        <w:spacing w:after="0" w:line="288" w:lineRule="auto"/>
        <w:rPr>
          <w:sz w:val="20"/>
          <w:szCs w:val="20"/>
          <w:color w:val="auto"/>
        </w:rPr>
      </w:pPr>
      <w:r>
        <w:rPr>
          <w:rFonts w:ascii="Arial" w:cs="Arial" w:eastAsia="Arial" w:hAnsi="Arial"/>
          <w:sz w:val="16"/>
          <w:szCs w:val="16"/>
          <w:color w:val="auto"/>
        </w:rPr>
        <w:t>The consolidated financial statements reflect provisions for federal, state, local and foreign income taxes. The Company recognizes deferred tax assets and liabilities for the future tax consequences attributable to differences between the financial statement carrying amounts of existing assets and liabilities and their respective tax basis, as well as operating loss and tax credit carryforwards. The Company measures deferred tax assets and liabilities using enacted tax rates expected to apply to taxable income in the years in which those temporary differences and carryforwards are expected to be recovered or settled. The effect on deferred tax assets and liabilities as a result of a change in tax rates is recognized as income in the period that includes the enactment date. Refer to Note 16 - Income Taxes. For years prior to 2021, the Company was taxed as a REIT and did not expect to pay federal income taxes at the REIT level (including its qualified REIT subsidiaries). However, our wholly owned taxable REIT subsidiaries were fully subject to federal, state and foreign income taxes, as applicable. While a REIT, the Company was required to distribute at least 90% of its REIT level taxable income to shareholders, and the resulting dividends paid deduction offset its REIT taxable income. Consequently, while a REIT, since the Company did not expect to pay taxes on its REIT taxable income, it was not able to recognize deferred tax assets and liabilities.</w:t>
      </w:r>
    </w:p>
    <w:p>
      <w:pPr>
        <w:spacing w:after="0" w:line="165"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Deferred income taxes are determined based on the estimated future tax effects of differences between the financial statement and tax basis of assets and liabilities given the provisions of enacted tax laws. Significant judgments are required to determine the consolidated provision for income taxes. Deferred income tax provisions and benefits are based on changes to the assets or liabilities from year to year. Realization of the Company’s deferred tax assets is dependent upon many factors such as tax regulations applicable to the jurisdictions in which the Company operates, estimates of future taxable income and the character of such taxable income.</w:t>
      </w:r>
    </w:p>
    <w:p>
      <w:pPr>
        <w:spacing w:after="0" w:line="204" w:lineRule="exact"/>
        <w:rPr>
          <w:sz w:val="20"/>
          <w:szCs w:val="20"/>
          <w:color w:val="auto"/>
        </w:rPr>
      </w:pPr>
    </w:p>
    <w:p>
      <w:pPr>
        <w:ind w:right="140" w:firstLine="564"/>
        <w:spacing w:after="0" w:line="271" w:lineRule="auto"/>
        <w:rPr>
          <w:sz w:val="20"/>
          <w:szCs w:val="20"/>
          <w:color w:val="auto"/>
        </w:rPr>
      </w:pPr>
      <w:r>
        <w:rPr>
          <w:rFonts w:ascii="Arial" w:cs="Arial" w:eastAsia="Arial" w:hAnsi="Arial"/>
          <w:sz w:val="17"/>
          <w:szCs w:val="17"/>
          <w:color w:val="auto"/>
        </w:rPr>
        <w:t>Additionally, the Company must use significant judgment in addressing uncertainties in the application of complex tax laws and regulations. If actual circumstances differ from the Company’s assumptions, adjustments to the carrying value of deferred tax assets or liabilities may be required, which may result in an adverse impact on the results of its operations and its effective tax rate. Valuation allowances are recorded related to deferred tax assets based on the “more likely than not” criteria. The Company has not made any significant changes to the way it accounts for its deferred tax assets and liabilities in any year presented in the consolidated financial statements. Based on its estimate of future earnings and its favorable earnings history, the Company currently expects full realization of the deferred tax assets net of any recorded valuation allowances. Furthermore, tax positions taken by the Company may not be fully sustained upon examination by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18" w:right="359" w:bottom="1440" w:gutter="0" w:footer="0" w:header="0"/>
        </w:sectPr>
      </w:pPr>
    </w:p>
    <w:bookmarkStart w:id="98" w:name="page99"/>
    <w:bookmarkEnd w:id="98"/>
    <w:p>
      <w:pPr>
        <w:spacing w:after="0" w:line="263" w:lineRule="auto"/>
        <w:rPr>
          <w:sz w:val="20"/>
          <w:szCs w:val="20"/>
          <w:color w:val="auto"/>
        </w:rPr>
      </w:pPr>
      <w:r>
        <w:rPr>
          <w:rFonts w:ascii="Arial" w:cs="Arial" w:eastAsia="Arial" w:hAnsi="Arial"/>
          <w:sz w:val="18"/>
          <w:szCs w:val="18"/>
          <w:color w:val="auto"/>
        </w:rPr>
        <w:t>taxing authorities. In determining the adequacy of our provision (benefit) for income taxes, potential settlement outcomes resulting from income tax examinations are regularly assessed. As such, the final outcome of tax examinations, including the total amount payable or the timing of any such payments upon resolution of these issues, cannot be estimated with certainty.</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Reserves for Insurance Losses</w:t>
      </w:r>
    </w:p>
    <w:p>
      <w:pPr>
        <w:spacing w:after="0" w:line="171"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The nature of the Company’s business exposes it to various types of third-party legal claims, including, but not limited to, civil rights claims relating to conditions of confinement and/or mistreatment, sexual misconduct claims brought by individuals within our care, medical malpractice claims,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contractual claims and claims for personal injury or other damages resulting from contact with our facilities, programs, electronic monitoring products, personnel or individuals within our care, including damages arising from the escape of an individual in the Company’s care or from a disturbance or riot at a facility. In addition, the Company’s management contracts generally require it to indemnify the governmental agency against any damages to which the governmental agency may be subject in connection with such claims or litigation. The Company maintains a broad program of insurance coverage for these general types of claims, except for claims relating to employment matters, for which the Company carries no insurance. There can be no assurance that the Company’s insurance coverage will be adequate to cover all claims to which it may be exposed. It is the Company’s general practice to bring merged or acquired companies into its corporate master policies in order to take advantage of certain economies of scale.</w:t>
      </w:r>
    </w:p>
    <w:p>
      <w:pPr>
        <w:spacing w:after="0" w:line="170"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On October 1, 2021, GEO formed a wholly owned captive insurance subsidiary, Florina Insurance Company, Inc. (“Florina”), to enhance its risk financing strategies. Florina is incorporated in the state of Vermont and is licensed and regulated by the state of Vermont, including with respect to its insurance programs, levels of liquidity and other requirements. GEO began procuring insurance policies to cover deductibles for workers’ compensation, general liability, automobile liability, medical professional liability and directors' and officers’ liability as well as procuring insurance policies for excess liability, its directors’ and officers’ excess liability and excess medical professional liability through Florina effective October 1, 2021. Florina holds cash and investments in order to meet solvency requirements and meet financial obligations as presented, including an investment portfolio of marketable fixed income and equity securities.</w:t>
      </w:r>
    </w:p>
    <w:p>
      <w:pPr>
        <w:spacing w:after="0" w:line="193"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The Company currently maintains a general liability policy and excess liability policies with total limits of $75.0 million per occurrence and $95.0 million total general liability annual aggregate limits covering the operations of U.S. Secure Services, Reentry Services and Electronic Monitoring and Supervision Services. The Company has an occurrence based liability insurance program with a specific loss limit of $40.0 million per occurrence and in the aggregate related to medical professional liability claims arising out of correctional healthcare services. The Company is uninsured for any claims in excess of these limits. We also maintain insurance to cover property and other casualty risks including, workers’ compensation, environmental liability, cybersecurity liability and automobile liability.</w:t>
      </w:r>
    </w:p>
    <w:p>
      <w:pPr>
        <w:spacing w:after="0" w:line="191"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For most casualty insurance policies, the Company carries substantial deductibles or self-insured retentions of $4.0 million per occurrence for general liability and $5.0 million per occurrence for medical professional liability, $2.0 million per occurrence for workers’ compensation, $2.5 million per occurrence for directors' and officers’ liability and $1.0 million per occurrence for automobile liability. In addition, certain of the Company’s facilities located in Florida and other high-risk hurricane areas carry substantial windstorm deductibles. Since hurricanes are considered unpredictable future events, no reserves have been established to pre-fund for potential windstorm damage. Limited commercial availability of certain types of insurance relating to windstorm exposure in coastal areas and earthquake exposure mainly in California and the Pacific Northwest may prevent the Company from insuring some of its facilities to full replacement value.</w:t>
      </w:r>
    </w:p>
    <w:p>
      <w:pPr>
        <w:spacing w:after="0" w:line="181"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With respect to operations in South Africa and Australia, the Company utilizes a combination of locally procured insurance and global policies to meet contractual insurance requirements and protect the Company. In addition to these policies, the Company’s Australian subsidiary carries tail insurance on a general liability policy related to a discontinued contract.</w:t>
      </w:r>
    </w:p>
    <w:p>
      <w:pPr>
        <w:spacing w:after="0" w:line="183"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Of the insurance policies discussed above, the Company’s most significant insurance reserves relate to workers’ compensation, general liability and auto claims. These reserves, which include Florina’s reserves and GEO’s legacy reserves and administrative costs for the plans, are undiscounted and were $79.0 million and $74.2 million as of December 31, 2022 and 2021, respectively, and are included in Accrued Expenses in the accompanying Consolidated Balance Sheets. The Company uses statistical and actuarial methods to estimate amounts for claims that have been reported but not paid and claims incurred but not reported. In applying these methods and assessing their results, the Company considers such factors as historical frequency and severity of claims at each of its facilities, claim development, payment patterns and changes in the nature of its business, among other factors. Such factors are analyzed for each of the Company’s business segments. The Company estimates may be impacted by such factors as increases in the market price for medical services and unpredictability of the size of jury awards. The Company also may experience variability between its estimates and the actual settlement due to limitations inherent in the estimation process, including its ability to estimate costs of processing and settling claims in a timely manner as well as its ability to accurately estimate the Company’s exposure at the onset of a claim. Because the Company has high deductible insurance policies, the amount of its insurance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2" w:right="359" w:bottom="1440" w:gutter="0" w:footer="0" w:header="0"/>
        </w:sectPr>
      </w:pPr>
    </w:p>
    <w:bookmarkStart w:id="99" w:name="page100"/>
    <w:bookmarkEnd w:id="99"/>
    <w:p>
      <w:pPr>
        <w:ind w:right="440"/>
        <w:spacing w:after="0" w:line="277" w:lineRule="auto"/>
        <w:rPr>
          <w:sz w:val="20"/>
          <w:szCs w:val="20"/>
          <w:color w:val="auto"/>
        </w:rPr>
      </w:pPr>
      <w:r>
        <w:rPr>
          <w:rFonts w:ascii="Arial" w:cs="Arial" w:eastAsia="Arial" w:hAnsi="Arial"/>
          <w:sz w:val="18"/>
          <w:szCs w:val="18"/>
          <w:color w:val="auto"/>
        </w:rPr>
        <w:t>expense is dependent on its ability to control its claims experience. If actual losses related to insurance claims significantly differ from the Company’s estimates, its financial condition, results of operations and cash flows could be materially adversely impacted.</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71"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Comprehensive income (loss) represents the change in shareholders’ equity from transactions and other events and circumstances arising from non-shareholder sources. The Company’s total comprehensive income is comprised of net income attributable to GEO, net income attributable to noncontrolling interests, foreign currency translation adjustments that arise from consolidating foreign operations that do not impact cash flows, net unrealized gains and/ or losses on derivative instruments, and pension liability adjustments in the consolidated statements of shareholders’ equity.</w:t>
      </w:r>
    </w:p>
    <w:p>
      <w:pPr>
        <w:spacing w:after="0" w:line="170"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components of accumulated other comprehensive loss attributable to GEO included in the consolidated statement of shareholders' equity are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currency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adjustments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88"/>
              </w:rPr>
              <w:t>Pension</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(loss) gain 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5"/>
              <w:spacing w:after="0" w:line="149" w:lineRule="exact"/>
              <w:rPr>
                <w:sz w:val="20"/>
                <w:szCs w:val="20"/>
                <w:color w:val="auto"/>
              </w:rPr>
            </w:pPr>
            <w:r>
              <w:rPr>
                <w:rFonts w:ascii="Arial" w:cs="Arial" w:eastAsia="Arial" w:hAnsi="Arial"/>
                <w:sz w:val="14"/>
                <w:szCs w:val="14"/>
                <w:b w:val="1"/>
                <w:bCs w:val="1"/>
                <w:color w:val="auto"/>
                <w:w w:val="98"/>
              </w:rPr>
              <w:t>Marketable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to The GEO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derivatives,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55"/>
              <w:spacing w:after="0" w:line="149" w:lineRule="exact"/>
              <w:rPr>
                <w:sz w:val="20"/>
                <w:szCs w:val="20"/>
                <w:color w:val="auto"/>
              </w:rPr>
            </w:pPr>
            <w:r>
              <w:rPr>
                <w:rFonts w:ascii="Arial" w:cs="Arial" w:eastAsia="Arial" w:hAnsi="Arial"/>
                <w:sz w:val="14"/>
                <w:szCs w:val="14"/>
                <w:b w:val="1"/>
                <w:bCs w:val="1"/>
                <w:color w:val="auto"/>
                <w:w w:val="87"/>
              </w:rPr>
              <w:t>Securities,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adjustments,</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Group, Inc.</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net of tax</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15"/>
              <w:spacing w:after="0"/>
              <w:rPr>
                <w:sz w:val="20"/>
                <w:szCs w:val="20"/>
                <w:color w:val="auto"/>
              </w:rPr>
            </w:pPr>
            <w:r>
              <w:rPr>
                <w:rFonts w:ascii="Arial" w:cs="Arial" w:eastAsia="Arial" w:hAnsi="Arial"/>
                <w:sz w:val="14"/>
                <w:szCs w:val="14"/>
                <w:b w:val="1"/>
                <w:bCs w:val="1"/>
                <w:color w:val="auto"/>
                <w:w w:val="93"/>
              </w:rPr>
              <w:t>net of tax</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net of tax</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January 1, 2022</w:t>
            </w:r>
          </w:p>
        </w:tc>
        <w:tc>
          <w:tcPr>
            <w:tcW w:w="1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(12,461 )</w:t>
            </w:r>
          </w:p>
        </w:tc>
        <w:tc>
          <w:tcPr>
            <w:tcW w:w="1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(2,524 )</w:t>
            </w:r>
          </w:p>
        </w:tc>
        <w:tc>
          <w:tcPr>
            <w:tcW w:w="1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(5,238 )</w:t>
            </w: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tcBorders>
              <w:top w:val="single" w:sz="8" w:color="auto"/>
            </w:tcBorders>
            <w:gridSpan w:val="2"/>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(20,216 )</w:t>
            </w:r>
          </w:p>
        </w:tc>
        <w:tc>
          <w:tcPr>
            <w:tcW w:w="0" w:type="dxa"/>
            <w:vAlign w:val="bottom"/>
          </w:tcPr>
          <w:p>
            <w:pPr>
              <w:spacing w:after="0"/>
              <w:rPr>
                <w:sz w:val="1"/>
                <w:szCs w:val="1"/>
                <w:color w:val="auto"/>
              </w:rPr>
            </w:pPr>
          </w:p>
        </w:tc>
      </w:tr>
      <w:tr>
        <w:trPr>
          <w:trHeight w:val="236"/>
        </w:trPr>
        <w:tc>
          <w:tcPr>
            <w:tcW w:w="4380" w:type="dxa"/>
            <w:vAlign w:val="bottom"/>
          </w:tcPr>
          <w:p>
            <w:pPr>
              <w:ind w:left="20"/>
              <w:spacing w:after="0"/>
              <w:rPr>
                <w:sz w:val="20"/>
                <w:szCs w:val="20"/>
                <w:color w:val="auto"/>
              </w:rPr>
            </w:pPr>
            <w:r>
              <w:rPr>
                <w:rFonts w:ascii="Arial" w:cs="Arial" w:eastAsia="Arial" w:hAnsi="Arial"/>
                <w:sz w:val="18"/>
                <w:szCs w:val="18"/>
                <w:color w:val="auto"/>
              </w:rPr>
              <w:t>Current-period other comprehensive income (loss)</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(7,554 )</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8"/>
                <w:szCs w:val="18"/>
                <w:color w:val="auto"/>
              </w:rPr>
              <w:t>6,169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5,642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r>
        <w:trPr>
          <w:trHeight w:val="276"/>
        </w:trPr>
        <w:tc>
          <w:tcPr>
            <w:tcW w:w="4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December 31, 2022</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(20,015 )</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3"/>
            <w:shd w:val="clear" w:color="auto" w:fill="CFF0FC"/>
          </w:tcPr>
          <w:p>
            <w:pPr>
              <w:jc w:val="right"/>
              <w:ind w:right="56"/>
              <w:spacing w:after="0"/>
              <w:rPr>
                <w:sz w:val="20"/>
                <w:szCs w:val="20"/>
                <w:color w:val="auto"/>
              </w:rPr>
            </w:pPr>
            <w:r>
              <w:rPr>
                <w:rFonts w:ascii="Arial" w:cs="Arial" w:eastAsia="Arial" w:hAnsi="Arial"/>
                <w:sz w:val="18"/>
                <w:szCs w:val="18"/>
                <w:color w:val="auto"/>
              </w:rPr>
              <w:t>3,645</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(953 )</w:t>
            </w:r>
          </w:p>
        </w:tc>
        <w:tc>
          <w:tcPr>
            <w:tcW w:w="10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404</w:t>
            </w:r>
          </w:p>
        </w:tc>
        <w:tc>
          <w:tcPr>
            <w:tcW w:w="4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gridSpan w:val="2"/>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(16,919 )</w:t>
            </w:r>
          </w:p>
        </w:tc>
        <w:tc>
          <w:tcPr>
            <w:tcW w:w="0" w:type="dxa"/>
            <w:vAlign w:val="bottom"/>
          </w:tcPr>
          <w:p>
            <w:pPr>
              <w:spacing w:after="0"/>
              <w:rPr>
                <w:sz w:val="1"/>
                <w:szCs w:val="1"/>
                <w:color w:val="auto"/>
              </w:rPr>
            </w:pPr>
          </w:p>
        </w:tc>
      </w:tr>
      <w:tr>
        <w:trPr>
          <w:trHeight w:val="369"/>
        </w:trPr>
        <w:tc>
          <w:tcPr>
            <w:tcW w:w="4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ind w:right="341"/>
              <w:spacing w:after="0"/>
              <w:rPr>
                <w:sz w:val="20"/>
                <w:szCs w:val="20"/>
                <w:color w:val="auto"/>
              </w:rPr>
            </w:pPr>
            <w:r>
              <w:rPr>
                <w:rFonts w:ascii="Arial" w:cs="Arial" w:eastAsia="Arial" w:hAnsi="Arial"/>
                <w:sz w:val="14"/>
                <w:szCs w:val="14"/>
                <w:b w:val="1"/>
                <w:bCs w:val="1"/>
                <w:color w:val="auto"/>
                <w:w w:val="89"/>
              </w:rPr>
              <w:t>Foreign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341"/>
              <w:spacing w:after="0" w:line="149" w:lineRule="exact"/>
              <w:rPr>
                <w:sz w:val="20"/>
                <w:szCs w:val="20"/>
                <w:color w:val="auto"/>
              </w:rPr>
            </w:pPr>
            <w:r>
              <w:rPr>
                <w:rFonts w:ascii="Arial" w:cs="Arial" w:eastAsia="Arial" w:hAnsi="Arial"/>
                <w:sz w:val="14"/>
                <w:szCs w:val="14"/>
                <w:b w:val="1"/>
                <w:bCs w:val="1"/>
                <w:color w:val="auto"/>
                <w:w w:val="91"/>
              </w:rPr>
              <w:t>currency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21"/>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35"/>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21"/>
              <w:spacing w:after="0" w:line="149" w:lineRule="exact"/>
              <w:rPr>
                <w:sz w:val="20"/>
                <w:szCs w:val="20"/>
                <w:color w:val="auto"/>
              </w:rPr>
            </w:pPr>
            <w:r>
              <w:rPr>
                <w:rFonts w:ascii="Arial" w:cs="Arial" w:eastAsia="Arial" w:hAnsi="Arial"/>
                <w:sz w:val="14"/>
                <w:szCs w:val="14"/>
                <w:b w:val="1"/>
                <w:bCs w:val="1"/>
                <w:color w:val="auto"/>
                <w:w w:val="89"/>
              </w:rPr>
              <w:t>adjustments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8"/>
              </w:rPr>
              <w:t>Pension</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21"/>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438"/>
              <w:spacing w:after="0" w:line="149" w:lineRule="exact"/>
              <w:rPr>
                <w:sz w:val="20"/>
                <w:szCs w:val="20"/>
                <w:color w:val="auto"/>
              </w:rPr>
            </w:pPr>
            <w:r>
              <w:rPr>
                <w:rFonts w:ascii="Arial" w:cs="Arial" w:eastAsia="Arial" w:hAnsi="Arial"/>
                <w:sz w:val="14"/>
                <w:szCs w:val="14"/>
                <w:b w:val="1"/>
                <w:bCs w:val="1"/>
                <w:color w:val="auto"/>
                <w:w w:val="85"/>
              </w:rPr>
              <w:t>loss 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jc w:val="center"/>
              <w:ind w:right="115"/>
              <w:spacing w:after="0" w:line="149" w:lineRule="exact"/>
              <w:rPr>
                <w:sz w:val="20"/>
                <w:szCs w:val="20"/>
                <w:color w:val="auto"/>
              </w:rPr>
            </w:pPr>
            <w:r>
              <w:rPr>
                <w:rFonts w:ascii="Arial" w:cs="Arial" w:eastAsia="Arial" w:hAnsi="Arial"/>
                <w:sz w:val="14"/>
                <w:szCs w:val="14"/>
                <w:b w:val="1"/>
                <w:bCs w:val="1"/>
                <w:color w:val="auto"/>
                <w:w w:val="98"/>
              </w:rPr>
              <w:t>Marketable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181"/>
              <w:spacing w:after="0" w:line="149" w:lineRule="exact"/>
              <w:rPr>
                <w:sz w:val="20"/>
                <w:szCs w:val="20"/>
                <w:color w:val="auto"/>
              </w:rPr>
            </w:pPr>
            <w:r>
              <w:rPr>
                <w:rFonts w:ascii="Arial" w:cs="Arial" w:eastAsia="Arial" w:hAnsi="Arial"/>
                <w:sz w:val="14"/>
                <w:szCs w:val="14"/>
                <w:b w:val="1"/>
                <w:bCs w:val="1"/>
                <w:color w:val="auto"/>
                <w:w w:val="96"/>
              </w:rPr>
              <w:t>to The GEO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derivatives,</w:t>
            </w:r>
          </w:p>
        </w:tc>
        <w:tc>
          <w:tcPr>
            <w:tcW w:w="100" w:type="dxa"/>
            <w:vAlign w:val="bottom"/>
          </w:tcPr>
          <w:p>
            <w:pPr>
              <w:spacing w:after="0"/>
              <w:rPr>
                <w:sz w:val="12"/>
                <w:szCs w:val="12"/>
                <w:color w:val="auto"/>
              </w:rPr>
            </w:pPr>
          </w:p>
        </w:tc>
        <w:tc>
          <w:tcPr>
            <w:tcW w:w="11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Securities, net of</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adjustments,</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21"/>
              <w:spacing w:after="0"/>
              <w:rPr>
                <w:sz w:val="20"/>
                <w:szCs w:val="20"/>
                <w:color w:val="auto"/>
              </w:rPr>
            </w:pPr>
            <w:r>
              <w:rPr>
                <w:rFonts w:ascii="Arial" w:cs="Arial" w:eastAsia="Arial" w:hAnsi="Arial"/>
                <w:sz w:val="14"/>
                <w:szCs w:val="14"/>
                <w:b w:val="1"/>
                <w:bCs w:val="1"/>
                <w:color w:val="auto"/>
                <w:w w:val="94"/>
              </w:rPr>
              <w:t>Group, Inc.</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ind w:right="315"/>
              <w:spacing w:after="0"/>
              <w:rPr>
                <w:sz w:val="20"/>
                <w:szCs w:val="20"/>
                <w:color w:val="auto"/>
              </w:rPr>
            </w:pPr>
            <w:r>
              <w:rPr>
                <w:rFonts w:ascii="Arial" w:cs="Arial" w:eastAsia="Arial" w:hAnsi="Arial"/>
                <w:sz w:val="14"/>
                <w:szCs w:val="14"/>
                <w:b w:val="1"/>
                <w:bCs w:val="1"/>
                <w:color w:val="auto"/>
                <w:w w:val="98"/>
              </w:rPr>
              <w:t>tax</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net of tax</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January 1, 2021</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(9,207 )</w:t>
            </w:r>
          </w:p>
        </w:tc>
        <w:tc>
          <w:tcPr>
            <w:tcW w:w="120" w:type="dxa"/>
            <w:vAlign w:val="bottom"/>
            <w:shd w:val="clear" w:color="auto" w:fill="CFF0FC"/>
          </w:tcPr>
          <w:p>
            <w:pPr>
              <w:spacing w:after="0"/>
              <w:rPr>
                <w:sz w:val="20"/>
                <w:szCs w:val="20"/>
                <w:color w:val="auto"/>
              </w:rPr>
            </w:pPr>
          </w:p>
        </w:tc>
        <w:tc>
          <w:tcPr>
            <w:tcW w:w="24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(4,752 )</w:t>
            </w:r>
          </w:p>
        </w:tc>
        <w:tc>
          <w:tcPr>
            <w:tcW w:w="1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FF0FC"/>
          </w:tcPr>
          <w:p>
            <w:pPr>
              <w:spacing w:after="0"/>
              <w:rPr>
                <w:sz w:val="20"/>
                <w:szCs w:val="20"/>
                <w:color w:val="auto"/>
              </w:rPr>
            </w:pPr>
          </w:p>
        </w:tc>
        <w:tc>
          <w:tcPr>
            <w:tcW w:w="120" w:type="dxa"/>
            <w:vAlign w:val="bottom"/>
            <w:gridSpan w:val="2"/>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(8,630 )</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(22,589 )</w:t>
            </w:r>
          </w:p>
        </w:tc>
        <w:tc>
          <w:tcPr>
            <w:tcW w:w="0" w:type="dxa"/>
            <w:vAlign w:val="bottom"/>
          </w:tcPr>
          <w:p>
            <w:pPr>
              <w:spacing w:after="0"/>
              <w:rPr>
                <w:sz w:val="1"/>
                <w:szCs w:val="1"/>
                <w:color w:val="auto"/>
              </w:rPr>
            </w:pPr>
          </w:p>
        </w:tc>
      </w:tr>
      <w:tr>
        <w:trPr>
          <w:trHeight w:val="236"/>
        </w:trPr>
        <w:tc>
          <w:tcPr>
            <w:tcW w:w="4380" w:type="dxa"/>
            <w:vAlign w:val="bottom"/>
          </w:tcPr>
          <w:p>
            <w:pPr>
              <w:ind w:left="20"/>
              <w:spacing w:after="0"/>
              <w:rPr>
                <w:sz w:val="20"/>
                <w:szCs w:val="20"/>
                <w:color w:val="auto"/>
              </w:rPr>
            </w:pPr>
            <w:r>
              <w:rPr>
                <w:rFonts w:ascii="Arial" w:cs="Arial" w:eastAsia="Arial" w:hAnsi="Arial"/>
                <w:sz w:val="18"/>
                <w:szCs w:val="18"/>
                <w:color w:val="auto"/>
              </w:rPr>
              <w:t>Current-period other comprehensive income (loss)</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(3,254 )</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2,228</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3,392</w:t>
            </w: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76"/>
        </w:trPr>
        <w:tc>
          <w:tcPr>
            <w:tcW w:w="4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December 31, 2021</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(12,461 )</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(2,524 )</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CFF0FC"/>
            </w:tcBorders>
            <w:gridSpan w:val="2"/>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(5,238 )</w:t>
            </w:r>
          </w:p>
        </w:tc>
        <w:tc>
          <w:tcPr>
            <w:tcW w:w="8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(20,216 )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-1360805</wp:posOffset>
            </wp:positionV>
            <wp:extent cx="857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-1343660</wp:posOffset>
            </wp:positionV>
            <wp:extent cx="857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-1360805</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-1343660</wp:posOffset>
            </wp:positionV>
            <wp:extent cx="768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-1360805</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-1343660</wp:posOffset>
            </wp:positionV>
            <wp:extent cx="76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-1360805</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-1343660</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-24765</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-7620</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There were no reclassifications out of accumulated other comprehensive income (loss) during the years ended December 31, 2022 or 2021.</w:t>
      </w:r>
    </w:p>
    <w:p>
      <w:pPr>
        <w:spacing w:after="0" w:line="236"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The foreign currency translation adjustment, net of tax, related to noncontrolling interests was not significant for the years ended December 31, 2022 or 2021.</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71" w:lineRule="exact"/>
        <w:rPr>
          <w:sz w:val="20"/>
          <w:szCs w:val="20"/>
          <w:color w:val="auto"/>
        </w:rPr>
      </w:pPr>
    </w:p>
    <w:p>
      <w:pPr>
        <w:ind w:right="200" w:firstLine="509"/>
        <w:spacing w:after="0" w:line="301" w:lineRule="auto"/>
        <w:rPr>
          <w:sz w:val="20"/>
          <w:szCs w:val="20"/>
          <w:color w:val="auto"/>
        </w:rPr>
      </w:pPr>
      <w:r>
        <w:rPr>
          <w:rFonts w:ascii="Arial" w:cs="Arial" w:eastAsia="Arial" w:hAnsi="Arial"/>
          <w:sz w:val="16"/>
          <w:szCs w:val="16"/>
          <w:color w:val="auto"/>
        </w:rPr>
        <w:t>The Company’s foreign operations use their local currencies as their functional currencies. Assets and liabilities of the operations are translated at the exchange rates in effect on the balance sheet date and shareholders’ equity is translated at historical rates. Income statement items are translated at the average exchange rates for the year. Any adjustment resulting from translating the financial statements of the foreign subsidia</w:t>
      </w:r>
      <w:r>
        <w:rPr>
          <w:rFonts w:ascii="Arial" w:cs="Arial" w:eastAsia="Arial" w:hAnsi="Arial"/>
          <w:sz w:val="16"/>
          <w:szCs w:val="16"/>
          <w:color w:val="252525"/>
        </w:rPr>
        <w:t>ry is reflected as other</w:t>
      </w:r>
      <w:r>
        <w:rPr>
          <w:rFonts w:ascii="Arial" w:cs="Arial" w:eastAsia="Arial" w:hAnsi="Arial"/>
          <w:sz w:val="16"/>
          <w:szCs w:val="16"/>
          <w:color w:val="auto"/>
        </w:rPr>
        <w:t xml:space="preserve"> </w:t>
      </w:r>
      <w:r>
        <w:rPr>
          <w:rFonts w:ascii="Arial" w:cs="Arial" w:eastAsia="Arial" w:hAnsi="Arial"/>
          <w:sz w:val="16"/>
          <w:szCs w:val="16"/>
          <w:color w:val="252525"/>
        </w:rPr>
        <w:t>comprehensive income, net of related tax. Gains and losses on foreign currency transactions are included in the statement of operations.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Derivatives</w:t>
      </w:r>
    </w:p>
    <w:p>
      <w:pPr>
        <w:spacing w:after="0" w:line="171" w:lineRule="exact"/>
        <w:rPr>
          <w:sz w:val="20"/>
          <w:szCs w:val="20"/>
          <w:color w:val="auto"/>
        </w:rPr>
      </w:pPr>
    </w:p>
    <w:p>
      <w:pPr>
        <w:ind w:right="40" w:firstLine="509"/>
        <w:spacing w:after="0" w:line="302" w:lineRule="auto"/>
        <w:rPr>
          <w:sz w:val="20"/>
          <w:szCs w:val="20"/>
          <w:color w:val="auto"/>
        </w:rPr>
      </w:pPr>
      <w:r>
        <w:rPr>
          <w:rFonts w:ascii="Arial" w:cs="Arial" w:eastAsia="Arial" w:hAnsi="Arial"/>
          <w:sz w:val="17"/>
          <w:szCs w:val="17"/>
          <w:color w:val="auto"/>
        </w:rPr>
        <w:t>The Company’s primary objective in holding derivatives is to reduce the volatility of earnings and cash flows associated with changes in interest rates. The Company measures its derivative financial instruments at fair value and records derivatives as either assets or liabilities on the balance sheet. For derivatives that are designed as and qualify as effective cash flow hedges, the portion of gain or loss on the derivative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00" w:name="page101"/>
    <w:bookmarkEnd w:id="100"/>
    <w:p>
      <w:pPr>
        <w:ind w:right="140"/>
        <w:spacing w:after="0" w:line="293" w:lineRule="auto"/>
        <w:rPr>
          <w:sz w:val="20"/>
          <w:szCs w:val="20"/>
          <w:color w:val="auto"/>
        </w:rPr>
      </w:pPr>
      <w:r>
        <w:rPr>
          <w:rFonts w:ascii="Arial" w:cs="Arial" w:eastAsia="Arial" w:hAnsi="Arial"/>
          <w:sz w:val="16"/>
          <w:szCs w:val="16"/>
          <w:color w:val="auto"/>
        </w:rPr>
        <w:t>instrument effective at offsetting changes in the hedged item is reported as a component of accumulated other comprehensive income and reclassified into earnings when the hedged transaction affects earnings. For derivative instruments that are designated as and qualify as effective fair value hedges, the gain or loss on the derivative instruments as well as the offsetting gain or loss on the hedged items attributable to the hedged risk is recognized in current earnings as interest income (expense) during the period of the change in fair values. For derivative instruments that do not meet the requirements for hedge accounting, changes in fair value are recorded in earnings. Derivative instruments are classified in the same category as cash flows from the items being hedged and any related gains and losses are reported as financing activities in the Consolidated Statement of Cash Flows.</w:t>
      </w:r>
    </w:p>
    <w:p>
      <w:pPr>
        <w:spacing w:after="0" w:line="163" w:lineRule="exact"/>
        <w:rPr>
          <w:sz w:val="20"/>
          <w:szCs w:val="20"/>
          <w:color w:val="auto"/>
        </w:rPr>
      </w:pPr>
    </w:p>
    <w:p>
      <w:pPr>
        <w:ind w:right="140" w:firstLine="509"/>
        <w:spacing w:after="0" w:line="273" w:lineRule="auto"/>
        <w:rPr>
          <w:sz w:val="20"/>
          <w:szCs w:val="20"/>
          <w:color w:val="auto"/>
        </w:rPr>
      </w:pPr>
      <w:r>
        <w:rPr>
          <w:rFonts w:ascii="Arial" w:cs="Arial" w:eastAsia="Arial" w:hAnsi="Arial"/>
          <w:sz w:val="17"/>
          <w:szCs w:val="17"/>
          <w:color w:val="auto"/>
        </w:rPr>
        <w:t>The Company formally documents all relationships between hedging instruments and hedge items, as well as its risk-management objective and strategy for undertaking various hedge transactions. This process includes attributing all derivatives that are designated as cash flow hedges to floating rate liabilities and attributing all derivatives that are designated as fair value hedges to fixed rate liabilities. The Company also assesses whether each derivative is highly effective in offsetting changes in the cash flows of the hedged item. Fluctuations in the value of the derivative instruments are generally offset by changes in the hedged item; however, if it is determined that a derivative is not highly effective as a hedge or if a derivative ceases to be a highly effective hedge, the Company will discontinue hedge accounting prospectively for the affected derivative.</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71" w:lineRule="exact"/>
        <w:rPr>
          <w:sz w:val="20"/>
          <w:szCs w:val="20"/>
          <w:color w:val="auto"/>
        </w:rPr>
      </w:pPr>
    </w:p>
    <w:p>
      <w:pPr>
        <w:ind w:right="420" w:firstLine="509"/>
        <w:spacing w:after="0" w:line="263" w:lineRule="auto"/>
        <w:rPr>
          <w:sz w:val="20"/>
          <w:szCs w:val="20"/>
          <w:color w:val="auto"/>
        </w:rPr>
      </w:pPr>
      <w:r>
        <w:rPr>
          <w:rFonts w:ascii="Arial" w:cs="Arial" w:eastAsia="Arial" w:hAnsi="Arial"/>
          <w:sz w:val="18"/>
          <w:szCs w:val="18"/>
          <w:color w:val="auto"/>
        </w:rPr>
        <w:t>The Company recognizes the cost of stock-based compensation awards based upon the grant date fair value of those awards. The impact of forfeitures that may occur prior to vesting is also estimated and considered in the amount recognized. Stock-based compensation expense is recognized ratably over the requisite service period, which is typically the vesting period.</w:t>
      </w:r>
    </w:p>
    <w:p>
      <w:pPr>
        <w:spacing w:after="0" w:line="183"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color w:val="auto"/>
        </w:rPr>
        <w:t>The fair value of stock-based option awards was estimated using the Black-Scholes option-pricing model with the following weighted average assumptions for options awarded during years 2022, 2021 and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5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224"/>
        </w:trPr>
        <w:tc>
          <w:tcPr>
            <w:tcW w:w="6080" w:type="dxa"/>
            <w:vAlign w:val="bottom"/>
          </w:tcPr>
          <w:p>
            <w:pPr>
              <w:ind w:left="20"/>
              <w:spacing w:after="0"/>
              <w:rPr>
                <w:sz w:val="20"/>
                <w:szCs w:val="20"/>
                <w:color w:val="auto"/>
              </w:rPr>
            </w:pPr>
            <w:r>
              <w:rPr>
                <w:rFonts w:ascii="Arial" w:cs="Arial" w:eastAsia="Arial" w:hAnsi="Arial"/>
                <w:sz w:val="18"/>
                <w:szCs w:val="18"/>
                <w:color w:val="auto"/>
              </w:rPr>
              <w:t>Risk free interest rates</w:t>
            </w:r>
          </w:p>
        </w:tc>
        <w:tc>
          <w:tcPr>
            <w:tcW w:w="10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1.56 %</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0.24 %</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1.79 %</w:t>
            </w:r>
          </w:p>
        </w:tc>
      </w:tr>
      <w:tr>
        <w:trPr>
          <w:trHeight w:val="242"/>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Expected term</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4-5 years</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4-5 years</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4-5 years</w:t>
            </w: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48 %</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43 %</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41 %</w:t>
            </w: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Expected dividend rate [1]</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13.30 %</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13.11 %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-607060</wp:posOffset>
            </wp:positionV>
            <wp:extent cx="7132320"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2" w:lineRule="exact"/>
        <w:rPr>
          <w:sz w:val="20"/>
          <w:szCs w:val="20"/>
          <w:color w:val="auto"/>
        </w:rPr>
      </w:pPr>
    </w:p>
    <w:p>
      <w:pPr>
        <w:ind w:right="280" w:firstLine="517"/>
        <w:spacing w:after="0" w:line="263" w:lineRule="auto"/>
        <w:tabs>
          <w:tab w:leader="none" w:pos="7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previously discussed, the Board elected to terminate the Company’s REIT election and discontinue its quarterly dividend. The assumptions above were used to determine the fair value of stock-based option awards granted prior to the Board’s suspension and discontinuation of quarterly dividends.</w:t>
      </w:r>
    </w:p>
    <w:p>
      <w:pPr>
        <w:spacing w:after="0" w:line="183" w:lineRule="exact"/>
        <w:rPr>
          <w:sz w:val="20"/>
          <w:szCs w:val="20"/>
          <w:color w:val="auto"/>
        </w:rPr>
      </w:pPr>
    </w:p>
    <w:p>
      <w:pPr>
        <w:ind w:right="480" w:firstLine="509"/>
        <w:spacing w:after="0" w:line="341" w:lineRule="auto"/>
        <w:rPr>
          <w:sz w:val="20"/>
          <w:szCs w:val="20"/>
          <w:color w:val="auto"/>
        </w:rPr>
      </w:pPr>
      <w:r>
        <w:rPr>
          <w:rFonts w:ascii="Arial" w:cs="Arial" w:eastAsia="Arial" w:hAnsi="Arial"/>
          <w:sz w:val="16"/>
          <w:szCs w:val="16"/>
          <w:color w:val="auto"/>
        </w:rPr>
        <w:t>The Company uses historical data to estimate award exercises and employee terminations within the valuation model. The expected term of the awards represents the period of time that awards granted are expected to be outstanding and is based on historical data and expected holding periods.</w:t>
      </w:r>
    </w:p>
    <w:p>
      <w:pPr>
        <w:spacing w:after="0" w:line="124" w:lineRule="exact"/>
        <w:rPr>
          <w:sz w:val="20"/>
          <w:szCs w:val="20"/>
          <w:color w:val="auto"/>
        </w:rPr>
      </w:pPr>
    </w:p>
    <w:p>
      <w:pPr>
        <w:ind w:right="280" w:firstLine="509"/>
        <w:spacing w:after="0" w:line="275" w:lineRule="auto"/>
        <w:rPr>
          <w:sz w:val="20"/>
          <w:szCs w:val="20"/>
          <w:color w:val="auto"/>
        </w:rPr>
      </w:pPr>
      <w:r>
        <w:rPr>
          <w:rFonts w:ascii="Arial" w:cs="Arial" w:eastAsia="Arial" w:hAnsi="Arial"/>
          <w:sz w:val="17"/>
          <w:szCs w:val="17"/>
          <w:color w:val="auto"/>
        </w:rPr>
        <w:t>For restricted stock share-based awards that contain a performance condition, the achievement of the targets must be probable before any share-based compensation is recorded. If subsequent to the initial measurement there is a change in the estimate of the probability of meeting the performance condition, the effect of the change in the estimated quantity of awards expected to vest is recognized by cumulatively adjusting compensation expense. If ultimately the performance targets are not met, for any awards where vesting was previously deemed probable, previously recognized compensation expense will be reversed in the period in which vesting is no longer deemed probable.</w:t>
      </w:r>
    </w:p>
    <w:p>
      <w:pPr>
        <w:spacing w:after="0" w:line="17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18" w:right="279" w:bottom="1440" w:gutter="0" w:footer="0" w:header="0"/>
        </w:sectPr>
      </w:pPr>
    </w:p>
    <w:bookmarkStart w:id="101" w:name="page102"/>
    <w:bookmarkEnd w:id="101"/>
    <w:p>
      <w:pPr>
        <w:ind w:right="400" w:firstLine="509"/>
        <w:spacing w:after="0" w:line="301" w:lineRule="auto"/>
        <w:rPr>
          <w:sz w:val="20"/>
          <w:szCs w:val="20"/>
          <w:color w:val="auto"/>
        </w:rPr>
      </w:pPr>
      <w:r>
        <w:rPr>
          <w:rFonts w:ascii="Arial" w:cs="Arial" w:eastAsia="Arial" w:hAnsi="Arial"/>
          <w:sz w:val="16"/>
          <w:szCs w:val="16"/>
          <w:color w:val="auto"/>
        </w:rPr>
        <w:t>For restricted stock share-based awards that contain a market condition, the probability of satisfying the market condition is considered in the estimate of grant-date fair value and previously recorded compensation expense is not reversed if the market condition is never met. The fair value of restricted stock awards granted in 2022, 2021 and 2020 with market-based performance conditions was determined based on a Monte Carlo simulation, which calculates a range of possible outcomes and the probabilities that they will occur, using the following average key assumptions: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80" w:type="dxa"/>
            <w:vAlign w:val="bottom"/>
          </w:tcPr>
          <w:p>
            <w:pPr>
              <w:spacing w:after="0"/>
              <w:rPr>
                <w:sz w:val="16"/>
                <w:szCs w:val="16"/>
                <w:color w:val="auto"/>
              </w:rPr>
            </w:pPr>
          </w:p>
        </w:tc>
        <w:tc>
          <w:tcPr>
            <w:tcW w:w="11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224"/>
        </w:trPr>
        <w:tc>
          <w:tcPr>
            <w:tcW w:w="60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180" w:type="dxa"/>
            <w:vAlign w:val="bottom"/>
          </w:tcPr>
          <w:p>
            <w:pPr>
              <w:spacing w:after="0"/>
              <w:rPr>
                <w:sz w:val="19"/>
                <w:szCs w:val="19"/>
                <w:color w:val="auto"/>
              </w:rPr>
            </w:pPr>
          </w:p>
        </w:tc>
        <w:tc>
          <w:tcPr>
            <w:tcW w:w="740" w:type="dxa"/>
            <w:vAlign w:val="bottom"/>
            <w:gridSpan w:val="2"/>
          </w:tcPr>
          <w:p>
            <w:pPr>
              <w:ind w:left="180"/>
              <w:spacing w:after="0"/>
              <w:rPr>
                <w:sz w:val="20"/>
                <w:szCs w:val="20"/>
                <w:color w:val="auto"/>
              </w:rPr>
            </w:pPr>
            <w:r>
              <w:rPr>
                <w:rFonts w:ascii="Arial" w:cs="Arial" w:eastAsia="Arial" w:hAnsi="Arial"/>
                <w:sz w:val="18"/>
                <w:szCs w:val="18"/>
                <w:color w:val="auto"/>
                <w:w w:val="96"/>
              </w:rPr>
              <w:t>57.5 %</w:t>
            </w:r>
          </w:p>
        </w:tc>
        <w:tc>
          <w:tcPr>
            <w:tcW w:w="1000" w:type="dxa"/>
            <w:vAlign w:val="bottom"/>
          </w:tcPr>
          <w:p>
            <w:pPr>
              <w:spacing w:after="0"/>
              <w:rPr>
                <w:sz w:val="19"/>
                <w:szCs w:val="19"/>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w w:val="96"/>
              </w:rPr>
              <w:t>48.2 %</w:t>
            </w: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w w:val="85"/>
              </w:rPr>
              <w:t>30.3 %</w:t>
            </w:r>
          </w:p>
        </w:tc>
      </w:tr>
      <w:tr>
        <w:trPr>
          <w:trHeight w:val="242"/>
        </w:trPr>
        <w:tc>
          <w:tcPr>
            <w:tcW w:w="7260" w:type="dxa"/>
            <w:vAlign w:val="bottom"/>
            <w:gridSpan w:val="2"/>
          </w:tcPr>
          <w:p>
            <w:pPr>
              <w:ind w:left="20"/>
              <w:spacing w:after="0"/>
              <w:rPr>
                <w:sz w:val="20"/>
                <w:szCs w:val="20"/>
                <w:color w:val="auto"/>
              </w:rPr>
            </w:pPr>
            <w:r>
              <w:rPr>
                <w:rFonts w:ascii="Arial" w:cs="Arial" w:eastAsia="Arial" w:hAnsi="Arial"/>
                <w:sz w:val="18"/>
                <w:szCs w:val="18"/>
                <w:color w:val="auto"/>
              </w:rPr>
              <w:t>Beta</w:t>
            </w:r>
          </w:p>
        </w:tc>
        <w:tc>
          <w:tcPr>
            <w:tcW w:w="600" w:type="dxa"/>
            <w:vAlign w:val="bottom"/>
          </w:tcPr>
          <w:p>
            <w:pPr>
              <w:ind w:left="180"/>
              <w:spacing w:after="0"/>
              <w:rPr>
                <w:sz w:val="20"/>
                <w:szCs w:val="20"/>
                <w:color w:val="auto"/>
              </w:rPr>
            </w:pPr>
            <w:r>
              <w:rPr>
                <w:rFonts w:ascii="Arial" w:cs="Arial" w:eastAsia="Arial" w:hAnsi="Arial"/>
                <w:sz w:val="18"/>
                <w:szCs w:val="18"/>
                <w:color w:val="auto"/>
              </w:rPr>
              <w:t>0.93</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ind w:left="120"/>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21"/>
                <w:szCs w:val="21"/>
                <w:color w:val="auto"/>
              </w:rPr>
            </w:pPr>
          </w:p>
        </w:tc>
        <w:tc>
          <w:tcPr>
            <w:tcW w:w="1560" w:type="dxa"/>
            <w:vAlign w:val="bottom"/>
          </w:tcPr>
          <w:p>
            <w:pPr>
              <w:ind w:left="1120"/>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21"/>
                <w:szCs w:val="21"/>
                <w:color w:val="auto"/>
              </w:rPr>
            </w:pPr>
          </w:p>
        </w:tc>
      </w:tr>
      <w:tr>
        <w:trPr>
          <w:trHeight w:val="243"/>
        </w:trPr>
        <w:tc>
          <w:tcPr>
            <w:tcW w:w="7260" w:type="dxa"/>
            <w:vAlign w:val="bottom"/>
            <w:gridSpan w:val="2"/>
          </w:tcPr>
          <w:p>
            <w:pPr>
              <w:ind w:left="20"/>
              <w:spacing w:after="0"/>
              <w:rPr>
                <w:sz w:val="20"/>
                <w:szCs w:val="20"/>
                <w:color w:val="auto"/>
              </w:rPr>
            </w:pPr>
            <w:r>
              <w:rPr>
                <w:rFonts w:ascii="Arial" w:cs="Arial" w:eastAsia="Arial" w:hAnsi="Arial"/>
                <w:sz w:val="18"/>
                <w:szCs w:val="18"/>
                <w:color w:val="auto"/>
              </w:rPr>
              <w:t>Risk free interest rate</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w w:val="96"/>
              </w:rPr>
              <w:t>1.45 %</w:t>
            </w:r>
          </w:p>
        </w:tc>
        <w:tc>
          <w:tcPr>
            <w:tcW w:w="1000" w:type="dxa"/>
            <w:vAlign w:val="bottom"/>
          </w:tcPr>
          <w:p>
            <w:pPr>
              <w:spacing w:after="0"/>
              <w:rPr>
                <w:sz w:val="21"/>
                <w:szCs w:val="21"/>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w w:val="96"/>
              </w:rPr>
              <w:t>0.22 %</w:t>
            </w: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w w:val="85"/>
              </w:rPr>
              <w:t>0.85 %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71" w:lineRule="exact"/>
        <w:rPr>
          <w:sz w:val="20"/>
          <w:szCs w:val="20"/>
          <w:color w:val="auto"/>
        </w:rPr>
      </w:pPr>
    </w:p>
    <w:p>
      <w:pPr>
        <w:ind w:right="260" w:firstLine="509"/>
        <w:spacing w:after="0" w:line="287" w:lineRule="auto"/>
        <w:rPr>
          <w:sz w:val="20"/>
          <w:szCs w:val="20"/>
          <w:color w:val="auto"/>
        </w:rPr>
      </w:pPr>
      <w:r>
        <w:rPr>
          <w:rFonts w:ascii="Arial" w:cs="Arial" w:eastAsia="Arial" w:hAnsi="Arial"/>
          <w:sz w:val="16"/>
          <w:szCs w:val="16"/>
          <w:color w:val="auto"/>
        </w:rPr>
        <w:t>Basic earnings per share of common stock is computed by dividing the net income attributable to The GEO Group, Inc. available to common stockholders by the weighted-average number of common shares outstanding for the period. Net income attributable to The GEO Group, Inc. available to common stockholders represents net income attributable to The GEO Group, Inc. reduced by an allocation of earnings to participating securities. The</w:t>
      </w:r>
    </w:p>
    <w:p>
      <w:pPr>
        <w:spacing w:after="0" w:line="2"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6.50% Exchangeable Notes due 2026, which contain non-forfeitable rights to dividends declared and paid on the shares of common stock, are participating securities and are included in the computation of earnings per share pursuant to the two-class method. Diluted EPS is calculated under the if-converted method and the two-class method for each class of shareholders using the weighted average number of shares attributable to each class. The calculation that results in the lowest diluted earnings per share amount for common stock is reported in the Company’s financial statements.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accounting standard will be adopted in future periods:</w:t>
      </w:r>
    </w:p>
    <w:p>
      <w:pPr>
        <w:spacing w:after="0" w:line="215" w:lineRule="exact"/>
        <w:rPr>
          <w:sz w:val="20"/>
          <w:szCs w:val="20"/>
          <w:color w:val="auto"/>
        </w:rPr>
      </w:pPr>
    </w:p>
    <w:p>
      <w:pPr>
        <w:ind w:right="160" w:firstLine="749"/>
        <w:spacing w:after="0" w:line="296"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Reform Rate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Reporting,” </w:t>
      </w:r>
      <w:r>
        <w:rPr>
          <w:rFonts w:ascii="Arial" w:cs="Arial" w:eastAsia="Arial" w:hAnsi="Arial"/>
          <w:sz w:val="16"/>
          <w:szCs w:val="16"/>
          <w:color w:val="auto"/>
        </w:rPr>
        <w:t>to provide temporary optional expedients and exceptions to the contract modifications, hedge relationships and other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affected by reference rate reform if certain criteria are met. This ASU, which was effective upon issuance and may be applied through December 31, 2024, is applicable to all contracts and hedging relationships that reference the London Interbank Offered Rate or any other reference rate expected to be discontinued. The Company does not expect any significant impacts of reference rate reform and the application of this guidance.</w:t>
      </w:r>
    </w:p>
    <w:p>
      <w:pPr>
        <w:spacing w:after="0" w:line="160" w:lineRule="exact"/>
        <w:rPr>
          <w:sz w:val="20"/>
          <w:szCs w:val="20"/>
          <w:color w:val="auto"/>
        </w:rPr>
      </w:pPr>
    </w:p>
    <w:p>
      <w:pPr>
        <w:ind w:right="160" w:firstLine="509"/>
        <w:spacing w:after="0" w:line="273" w:lineRule="auto"/>
        <w:rPr>
          <w:sz w:val="20"/>
          <w:szCs w:val="20"/>
          <w:color w:val="auto"/>
        </w:rPr>
      </w:pPr>
      <w:r>
        <w:rPr>
          <w:rFonts w:ascii="Arial" w:cs="Arial" w:eastAsia="Arial" w:hAnsi="Arial"/>
          <w:sz w:val="17"/>
          <w:szCs w:val="17"/>
          <w:color w:val="auto"/>
        </w:rPr>
        <w:t>Other recent accounting pronouncements issued by the FASB (including its Emerging Issues Task Force), the American Institute of Certified Public Accountants and the SEC did not, or are not expected to, have a material effect on the Company's results of operations or financial position.</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p>
    <w:p>
      <w:pPr>
        <w:spacing w:after="0" w:line="139"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Stock</w:t>
      </w:r>
    </w:p>
    <w:p>
      <w:pPr>
        <w:spacing w:after="0" w:line="171" w:lineRule="exact"/>
        <w:rPr>
          <w:sz w:val="20"/>
          <w:szCs w:val="20"/>
          <w:color w:val="auto"/>
        </w:rPr>
      </w:pPr>
    </w:p>
    <w:p>
      <w:pPr>
        <w:jc w:val="both"/>
        <w:ind w:right="140" w:firstLine="509"/>
        <w:spacing w:after="0" w:line="286" w:lineRule="auto"/>
        <w:rPr>
          <w:sz w:val="20"/>
          <w:szCs w:val="20"/>
          <w:color w:val="auto"/>
        </w:rPr>
      </w:pPr>
      <w:r>
        <w:rPr>
          <w:rFonts w:ascii="Arial" w:cs="Arial" w:eastAsia="Arial" w:hAnsi="Arial"/>
          <w:sz w:val="17"/>
          <w:szCs w:val="17"/>
          <w:color w:val="auto"/>
        </w:rPr>
        <w:t>Each holder of the Company’s common stock is entitled to one vote per share on all matters to be voted upon by the Company’s shareholders. Upon any liquidation, dissolution or winding up of the Company, the holders of common stock are entitled to share equally in all assets available for distribution after payment of all liabilities, subject to the liquidation preference of shares of preferred stock, if any, then outstanding.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As previously discussed, on December 2, 2021, the Company announced that its Board unanimously approved a plan to terminate the Company's REIT status and become a taxable C Corporation, effective for the year ended December 31, 2021. As a result, the Company is no longer required to operate under REIT rules, including the requirement to distribute at least 90% of its taxable income to its stockholders. The Board also voted unanimously to discontinue the Company's quarterly dividend.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Buyback Program</w:t>
      </w:r>
    </w:p>
    <w:p>
      <w:pPr>
        <w:spacing w:after="0" w:line="171"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On February 14, 2018, the Company announced that its Board authorized a stock buyback program authorizing the Company to repurchase up to a maximum of $200 million of its shares of common stock. The stock buyback program was funded primarily with cash on hand, free cash flow and borrowings under the Company's $900 million revolving credit facility (the "Revolver"). The program expired on</w:t>
      </w:r>
    </w:p>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72" w:right="279" w:bottom="1440" w:gutter="0" w:footer="0" w:header="0"/>
        </w:sectPr>
      </w:pPr>
    </w:p>
    <w:bookmarkStart w:id="102" w:name="page103"/>
    <w:bookmarkEnd w:id="102"/>
    <w:p>
      <w:pPr>
        <w:ind w:right="180"/>
        <w:spacing w:after="0" w:line="256" w:lineRule="auto"/>
        <w:rPr>
          <w:sz w:val="20"/>
          <w:szCs w:val="20"/>
          <w:color w:val="auto"/>
        </w:rPr>
      </w:pPr>
      <w:r>
        <w:rPr>
          <w:rFonts w:ascii="Arial" w:cs="Arial" w:eastAsia="Arial" w:hAnsi="Arial"/>
          <w:sz w:val="18"/>
          <w:szCs w:val="18"/>
          <w:color w:val="auto"/>
        </w:rPr>
        <w:t>October 20, 2020. The stock buyback program was intended to be implemented through purchases made from time to time in the open market or in privately negotiated transactions, in accordance with applicable Securities and Exchange Commission ("SEC") requirements. The stock buyback program did not obligate the Company to purchase any specific amount of its common stock and could have been suspended or extended at any time at the discretion of the Company's Board. During the year ended December 31, 2020, the Company purchased 553,665 shares of its common stock at a cost of $9.0 million primarily purchased with proceeds from the Company’s Revolver.</w:t>
      </w:r>
    </w:p>
    <w:p>
      <w:pPr>
        <w:spacing w:after="0" w:line="200" w:lineRule="exact"/>
        <w:rPr>
          <w:sz w:val="20"/>
          <w:szCs w:val="20"/>
          <w:color w:val="auto"/>
        </w:rPr>
      </w:pPr>
    </w:p>
    <w:p>
      <w:pPr>
        <w:spacing w:after="0" w:line="3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In April 1994, the Company’s Board authorized 30 million shares of “blank check” preferred stock. The Board is authorized to determine the rights and privileges of any future issuance of preferred stock such as voting and dividend rights, liquidation privileges, redemption rights and conversion privileges. As of December 31, 2022 and 2021, there were no shares of preferred stock outstanding.</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ind w:right="440" w:firstLine="509"/>
        <w:spacing w:after="0" w:line="286" w:lineRule="auto"/>
        <w:rPr>
          <w:sz w:val="20"/>
          <w:szCs w:val="20"/>
          <w:color w:val="auto"/>
        </w:rPr>
      </w:pPr>
      <w:r>
        <w:rPr>
          <w:rFonts w:ascii="Arial" w:cs="Arial" w:eastAsia="Arial" w:hAnsi="Arial"/>
          <w:sz w:val="16"/>
          <w:szCs w:val="16"/>
          <w:color w:val="auto"/>
        </w:rPr>
        <w:t>The Company includes the results of operations and financial position of SACM or the “joint venture”, its majority-owned subsidiary, in its consolidated financial statements. SACM was established in 2001 to operate correctional centers in South Africa. The joint venture currently provides security and other management services for the Kutama Sinthumule Correctional Centre in the Republic of South Africa under a 25-year management contract which commenced in February 2002. The Company’s and the joint venture partner’s shares in the profits of the joint venture are 88.75% and</w:t>
      </w:r>
    </w:p>
    <w:p>
      <w:pPr>
        <w:spacing w:after="0"/>
        <w:rPr>
          <w:sz w:val="20"/>
          <w:szCs w:val="20"/>
          <w:color w:val="auto"/>
        </w:rPr>
      </w:pPr>
      <w:r>
        <w:rPr>
          <w:rFonts w:ascii="Arial" w:cs="Arial" w:eastAsia="Arial" w:hAnsi="Arial"/>
          <w:sz w:val="16"/>
          <w:szCs w:val="16"/>
          <w:color w:val="auto"/>
        </w:rPr>
        <w:t>11.25%, respectively. There were no changes in the Company’s ownership percentage of the consolidated subsidiary during the years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2022, 2021 and 2020.</w:t>
      </w:r>
    </w:p>
    <w:p>
      <w:pPr>
        <w:spacing w:after="0" w:line="233"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w:t>
      </w:r>
    </w:p>
    <w:p>
      <w:pPr>
        <w:spacing w:after="0" w:line="175"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The Board has adopted The GEO Group, Inc. Amended and Restated 2018 Stock Incentive Plan (the "2018 Amended and Restated Plan"), which was approved by the Company's shareholders on April 28, 2021. The 2018 Amended and Restated Plan supersedes the previous 2018 Stock Incentive Plan. As of the date the 2018 Amended and Restated Plan was approved by the Company’s shareholders, it provided for a reserve of an additional 16,800,000 shares of common stock that may be issued pursuant to awards granted under the 2018 Amended and Restated Plan. The Company filed a Form S-8 registration statement related to the 2018 Amended and Restated Plan on June 15, 2021.</w:t>
      </w:r>
    </w:p>
    <w:p>
      <w:pPr>
        <w:spacing w:after="0" w:line="175"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Under the terms of the 2018 Amended and Restated Plan, the vesting period and, in the case of stock options, the exercise price per share, are determined by the terms of each grant agreement. All stock options that have been granted under the Company plans are exercisable at the fair market value of the common stock at the date of the grant. Generally, the stock options vest and become exercisable ratably over a four-year period. All stock options awarded under the 2018 Amended and Restated Plan expire no later than ten years after the date of the grant. When options are exercised, the Company issues shares of common stock related to the exercised options.</w:t>
      </w:r>
    </w:p>
    <w:p>
      <w:pPr>
        <w:spacing w:after="0" w:line="191"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The Company recognized compensation expense related to the Company plans for the years ended December 31, 2022, 2021 and 2020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r>
      <w:tr>
        <w:trPr>
          <w:trHeight w:val="236"/>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 plan expense</w:t>
            </w:r>
          </w:p>
        </w:tc>
        <w:tc>
          <w:tcPr>
            <w:tcW w:w="29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552</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760</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1,141</w:t>
            </w: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Restricted stock expense</w:t>
            </w:r>
          </w:p>
        </w:tc>
        <w:tc>
          <w:tcPr>
            <w:tcW w:w="32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15,652</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18,439</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22,755</w:t>
            </w:r>
          </w:p>
        </w:tc>
      </w:tr>
      <w:tr>
        <w:trPr>
          <w:trHeight w:val="660"/>
        </w:trPr>
        <w:tc>
          <w:tcPr>
            <w:tcW w:w="3700" w:type="dxa"/>
            <w:vAlign w:val="bottom"/>
          </w:tcPr>
          <w:p>
            <w:pPr>
              <w:spacing w:after="0"/>
              <w:rPr>
                <w:sz w:val="24"/>
                <w:szCs w:val="24"/>
                <w:color w:val="auto"/>
              </w:rPr>
            </w:pPr>
          </w:p>
        </w:tc>
        <w:tc>
          <w:tcPr>
            <w:tcW w:w="2920" w:type="dxa"/>
            <w:vAlign w:val="bottom"/>
          </w:tcPr>
          <w:p>
            <w:pPr>
              <w:jc w:val="right"/>
              <w:ind w:right="770"/>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3700" w:type="dxa"/>
            <w:vAlign w:val="bottom"/>
            <w:tcBorders>
              <w:bottom w:val="single" w:sz="8" w:color="9A9A9A"/>
            </w:tcBorders>
          </w:tcPr>
          <w:p>
            <w:pPr>
              <w:spacing w:after="0"/>
              <w:rPr>
                <w:sz w:val="9"/>
                <w:szCs w:val="9"/>
                <w:color w:val="auto"/>
              </w:rPr>
            </w:pPr>
          </w:p>
        </w:tc>
        <w:tc>
          <w:tcPr>
            <w:tcW w:w="29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03" w:name="page104"/>
    <w:bookmarkEnd w:id="103"/>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activity of the Company’s stock options plans is presented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restart"/>
          </w:tcPr>
          <w:p>
            <w:pPr>
              <w:jc w:val="center"/>
              <w:ind w:right="216"/>
              <w:spacing w:after="0"/>
              <w:rPr>
                <w:sz w:val="20"/>
                <w:szCs w:val="20"/>
                <w:color w:val="auto"/>
              </w:rPr>
            </w:pPr>
            <w:r>
              <w:rPr>
                <w:rFonts w:ascii="Arial" w:cs="Arial" w:eastAsia="Arial" w:hAnsi="Arial"/>
                <w:sz w:val="14"/>
                <w:szCs w:val="14"/>
                <w:b w:val="1"/>
                <w:bCs w:val="1"/>
                <w:color w:val="auto"/>
                <w:w w:val="95"/>
              </w:rPr>
              <w:t>Wtd. Avg.</w:t>
            </w:r>
          </w:p>
        </w:tc>
        <w:tc>
          <w:tcPr>
            <w:tcW w:w="40" w:type="dxa"/>
            <w:vAlign w:val="bottom"/>
          </w:tcPr>
          <w:p>
            <w:pPr>
              <w:spacing w:after="0"/>
              <w:rPr>
                <w:sz w:val="14"/>
                <w:szCs w:val="14"/>
                <w:color w:val="auto"/>
              </w:rPr>
            </w:pPr>
          </w:p>
        </w:tc>
        <w:tc>
          <w:tcPr>
            <w:tcW w:w="112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Wtd. Avg.</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Remaining</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2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96"/>
              <w:spacing w:after="0" w:line="149" w:lineRule="exact"/>
              <w:rPr>
                <w:sz w:val="20"/>
                <w:szCs w:val="20"/>
                <w:color w:val="auto"/>
              </w:rPr>
            </w:pPr>
            <w:r>
              <w:rPr>
                <w:rFonts w:ascii="Arial" w:cs="Arial" w:eastAsia="Arial" w:hAnsi="Arial"/>
                <w:sz w:val="14"/>
                <w:szCs w:val="14"/>
                <w:b w:val="1"/>
                <w:bCs w:val="1"/>
                <w:color w:val="auto"/>
                <w:w w:val="90"/>
              </w:rPr>
              <w:t>Exercise</w:t>
            </w:r>
          </w:p>
        </w:tc>
        <w:tc>
          <w:tcPr>
            <w:tcW w:w="40" w:type="dxa"/>
            <w:vAlign w:val="bottom"/>
          </w:tcPr>
          <w:p>
            <w:pPr>
              <w:spacing w:after="0"/>
              <w:rPr>
                <w:sz w:val="12"/>
                <w:szCs w:val="12"/>
                <w:color w:val="auto"/>
              </w:rPr>
            </w:pPr>
          </w:p>
        </w:tc>
        <w:tc>
          <w:tcPr>
            <w:tcW w:w="11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5"/>
        </w:trPr>
        <w:tc>
          <w:tcPr>
            <w:tcW w:w="634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3"/>
              </w:rPr>
              <w:t>Price</w:t>
            </w:r>
          </w:p>
        </w:tc>
        <w:tc>
          <w:tcPr>
            <w:tcW w:w="40" w:type="dxa"/>
            <w:vAlign w:val="bottom"/>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2"/>
              </w:rPr>
              <w:t>Term (years)</w:t>
            </w: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69"/>
        </w:trPr>
        <w:tc>
          <w:tcPr>
            <w:tcW w:w="6340" w:type="dxa"/>
            <w:vAlign w:val="bottom"/>
          </w:tcPr>
          <w:p>
            <w:pPr>
              <w:spacing w:after="0"/>
              <w:rPr>
                <w:sz w:val="14"/>
                <w:szCs w:val="14"/>
                <w:color w:val="auto"/>
              </w:rPr>
            </w:pPr>
          </w:p>
        </w:tc>
        <w:tc>
          <w:tcPr>
            <w:tcW w:w="1240" w:type="dxa"/>
            <w:vAlign w:val="bottom"/>
          </w:tcPr>
          <w:p>
            <w:pPr>
              <w:jc w:val="right"/>
              <w:ind w:right="134"/>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139"/>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43"/>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outstanding at January 1, 2022</w:t>
            </w: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1,847</w:t>
            </w:r>
          </w:p>
        </w:tc>
        <w:tc>
          <w:tcPr>
            <w:tcW w:w="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19.92</w:t>
            </w:r>
          </w:p>
        </w:tc>
        <w:tc>
          <w:tcPr>
            <w:tcW w:w="11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6.23</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6"/>
        </w:trPr>
        <w:tc>
          <w:tcPr>
            <w:tcW w:w="6340" w:type="dxa"/>
            <w:vAlign w:val="bottom"/>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5.76</w:t>
            </w: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7.52</w:t>
            </w:r>
          </w:p>
        </w:tc>
        <w:tc>
          <w:tcPr>
            <w:tcW w:w="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Forfeited/Canceled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(294 )</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16.07</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outstanding at December 31, 2022</w:t>
            </w:r>
          </w:p>
        </w:tc>
        <w:tc>
          <w:tcPr>
            <w:tcW w:w="12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1,885</w:t>
            </w:r>
          </w:p>
        </w:tc>
        <w:tc>
          <w:tcPr>
            <w:tcW w:w="2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18.03</w:t>
            </w:r>
          </w:p>
        </w:tc>
        <w:tc>
          <w:tcPr>
            <w:tcW w:w="1160" w:type="dxa"/>
            <w:vAlign w:val="bottom"/>
            <w:tcBorders>
              <w:bottom w:val="single" w:sz="8" w:color="CFF0FC"/>
            </w:tcBorders>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5.93</w:t>
            </w:r>
          </w:p>
        </w:tc>
        <w:tc>
          <w:tcPr>
            <w:tcW w:w="1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Options vested and expected to vest at December 31, 2022</w:t>
            </w: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1,826</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18.37</w:t>
            </w: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rPr>
              <w:t>5.85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exercisable at December 31, 2022</w:t>
            </w:r>
          </w:p>
        </w:tc>
        <w:tc>
          <w:tcPr>
            <w:tcW w:w="12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1,200</w:t>
            </w:r>
          </w:p>
        </w:tc>
        <w:tc>
          <w:tcPr>
            <w:tcW w:w="2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22.94</w:t>
            </w:r>
          </w:p>
        </w:tc>
        <w:tc>
          <w:tcPr>
            <w:tcW w:w="1160" w:type="dxa"/>
            <w:vAlign w:val="bottom"/>
            <w:tcBorders>
              <w:bottom w:val="single" w:sz="8" w:color="CFF0FC"/>
            </w:tcBorders>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4.63</w:t>
            </w:r>
          </w:p>
        </w:tc>
        <w:tc>
          <w:tcPr>
            <w:tcW w:w="1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4817110</wp:posOffset>
            </wp:positionH>
            <wp:positionV relativeFrom="paragraph">
              <wp:posOffset>-384810</wp:posOffset>
            </wp:positionV>
            <wp:extent cx="8255" cy="2057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205740"/>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-24765</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-7620</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8" w:lineRule="exact"/>
        <w:rPr>
          <w:sz w:val="20"/>
          <w:szCs w:val="20"/>
          <w:color w:val="auto"/>
        </w:rPr>
      </w:pPr>
    </w:p>
    <w:p>
      <w:pPr>
        <w:ind w:right="160" w:firstLine="509"/>
        <w:spacing w:after="0" w:line="311" w:lineRule="auto"/>
        <w:rPr>
          <w:sz w:val="20"/>
          <w:szCs w:val="20"/>
          <w:color w:val="auto"/>
        </w:rPr>
      </w:pPr>
      <w:r>
        <w:rPr>
          <w:rFonts w:ascii="Arial" w:cs="Arial" w:eastAsia="Arial" w:hAnsi="Arial"/>
          <w:sz w:val="16"/>
          <w:szCs w:val="16"/>
          <w:color w:val="auto"/>
        </w:rPr>
        <w:t>The aggregate intrinsic value in the table above represents the total pretax intrinsic value (i.e., the difference between the Company’s closing stock price on the last trading day of 2022 and the exercise price, times the number of shares that are “in the money”) that would have been received by the option holders had all option holders exercised their options on December 31, 2022. This amount changes based on the fair value of the Company’s stock.</w:t>
      </w:r>
    </w:p>
    <w:p>
      <w:pPr>
        <w:spacing w:after="0" w:line="148" w:lineRule="exact"/>
        <w:rPr>
          <w:sz w:val="20"/>
          <w:szCs w:val="20"/>
          <w:color w:val="auto"/>
        </w:rPr>
      </w:pPr>
    </w:p>
    <w:p>
      <w:pPr>
        <w:ind w:right="700" w:firstLine="509"/>
        <w:spacing w:after="0" w:line="277" w:lineRule="auto"/>
        <w:rPr>
          <w:sz w:val="20"/>
          <w:szCs w:val="20"/>
          <w:color w:val="auto"/>
        </w:rPr>
      </w:pPr>
      <w:r>
        <w:rPr>
          <w:rFonts w:ascii="Arial" w:cs="Arial" w:eastAsia="Arial" w:hAnsi="Arial"/>
          <w:sz w:val="18"/>
          <w:szCs w:val="18"/>
          <w:color w:val="auto"/>
        </w:rPr>
        <w:t>The following table summarizes information relative to stock option activity during the years ended December 31, 2022, 2021 and 2020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r>
      <w:tr>
        <w:trPr>
          <w:trHeight w:val="23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Intrinsic value of options exercised</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Fair value of shares vested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600</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925</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1,061</w:t>
            </w:r>
          </w:p>
        </w:tc>
      </w:tr>
    </w:tbl>
    <w:p>
      <w:pPr>
        <w:spacing w:after="0" w:line="241"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The following table summarizes information about the exercise prices and related information of stock options outstanding under the Company plans at December 31,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7"/>
              </w:rPr>
              <w:t>Options Outstanding</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6"/>
              </w:rPr>
              <w:t>Options Exercisable</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5"/>
              </w:rPr>
              <w:t>Wtd. Avg.</w:t>
            </w:r>
          </w:p>
        </w:tc>
        <w:tc>
          <w:tcPr>
            <w:tcW w:w="180" w:type="dxa"/>
            <w:vAlign w:val="bottom"/>
          </w:tcPr>
          <w:p>
            <w:pPr>
              <w:spacing w:after="0"/>
              <w:rPr>
                <w:sz w:val="11"/>
                <w:szCs w:val="11"/>
                <w:color w:val="auto"/>
              </w:rPr>
            </w:pPr>
          </w:p>
        </w:tc>
        <w:tc>
          <w:tcPr>
            <w:tcW w:w="1120" w:type="dxa"/>
            <w:vAlign w:val="bottom"/>
            <w:vMerge w:val="restart"/>
          </w:tcPr>
          <w:p>
            <w:pPr>
              <w:jc w:val="center"/>
              <w:ind w:right="217"/>
              <w:spacing w:after="0"/>
              <w:rPr>
                <w:sz w:val="20"/>
                <w:szCs w:val="20"/>
                <w:color w:val="auto"/>
              </w:rPr>
            </w:pPr>
            <w:r>
              <w:rPr>
                <w:rFonts w:ascii="Arial" w:cs="Arial" w:eastAsia="Arial" w:hAnsi="Arial"/>
                <w:sz w:val="14"/>
                <w:szCs w:val="14"/>
                <w:b w:val="1"/>
                <w:bCs w:val="1"/>
                <w:color w:val="auto"/>
              </w:rPr>
              <w:t>Wtd. Avg.</w:t>
            </w: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5"/>
              </w:rPr>
              <w:t>Wtd. Avg.</w:t>
            </w:r>
          </w:p>
        </w:tc>
        <w:tc>
          <w:tcPr>
            <w:tcW w:w="180" w:type="dxa"/>
            <w:vAlign w:val="bottom"/>
          </w:tcPr>
          <w:p>
            <w:pPr>
              <w:spacing w:after="0"/>
              <w:rPr>
                <w:sz w:val="11"/>
                <w:szCs w:val="11"/>
                <w:color w:val="auto"/>
              </w:rPr>
            </w:pPr>
          </w:p>
        </w:tc>
        <w:tc>
          <w:tcPr>
            <w:tcW w:w="1100" w:type="dxa"/>
            <w:vAlign w:val="bottom"/>
            <w:vMerge w:val="restart"/>
          </w:tcPr>
          <w:p>
            <w:pPr>
              <w:jc w:val="center"/>
              <w:ind w:right="197"/>
              <w:spacing w:after="0"/>
              <w:rPr>
                <w:sz w:val="20"/>
                <w:szCs w:val="20"/>
                <w:color w:val="auto"/>
              </w:rPr>
            </w:pPr>
            <w:r>
              <w:rPr>
                <w:rFonts w:ascii="Arial" w:cs="Arial" w:eastAsia="Arial" w:hAnsi="Arial"/>
                <w:sz w:val="14"/>
                <w:szCs w:val="14"/>
                <w:b w:val="1"/>
                <w:bCs w:val="1"/>
                <w:color w:val="auto"/>
              </w:rPr>
              <w:t>Wtd. Avg.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112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110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Exercise Prices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20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Life</w:t>
            </w:r>
          </w:p>
        </w:tc>
        <w:tc>
          <w:tcPr>
            <w:tcW w:w="180" w:type="dxa"/>
            <w:vAlign w:val="bottom"/>
          </w:tcPr>
          <w:p>
            <w:pPr>
              <w:spacing w:after="0"/>
              <w:rPr>
                <w:sz w:val="15"/>
                <w:szCs w:val="15"/>
                <w:color w:val="auto"/>
              </w:rPr>
            </w:pPr>
          </w:p>
        </w:tc>
        <w:tc>
          <w:tcPr>
            <w:tcW w:w="1120" w:type="dxa"/>
            <w:vAlign w:val="bottom"/>
          </w:tcPr>
          <w:p>
            <w:pPr>
              <w:jc w:val="center"/>
              <w:ind w:right="197"/>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5"/>
                <w:szCs w:val="15"/>
                <w:color w:val="auto"/>
              </w:rPr>
            </w:pPr>
          </w:p>
        </w:tc>
        <w:tc>
          <w:tcPr>
            <w:tcW w:w="1160" w:type="dxa"/>
            <w:vAlign w:val="bottom"/>
          </w:tcPr>
          <w:p>
            <w:pPr>
              <w:jc w:val="right"/>
              <w:ind w:right="202"/>
              <w:spacing w:after="0"/>
              <w:rPr>
                <w:sz w:val="20"/>
                <w:szCs w:val="20"/>
                <w:color w:val="auto"/>
              </w:rPr>
            </w:pPr>
            <w:r>
              <w:rPr>
                <w:rFonts w:ascii="Arial" w:cs="Arial" w:eastAsia="Arial" w:hAnsi="Arial"/>
                <w:sz w:val="14"/>
                <w:szCs w:val="14"/>
                <w:b w:val="1"/>
                <w:bCs w:val="1"/>
                <w:color w:val="auto"/>
              </w:rPr>
              <w:t>Exercisable</w:t>
            </w:r>
          </w:p>
        </w:tc>
        <w:tc>
          <w:tcPr>
            <w:tcW w:w="12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Life</w:t>
            </w:r>
          </w:p>
        </w:tc>
        <w:tc>
          <w:tcPr>
            <w:tcW w:w="180" w:type="dxa"/>
            <w:vAlign w:val="bottom"/>
          </w:tcPr>
          <w:p>
            <w:pPr>
              <w:spacing w:after="0"/>
              <w:rPr>
                <w:sz w:val="15"/>
                <w:szCs w:val="15"/>
                <w:color w:val="auto"/>
              </w:rPr>
            </w:pPr>
          </w:p>
        </w:tc>
        <w:tc>
          <w:tcPr>
            <w:tcW w:w="1100" w:type="dxa"/>
            <w:vAlign w:val="bottom"/>
          </w:tcPr>
          <w:p>
            <w:pPr>
              <w:jc w:val="center"/>
              <w:ind w:right="21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160" w:type="dxa"/>
            <w:vAlign w:val="bottom"/>
          </w:tcPr>
          <w:p>
            <w:pPr>
              <w:spacing w:after="0"/>
              <w:rPr>
                <w:sz w:val="15"/>
                <w:szCs w:val="15"/>
                <w:color w:val="auto"/>
              </w:rPr>
            </w:pPr>
          </w:p>
        </w:tc>
        <w:tc>
          <w:tcPr>
            <w:tcW w:w="1200" w:type="dxa"/>
            <w:vAlign w:val="bottom"/>
            <w:tcBorders>
              <w:top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0-18.23</w:t>
            </w:r>
          </w:p>
        </w:tc>
        <w:tc>
          <w:tcPr>
            <w:tcW w:w="2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849</w:t>
            </w:r>
          </w:p>
        </w:tc>
        <w:tc>
          <w:tcPr>
            <w:tcW w:w="13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8.11</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9.46</w:t>
            </w:r>
          </w:p>
        </w:tc>
        <w:tc>
          <w:tcPr>
            <w:tcW w:w="1280" w:type="dxa"/>
            <w:vAlign w:val="bottom"/>
            <w:gridSpan w:val="2"/>
            <w:shd w:val="clear" w:color="auto" w:fill="CFF0FC"/>
          </w:tcPr>
          <w:p>
            <w:pPr>
              <w:jc w:val="right"/>
              <w:ind w:right="42"/>
              <w:spacing w:after="0"/>
              <w:rPr>
                <w:sz w:val="20"/>
                <w:szCs w:val="20"/>
                <w:color w:val="auto"/>
              </w:rPr>
            </w:pPr>
            <w:r>
              <w:rPr>
                <w:rFonts w:ascii="Arial" w:cs="Arial" w:eastAsia="Arial" w:hAnsi="Arial"/>
                <w:sz w:val="18"/>
                <w:szCs w:val="18"/>
                <w:color w:val="auto"/>
              </w:rPr>
              <w:t>214</w:t>
            </w:r>
          </w:p>
        </w:tc>
        <w:tc>
          <w:tcPr>
            <w:tcW w:w="12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36"/>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18.24-22.26</w:t>
            </w:r>
          </w:p>
        </w:tc>
        <w:tc>
          <w:tcPr>
            <w:tcW w:w="2160" w:type="dxa"/>
            <w:vAlign w:val="bottom"/>
          </w:tcPr>
          <w:p>
            <w:pPr>
              <w:spacing w:after="0"/>
              <w:rPr>
                <w:sz w:val="20"/>
                <w:szCs w:val="20"/>
                <w:color w:val="auto"/>
              </w:rPr>
            </w:pPr>
          </w:p>
        </w:tc>
        <w:tc>
          <w:tcPr>
            <w:tcW w:w="1200" w:type="dxa"/>
            <w:vAlign w:val="bottom"/>
          </w:tcPr>
          <w:p>
            <w:pPr>
              <w:jc w:val="right"/>
              <w:ind w:right="57"/>
              <w:spacing w:after="0"/>
              <w:rPr>
                <w:sz w:val="20"/>
                <w:szCs w:val="20"/>
                <w:color w:val="auto"/>
              </w:rPr>
            </w:pPr>
            <w:r>
              <w:rPr>
                <w:rFonts w:ascii="Arial" w:cs="Arial" w:eastAsia="Arial" w:hAnsi="Arial"/>
                <w:sz w:val="18"/>
                <w:szCs w:val="18"/>
                <w:color w:val="auto"/>
              </w:rPr>
              <w:t>439</w:t>
            </w:r>
          </w:p>
        </w:tc>
        <w:tc>
          <w:tcPr>
            <w:tcW w:w="1320" w:type="dxa"/>
            <w:vAlign w:val="bottom"/>
            <w:gridSpan w:val="2"/>
          </w:tcPr>
          <w:p>
            <w:pPr>
              <w:jc w:val="right"/>
              <w:ind w:right="48"/>
              <w:spacing w:after="0"/>
              <w:rPr>
                <w:sz w:val="20"/>
                <w:szCs w:val="20"/>
                <w:color w:val="auto"/>
              </w:rPr>
            </w:pPr>
            <w:r>
              <w:rPr>
                <w:rFonts w:ascii="Arial" w:cs="Arial" w:eastAsia="Arial" w:hAnsi="Arial"/>
                <w:sz w:val="18"/>
                <w:szCs w:val="18"/>
                <w:color w:val="auto"/>
              </w:rPr>
              <w:t>4.02</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20.95</w:t>
            </w:r>
          </w:p>
        </w:tc>
        <w:tc>
          <w:tcPr>
            <w:tcW w:w="1280" w:type="dxa"/>
            <w:vAlign w:val="bottom"/>
            <w:gridSpan w:val="2"/>
          </w:tcPr>
          <w:p>
            <w:pPr>
              <w:jc w:val="right"/>
              <w:ind w:right="42"/>
              <w:spacing w:after="0"/>
              <w:rPr>
                <w:sz w:val="20"/>
                <w:szCs w:val="20"/>
                <w:color w:val="auto"/>
              </w:rPr>
            </w:pPr>
            <w:r>
              <w:rPr>
                <w:rFonts w:ascii="Arial" w:cs="Arial" w:eastAsia="Arial" w:hAnsi="Arial"/>
                <w:sz w:val="18"/>
                <w:szCs w:val="18"/>
                <w:color w:val="auto"/>
              </w:rPr>
              <w:t>439</w:t>
            </w:r>
          </w:p>
        </w:tc>
        <w:tc>
          <w:tcPr>
            <w:tcW w:w="1280" w:type="dxa"/>
            <w:vAlign w:val="bottom"/>
            <w:gridSpan w:val="2"/>
          </w:tcPr>
          <w:p>
            <w:pPr>
              <w:jc w:val="right"/>
              <w:ind w:right="48"/>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49"/>
        </w:trPr>
        <w:tc>
          <w:tcPr>
            <w:tcW w:w="1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22.27-29.39</w:t>
            </w:r>
          </w:p>
        </w:tc>
        <w:tc>
          <w:tcPr>
            <w:tcW w:w="2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359</w:t>
            </w:r>
          </w:p>
        </w:tc>
        <w:tc>
          <w:tcPr>
            <w:tcW w:w="13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4.40</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25.31</w:t>
            </w:r>
          </w:p>
        </w:tc>
        <w:tc>
          <w:tcPr>
            <w:tcW w:w="1280" w:type="dxa"/>
            <w:vAlign w:val="bottom"/>
            <w:gridSpan w:val="2"/>
            <w:shd w:val="clear" w:color="auto" w:fill="CFF0FC"/>
          </w:tcPr>
          <w:p>
            <w:pPr>
              <w:jc w:val="right"/>
              <w:ind w:right="42"/>
              <w:spacing w:after="0"/>
              <w:rPr>
                <w:sz w:val="20"/>
                <w:szCs w:val="20"/>
                <w:color w:val="auto"/>
              </w:rPr>
            </w:pPr>
            <w:r>
              <w:rPr>
                <w:rFonts w:ascii="Arial" w:cs="Arial" w:eastAsia="Arial" w:hAnsi="Arial"/>
                <w:sz w:val="18"/>
                <w:szCs w:val="18"/>
                <w:color w:val="auto"/>
              </w:rPr>
              <w:t>309</w:t>
            </w:r>
          </w:p>
        </w:tc>
        <w:tc>
          <w:tcPr>
            <w:tcW w:w="12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43"/>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29.40-45.00</w:t>
            </w:r>
          </w:p>
        </w:tc>
        <w:tc>
          <w:tcPr>
            <w:tcW w:w="2160" w:type="dxa"/>
            <w:vAlign w:val="bottom"/>
          </w:tcPr>
          <w:p>
            <w:pPr>
              <w:spacing w:after="0"/>
              <w:rPr>
                <w:sz w:val="21"/>
                <w:szCs w:val="21"/>
                <w:color w:val="auto"/>
              </w:rPr>
            </w:pPr>
          </w:p>
        </w:tc>
        <w:tc>
          <w:tcPr>
            <w:tcW w:w="1200" w:type="dxa"/>
            <w:vAlign w:val="bottom"/>
          </w:tcPr>
          <w:p>
            <w:pPr>
              <w:jc w:val="right"/>
              <w:ind w:right="57"/>
              <w:spacing w:after="0"/>
              <w:rPr>
                <w:sz w:val="20"/>
                <w:szCs w:val="20"/>
                <w:color w:val="auto"/>
              </w:rPr>
            </w:pPr>
            <w:r>
              <w:rPr>
                <w:rFonts w:ascii="Arial" w:cs="Arial" w:eastAsia="Arial" w:hAnsi="Arial"/>
                <w:sz w:val="18"/>
                <w:szCs w:val="18"/>
                <w:color w:val="auto"/>
              </w:rPr>
              <w:t>238</w:t>
            </w:r>
          </w:p>
        </w:tc>
        <w:tc>
          <w:tcPr>
            <w:tcW w:w="1320" w:type="dxa"/>
            <w:vAlign w:val="bottom"/>
            <w:gridSpan w:val="2"/>
          </w:tcPr>
          <w:p>
            <w:pPr>
              <w:jc w:val="right"/>
              <w:ind w:right="48"/>
              <w:spacing w:after="0"/>
              <w:rPr>
                <w:sz w:val="20"/>
                <w:szCs w:val="20"/>
                <w:color w:val="auto"/>
              </w:rPr>
            </w:pPr>
            <w:r>
              <w:rPr>
                <w:rFonts w:ascii="Arial" w:cs="Arial" w:eastAsia="Arial" w:hAnsi="Arial"/>
                <w:sz w:val="18"/>
                <w:szCs w:val="18"/>
                <w:color w:val="auto"/>
              </w:rPr>
              <w:t>4.06</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32.27</w:t>
            </w:r>
          </w:p>
        </w:tc>
        <w:tc>
          <w:tcPr>
            <w:tcW w:w="1280" w:type="dxa"/>
            <w:vAlign w:val="bottom"/>
            <w:gridSpan w:val="2"/>
          </w:tcPr>
          <w:p>
            <w:pPr>
              <w:jc w:val="right"/>
              <w:ind w:right="42"/>
              <w:spacing w:after="0"/>
              <w:rPr>
                <w:sz w:val="20"/>
                <w:szCs w:val="20"/>
                <w:color w:val="auto"/>
              </w:rPr>
            </w:pPr>
            <w:r>
              <w:rPr>
                <w:rFonts w:ascii="Arial" w:cs="Arial" w:eastAsia="Arial" w:hAnsi="Arial"/>
                <w:sz w:val="18"/>
                <w:szCs w:val="18"/>
                <w:color w:val="auto"/>
              </w:rPr>
              <w:t>238</w:t>
            </w:r>
          </w:p>
        </w:tc>
        <w:tc>
          <w:tcPr>
            <w:tcW w:w="1280" w:type="dxa"/>
            <w:vAlign w:val="bottom"/>
            <w:gridSpan w:val="2"/>
          </w:tcPr>
          <w:p>
            <w:pPr>
              <w:jc w:val="right"/>
              <w:ind w:right="48"/>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33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1,885</w:t>
            </w:r>
          </w:p>
        </w:tc>
        <w:tc>
          <w:tcPr>
            <w:tcW w:w="1320" w:type="dxa"/>
            <w:vAlign w:val="bottom"/>
            <w:tcBorders>
              <w:bottom w:val="single" w:sz="8" w:color="CFF0FC"/>
            </w:tcBorders>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5.93</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18.03</w:t>
            </w:r>
          </w:p>
        </w:tc>
        <w:tc>
          <w:tcPr>
            <w:tcW w:w="12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1,200</w:t>
            </w:r>
          </w:p>
        </w:tc>
        <w:tc>
          <w:tcPr>
            <w:tcW w:w="1280" w:type="dxa"/>
            <w:vAlign w:val="bottom"/>
            <w:tcBorders>
              <w:bottom w:val="single" w:sz="8" w:color="CFF0FC"/>
            </w:tcBorders>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2865120</wp:posOffset>
            </wp:positionH>
            <wp:positionV relativeFrom="paragraph">
              <wp:posOffset>-24765</wp:posOffset>
            </wp:positionV>
            <wp:extent cx="857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2865120</wp:posOffset>
            </wp:positionH>
            <wp:positionV relativeFrom="paragraph">
              <wp:posOffset>-7620</wp:posOffset>
            </wp:positionV>
            <wp:extent cx="857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-24765</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-7620</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8"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The weighted average grant date fair value of options granted during the year ended December 31, 2022, 2021 and 2020 was $2.49, $0.79 and $1.59 per share, respectively. There were 0.3 million, 0.5 million and 0.5 million options granted during the year ended December 31, 2022, 2021 and 2020,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4" w:name="page105"/>
    <w:bookmarkEnd w:id="104"/>
    <w:p>
      <w:pPr>
        <w:ind w:left="520"/>
        <w:spacing w:after="0"/>
        <w:rPr>
          <w:sz w:val="20"/>
          <w:szCs w:val="20"/>
          <w:color w:val="auto"/>
        </w:rPr>
      </w:pPr>
      <w:r>
        <w:rPr>
          <w:rFonts w:ascii="Arial" w:cs="Arial" w:eastAsia="Arial" w:hAnsi="Arial"/>
          <w:sz w:val="16"/>
          <w:szCs w:val="16"/>
          <w:color w:val="auto"/>
        </w:rPr>
        <w:t>The following table summarizes the status of non-vested stock options as of December 31, 2022 and changes during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66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Number of Shares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ind w:right="295"/>
              <w:spacing w:after="0"/>
              <w:rPr>
                <w:sz w:val="20"/>
                <w:szCs w:val="20"/>
                <w:color w:val="auto"/>
              </w:rPr>
            </w:pPr>
            <w:r>
              <w:rPr>
                <w:rFonts w:ascii="Arial" w:cs="Arial" w:eastAsia="Arial" w:hAnsi="Arial"/>
                <w:sz w:val="14"/>
                <w:szCs w:val="14"/>
                <w:b w:val="1"/>
                <w:bCs w:val="1"/>
                <w:color w:val="auto"/>
              </w:rPr>
              <w:t>Wtd. Avg. Grant</w:t>
            </w:r>
          </w:p>
        </w:tc>
        <w:tc>
          <w:tcPr>
            <w:tcW w:w="0" w:type="dxa"/>
            <w:vAlign w:val="bottom"/>
          </w:tcPr>
          <w:p>
            <w:pPr>
              <w:spacing w:after="0"/>
              <w:rPr>
                <w:sz w:val="1"/>
                <w:szCs w:val="1"/>
                <w:color w:val="auto"/>
              </w:rPr>
            </w:pPr>
          </w:p>
        </w:tc>
      </w:tr>
      <w:tr>
        <w:trPr>
          <w:trHeight w:val="185"/>
        </w:trPr>
        <w:tc>
          <w:tcPr>
            <w:tcW w:w="7740" w:type="dxa"/>
            <w:vAlign w:val="bottom"/>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69"/>
        </w:trPr>
        <w:tc>
          <w:tcPr>
            <w:tcW w:w="7740" w:type="dxa"/>
            <w:vAlign w:val="bottom"/>
          </w:tcPr>
          <w:p>
            <w:pPr>
              <w:spacing w:after="0"/>
              <w:rPr>
                <w:sz w:val="14"/>
                <w:szCs w:val="14"/>
                <w:color w:val="auto"/>
              </w:rPr>
            </w:pPr>
          </w:p>
        </w:tc>
        <w:tc>
          <w:tcPr>
            <w:tcW w:w="1660" w:type="dxa"/>
            <w:vAlign w:val="bottom"/>
          </w:tcPr>
          <w:p>
            <w:pPr>
              <w:jc w:val="right"/>
              <w:ind w:right="355"/>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non-vested at January 1, 2022</w:t>
            </w:r>
          </w:p>
        </w:tc>
        <w:tc>
          <w:tcPr>
            <w:tcW w:w="16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682</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ind w:right="35"/>
              <w:spacing w:after="0"/>
              <w:rPr>
                <w:sz w:val="20"/>
                <w:szCs w:val="20"/>
                <w:color w:val="auto"/>
              </w:rPr>
            </w:pPr>
            <w:r>
              <w:rPr>
                <w:rFonts w:ascii="Arial" w:cs="Arial" w:eastAsia="Arial" w:hAnsi="Arial"/>
                <w:sz w:val="18"/>
                <w:szCs w:val="18"/>
                <w:color w:val="auto"/>
              </w:rPr>
              <w:t>342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(258 )</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(294 )</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non-vested at December 31, 2022</w:t>
            </w:r>
          </w:p>
        </w:tc>
        <w:tc>
          <w:tcPr>
            <w:tcW w:w="16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472</w:t>
            </w:r>
          </w:p>
        </w:tc>
        <w:tc>
          <w:tcPr>
            <w:tcW w:w="3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-24765</wp:posOffset>
            </wp:positionV>
            <wp:extent cx="1111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1111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8"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As of December 31, 2022, the Company had $0.8 million of unrecognized compensation costs related to non-vested stock option awards that are expected to be recognized over a weighted average period of 2.7 years.</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ind w:right="160" w:firstLine="509"/>
        <w:spacing w:after="0" w:line="275" w:lineRule="auto"/>
        <w:rPr>
          <w:sz w:val="20"/>
          <w:szCs w:val="20"/>
          <w:color w:val="auto"/>
        </w:rPr>
      </w:pPr>
      <w:r>
        <w:rPr>
          <w:rFonts w:ascii="Arial" w:cs="Arial" w:eastAsia="Arial" w:hAnsi="Arial"/>
          <w:sz w:val="17"/>
          <w:szCs w:val="17"/>
          <w:color w:val="auto"/>
        </w:rPr>
        <w:t>During the year ended December 31, 2022, the Company granted approximately 1,835,592 shares of restricted stock to certain employees and executive officers. Of these awards, 1,025,000 are market and performance-based awards that will be forfeited if the Company does not achieve certain annual metrics during 2022, 2023 and 2024. The fair value of restricted stock awards, which do not contain a market-based condition, is determined using the closing price of the Company’s common stock on the date of the grant and compensation expense is recognized over the vesting period. Generally, the restricted stock awards vest in equal increments over either a three or four-year period.</w:t>
      </w:r>
    </w:p>
    <w:p>
      <w:pPr>
        <w:spacing w:after="0" w:line="175"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The vesting of market and performance-based restricted stock grants awarded in 2022 are subject to the achievement by GEO of two annual performance metrics as follows: (i) up to 50% of the shares of restricted stock ("TSR Target Award") can vest at the end of a three-year performance period if GEO meets certain total shareholder return ("TSR") performance targets, as compared to the total shareholder return of a peer group of companies, over a three year period from January 1, 2022 to December 31, 2024 and (ii) up to 50% of the shares of restricted stock ("ROCE Target Award") can vest at the end of a three-year period if GEO meets certain return on capital employed ("ROCE") performance targets over a three year period from January 1, 2022 to December 31, 2024. These market and performance awards can vest at between 0% and 200% of the target awards for both metrics. The number of shares shown for the market and performance-based awards is based on the target awards for both metrics.</w:t>
      </w:r>
    </w:p>
    <w:p>
      <w:pPr>
        <w:spacing w:after="0" w:line="181" w:lineRule="exact"/>
        <w:rPr>
          <w:sz w:val="20"/>
          <w:szCs w:val="20"/>
          <w:color w:val="auto"/>
        </w:rPr>
      </w:pPr>
    </w:p>
    <w:p>
      <w:pPr>
        <w:jc w:val="both"/>
        <w:ind w:right="480" w:firstLine="509"/>
        <w:spacing w:after="0" w:line="263" w:lineRule="auto"/>
        <w:rPr>
          <w:sz w:val="20"/>
          <w:szCs w:val="20"/>
          <w:color w:val="auto"/>
        </w:rPr>
      </w:pPr>
      <w:r>
        <w:rPr>
          <w:rFonts w:ascii="Arial" w:cs="Arial" w:eastAsia="Arial" w:hAnsi="Arial"/>
          <w:sz w:val="18"/>
          <w:szCs w:val="18"/>
          <w:color w:val="auto"/>
        </w:rPr>
        <w:t>During the year ended December 31, 2021, the Company granted approximately 1,551,000 shares of restricted stock to certain employees and executive officers. Of these awards, 919,000 are market and performance-based awards that will be forfeited if the Company does not achieve certain annual metrics over a three-year period from January 1, 2021 to December 31, 2023.</w:t>
      </w:r>
    </w:p>
    <w:p>
      <w:pPr>
        <w:spacing w:after="0" w:line="183"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The vesting of the market and performance-based restricted stock grants awarded in 2021 are subject to the achievement by GEO of two annual performance metrics as follows: (i) up to 50% of the TSR Target Award can vest at the end of a three-year performance period if GEO meets certain TSR performance targets, as compared to the total shareholder return of a peer group of companies, over a three year period from January 1, 2021 to December 31, 2023; and (ii) up to 50% of the ROCE Target Award can vest at the end of a three-year performance period if GEO meets certain ROCE performance targets over a three year period from January 1, 2021 to December 31, 2023. Certain of these performance-based restricted stock grants can vest over a one-year period if GEO meets certain performance targets, as mentioned above, over a three-year period from January 1, 2021 to December 31, 2023. These market and performance-based awards can vest at between 0% and 200% of the target awards for both metrics. The number of shares shown for the market and performance-based awards is based on the target awards for both metrics.</w:t>
      </w:r>
    </w:p>
    <w:p>
      <w:pPr>
        <w:spacing w:after="0" w:line="182" w:lineRule="exact"/>
        <w:rPr>
          <w:sz w:val="20"/>
          <w:szCs w:val="20"/>
          <w:color w:val="auto"/>
        </w:rPr>
      </w:pPr>
    </w:p>
    <w:p>
      <w:pPr>
        <w:ind w:right="340" w:firstLine="509"/>
        <w:spacing w:after="0" w:line="263" w:lineRule="auto"/>
        <w:rPr>
          <w:sz w:val="20"/>
          <w:szCs w:val="20"/>
          <w:color w:val="auto"/>
        </w:rPr>
      </w:pPr>
      <w:r>
        <w:rPr>
          <w:rFonts w:ascii="Arial" w:cs="Arial" w:eastAsia="Arial" w:hAnsi="Arial"/>
          <w:sz w:val="18"/>
          <w:szCs w:val="18"/>
          <w:color w:val="auto"/>
        </w:rPr>
        <w:t>During the year ended December 31, 2020, the Company granted 900,000 shares of restricted stock to its executive officers and to certain senior employees. Of these awards, 360,000 are market and performance-based awards that will be forfeited if the Company does not achieve certain annual metrics over a three-year period from January 1, 2020 to December 31, 2022.</w:t>
      </w:r>
    </w:p>
    <w:p>
      <w:pPr>
        <w:spacing w:after="0" w:line="183" w:lineRule="exact"/>
        <w:rPr>
          <w:sz w:val="20"/>
          <w:szCs w:val="20"/>
          <w:color w:val="auto"/>
        </w:rPr>
      </w:pPr>
    </w:p>
    <w:p>
      <w:pPr>
        <w:ind w:right="140" w:firstLine="509"/>
        <w:spacing w:after="0" w:line="254" w:lineRule="auto"/>
        <w:rPr>
          <w:sz w:val="20"/>
          <w:szCs w:val="20"/>
          <w:color w:val="auto"/>
        </w:rPr>
      </w:pPr>
      <w:r>
        <w:rPr>
          <w:rFonts w:ascii="Arial" w:cs="Arial" w:eastAsia="Arial" w:hAnsi="Arial"/>
          <w:sz w:val="18"/>
          <w:szCs w:val="18"/>
          <w:color w:val="auto"/>
        </w:rPr>
        <w:t>The vesting of the market and performance-based restricted stock grants awarded in 2020 are subject to the achievement by GEO of two annual performance metrics as follows: (i) up to 50% of the TSR Target Award can vest at the end of a three-year performance period if GEO meets certain TSR performance targets, as compared to the total shareholder return of a peer group of companies, over a three year period from January 1, 2020 to December 31, 2022; and (ii) up to 50% of the ROCE Target Award can vest at the end of a three-year period if GEO meets certain ROCE performance targets over a three year period from January 1, 2020 to December 31, 2022. These performance awards can vest at the end of the three-year performance period at between 0% and 200% of the target awards for both metrics. The number of shares shown for the performance-based awards is based on the target awards for both metrics.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05" w:name="page106"/>
    <w:bookmarkEnd w:id="105"/>
    <w:p>
      <w:pPr>
        <w:ind w:right="20" w:firstLine="509"/>
        <w:spacing w:after="0" w:line="301" w:lineRule="auto"/>
        <w:rPr>
          <w:sz w:val="20"/>
          <w:szCs w:val="20"/>
          <w:color w:val="auto"/>
        </w:rPr>
      </w:pPr>
      <w:r>
        <w:rPr>
          <w:rFonts w:ascii="Arial" w:cs="Arial" w:eastAsia="Arial" w:hAnsi="Arial"/>
          <w:sz w:val="16"/>
          <w:szCs w:val="16"/>
          <w:color w:val="auto"/>
        </w:rPr>
        <w:t>The metric related to TSR is considered to be a market condition. For share-based awards that contain a market condition, the probability of satisfying the market condition must be considered in the estimate of grant-date fair value. Compensation expense is recognized over the vesting period and previously recorded compensation expense is not reversed if the market condition is never met. Refer to Note 1 - Summary of Business Organization, Operations and Significant Accounting Policies-</w:t>
      </w:r>
      <w:r>
        <w:rPr>
          <w:rFonts w:ascii="Arial" w:cs="Arial" w:eastAsia="Arial" w:hAnsi="Arial"/>
          <w:sz w:val="16"/>
          <w:szCs w:val="16"/>
          <w:b w:val="1"/>
          <w:bCs w:val="1"/>
          <w:i w:val="1"/>
          <w:iCs w:val="1"/>
          <w:color w:val="auto"/>
        </w:rPr>
        <w:t>Stock-Based Compensation Expense,</w:t>
      </w:r>
      <w:r>
        <w:rPr>
          <w:rFonts w:ascii="Arial" w:cs="Arial" w:eastAsia="Arial" w:hAnsi="Arial"/>
          <w:sz w:val="16"/>
          <w:szCs w:val="16"/>
          <w:color w:val="auto"/>
        </w:rPr>
        <w:t xml:space="preserve"> for the assumptions and method used to value these awards.</w:t>
      </w:r>
    </w:p>
    <w:p>
      <w:pPr>
        <w:spacing w:after="0" w:line="156"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The metric related to ROCE is considered to be a performance condition. For share-based awards that contain a performance condition, the achievement of the targets must be probable before any share-based compensation expense is recorded. The Company reviews the likelihood of which target in the range will be achieved and if deemed probable, compensation expense is recorded at that time. If subsequent to the initial measurement there is a change in the estimate of the probability of meeting the performance condition, the effect of the change in the estimated quantity of awards expected to vest is recognized by cumulatively adjusting compensation expense. If ultimately the performance targets are not met, for any awards where vesting was previously deemed probable, previously recognized compensation expense will be reversed in the period in which vesting is no longer deemed probable. During 2022, 2021 and 2020, the Company deemed the achievement of the target award to be probable and there were no changes in the estimated quantity of awards expected to vest. The fair value of these awards was determined based on the closing price of the Company's common stock on the date of grant.</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status of restricted stock awards as of December 31, 2022 and changes during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center"/>
              <w:ind w:right="297"/>
              <w:spacing w:after="0"/>
              <w:rPr>
                <w:sz w:val="20"/>
                <w:szCs w:val="20"/>
                <w:color w:val="auto"/>
              </w:rPr>
            </w:pPr>
            <w:r>
              <w:rPr>
                <w:rFonts w:ascii="Arial" w:cs="Arial" w:eastAsia="Arial" w:hAnsi="Arial"/>
                <w:sz w:val="14"/>
                <w:szCs w:val="14"/>
                <w:b w:val="1"/>
                <w:bCs w:val="1"/>
                <w:color w:val="auto"/>
                <w:w w:val="95"/>
              </w:rPr>
              <w:t>Wtd. Avg.</w:t>
            </w:r>
          </w:p>
        </w:tc>
        <w:tc>
          <w:tcPr>
            <w:tcW w:w="0" w:type="dxa"/>
            <w:vAlign w:val="bottom"/>
          </w:tcPr>
          <w:p>
            <w:pPr>
              <w:spacing w:after="0"/>
              <w:rPr>
                <w:sz w:val="1"/>
                <w:szCs w:val="1"/>
                <w:color w:val="auto"/>
              </w:rPr>
            </w:pPr>
          </w:p>
        </w:tc>
      </w:tr>
      <w:tr>
        <w:trPr>
          <w:trHeight w:val="148"/>
        </w:trPr>
        <w:tc>
          <w:tcPr>
            <w:tcW w:w="7740" w:type="dxa"/>
            <w:vAlign w:val="bottom"/>
          </w:tcPr>
          <w:p>
            <w:pPr>
              <w:spacing w:after="0"/>
              <w:rPr>
                <w:sz w:val="12"/>
                <w:szCs w:val="12"/>
                <w:color w:val="auto"/>
              </w:rPr>
            </w:pPr>
          </w:p>
        </w:tc>
        <w:tc>
          <w:tcPr>
            <w:tcW w:w="1660" w:type="dxa"/>
            <w:vAlign w:val="bottom"/>
            <w:vMerge w:val="restart"/>
          </w:tcPr>
          <w:p>
            <w:pPr>
              <w:jc w:val="right"/>
              <w:ind w:right="595"/>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center"/>
              <w:ind w:right="29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5"/>
        </w:trPr>
        <w:tc>
          <w:tcPr>
            <w:tcW w:w="7740" w:type="dxa"/>
            <w:vAlign w:val="bottom"/>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97"/>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69"/>
        </w:trPr>
        <w:tc>
          <w:tcPr>
            <w:tcW w:w="7740" w:type="dxa"/>
            <w:vAlign w:val="bottom"/>
          </w:tcPr>
          <w:p>
            <w:pPr>
              <w:spacing w:after="0"/>
              <w:rPr>
                <w:sz w:val="14"/>
                <w:szCs w:val="14"/>
                <w:color w:val="auto"/>
              </w:rPr>
            </w:pPr>
          </w:p>
        </w:tc>
        <w:tc>
          <w:tcPr>
            <w:tcW w:w="1660" w:type="dxa"/>
            <w:vAlign w:val="bottom"/>
          </w:tcPr>
          <w:p>
            <w:pPr>
              <w:jc w:val="right"/>
              <w:ind w:right="355"/>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stock outstanding at January 1, 2022</w:t>
            </w:r>
          </w:p>
        </w:tc>
        <w:tc>
          <w:tcPr>
            <w:tcW w:w="16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2,619</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ind w:right="35"/>
              <w:spacing w:after="0"/>
              <w:rPr>
                <w:sz w:val="20"/>
                <w:szCs w:val="20"/>
                <w:color w:val="auto"/>
              </w:rPr>
            </w:pPr>
            <w:r>
              <w:rPr>
                <w:rFonts w:ascii="Arial" w:cs="Arial" w:eastAsia="Arial" w:hAnsi="Arial"/>
                <w:sz w:val="18"/>
                <w:szCs w:val="18"/>
                <w:color w:val="auto"/>
              </w:rPr>
              <w:t>1,836</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37"/>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(807 )</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Forfeited/Canceled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(53 )</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ind w:right="37"/>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Restricted stock outstanding at December 31, 2022</w:t>
            </w:r>
          </w:p>
        </w:tc>
        <w:tc>
          <w:tcPr>
            <w:tcW w:w="16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3,595</w:t>
            </w:r>
          </w:p>
        </w:tc>
        <w:tc>
          <w:tcPr>
            <w:tcW w:w="4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-24765</wp:posOffset>
            </wp:positionV>
            <wp:extent cx="1111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1111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8"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As of December 31, 2022, the Company had $14.0 million of unrecognized compensation cost that is expected to be recognized over a weighted average period of 2.1 years.</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The Company previously adopted The GEO Group, Inc. 2011 Employee Stock Purchase Plan (the “Plan" or "ESPP”) effective July 9, 2011. The Company has since amended and restated the Plan (the “Amended ESPP”) which was approved by the Company’s shareholders on April 28, 2021, and became effective on July 9, 2021. The purpose of the Amended ESPP, which is qualified under Section 423 of the Code, is to encourage stock ownership through payroll deductions by the employees of GEO and designated subsidiaries of GEO in order to increase their identification with the Company’s goals and secure a proprietary interest in the Company’s success. These deductions are used to purchase shares of the Company’s Common Stock at a 5% discount from the then current market price. The maximum number of shares of common stock reserved for issuance over the term of the Amended ESPP on the amended effective date shall not exceed 506,023 shares.</w:t>
      </w:r>
    </w:p>
    <w:p>
      <w:pPr>
        <w:spacing w:after="0" w:line="181"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The Amended ESPP is considered to be non-compensatory. As such, there is no compensation expense required to be recognized. Share purchases under the Amended ESPP are made on the last day of each month. During the years ended December 31, 2022, 2021 and 2020, 25,573, 42,627 and 49,896 shares of common stock, respectively, were issued in connection with the Plan.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06" w:name="page107"/>
    <w:bookmarkEnd w:id="106"/>
    <w:p>
      <w:pPr>
        <w:ind w:left="520" w:hanging="512"/>
        <w:spacing w:after="0"/>
        <w:tabs>
          <w:tab w:leader="none" w:pos="5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Basic earnings per share of common stock is computed by dividing the net income attributable to The GEO Group, Inc. available to common stockholders by the weighted-average number of common shares outstanding for the period. Net income attributable to The GEO Group, Inc. available to common stockholders represents net income attributable to The GEO Group, Inc. reduced by an allocation of earnings to participating securities. The 6.50% Exchangeable Notes due 2026, which contain non-forfeitable rights to dividends declared and paid on the shares of common stock, are participating securities and are included in the computation of earnings per share pursuant to the two-class method. Diluted EPS is calculated under the if-converted method and the two-class method for each class of shareholders using the weighted average number of shares attributable to each class. The calculation that results in the lowest diluted earnings per share amount for common stock is reported in the Company’s financial statements. The if-converted method includes the dilutive effect of potential common shares related to the 6.50% Exchangeable Notes due 2026, if any. Basic and diluted earnings per share were calculated for the years ended December 31, 2022, 2021 and 2020 as follows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169"/>
        </w:trPr>
        <w:tc>
          <w:tcPr>
            <w:tcW w:w="6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73"/>
              <w:spacing w:after="0"/>
              <w:rPr>
                <w:sz w:val="20"/>
                <w:szCs w:val="20"/>
                <w:color w:val="auto"/>
              </w:rPr>
            </w:pPr>
            <w:r>
              <w:rPr>
                <w:rFonts w:ascii="Arial" w:cs="Arial" w:eastAsia="Arial" w:hAnsi="Arial"/>
                <w:sz w:val="14"/>
                <w:szCs w:val="14"/>
                <w:b w:val="1"/>
                <w:bCs w:val="1"/>
                <w:color w:val="auto"/>
              </w:rPr>
              <w:t>(In</w:t>
            </w: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w w:val="82"/>
              </w:rPr>
              <w:t>thousands, except per share</w:t>
            </w:r>
          </w:p>
        </w:tc>
        <w:tc>
          <w:tcPr>
            <w:tcW w:w="500" w:type="dxa"/>
            <w:vAlign w:val="bottom"/>
            <w:gridSpan w:val="2"/>
          </w:tcPr>
          <w:p>
            <w:pPr>
              <w:jc w:val="center"/>
              <w:ind w:right="10"/>
              <w:spacing w:after="0"/>
              <w:rPr>
                <w:sz w:val="20"/>
                <w:szCs w:val="20"/>
                <w:color w:val="auto"/>
              </w:rPr>
            </w:pPr>
            <w:r>
              <w:rPr>
                <w:rFonts w:ascii="Arial" w:cs="Arial" w:eastAsia="Arial" w:hAnsi="Arial"/>
                <w:sz w:val="14"/>
                <w:szCs w:val="14"/>
                <w:b w:val="1"/>
                <w:bCs w:val="1"/>
                <w:color w:val="auto"/>
                <w:w w:val="95"/>
              </w:rPr>
              <w:t>data)</w:t>
            </w:r>
          </w:p>
        </w:tc>
        <w:tc>
          <w:tcPr>
            <w:tcW w:w="1080" w:type="dxa"/>
            <w:vAlign w:val="bottom"/>
          </w:tcPr>
          <w:p>
            <w:pPr>
              <w:spacing w:after="0"/>
              <w:rPr>
                <w:sz w:val="14"/>
                <w:szCs w:val="14"/>
                <w:color w:val="auto"/>
              </w:rPr>
            </w:pPr>
          </w:p>
        </w:tc>
      </w:tr>
      <w:tr>
        <w:trPr>
          <w:trHeight w:val="243"/>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4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171,692</w:t>
            </w: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77,233</w:t>
            </w:r>
          </w:p>
        </w:tc>
        <w:tc>
          <w:tcPr>
            <w:tcW w:w="5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112,831</w:t>
            </w:r>
          </w:p>
        </w:tc>
      </w:tr>
      <w:tr>
        <w:trPr>
          <w:trHeight w:val="236"/>
        </w:trPr>
        <w:tc>
          <w:tcPr>
            <w:tcW w:w="6460" w:type="dxa"/>
            <w:vAlign w:val="bottom"/>
          </w:tcPr>
          <w:p>
            <w:pPr>
              <w:ind w:left="20"/>
              <w:spacing w:after="0"/>
              <w:rPr>
                <w:sz w:val="20"/>
                <w:szCs w:val="20"/>
                <w:color w:val="auto"/>
              </w:rPr>
            </w:pPr>
            <w:r>
              <w:rPr>
                <w:rFonts w:ascii="Arial" w:cs="Arial" w:eastAsia="Arial" w:hAnsi="Arial"/>
                <w:sz w:val="18"/>
                <w:szCs w:val="18"/>
                <w:color w:val="auto"/>
              </w:rPr>
              <w:t>Loss attributable to noncontrolling interests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201</w:t>
            </w:r>
          </w:p>
        </w:tc>
      </w:tr>
      <w:tr>
        <w:trPr>
          <w:trHeight w:val="243"/>
        </w:trPr>
        <w:tc>
          <w:tcPr>
            <w:tcW w:w="6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Undistributed income allocable to participating securities</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(29,346 )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(6,982 )</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36"/>
        </w:trPr>
        <w:tc>
          <w:tcPr>
            <w:tcW w:w="6460" w:type="dxa"/>
            <w:vAlign w:val="bottom"/>
          </w:tcPr>
          <w:p>
            <w:pPr>
              <w:ind w:left="20"/>
              <w:spacing w:after="0"/>
              <w:rPr>
                <w:sz w:val="20"/>
                <w:szCs w:val="20"/>
                <w:color w:val="auto"/>
              </w:rPr>
            </w:pPr>
            <w:r>
              <w:rPr>
                <w:rFonts w:ascii="Arial" w:cs="Arial" w:eastAsia="Arial" w:hAnsi="Arial"/>
                <w:sz w:val="18"/>
                <w:szCs w:val="18"/>
                <w:color w:val="auto"/>
                <w:w w:val="97"/>
              </w:rPr>
              <w:t>Net income attributable to The GEO Group, Inc. available to common stockholders</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142,467</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70,436</w:t>
            </w: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113,032</w:t>
            </w:r>
          </w:p>
        </w:tc>
      </w:tr>
      <w:tr>
        <w:trPr>
          <w:trHeight w:val="221"/>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w w:val="97"/>
              </w:rPr>
              <w:t>Basic earnings per share attributable to The GEO Group, Inc. available to common</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44"/>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r>
      <w:tr>
        <w:trPr>
          <w:trHeight w:val="236"/>
        </w:trPr>
        <w:tc>
          <w:tcPr>
            <w:tcW w:w="646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121,040</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120,384</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119,719</w:t>
            </w:r>
          </w:p>
        </w:tc>
      </w:tr>
      <w:tr>
        <w:trPr>
          <w:trHeight w:val="276"/>
        </w:trPr>
        <w:tc>
          <w:tcPr>
            <w:tcW w:w="6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Per share amount - basic</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1.18</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0.59</w:t>
            </w:r>
          </w:p>
        </w:tc>
        <w:tc>
          <w:tcPr>
            <w:tcW w:w="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center"/>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0.94</w:t>
            </w:r>
          </w:p>
        </w:tc>
      </w:tr>
      <w:tr>
        <w:trPr>
          <w:trHeight w:val="202"/>
        </w:trPr>
        <w:tc>
          <w:tcPr>
            <w:tcW w:w="6460" w:type="dxa"/>
            <w:vAlign w:val="bottom"/>
          </w:tcPr>
          <w:p>
            <w:pPr>
              <w:ind w:left="20"/>
              <w:spacing w:after="0" w:line="201" w:lineRule="exact"/>
              <w:rPr>
                <w:sz w:val="20"/>
                <w:szCs w:val="20"/>
                <w:color w:val="auto"/>
              </w:rPr>
            </w:pPr>
            <w:r>
              <w:rPr>
                <w:rFonts w:ascii="Arial" w:cs="Arial" w:eastAsia="Arial" w:hAnsi="Arial"/>
                <w:sz w:val="18"/>
                <w:szCs w:val="18"/>
                <w:color w:val="auto"/>
                <w:w w:val="95"/>
              </w:rPr>
              <w:t>Diluted earnings per share attributable to The GEO Group, Inc. available to common</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7"/>
        </w:trPr>
        <w:tc>
          <w:tcPr>
            <w:tcW w:w="6460" w:type="dxa"/>
            <w:vAlign w:val="bottom"/>
          </w:tcPr>
          <w:p>
            <w:pPr>
              <w:ind w:left="20"/>
              <w:spacing w:after="0"/>
              <w:rPr>
                <w:sz w:val="20"/>
                <w:szCs w:val="20"/>
                <w:color w:val="auto"/>
              </w:rPr>
            </w:pPr>
            <w:r>
              <w:rPr>
                <w:rFonts w:ascii="Arial" w:cs="Arial" w:eastAsia="Arial" w:hAnsi="Arial"/>
                <w:sz w:val="18"/>
                <w:szCs w:val="18"/>
                <w:color w:val="auto"/>
              </w:rPr>
              <w:t>stockholders: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9"/>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121,040</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120,384</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119,719</w:t>
            </w:r>
          </w:p>
        </w:tc>
      </w:tr>
      <w:tr>
        <w:trPr>
          <w:trHeight w:val="236"/>
        </w:trPr>
        <w:tc>
          <w:tcPr>
            <w:tcW w:w="6460" w:type="dxa"/>
            <w:vAlign w:val="bottom"/>
          </w:tcPr>
          <w:p>
            <w:pPr>
              <w:ind w:left="20"/>
              <w:spacing w:after="0"/>
              <w:rPr>
                <w:sz w:val="20"/>
                <w:szCs w:val="20"/>
                <w:color w:val="auto"/>
              </w:rPr>
            </w:pPr>
            <w:r>
              <w:rPr>
                <w:rFonts w:ascii="Arial" w:cs="Arial" w:eastAsia="Arial" w:hAnsi="Arial"/>
                <w:sz w:val="18"/>
                <w:szCs w:val="18"/>
                <w:color w:val="auto"/>
              </w:rPr>
              <w:t>Dilutive effect of equity incentive plans</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1,241</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272</w:t>
            </w:r>
          </w:p>
        </w:tc>
      </w:tr>
      <w:tr>
        <w:trPr>
          <w:trHeight w:val="236"/>
        </w:trPr>
        <w:tc>
          <w:tcPr>
            <w:tcW w:w="6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shares assuming dilution</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122,281</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120,732</w:t>
            </w:r>
          </w:p>
        </w:tc>
        <w:tc>
          <w:tcPr>
            <w:tcW w:w="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119,991</w:t>
            </w:r>
          </w:p>
        </w:tc>
      </w:tr>
      <w:tr>
        <w:trPr>
          <w:trHeight w:val="236"/>
        </w:trPr>
        <w:tc>
          <w:tcPr>
            <w:tcW w:w="6460" w:type="dxa"/>
            <w:vAlign w:val="bottom"/>
          </w:tcPr>
          <w:p>
            <w:pPr>
              <w:ind w:left="20"/>
              <w:spacing w:after="0"/>
              <w:rPr>
                <w:sz w:val="20"/>
                <w:szCs w:val="20"/>
                <w:color w:val="auto"/>
              </w:rPr>
            </w:pPr>
            <w:r>
              <w:rPr>
                <w:rFonts w:ascii="Arial" w:cs="Arial" w:eastAsia="Arial" w:hAnsi="Arial"/>
                <w:sz w:val="18"/>
                <w:szCs w:val="18"/>
                <w:color w:val="auto"/>
              </w:rPr>
              <w:t>Per share amount - diluted</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1.17</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0.58</w:t>
            </w: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0.94</w:t>
            </w:r>
          </w:p>
        </w:tc>
      </w:tr>
      <w:tr>
        <w:trPr>
          <w:trHeight w:val="20"/>
        </w:trPr>
        <w:tc>
          <w:tcPr>
            <w:tcW w:w="6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-1746250</wp:posOffset>
            </wp:positionV>
            <wp:extent cx="93980" cy="1625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-1746250</wp:posOffset>
            </wp:positionV>
            <wp:extent cx="93980" cy="1625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-975360</wp:posOffset>
            </wp:positionV>
            <wp:extent cx="1096010" cy="3168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96010" cy="31686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-187960</wp:posOffset>
            </wp:positionV>
            <wp:extent cx="93980" cy="1885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-187960</wp:posOffset>
            </wp:positionV>
            <wp:extent cx="93980" cy="1885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208"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For the year ended December 31, 2022, 1,958,443 weighted average shares of common stock underlying options were excluded from the computation of diluted EPS because the effect would be anti-dilutive. For the same period, 312,963 common stock equivalents from restricted shares were anti-dilutive and excluded from the computation of diluted EPS.</w:t>
      </w:r>
    </w:p>
    <w:p>
      <w:pPr>
        <w:spacing w:after="0" w:line="183" w:lineRule="exact"/>
        <w:rPr>
          <w:sz w:val="20"/>
          <w:szCs w:val="20"/>
          <w:color w:val="auto"/>
        </w:rPr>
      </w:pPr>
    </w:p>
    <w:p>
      <w:pPr>
        <w:ind w:right="380" w:firstLine="509"/>
        <w:spacing w:after="0" w:line="263" w:lineRule="auto"/>
        <w:rPr>
          <w:sz w:val="20"/>
          <w:szCs w:val="20"/>
          <w:color w:val="auto"/>
        </w:rPr>
      </w:pPr>
      <w:r>
        <w:rPr>
          <w:rFonts w:ascii="Arial" w:cs="Arial" w:eastAsia="Arial" w:hAnsi="Arial"/>
          <w:sz w:val="18"/>
          <w:szCs w:val="18"/>
          <w:color w:val="auto"/>
        </w:rPr>
        <w:t>For the year ended December 31, 2021, 2,047,072 weighted average shares of common stock underlying options were excluded from the computation of diluted EPS because the effect would be anti-dilutive. For the same period, 1,016,208 common stock equivalents from restricted shares were anti-dilutive and excluded from the computation of diluted EPS.</w:t>
      </w:r>
    </w:p>
    <w:p>
      <w:pPr>
        <w:spacing w:after="0" w:line="183" w:lineRule="exact"/>
        <w:rPr>
          <w:sz w:val="20"/>
          <w:szCs w:val="20"/>
          <w:color w:val="auto"/>
        </w:rPr>
      </w:pPr>
    </w:p>
    <w:p>
      <w:pPr>
        <w:ind w:right="380" w:firstLine="509"/>
        <w:spacing w:after="0" w:line="263" w:lineRule="auto"/>
        <w:rPr>
          <w:sz w:val="20"/>
          <w:szCs w:val="20"/>
          <w:color w:val="auto"/>
        </w:rPr>
      </w:pPr>
      <w:r>
        <w:rPr>
          <w:rFonts w:ascii="Arial" w:cs="Arial" w:eastAsia="Arial" w:hAnsi="Arial"/>
          <w:sz w:val="18"/>
          <w:szCs w:val="18"/>
          <w:color w:val="auto"/>
        </w:rPr>
        <w:t>For the year ended December 31, 2020, 1,931,407 weighted average shares of common stock underlying options were excluded from the computation of diluted EPS because the effect would be anti-dilutive. For the same period, 1,652,986 common stock equivalents from restricted shares were anti-dilutive and excluded from the computation of diluted EPS.</w:t>
      </w:r>
    </w:p>
    <w:p>
      <w:pPr>
        <w:spacing w:after="0" w:line="129"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On February 24, 2021, the Company’s wholly owned subsidiary, GEO Corrections Holdings, Inc. (“GEOCH”), completed a private offering of $230 million aggregate principal amount of 6.50% Exchangeable Senior Unsecured Notes due 2026. Refer to Note 12 – Debt for additional information. As of December 31, 2022, conditions had not been met to exchange the 6.50% Exchangeable Notes due 2026 into shares of the Company’s common stock. Approximately 24.9 million shares of potential common stock associated with the conversion option embedded in the convertible notes were excluded from the computation of EPS for the year ended December 31, 2022 and 2021 as the Company’s average stock price during the period was lower than the exchange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07" w:name="page108"/>
    <w:bookmarkEnd w:id="107"/>
    <w:p>
      <w:pPr>
        <w:ind w:left="520" w:hanging="512"/>
        <w:spacing w:after="0"/>
        <w:tabs>
          <w:tab w:leader="none" w:pos="5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7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 at fiscal year-end: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14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Useful Life</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r>
      <w:tr>
        <w:trPr>
          <w:trHeight w:val="169"/>
        </w:trPr>
        <w:tc>
          <w:tcPr>
            <w:tcW w:w="6740" w:type="dxa"/>
            <w:vAlign w:val="bottom"/>
          </w:tcPr>
          <w:p>
            <w:pPr>
              <w:spacing w:after="0"/>
              <w:rPr>
                <w:sz w:val="14"/>
                <w:szCs w:val="14"/>
                <w:color w:val="auto"/>
              </w:rPr>
            </w:pPr>
          </w:p>
        </w:tc>
        <w:tc>
          <w:tcPr>
            <w:tcW w:w="1400" w:type="dxa"/>
            <w:vAlign w:val="bottom"/>
          </w:tcPr>
          <w:p>
            <w:pPr>
              <w:jc w:val="right"/>
              <w:ind w:right="435"/>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4"/>
                <w:szCs w:val="14"/>
                <w:color w:val="auto"/>
              </w:rPr>
            </w:pPr>
          </w:p>
        </w:tc>
      </w:tr>
      <w:tr>
        <w:trPr>
          <w:trHeight w:val="243"/>
        </w:trPr>
        <w:tc>
          <w:tcPr>
            <w:tcW w:w="6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w:t>
            </w: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120,970</w:t>
            </w:r>
          </w:p>
        </w:tc>
        <w:tc>
          <w:tcPr>
            <w:tcW w:w="56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120,837</w:t>
            </w:r>
          </w:p>
        </w:tc>
      </w:tr>
      <w:tr>
        <w:trPr>
          <w:trHeight w:val="236"/>
        </w:trPr>
        <w:tc>
          <w:tcPr>
            <w:tcW w:w="67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2 to 50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2,291,710</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2,277,575</w:t>
            </w:r>
          </w:p>
        </w:tc>
      </w:tr>
      <w:tr>
        <w:trPr>
          <w:trHeight w:val="249"/>
        </w:trPr>
        <w:tc>
          <w:tcPr>
            <w:tcW w:w="6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 to 29</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273,233</w:t>
            </w: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278,299</w:t>
            </w:r>
          </w:p>
        </w:tc>
      </w:tr>
      <w:tr>
        <w:trPr>
          <w:trHeight w:val="236"/>
        </w:trPr>
        <w:tc>
          <w:tcPr>
            <w:tcW w:w="6740" w:type="dxa"/>
            <w:vAlign w:val="bottom"/>
          </w:tcPr>
          <w:p>
            <w:pPr>
              <w:ind w:left="20"/>
              <w:spacing w:after="0"/>
              <w:rPr>
                <w:sz w:val="20"/>
                <w:szCs w:val="20"/>
                <w:color w:val="auto"/>
              </w:rPr>
            </w:pPr>
            <w:r>
              <w:rPr>
                <w:rFonts w:ascii="Arial" w:cs="Arial" w:eastAsia="Arial" w:hAnsi="Arial"/>
                <w:sz w:val="18"/>
                <w:szCs w:val="18"/>
                <w:color w:val="auto"/>
              </w:rPr>
              <w:t>Equipment</w:t>
            </w: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3 to 10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239,188</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220,965</w:t>
            </w:r>
          </w:p>
        </w:tc>
      </w:tr>
      <w:tr>
        <w:trPr>
          <w:trHeight w:val="249"/>
        </w:trPr>
        <w:tc>
          <w:tcPr>
            <w:tcW w:w="6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fixtures and computer software</w:t>
            </w: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 to 7</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72,154</w:t>
            </w: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68,474</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Facility construction in progress</w:t>
            </w: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26,606</w:t>
            </w:r>
          </w:p>
        </w:tc>
        <w:tc>
          <w:tcPr>
            <w:tcW w:w="1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20,758</w:t>
            </w:r>
          </w:p>
        </w:tc>
      </w:tr>
      <w:tr>
        <w:trPr>
          <w:trHeight w:val="236"/>
        </w:trPr>
        <w:tc>
          <w:tcPr>
            <w:tcW w:w="6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1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3,023,861</w:t>
            </w: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2,986,908</w:t>
            </w:r>
          </w:p>
        </w:tc>
      </w:tr>
      <w:tr>
        <w:trPr>
          <w:trHeight w:val="236"/>
        </w:trPr>
        <w:tc>
          <w:tcPr>
            <w:tcW w:w="674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(1,021,840 )</w:t>
            </w: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(949,063 )</w:t>
            </w:r>
          </w:p>
        </w:tc>
      </w:tr>
      <w:tr>
        <w:trPr>
          <w:trHeight w:val="276"/>
        </w:trPr>
        <w:tc>
          <w:tcPr>
            <w:tcW w:w="6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4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2,002,021</w:t>
            </w:r>
          </w:p>
        </w:tc>
        <w:tc>
          <w:tcPr>
            <w:tcW w:w="1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2,037,845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6152515</wp:posOffset>
            </wp:positionH>
            <wp:positionV relativeFrom="paragraph">
              <wp:posOffset>-24765</wp:posOffset>
            </wp:positionV>
            <wp:extent cx="857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-7620</wp:posOffset>
            </wp:positionV>
            <wp:extent cx="857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8" w:lineRule="exact"/>
        <w:rPr>
          <w:sz w:val="20"/>
          <w:szCs w:val="20"/>
          <w:color w:val="auto"/>
        </w:rPr>
      </w:pPr>
    </w:p>
    <w:p>
      <w:pPr>
        <w:ind w:right="300" w:firstLine="509"/>
        <w:spacing w:after="0" w:line="311" w:lineRule="auto"/>
        <w:rPr>
          <w:sz w:val="20"/>
          <w:szCs w:val="20"/>
          <w:color w:val="auto"/>
        </w:rPr>
      </w:pPr>
      <w:r>
        <w:rPr>
          <w:rFonts w:ascii="Arial" w:cs="Arial" w:eastAsia="Arial" w:hAnsi="Arial"/>
          <w:sz w:val="16"/>
          <w:szCs w:val="16"/>
          <w:color w:val="auto"/>
        </w:rPr>
        <w:t>The Company amortizes its leasehold improvements over the shorter of their estimated useful lives or the terms of the leases including renewal periods that are reasonably assured. The Company’s construction in progress primarily consists of new construction and renovations to facilities that are owned by the Company. There was no Interest capitalized in property and equipment for the years ended December 31, 2022 and 2021.</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Depreciation expense was $111.6 million, $109.6 million and $112.4 million for the years ended December 31, 2022, 2021 and 2020, respectively.</w:t>
      </w:r>
    </w:p>
    <w:p>
      <w:pPr>
        <w:spacing w:after="0" w:line="248"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At December 31, 2022 and 2021, the Company had $20.5 million of assets recorded under finance leases related to land, buildings and improvements. Finance leases are recorded net of accumulated amortization of $18.7 million and $17.1 million, at December 31, 2022 and 2021, respectively. Depreciation expense related to assets recorded under finance leases for each of the years ended December 31, 2022, 2021 and 2020 was $1.5 million, $1.7 million and $1.2 million, respectively and are included in Depreciation and Amortization in the accompanying consolidated statements of operations.</w:t>
      </w:r>
    </w:p>
    <w:p>
      <w:pPr>
        <w:spacing w:after="0" w:line="187" w:lineRule="exact"/>
        <w:rPr>
          <w:sz w:val="20"/>
          <w:szCs w:val="20"/>
          <w:color w:val="auto"/>
        </w:rPr>
      </w:pPr>
    </w:p>
    <w:p>
      <w:pPr>
        <w:ind w:left="520" w:hanging="512"/>
        <w:spacing w:after="0"/>
        <w:tabs>
          <w:tab w:leader="none" w:pos="5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Contract Receivable</w:t>
      </w:r>
    </w:p>
    <w:p>
      <w:pPr>
        <w:spacing w:after="0" w:line="175"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On September 16, 2014, GEO's wholly-owned subsidiary, GEO Ravenhall Pty. Ltd., in its capacity as trustee of another wholly-owned subsidiary, GEO Ravenhall Trust ("Project Co"), signed the Ravenhall Prison Project Agreement ("Ravenhall Contract") with the State of Victoria (the "State") for the development and operation of a 1,300-bed facility in Ravenhall, a locality near Melbourne, Australia under a public-private partnership financing structure. The design and construction phase ("D&amp;C Phase") of the agreement began in September 2014 and was completed in November 2017. Project Co was the primary developer during the D&amp;C Phase and subcontracted with a bonded international design and build contractor to design and construct the facility. GEO's wholly owned subsidiary, The GEO Group Australasia Pty. Ltd. ("GEO Australia") is currently operating the facility under a 25-year management contract ("Operating Phase"). During the D&amp;C Phase, GEO Australia provided construction management and consultant services to the State.</w:t>
      </w:r>
    </w:p>
    <w:p>
      <w:pPr>
        <w:spacing w:after="0" w:line="164" w:lineRule="exact"/>
        <w:rPr>
          <w:sz w:val="20"/>
          <w:szCs w:val="20"/>
          <w:color w:val="auto"/>
        </w:rPr>
      </w:pPr>
    </w:p>
    <w:p>
      <w:pPr>
        <w:ind w:right="120" w:firstLine="509"/>
        <w:spacing w:after="0" w:line="293" w:lineRule="auto"/>
        <w:rPr>
          <w:sz w:val="20"/>
          <w:szCs w:val="20"/>
          <w:color w:val="auto"/>
        </w:rPr>
      </w:pPr>
      <w:r>
        <w:rPr>
          <w:rFonts w:ascii="Arial" w:cs="Arial" w:eastAsia="Arial" w:hAnsi="Arial"/>
          <w:sz w:val="16"/>
          <w:szCs w:val="16"/>
          <w:color w:val="auto"/>
        </w:rPr>
        <w:t>During the D&amp;C Phase, the Company recognized revenue as earned on a percentage of completion basis measured by the percentage of costs incurred to date as compared to the estimated total costs for the design and construction of the facility. Costs incurred and estimated earnings in excess of billings were classified as Contract Receivable in the accompanying consolidated balance sheets. The balance was recorded at net present value based on the timing of expected future settlement. Interest income was recorded as earned using an effective interest rate of 8.97%. On September 20, 2022, the Company sold its equity investment interest in the Ravenhall project and, as a result, the Contract Receivable was transferred to the buyer and is no longer an asset of the Company. Refer to Note 17 - Commitments, Contingencies and Other Matters for further information.</w:t>
      </w:r>
    </w:p>
    <w:p>
      <w:pPr>
        <w:spacing w:after="0" w:line="185"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75"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The Company’s primary objective in holding derivatives is to reduce the volatility of earnings and cash flows associated with changes in interest rates. The Company measures its derivative financial instruments at fair value.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4" w:right="339" w:bottom="1440" w:gutter="0" w:footer="0" w:header="0"/>
        </w:sectPr>
      </w:pPr>
    </w:p>
    <w:bookmarkStart w:id="108" w:name="page109"/>
    <w:bookmarkEnd w:id="108"/>
    <w:p>
      <w:pPr>
        <w:ind w:right="20" w:firstLine="509"/>
        <w:spacing w:after="0" w:line="269" w:lineRule="auto"/>
        <w:rPr>
          <w:sz w:val="20"/>
          <w:szCs w:val="20"/>
          <w:color w:val="auto"/>
        </w:rPr>
      </w:pPr>
      <w:r>
        <w:rPr>
          <w:rFonts w:ascii="Arial" w:cs="Arial" w:eastAsia="Arial" w:hAnsi="Arial"/>
          <w:sz w:val="17"/>
          <w:szCs w:val="17"/>
          <w:color w:val="auto"/>
        </w:rPr>
        <w:t>In August 2019, the Company entered into two interest rate swap agreements in the aggregate notional amount of $44.3 million to fix the interest rate on certain of its variable rate debt to 4.22%. The Company has designated these interest rate swaps as hedges against changes in the cash flows of two identical promissory notes (the "Notes") which are secured by loan agreements and mortgage and security agreements on certain real property and improvements. The Company has determined that the swaps have payment, expiration dates, and provisions that coincide with the terms of the Notes and are therefore considered to be effective cash flow hedges. Accordingly, the Company records the change in fair value of the interest rate swaps as accumulated other comprehensive income (loss), net of applicable taxes. Total unrealized gains recorded in total other comprehensive income (loss), net of tax, related to these cash flow hedges was $6.2 million during the year ended December 31, 2022. The total fair value of the swap assets as of December 31, 2022 was $4.6 million and is recorded as a component of Other Non-Current assets within the accompanying balance sheet. There was no material ineffectiveness for the period presented. The Company does not expect to enter into any transactions during the next twelve months which would result in reclassification into earnings or losses associated with these swaps currently reported in accumulated other comprehensive income (loss). Refer to Note 12 - Debt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Net</w:t>
      </w:r>
    </w:p>
    <w:p>
      <w:pPr>
        <w:spacing w:after="0" w:line="175"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The Company has recorded goodwill as a result of its various business combinations. Goodwill is recorded as the difference, if any, between the aggregate consideration paid for an acquisition and the fair value of the tangible assets and intangible assets acquired net of liabilities assumed, including noncontrolling interests. Changes in the Company’s goodwill balances recognized during the years ended December 31, 2022 and 2021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217"/>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1/1/2022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91"/>
              </w:rPr>
              <w:t>currency</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12/31/2022</w:t>
            </w:r>
          </w:p>
        </w:tc>
        <w:tc>
          <w:tcPr>
            <w:tcW w:w="0" w:type="dxa"/>
            <w:vAlign w:val="bottom"/>
          </w:tcPr>
          <w:p>
            <w:pPr>
              <w:spacing w:after="0"/>
              <w:rPr>
                <w:sz w:val="1"/>
                <w:szCs w:val="1"/>
                <w:color w:val="auto"/>
              </w:rPr>
            </w:pPr>
          </w:p>
        </w:tc>
      </w:tr>
      <w:tr>
        <w:trPr>
          <w:trHeight w:val="185"/>
        </w:trPr>
        <w:tc>
          <w:tcPr>
            <w:tcW w:w="6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2"/>
              </w:rPr>
              <w:t>translation</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Secure Services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316,366</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316,366</w:t>
            </w:r>
          </w:p>
        </w:tc>
        <w:tc>
          <w:tcPr>
            <w:tcW w:w="0" w:type="dxa"/>
            <w:vAlign w:val="bottom"/>
          </w:tcPr>
          <w:p>
            <w:pPr>
              <w:spacing w:after="0"/>
              <w:rPr>
                <w:sz w:val="1"/>
                <w:szCs w:val="1"/>
                <w:color w:val="auto"/>
              </w:rPr>
            </w:pPr>
          </w:p>
        </w:tc>
      </w:tr>
      <w:tr>
        <w:trPr>
          <w:trHeight w:val="236"/>
        </w:trPr>
        <w:tc>
          <w:tcPr>
            <w:tcW w:w="6600" w:type="dxa"/>
            <w:vAlign w:val="bottom"/>
          </w:tcPr>
          <w:p>
            <w:pPr>
              <w:ind w:left="20"/>
              <w:spacing w:after="0"/>
              <w:rPr>
                <w:sz w:val="20"/>
                <w:szCs w:val="20"/>
                <w:color w:val="auto"/>
              </w:rPr>
            </w:pPr>
            <w:r>
              <w:rPr>
                <w:rFonts w:ascii="Arial" w:cs="Arial" w:eastAsia="Arial" w:hAnsi="Arial"/>
                <w:sz w:val="18"/>
                <w:szCs w:val="18"/>
                <w:color w:val="auto"/>
              </w:rPr>
              <w:t>Electronic Monitoring and Supervision Services</w:t>
            </w:r>
          </w:p>
        </w:tc>
        <w:tc>
          <w:tcPr>
            <w:tcW w:w="260" w:type="dxa"/>
            <w:vAlign w:val="bottom"/>
          </w:tcPr>
          <w:p>
            <w:pPr>
              <w:spacing w:after="0"/>
              <w:rPr>
                <w:sz w:val="20"/>
                <w:szCs w:val="20"/>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289,570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289,570</w:t>
            </w:r>
          </w:p>
        </w:tc>
        <w:tc>
          <w:tcPr>
            <w:tcW w:w="0" w:type="dxa"/>
            <w:vAlign w:val="bottom"/>
          </w:tcPr>
          <w:p>
            <w:pPr>
              <w:spacing w:after="0"/>
              <w:rPr>
                <w:sz w:val="1"/>
                <w:szCs w:val="1"/>
                <w:color w:val="auto"/>
              </w:rPr>
            </w:pPr>
          </w:p>
        </w:tc>
      </w:tr>
      <w:tr>
        <w:trPr>
          <w:trHeight w:val="24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Reentry Services</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148,873</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148,873</w:t>
            </w:r>
          </w:p>
        </w:tc>
        <w:tc>
          <w:tcPr>
            <w:tcW w:w="0" w:type="dxa"/>
            <w:vAlign w:val="bottom"/>
          </w:tcPr>
          <w:p>
            <w:pPr>
              <w:spacing w:after="0"/>
              <w:rPr>
                <w:sz w:val="1"/>
                <w:szCs w:val="1"/>
                <w:color w:val="auto"/>
              </w:rPr>
            </w:pPr>
          </w:p>
        </w:tc>
      </w:tr>
      <w:tr>
        <w:trPr>
          <w:trHeight w:val="236"/>
        </w:trPr>
        <w:tc>
          <w:tcPr>
            <w:tcW w:w="6600" w:type="dxa"/>
            <w:vAlign w:val="bottom"/>
          </w:tcPr>
          <w:p>
            <w:pPr>
              <w:ind w:left="20"/>
              <w:spacing w:after="0"/>
              <w:rPr>
                <w:sz w:val="20"/>
                <w:szCs w:val="20"/>
                <w:color w:val="auto"/>
              </w:rPr>
            </w:pPr>
            <w:r>
              <w:rPr>
                <w:rFonts w:ascii="Arial" w:cs="Arial" w:eastAsia="Arial" w:hAnsi="Arial"/>
                <w:sz w:val="18"/>
                <w:szCs w:val="18"/>
                <w:color w:val="auto"/>
              </w:rPr>
              <w:t>International Services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416</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6"/>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Goodwill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755,225</w:t>
            </w:r>
          </w:p>
        </w:tc>
        <w:tc>
          <w:tcPr>
            <w:tcW w:w="1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(26 )</w:t>
            </w:r>
          </w:p>
        </w:tc>
        <w:tc>
          <w:tcPr>
            <w:tcW w:w="1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755,199</w:t>
            </w:r>
          </w:p>
        </w:tc>
        <w:tc>
          <w:tcPr>
            <w:tcW w:w="0" w:type="dxa"/>
            <w:vAlign w:val="bottom"/>
          </w:tcPr>
          <w:p>
            <w:pPr>
              <w:spacing w:after="0"/>
              <w:rPr>
                <w:sz w:val="1"/>
                <w:szCs w:val="1"/>
                <w:color w:val="auto"/>
              </w:rPr>
            </w:pPr>
          </w:p>
        </w:tc>
      </w:tr>
      <w:tr>
        <w:trPr>
          <w:trHeight w:val="800"/>
        </w:trPr>
        <w:tc>
          <w:tcPr>
            <w:tcW w:w="6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center"/>
              <w:ind w:right="217"/>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1/1/2021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91"/>
              </w:rPr>
              <w:t>currency</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12/31/2021</w:t>
            </w:r>
          </w:p>
        </w:tc>
        <w:tc>
          <w:tcPr>
            <w:tcW w:w="0" w:type="dxa"/>
            <w:vAlign w:val="bottom"/>
          </w:tcPr>
          <w:p>
            <w:pPr>
              <w:spacing w:after="0"/>
              <w:rPr>
                <w:sz w:val="1"/>
                <w:szCs w:val="1"/>
                <w:color w:val="auto"/>
              </w:rPr>
            </w:pPr>
          </w:p>
        </w:tc>
      </w:tr>
      <w:tr>
        <w:trPr>
          <w:trHeight w:val="185"/>
        </w:trPr>
        <w:tc>
          <w:tcPr>
            <w:tcW w:w="6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2"/>
              </w:rPr>
              <w:t>translation</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Secure Services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316,366</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316,366</w:t>
            </w:r>
          </w:p>
        </w:tc>
        <w:tc>
          <w:tcPr>
            <w:tcW w:w="0" w:type="dxa"/>
            <w:vAlign w:val="bottom"/>
          </w:tcPr>
          <w:p>
            <w:pPr>
              <w:spacing w:after="0"/>
              <w:rPr>
                <w:sz w:val="1"/>
                <w:szCs w:val="1"/>
                <w:color w:val="auto"/>
              </w:rPr>
            </w:pPr>
          </w:p>
        </w:tc>
      </w:tr>
      <w:tr>
        <w:trPr>
          <w:trHeight w:val="236"/>
        </w:trPr>
        <w:tc>
          <w:tcPr>
            <w:tcW w:w="6600" w:type="dxa"/>
            <w:vAlign w:val="bottom"/>
          </w:tcPr>
          <w:p>
            <w:pPr>
              <w:ind w:left="20"/>
              <w:spacing w:after="0"/>
              <w:rPr>
                <w:sz w:val="20"/>
                <w:szCs w:val="20"/>
                <w:color w:val="auto"/>
              </w:rPr>
            </w:pPr>
            <w:r>
              <w:rPr>
                <w:rFonts w:ascii="Arial" w:cs="Arial" w:eastAsia="Arial" w:hAnsi="Arial"/>
                <w:sz w:val="18"/>
                <w:szCs w:val="18"/>
                <w:color w:val="auto"/>
              </w:rPr>
              <w:t>Electronic Monitoring and Supervision Services</w:t>
            </w:r>
          </w:p>
        </w:tc>
        <w:tc>
          <w:tcPr>
            <w:tcW w:w="260" w:type="dxa"/>
            <w:vAlign w:val="bottom"/>
          </w:tcPr>
          <w:p>
            <w:pPr>
              <w:spacing w:after="0"/>
              <w:rPr>
                <w:sz w:val="20"/>
                <w:szCs w:val="20"/>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289,570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289,570</w:t>
            </w:r>
          </w:p>
        </w:tc>
        <w:tc>
          <w:tcPr>
            <w:tcW w:w="0" w:type="dxa"/>
            <w:vAlign w:val="bottom"/>
          </w:tcPr>
          <w:p>
            <w:pPr>
              <w:spacing w:after="0"/>
              <w:rPr>
                <w:sz w:val="1"/>
                <w:szCs w:val="1"/>
                <w:color w:val="auto"/>
              </w:rPr>
            </w:pPr>
          </w:p>
        </w:tc>
      </w:tr>
      <w:tr>
        <w:trPr>
          <w:trHeight w:val="24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Reentry Services</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148,873</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148,873</w:t>
            </w:r>
          </w:p>
        </w:tc>
        <w:tc>
          <w:tcPr>
            <w:tcW w:w="0" w:type="dxa"/>
            <w:vAlign w:val="bottom"/>
          </w:tcPr>
          <w:p>
            <w:pPr>
              <w:spacing w:after="0"/>
              <w:rPr>
                <w:sz w:val="1"/>
                <w:szCs w:val="1"/>
                <w:color w:val="auto"/>
              </w:rPr>
            </w:pPr>
          </w:p>
        </w:tc>
      </w:tr>
      <w:tr>
        <w:trPr>
          <w:trHeight w:val="236"/>
        </w:trPr>
        <w:tc>
          <w:tcPr>
            <w:tcW w:w="6600" w:type="dxa"/>
            <w:vAlign w:val="bottom"/>
          </w:tcPr>
          <w:p>
            <w:pPr>
              <w:ind w:left="20"/>
              <w:spacing w:after="0"/>
              <w:rPr>
                <w:sz w:val="20"/>
                <w:szCs w:val="20"/>
                <w:color w:val="auto"/>
              </w:rPr>
            </w:pPr>
            <w:r>
              <w:rPr>
                <w:rFonts w:ascii="Arial" w:cs="Arial" w:eastAsia="Arial" w:hAnsi="Arial"/>
                <w:sz w:val="18"/>
                <w:szCs w:val="18"/>
                <w:color w:val="auto"/>
              </w:rPr>
              <w:t>International Services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441</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6"/>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Goodwill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755,250</w:t>
            </w:r>
          </w:p>
        </w:tc>
        <w:tc>
          <w:tcPr>
            <w:tcW w:w="1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(25 )</w:t>
            </w:r>
          </w:p>
        </w:tc>
        <w:tc>
          <w:tcPr>
            <w:tcW w:w="1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755,225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-1566545</wp:posOffset>
            </wp:positionV>
            <wp:extent cx="1028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-1549400</wp:posOffset>
            </wp:positionV>
            <wp:extent cx="1028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-1566545</wp:posOffset>
            </wp:positionV>
            <wp:extent cx="939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-1549400</wp:posOffset>
            </wp:positionV>
            <wp:extent cx="939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-24765</wp:posOffset>
            </wp:positionV>
            <wp:extent cx="10287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-7620</wp:posOffset>
            </wp:positionV>
            <wp:extent cx="1028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-24765</wp:posOffset>
            </wp:positionV>
            <wp:extent cx="939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-7620</wp:posOffset>
            </wp:positionV>
            <wp:extent cx="939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 assets consisted of the following as of December 31, 2022 and 2021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4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Weighted</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December 31, 2022</w:t>
            </w: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December 31, 2021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740" w:type="dxa"/>
            <w:vAlign w:val="bottom"/>
          </w:tcPr>
          <w:p>
            <w:pPr>
              <w:spacing w:after="0"/>
              <w:rPr>
                <w:sz w:val="11"/>
                <w:szCs w:val="11"/>
                <w:color w:val="auto"/>
              </w:rPr>
            </w:pPr>
          </w:p>
        </w:tc>
        <w:tc>
          <w:tcPr>
            <w:tcW w:w="104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1"/>
                <w:szCs w:val="11"/>
                <w:color w:val="auto"/>
              </w:rPr>
            </w:pPr>
          </w:p>
        </w:tc>
        <w:tc>
          <w:tcPr>
            <w:tcW w:w="860" w:type="dxa"/>
            <w:vAlign w:val="bottom"/>
          </w:tcPr>
          <w:p>
            <w:pPr>
              <w:jc w:val="center"/>
              <w:ind w:right="178"/>
              <w:spacing w:after="0" w:line="13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158"/>
              <w:spacing w:after="0" w:line="133" w:lineRule="exact"/>
              <w:rPr>
                <w:sz w:val="20"/>
                <w:szCs w:val="20"/>
                <w:color w:val="auto"/>
              </w:rPr>
            </w:pPr>
            <w:r>
              <w:rPr>
                <w:rFonts w:ascii="Arial" w:cs="Arial" w:eastAsia="Arial" w:hAnsi="Arial"/>
                <w:sz w:val="14"/>
                <w:szCs w:val="14"/>
                <w:b w:val="1"/>
                <w:bCs w:val="1"/>
                <w:color w:val="auto"/>
                <w:w w:val="97"/>
              </w:rPr>
              <w:t>Net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83"/>
              </w:rPr>
              <w:t>Gross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w w:val="97"/>
              </w:rPr>
              <w:t>Accumulated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158"/>
              <w:spacing w:after="0" w:line="13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Useful Life</w:t>
            </w:r>
          </w:p>
        </w:tc>
        <w:tc>
          <w:tcPr>
            <w:tcW w:w="140" w:type="dxa"/>
            <w:vAlign w:val="bottom"/>
          </w:tcPr>
          <w:p>
            <w:pPr>
              <w:spacing w:after="0"/>
              <w:rPr>
                <w:sz w:val="12"/>
                <w:szCs w:val="12"/>
                <w:color w:val="auto"/>
              </w:rPr>
            </w:pPr>
          </w:p>
        </w:tc>
        <w:tc>
          <w:tcPr>
            <w:tcW w:w="86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7"/>
              </w:rPr>
              <w:t>Carrying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7"/>
              </w:rPr>
              <w:t>Carrying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85"/>
        </w:trPr>
        <w:tc>
          <w:tcPr>
            <w:tcW w:w="374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(years)</w:t>
            </w:r>
          </w:p>
        </w:tc>
        <w:tc>
          <w:tcPr>
            <w:tcW w:w="140" w:type="dxa"/>
            <w:vAlign w:val="bottom"/>
          </w:tcPr>
          <w:p>
            <w:pPr>
              <w:spacing w:after="0"/>
              <w:rPr>
                <w:sz w:val="16"/>
                <w:szCs w:val="16"/>
                <w:color w:val="auto"/>
              </w:rPr>
            </w:pPr>
          </w:p>
        </w:tc>
        <w:tc>
          <w:tcPr>
            <w:tcW w:w="860" w:type="dxa"/>
            <w:vAlign w:val="bottom"/>
          </w:tcPr>
          <w:p>
            <w:pPr>
              <w:jc w:val="center"/>
              <w:ind w:right="178"/>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Arial" w:cs="Arial" w:eastAsia="Arial" w:hAnsi="Arial"/>
                <w:sz w:val="14"/>
                <w:szCs w:val="14"/>
                <w:b w:val="1"/>
                <w:bCs w:val="1"/>
                <w:color w:val="auto"/>
                <w:w w:val="93"/>
              </w:rPr>
              <w:t>Amortization</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36"/>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Facility management contracts</w:t>
            </w:r>
          </w:p>
        </w:tc>
        <w:tc>
          <w:tcPr>
            <w:tcW w:w="960" w:type="dxa"/>
            <w:vAlign w:val="bottom"/>
            <w:tcBorders>
              <w:top w:val="single" w:sz="8" w:color="auto"/>
            </w:tcBorders>
            <w:shd w:val="clear" w:color="auto" w:fill="CFF0FC"/>
          </w:tcPr>
          <w:p>
            <w:pPr>
              <w:jc w:val="right"/>
              <w:ind w:right="6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308,350</w:t>
            </w:r>
          </w:p>
        </w:tc>
        <w:tc>
          <w:tcPr>
            <w:tcW w:w="8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(206,367 )</w:t>
            </w:r>
          </w:p>
        </w:tc>
        <w:tc>
          <w:tcPr>
            <w:tcW w:w="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101,983</w:t>
            </w:r>
          </w:p>
        </w:tc>
        <w:tc>
          <w:tcPr>
            <w:tcW w:w="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308,369</w:t>
            </w:r>
          </w:p>
        </w:tc>
        <w:tc>
          <w:tcPr>
            <w:tcW w:w="8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(189,163 )</w:t>
            </w:r>
          </w:p>
        </w:tc>
        <w:tc>
          <w:tcPr>
            <w:tcW w:w="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119,206</w:t>
            </w:r>
          </w:p>
        </w:tc>
        <w:tc>
          <w:tcPr>
            <w:tcW w:w="0" w:type="dxa"/>
            <w:vAlign w:val="bottom"/>
          </w:tcPr>
          <w:p>
            <w:pPr>
              <w:spacing w:after="0"/>
              <w:rPr>
                <w:sz w:val="1"/>
                <w:szCs w:val="1"/>
                <w:color w:val="auto"/>
              </w:rPr>
            </w:pPr>
          </w:p>
        </w:tc>
      </w:tr>
      <w:tr>
        <w:trPr>
          <w:trHeight w:val="236"/>
        </w:trPr>
        <w:tc>
          <w:tcPr>
            <w:tcW w:w="374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960" w:type="dxa"/>
            <w:vAlign w:val="bottom"/>
          </w:tcPr>
          <w:p>
            <w:pPr>
              <w:jc w:val="right"/>
              <w:ind w:right="6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58"/>
              <w:spacing w:after="0"/>
              <w:rPr>
                <w:sz w:val="20"/>
                <w:szCs w:val="20"/>
                <w:color w:val="auto"/>
              </w:rPr>
            </w:pPr>
            <w:r>
              <w:rPr>
                <w:rFonts w:ascii="Arial" w:cs="Arial" w:eastAsia="Arial" w:hAnsi="Arial"/>
                <w:sz w:val="18"/>
                <w:szCs w:val="18"/>
                <w:color w:val="auto"/>
              </w:rPr>
              <w:t>33,700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(33,195 )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505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33,700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(31,982 )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38"/>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49"/>
        </w:trPr>
        <w:tc>
          <w:tcPr>
            <w:tcW w:w="3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Trade names</w:t>
            </w:r>
          </w:p>
        </w:tc>
        <w:tc>
          <w:tcPr>
            <w:tcW w:w="10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Indefinite</w:t>
            </w: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45,200</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45,200</w:t>
            </w: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45,200</w:t>
            </w:r>
          </w:p>
        </w:tc>
        <w:tc>
          <w:tcPr>
            <w:tcW w:w="8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45,200</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Total acquired intangible assets</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8"/>
              <w:spacing w:after="0"/>
              <w:rPr>
                <w:sz w:val="20"/>
                <w:szCs w:val="20"/>
                <w:color w:val="auto"/>
              </w:rPr>
            </w:pPr>
            <w:r>
              <w:rPr>
                <w:rFonts w:ascii="Arial" w:cs="Arial" w:eastAsia="Arial" w:hAnsi="Arial"/>
                <w:sz w:val="18"/>
                <w:szCs w:val="18"/>
                <w:color w:val="auto"/>
              </w:rPr>
              <w:t>387,250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(239,562 )</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147,688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387,269</w:t>
            </w:r>
          </w:p>
        </w:tc>
        <w:tc>
          <w:tcPr>
            <w:tcW w:w="360" w:type="dxa"/>
            <w:vAlign w:val="bottom"/>
            <w:gridSpan w:val="3"/>
          </w:tcPr>
          <w:p>
            <w:pPr>
              <w:jc w:val="right"/>
              <w:ind w:right="2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(221,145 )</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8"/>
              <w:spacing w:after="0"/>
              <w:rPr>
                <w:sz w:val="20"/>
                <w:szCs w:val="20"/>
                <w:color w:val="auto"/>
              </w:rPr>
            </w:pPr>
            <w:r>
              <w:rPr>
                <w:rFonts w:ascii="Arial" w:cs="Arial" w:eastAsia="Arial" w:hAnsi="Arial"/>
                <w:sz w:val="18"/>
                <w:szCs w:val="18"/>
                <w:color w:val="auto"/>
              </w:rPr>
              <w:t>166,124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-187960</wp:posOffset>
            </wp:positionV>
            <wp:extent cx="51435" cy="1885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-187960</wp:posOffset>
            </wp:positionV>
            <wp:extent cx="42545" cy="1885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2545" cy="18859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-187960</wp:posOffset>
            </wp:positionV>
            <wp:extent cx="42545" cy="1885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2545" cy="18859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-187960</wp:posOffset>
            </wp:positionV>
            <wp:extent cx="42545" cy="1885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2545" cy="188595"/>
                    </a:xfrm>
                    <a:prstGeom prst="rect">
                      <a:avLst/>
                    </a:prstGeom>
                    <a:noFill/>
                  </pic:spPr>
                </pic:pic>
              </a:graphicData>
            </a:graphic>
          </wp:anchor>
        </w:drawing>
        <w:drawing>
          <wp:anchor simplePos="0" relativeHeight="251657728" behindDoc="1" locked="0" layoutInCell="0" allowOverlap="1">
            <wp:simplePos x="0" y="0"/>
            <wp:positionH relativeFrom="column">
              <wp:posOffset>6495415</wp:posOffset>
            </wp:positionH>
            <wp:positionV relativeFrom="paragraph">
              <wp:posOffset>-187960</wp:posOffset>
            </wp:positionV>
            <wp:extent cx="42545" cy="1885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2545" cy="188595"/>
                    </a:xfrm>
                    <a:prstGeom prst="rect">
                      <a:avLst/>
                    </a:prstGeom>
                    <a:noFill/>
                  </pic:spPr>
                </pic:pic>
              </a:graphicData>
            </a:graphic>
          </wp:anchor>
        </w:drawing>
      </w:r>
    </w:p>
    <w:p>
      <w:pPr>
        <w:spacing w:after="0" w:line="208" w:lineRule="exact"/>
        <w:rPr>
          <w:sz w:val="20"/>
          <w:szCs w:val="20"/>
          <w:color w:val="auto"/>
        </w:rPr>
      </w:pPr>
    </w:p>
    <w:p>
      <w:pPr>
        <w:ind w:right="520" w:firstLine="509"/>
        <w:spacing w:after="0" w:line="311" w:lineRule="auto"/>
        <w:rPr>
          <w:sz w:val="20"/>
          <w:szCs w:val="20"/>
          <w:color w:val="auto"/>
        </w:rPr>
      </w:pPr>
      <w:r>
        <w:rPr>
          <w:rFonts w:ascii="Arial" w:cs="Arial" w:eastAsia="Arial" w:hAnsi="Arial"/>
          <w:sz w:val="16"/>
          <w:szCs w:val="16"/>
          <w:color w:val="auto"/>
        </w:rPr>
        <w:t>The accounting for recognized intangible assets is based on the useful lives to the reporting entity. Intangible assets with finite useful lives are amortized over their useful lives and intangible assets with indefinite useful lives are not amortized. The Company estimates the useful lives of its intangible assets taking into consideration (i) the expected use of the asset by the Company, (ii) the expected useful lives of other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9" w:name="page110"/>
    <w:bookmarkEnd w:id="109"/>
    <w:p>
      <w:pPr>
        <w:ind w:right="180"/>
        <w:spacing w:after="0" w:line="263" w:lineRule="auto"/>
        <w:rPr>
          <w:sz w:val="20"/>
          <w:szCs w:val="20"/>
          <w:color w:val="auto"/>
        </w:rPr>
      </w:pPr>
      <w:r>
        <w:rPr>
          <w:rFonts w:ascii="Arial" w:cs="Arial" w:eastAsia="Arial" w:hAnsi="Arial"/>
          <w:sz w:val="18"/>
          <w:szCs w:val="18"/>
          <w:color w:val="auto"/>
        </w:rPr>
        <w:t>related assets or groups of assets, (iii) legal or contractual limitations, (iv) the Company's historical experience in renewing or extending similar arrangements, (v) the effects of obsolescence, demand, competition and other economic factors and (vi) the level of maintenance expenditures required to obtain the expected cash flows from the asset.</w:t>
      </w:r>
    </w:p>
    <w:p>
      <w:pPr>
        <w:spacing w:after="0" w:line="183"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Amortization expense was $18.4 million, $21.6 million and $22.3 million for the years ended December 31, 2022, 2021 and 2020, respectively, and primarily related to the U.S. Secure Services and Reentry Services segments’ amortization of intangible assets for acquired management contracts. The Company relies on its historical experience in determining the useful life of facility management contracts. The Company makes assumptions related to acquired facility management contracts based on the competitive environment for individual contracts, our historical success rates in retaining contracts, the supply of available beds in the market, changes in legislation, the projected profitability of the facilities and other market conditions. As of December 31, 2022, the weighted average period before the next contract renewal or extension for the facility management contracts was approximately 3.1 years. Although the facility management contracts acquired have renewal and extension terms in the near term, the Company has historically maintained these relationships beyond the contractual periods.</w:t>
      </w:r>
    </w:p>
    <w:p>
      <w:pPr>
        <w:spacing w:after="0" w:line="182" w:lineRule="exact"/>
        <w:rPr>
          <w:sz w:val="20"/>
          <w:szCs w:val="20"/>
          <w:color w:val="auto"/>
        </w:rPr>
      </w:pPr>
    </w:p>
    <w:p>
      <w:pPr>
        <w:ind w:right="620" w:firstLine="509"/>
        <w:spacing w:after="0" w:line="277" w:lineRule="auto"/>
        <w:rPr>
          <w:sz w:val="20"/>
          <w:szCs w:val="20"/>
          <w:color w:val="auto"/>
        </w:rPr>
      </w:pPr>
      <w:r>
        <w:rPr>
          <w:rFonts w:ascii="Arial" w:cs="Arial" w:eastAsia="Arial" w:hAnsi="Arial"/>
          <w:sz w:val="18"/>
          <w:szCs w:val="18"/>
          <w:color w:val="auto"/>
        </w:rPr>
        <w:t>Estimated amortization expense related to the Company’s finite-lived intangible assets for 2023 through 2027 and thereafter is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center"/>
              <w:ind w:right="336"/>
              <w:spacing w:after="0"/>
              <w:rPr>
                <w:sz w:val="20"/>
                <w:szCs w:val="20"/>
                <w:color w:val="auto"/>
              </w:rPr>
            </w:pPr>
            <w:r>
              <w:rPr>
                <w:rFonts w:ascii="Arial" w:cs="Arial" w:eastAsia="Arial" w:hAnsi="Arial"/>
                <w:sz w:val="14"/>
                <w:szCs w:val="14"/>
                <w:b w:val="1"/>
                <w:bCs w:val="1"/>
                <w:color w:val="auto"/>
                <w:w w:val="89"/>
              </w:rPr>
              <w:t>Total</w:t>
            </w:r>
          </w:p>
        </w:tc>
      </w:tr>
      <w:tr>
        <w:trPr>
          <w:trHeight w:val="148"/>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tcPr>
          <w:p>
            <w:pPr>
              <w:jc w:val="center"/>
              <w:ind w:right="336"/>
              <w:spacing w:after="0" w:line="149" w:lineRule="exact"/>
              <w:rPr>
                <w:sz w:val="20"/>
                <w:szCs w:val="20"/>
                <w:color w:val="auto"/>
              </w:rPr>
            </w:pPr>
            <w:r>
              <w:rPr>
                <w:rFonts w:ascii="Arial" w:cs="Arial" w:eastAsia="Arial" w:hAnsi="Arial"/>
                <w:sz w:val="14"/>
                <w:szCs w:val="14"/>
                <w:b w:val="1"/>
                <w:bCs w:val="1"/>
                <w:color w:val="auto"/>
                <w:w w:val="95"/>
              </w:rPr>
              <w:t>Amortization</w:t>
            </w:r>
          </w:p>
        </w:tc>
      </w:tr>
      <w:tr>
        <w:trPr>
          <w:trHeight w:val="178"/>
        </w:trPr>
        <w:tc>
          <w:tcPr>
            <w:tcW w:w="20" w:type="dxa"/>
            <w:vAlign w:val="bottom"/>
          </w:tcPr>
          <w:p>
            <w:pPr>
              <w:spacing w:after="0"/>
              <w:rPr>
                <w:sz w:val="15"/>
                <w:szCs w:val="15"/>
                <w:color w:val="auto"/>
              </w:rPr>
            </w:pPr>
          </w:p>
        </w:tc>
        <w:tc>
          <w:tcPr>
            <w:tcW w:w="922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Pr>
          <w:p>
            <w:pPr>
              <w:spacing w:after="0"/>
              <w:rPr>
                <w:sz w:val="15"/>
                <w:szCs w:val="15"/>
                <w:color w:val="auto"/>
              </w:rPr>
            </w:pPr>
          </w:p>
        </w:tc>
        <w:tc>
          <w:tcPr>
            <w:tcW w:w="1680" w:type="dxa"/>
            <w:vAlign w:val="bottom"/>
          </w:tcPr>
          <w:p>
            <w:pPr>
              <w:jc w:val="center"/>
              <w:ind w:right="336"/>
              <w:spacing w:after="0"/>
              <w:rPr>
                <w:sz w:val="20"/>
                <w:szCs w:val="20"/>
                <w:color w:val="auto"/>
              </w:rPr>
            </w:pPr>
            <w:r>
              <w:rPr>
                <w:rFonts w:ascii="Arial" w:cs="Arial" w:eastAsia="Arial" w:hAnsi="Arial"/>
                <w:sz w:val="14"/>
                <w:szCs w:val="14"/>
                <w:b w:val="1"/>
                <w:bCs w:val="1"/>
                <w:color w:val="auto"/>
                <w:w w:val="86"/>
              </w:rPr>
              <w:t>Expense</w:t>
            </w:r>
          </w:p>
        </w:tc>
      </w:tr>
      <w:tr>
        <w:trPr>
          <w:trHeight w:val="243"/>
        </w:trPr>
        <w:tc>
          <w:tcPr>
            <w:tcW w:w="20" w:type="dxa"/>
            <w:vAlign w:val="bottom"/>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2023</w:t>
            </w:r>
          </w:p>
        </w:tc>
        <w:tc>
          <w:tcPr>
            <w:tcW w:w="854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11,766</w:t>
            </w:r>
          </w:p>
        </w:tc>
      </w:tr>
      <w:tr>
        <w:trPr>
          <w:trHeight w:val="236"/>
        </w:trPr>
        <w:tc>
          <w:tcPr>
            <w:tcW w:w="7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8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9,314</w:t>
            </w:r>
          </w:p>
        </w:tc>
      </w:tr>
      <w:tr>
        <w:trPr>
          <w:trHeight w:val="249"/>
        </w:trPr>
        <w:tc>
          <w:tcPr>
            <w:tcW w:w="7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85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9,263</w:t>
            </w:r>
          </w:p>
        </w:tc>
      </w:tr>
      <w:tr>
        <w:trPr>
          <w:trHeight w:val="236"/>
        </w:trPr>
        <w:tc>
          <w:tcPr>
            <w:tcW w:w="70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8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7,170</w:t>
            </w:r>
          </w:p>
        </w:tc>
      </w:tr>
      <w:tr>
        <w:trPr>
          <w:trHeight w:val="249"/>
        </w:trPr>
        <w:tc>
          <w:tcPr>
            <w:tcW w:w="7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85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6,628</w:t>
            </w:r>
          </w:p>
        </w:tc>
      </w:tr>
      <w:tr>
        <w:trPr>
          <w:trHeight w:val="236"/>
        </w:trPr>
        <w:tc>
          <w:tcPr>
            <w:tcW w:w="20" w:type="dxa"/>
            <w:vAlign w:val="bottom"/>
          </w:tcPr>
          <w:p>
            <w:pPr>
              <w:spacing w:after="0"/>
              <w:rPr>
                <w:sz w:val="20"/>
                <w:szCs w:val="20"/>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58,347</w:t>
            </w: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spacing w:after="0"/>
              <w:rPr>
                <w:sz w:val="24"/>
                <w:szCs w:val="24"/>
                <w:color w:val="auto"/>
              </w:rPr>
            </w:pPr>
          </w:p>
        </w:tc>
        <w:tc>
          <w:tcPr>
            <w:tcW w:w="85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102,488</w:t>
            </w:r>
          </w:p>
        </w:tc>
      </w:tr>
    </w:tbl>
    <w:p>
      <w:pPr>
        <w:spacing w:after="0" w:line="251" w:lineRule="exact"/>
        <w:rPr>
          <w:sz w:val="20"/>
          <w:szCs w:val="20"/>
          <w:color w:val="auto"/>
        </w:rPr>
      </w:pPr>
    </w:p>
    <w:p>
      <w:pPr>
        <w:ind w:left="520" w:hanging="512"/>
        <w:spacing w:after="0"/>
        <w:tabs>
          <w:tab w:leader="none" w:pos="5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75" w:lineRule="exact"/>
        <w:rPr>
          <w:sz w:val="20"/>
          <w:szCs w:val="20"/>
          <w:color w:val="auto"/>
        </w:rPr>
      </w:pPr>
    </w:p>
    <w:p>
      <w:pPr>
        <w:ind w:right="680" w:firstLine="509"/>
        <w:spacing w:after="0" w:line="277" w:lineRule="auto"/>
        <w:rPr>
          <w:sz w:val="20"/>
          <w:szCs w:val="20"/>
          <w:color w:val="auto"/>
        </w:rPr>
      </w:pPr>
      <w:r>
        <w:rPr>
          <w:rFonts w:ascii="Arial" w:cs="Arial" w:eastAsia="Arial" w:hAnsi="Arial"/>
          <w:sz w:val="18"/>
          <w:szCs w:val="18"/>
          <w:color w:val="auto"/>
        </w:rPr>
        <w:t>The following table provides a summary of the Company’s significant financial assets and liabilities carried at fair value and measured on a recurring basis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5"/>
              </w:rPr>
              <w:t>Fair Value Measurements at December 31, 2022</w:t>
            </w: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95"/>
              </w:rPr>
              <w:t>Carrying Value at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center"/>
              <w:ind w:right="158"/>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137"/>
              <w:spacing w:after="0" w:line="133" w:lineRule="exact"/>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center"/>
              <w:ind w:right="158"/>
              <w:spacing w:after="0" w:line="13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40" w:type="dxa"/>
            <w:vAlign w:val="bottom"/>
          </w:tcPr>
          <w:p>
            <w:pPr>
              <w:spacing w:after="0"/>
              <w:rPr>
                <w:sz w:val="12"/>
                <w:szCs w:val="12"/>
                <w:color w:val="auto"/>
              </w:rPr>
            </w:pPr>
          </w:p>
        </w:tc>
        <w:tc>
          <w:tcPr>
            <w:tcW w:w="1440" w:type="dxa"/>
            <w:vAlign w:val="bottom"/>
            <w:gridSpan w:val="2"/>
          </w:tcPr>
          <w:p>
            <w:pPr>
              <w:jc w:val="center"/>
              <w:ind w:right="17"/>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5"/>
        </w:trPr>
        <w:tc>
          <w:tcPr>
            <w:tcW w:w="4900" w:type="dxa"/>
            <w:vAlign w:val="bottom"/>
          </w:tcPr>
          <w:p>
            <w:pPr>
              <w:spacing w:after="0"/>
              <w:rPr>
                <w:sz w:val="16"/>
                <w:szCs w:val="16"/>
                <w:color w:val="auto"/>
              </w:rPr>
            </w:pPr>
          </w:p>
        </w:tc>
        <w:tc>
          <w:tcPr>
            <w:tcW w:w="1480" w:type="dxa"/>
            <w:vAlign w:val="bottom"/>
            <w:tcBorders>
              <w:bottom w:val="single" w:sz="8" w:color="auto"/>
            </w:tcBorders>
            <w:gridSpan w:val="2"/>
          </w:tcPr>
          <w:p>
            <w:pPr>
              <w:jc w:val="center"/>
              <w:ind w:right="34"/>
              <w:spacing w:after="0"/>
              <w:rPr>
                <w:sz w:val="20"/>
                <w:szCs w:val="20"/>
                <w:color w:val="auto"/>
              </w:rPr>
            </w:pPr>
            <w:r>
              <w:rPr>
                <w:rFonts w:ascii="Arial" w:cs="Arial" w:eastAsia="Arial" w:hAnsi="Arial"/>
                <w:sz w:val="14"/>
                <w:szCs w:val="14"/>
                <w:b w:val="1"/>
                <w:bCs w:val="1"/>
                <w:color w:val="auto"/>
                <w:w w:val="91"/>
              </w:rPr>
              <w:t>December 31, 2022</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23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00" w:type="dxa"/>
            <w:vAlign w:val="bottom"/>
          </w:tcPr>
          <w:p>
            <w:pPr>
              <w:ind w:left="20"/>
              <w:spacing w:after="0"/>
              <w:rPr>
                <w:sz w:val="20"/>
                <w:szCs w:val="20"/>
                <w:color w:val="auto"/>
              </w:rPr>
            </w:pPr>
            <w:r>
              <w:rPr>
                <w:rFonts w:ascii="Arial" w:cs="Arial" w:eastAsia="Arial" w:hAnsi="Arial"/>
                <w:sz w:val="18"/>
                <w:szCs w:val="18"/>
                <w:color w:val="auto"/>
              </w:rPr>
              <w:t>Restricted investments: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Rabbi Trust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36,982</w:t>
            </w:r>
          </w:p>
        </w:tc>
        <w:tc>
          <w:tcPr>
            <w:tcW w:w="3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36,982</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900" w:type="dxa"/>
            <w:vAlign w:val="bottom"/>
          </w:tcPr>
          <w:p>
            <w:pPr>
              <w:ind w:left="200"/>
              <w:spacing w:after="0"/>
              <w:rPr>
                <w:sz w:val="20"/>
                <w:szCs w:val="20"/>
                <w:color w:val="auto"/>
              </w:rPr>
            </w:pPr>
            <w:r>
              <w:rPr>
                <w:rFonts w:ascii="Arial" w:cs="Arial" w:eastAsia="Arial" w:hAnsi="Arial"/>
                <w:sz w:val="18"/>
                <w:szCs w:val="18"/>
                <w:color w:val="auto"/>
              </w:rPr>
              <w:t>Marketable equity and fixed income securities</w:t>
            </w:r>
          </w:p>
        </w:tc>
        <w:tc>
          <w:tcPr>
            <w:tcW w:w="120" w:type="dxa"/>
            <w:vAlign w:val="bottom"/>
          </w:tcPr>
          <w:p>
            <w:pPr>
              <w:spacing w:after="0"/>
              <w:rPr>
                <w:sz w:val="20"/>
                <w:szCs w:val="20"/>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25,939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25,939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rate swap derivatives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4,613</w:t>
            </w:r>
          </w:p>
        </w:tc>
        <w:tc>
          <w:tcPr>
            <w:tcW w:w="3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4,613</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4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5"/>
              </w:rPr>
              <w:t>Fair Value Measurements at December 31, 2021</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95"/>
              </w:rPr>
              <w:t>Carrying Value at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center"/>
              <w:ind w:right="158"/>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137"/>
              <w:spacing w:after="0" w:line="133" w:lineRule="exact"/>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center"/>
              <w:ind w:right="158"/>
              <w:spacing w:after="0" w:line="13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40" w:type="dxa"/>
            <w:vAlign w:val="bottom"/>
          </w:tcPr>
          <w:p>
            <w:pPr>
              <w:spacing w:after="0"/>
              <w:rPr>
                <w:sz w:val="12"/>
                <w:szCs w:val="12"/>
                <w:color w:val="auto"/>
              </w:rPr>
            </w:pPr>
          </w:p>
        </w:tc>
        <w:tc>
          <w:tcPr>
            <w:tcW w:w="1440" w:type="dxa"/>
            <w:vAlign w:val="bottom"/>
            <w:gridSpan w:val="2"/>
          </w:tcPr>
          <w:p>
            <w:pPr>
              <w:jc w:val="center"/>
              <w:ind w:right="17"/>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5"/>
        </w:trPr>
        <w:tc>
          <w:tcPr>
            <w:tcW w:w="4900" w:type="dxa"/>
            <w:vAlign w:val="bottom"/>
          </w:tcPr>
          <w:p>
            <w:pPr>
              <w:spacing w:after="0"/>
              <w:rPr>
                <w:sz w:val="16"/>
                <w:szCs w:val="16"/>
                <w:color w:val="auto"/>
              </w:rPr>
            </w:pPr>
          </w:p>
        </w:tc>
        <w:tc>
          <w:tcPr>
            <w:tcW w:w="1480" w:type="dxa"/>
            <w:vAlign w:val="bottom"/>
            <w:tcBorders>
              <w:bottom w:val="single" w:sz="8" w:color="auto"/>
            </w:tcBorders>
            <w:gridSpan w:val="2"/>
          </w:tcPr>
          <w:p>
            <w:pPr>
              <w:jc w:val="center"/>
              <w:ind w:right="34"/>
              <w:spacing w:after="0"/>
              <w:rPr>
                <w:sz w:val="20"/>
                <w:szCs w:val="20"/>
                <w:color w:val="auto"/>
              </w:rPr>
            </w:pPr>
            <w:r>
              <w:rPr>
                <w:rFonts w:ascii="Arial" w:cs="Arial" w:eastAsia="Arial" w:hAnsi="Arial"/>
                <w:sz w:val="14"/>
                <w:szCs w:val="14"/>
                <w:b w:val="1"/>
                <w:bCs w:val="1"/>
                <w:color w:val="auto"/>
                <w:w w:val="91"/>
              </w:rPr>
              <w:t>December 31, 2021</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23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00" w:type="dxa"/>
            <w:vAlign w:val="bottom"/>
          </w:tcPr>
          <w:p>
            <w:pPr>
              <w:ind w:left="20"/>
              <w:spacing w:after="0"/>
              <w:rPr>
                <w:sz w:val="20"/>
                <w:szCs w:val="20"/>
                <w:color w:val="auto"/>
              </w:rPr>
            </w:pPr>
            <w:r>
              <w:rPr>
                <w:rFonts w:ascii="Arial" w:cs="Arial" w:eastAsia="Arial" w:hAnsi="Arial"/>
                <w:sz w:val="18"/>
                <w:szCs w:val="18"/>
                <w:color w:val="auto"/>
              </w:rPr>
              <w:t>Restricted investments: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Rabbi Trust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42,937</w:t>
            </w:r>
          </w:p>
        </w:tc>
        <w:tc>
          <w:tcPr>
            <w:tcW w:w="3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42,937</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900" w:type="dxa"/>
            <w:vAlign w:val="bottom"/>
          </w:tcPr>
          <w:p>
            <w:pPr>
              <w:ind w:left="200"/>
              <w:spacing w:after="0"/>
              <w:rPr>
                <w:sz w:val="20"/>
                <w:szCs w:val="20"/>
                <w:color w:val="auto"/>
              </w:rPr>
            </w:pPr>
            <w:r>
              <w:rPr>
                <w:rFonts w:ascii="Arial" w:cs="Arial" w:eastAsia="Arial" w:hAnsi="Arial"/>
                <w:sz w:val="18"/>
                <w:szCs w:val="18"/>
                <w:color w:val="auto"/>
              </w:rPr>
              <w:t>Marketable equity and fixed income securities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11,551</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340" w:type="dxa"/>
            <w:vAlign w:val="bottom"/>
          </w:tcPr>
          <w:p>
            <w:pPr>
              <w:ind w:left="10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11,551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Fixed income securities</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1,927</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1,927</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9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rate swap derivatives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3,195</w:t>
            </w:r>
          </w:p>
        </w:tc>
        <w:tc>
          <w:tcPr>
            <w:tcW w:w="3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3,195</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Company’s Level 2 financial instruments included in the tables above as of December 31, 2022 and 2021 consist of interest rate swap derivative liabilities held by GEO, investments in equity and fixed income mutual funds held in the Company’s captive insurance subsidiary, Florina, the Company's rabbi trust established for GEO employee and employer contributions to The GEO Group, Inc. Non-qualified Deferred Compensation Plan and an investment in Canadian dollar denominated fixed income securities.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0" w:name="page111"/>
    <w:bookmarkEnd w:id="110"/>
    <w:p>
      <w:pPr>
        <w:ind w:right="40" w:firstLine="509"/>
        <w:spacing w:after="0" w:line="255" w:lineRule="auto"/>
        <w:rPr>
          <w:sz w:val="20"/>
          <w:szCs w:val="20"/>
          <w:color w:val="auto"/>
        </w:rPr>
      </w:pPr>
      <w:r>
        <w:rPr>
          <w:rFonts w:ascii="Arial" w:cs="Arial" w:eastAsia="Arial" w:hAnsi="Arial"/>
          <w:sz w:val="18"/>
          <w:szCs w:val="18"/>
          <w:color w:val="auto"/>
        </w:rPr>
        <w:t>The interest rate swap derivative liabilities are valued using a discounted cash flow model based on projected borrowing rates. The Company's restricted investment in the rabbi trust is invested in Company-owned life insurance policies which are recorded at their cash surrender values. These investments in fixed income securities are valued based on the underlying investments held in the policies' separate account. The underlying assets are equity and fixed income pooled funds that are comprised of Level 1 and Level 2 securities. The equity and fixed income mutual fund securities are valued at fair value using the net asset value per share. The Canadian dollar denominated securities, not actively traded, are valued using quoted rates for these and similar securities.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Assets and Liabilities</w:t>
      </w:r>
    </w:p>
    <w:p>
      <w:pPr>
        <w:spacing w:after="0" w:line="175"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The Company’s Consolidated Balance Sheets reflect certain financial instruments at carrying value. The following table presents the carrying values of those instruments and the corresponding estimated fair values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16"/>
          </w:tcPr>
          <w:p>
            <w:pPr>
              <w:jc w:val="right"/>
              <w:spacing w:after="0"/>
              <w:rPr>
                <w:sz w:val="20"/>
                <w:szCs w:val="20"/>
                <w:color w:val="auto"/>
              </w:rPr>
            </w:pPr>
            <w:r>
              <w:rPr>
                <w:rFonts w:ascii="Arial" w:cs="Arial" w:eastAsia="Arial" w:hAnsi="Arial"/>
                <w:sz w:val="14"/>
                <w:szCs w:val="14"/>
                <w:b w:val="1"/>
                <w:bCs w:val="1"/>
                <w:color w:val="auto"/>
                <w:w w:val="92"/>
              </w:rPr>
              <w:t>Estimated Fair Value Measurements at December 31, 2022</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5"/>
              </w:rPr>
              <w:t>Carrying Value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8"/>
              </w:rPr>
              <w:t>Total Fair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as of December</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5"/>
        </w:trPr>
        <w:tc>
          <w:tcPr>
            <w:tcW w:w="51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91"/>
              </w:rPr>
              <w:t>31, 2022</w:t>
            </w:r>
          </w:p>
        </w:tc>
        <w:tc>
          <w:tcPr>
            <w:tcW w:w="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8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tcPr>
          <w:p>
            <w:pPr>
              <w:jc w:val="right"/>
              <w:ind w:right="68"/>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95,073</w:t>
            </w:r>
          </w:p>
        </w:tc>
        <w:tc>
          <w:tcPr>
            <w:tcW w:w="36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center"/>
              <w:ind w:left="94"/>
              <w:spacing w:after="0"/>
              <w:rPr>
                <w:sz w:val="20"/>
                <w:szCs w:val="20"/>
                <w:color w:val="auto"/>
              </w:rPr>
            </w:pPr>
            <w:r>
              <w:rPr>
                <w:rFonts w:ascii="Arial" w:cs="Arial" w:eastAsia="Arial" w:hAnsi="Arial"/>
                <w:sz w:val="18"/>
                <w:szCs w:val="18"/>
                <w:color w:val="auto"/>
                <w:w w:val="90"/>
              </w:rPr>
              <w:t>95,073</w:t>
            </w:r>
          </w:p>
        </w:tc>
        <w:tc>
          <w:tcPr>
            <w:tcW w:w="32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95,073</w:t>
            </w:r>
          </w:p>
        </w:tc>
        <w:tc>
          <w:tcPr>
            <w:tcW w:w="3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Restricted cash and investments</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48,770</w:t>
            </w: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center"/>
              <w:ind w:left="94"/>
              <w:spacing w:after="0"/>
              <w:rPr>
                <w:sz w:val="20"/>
                <w:szCs w:val="20"/>
                <w:color w:val="auto"/>
              </w:rPr>
            </w:pPr>
            <w:r>
              <w:rPr>
                <w:rFonts w:ascii="Arial" w:cs="Arial" w:eastAsia="Arial" w:hAnsi="Arial"/>
                <w:sz w:val="18"/>
                <w:szCs w:val="18"/>
                <w:color w:val="auto"/>
                <w:w w:val="90"/>
              </w:rPr>
              <w:t>48,770</w:t>
            </w: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48,770</w:t>
            </w: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Borrowings under exchange credit facility</w:t>
            </w:r>
          </w:p>
        </w:tc>
        <w:tc>
          <w:tcPr>
            <w:tcW w:w="2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1,113,239</w:t>
            </w:r>
          </w:p>
        </w:tc>
        <w:tc>
          <w:tcPr>
            <w:tcW w:w="360" w:type="dxa"/>
            <w:vAlign w:val="bottom"/>
            <w:gridSpan w:val="5"/>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w w:val="97"/>
              </w:rPr>
              <w:t>1,112,183</w:t>
            </w:r>
          </w:p>
        </w:tc>
        <w:tc>
          <w:tcPr>
            <w:tcW w:w="32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4"/>
              </w:rPr>
              <w:t>1,112,183</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180" w:type="dxa"/>
            <w:vAlign w:val="bottom"/>
          </w:tcPr>
          <w:p>
            <w:pPr>
              <w:ind w:left="200"/>
              <w:spacing w:after="0"/>
              <w:rPr>
                <w:sz w:val="20"/>
                <w:szCs w:val="20"/>
                <w:color w:val="auto"/>
              </w:rPr>
            </w:pPr>
            <w:r>
              <w:rPr>
                <w:rFonts w:ascii="Arial" w:cs="Arial" w:eastAsia="Arial" w:hAnsi="Arial"/>
                <w:sz w:val="18"/>
                <w:szCs w:val="18"/>
                <w:color w:val="auto"/>
              </w:rPr>
              <w:t>10.500% Public Second Lien Notes due 2028</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286,521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291,610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291,610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9.500% Private Second Lien Notes due 2028</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239,142</w:t>
            </w: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232,627</w:t>
            </w: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232,627</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180" w:type="dxa"/>
            <w:vAlign w:val="bottom"/>
          </w:tcPr>
          <w:p>
            <w:pPr>
              <w:ind w:left="200"/>
              <w:spacing w:after="0"/>
              <w:rPr>
                <w:sz w:val="20"/>
                <w:szCs w:val="20"/>
                <w:color w:val="auto"/>
              </w:rPr>
            </w:pPr>
            <w:r>
              <w:rPr>
                <w:rFonts w:ascii="Arial" w:cs="Arial" w:eastAsia="Arial" w:hAnsi="Arial"/>
                <w:sz w:val="18"/>
                <w:szCs w:val="18"/>
                <w:color w:val="auto"/>
              </w:rPr>
              <w:t>5.875% Senior Notes due 2024</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23,253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left="94"/>
              <w:spacing w:after="0"/>
              <w:rPr>
                <w:sz w:val="20"/>
                <w:szCs w:val="20"/>
                <w:color w:val="auto"/>
              </w:rPr>
            </w:pPr>
            <w:r>
              <w:rPr>
                <w:rFonts w:ascii="Arial" w:cs="Arial" w:eastAsia="Arial" w:hAnsi="Arial"/>
                <w:sz w:val="18"/>
                <w:szCs w:val="18"/>
                <w:color w:val="auto"/>
                <w:w w:val="90"/>
              </w:rPr>
              <w:t>22,997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22,997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6.00% Senior Notes due 2026</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110,858</w:t>
            </w: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center"/>
              <w:ind w:left="94"/>
              <w:spacing w:after="0"/>
              <w:rPr>
                <w:sz w:val="20"/>
                <w:szCs w:val="20"/>
                <w:color w:val="auto"/>
              </w:rPr>
            </w:pPr>
            <w:r>
              <w:rPr>
                <w:rFonts w:ascii="Arial" w:cs="Arial" w:eastAsia="Arial" w:hAnsi="Arial"/>
                <w:sz w:val="18"/>
                <w:szCs w:val="18"/>
                <w:color w:val="auto"/>
                <w:w w:val="90"/>
              </w:rPr>
              <w:t>99,132</w:t>
            </w: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99,132</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tcPr>
          <w:p>
            <w:pPr>
              <w:ind w:left="200"/>
              <w:spacing w:after="0"/>
              <w:rPr>
                <w:sz w:val="20"/>
                <w:szCs w:val="20"/>
                <w:color w:val="auto"/>
              </w:rPr>
            </w:pPr>
            <w:r>
              <w:rPr>
                <w:rFonts w:ascii="Arial" w:cs="Arial" w:eastAsia="Arial" w:hAnsi="Arial"/>
                <w:sz w:val="18"/>
                <w:szCs w:val="18"/>
                <w:color w:val="auto"/>
              </w:rPr>
              <w:t>6.50% Exchangeable Senior Notes due 2026</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230,000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327,872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327,872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1"/>
        </w:trPr>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16"/>
          </w:tcPr>
          <w:p>
            <w:pPr>
              <w:jc w:val="right"/>
              <w:spacing w:after="0"/>
              <w:rPr>
                <w:sz w:val="20"/>
                <w:szCs w:val="20"/>
                <w:color w:val="auto"/>
              </w:rPr>
            </w:pPr>
            <w:r>
              <w:rPr>
                <w:rFonts w:ascii="Arial" w:cs="Arial" w:eastAsia="Arial" w:hAnsi="Arial"/>
                <w:sz w:val="14"/>
                <w:szCs w:val="14"/>
                <w:b w:val="1"/>
                <w:bCs w:val="1"/>
                <w:color w:val="auto"/>
                <w:w w:val="93"/>
              </w:rPr>
              <w:t>Estimated Fair Value Measurements at December 31, 2021</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5"/>
              </w:rPr>
              <w:t>Carrying Value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 Fair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as of December</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5"/>
        </w:trPr>
        <w:tc>
          <w:tcPr>
            <w:tcW w:w="5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1"/>
              </w:rPr>
              <w:t>31, 2021</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Value</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8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506,491</w:t>
            </w:r>
          </w:p>
        </w:tc>
        <w:tc>
          <w:tcPr>
            <w:tcW w:w="360" w:type="dxa"/>
            <w:vAlign w:val="bottom"/>
            <w:gridSpan w:val="5"/>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center"/>
              <w:ind w:left="94"/>
              <w:spacing w:after="0"/>
              <w:rPr>
                <w:sz w:val="20"/>
                <w:szCs w:val="20"/>
                <w:color w:val="auto"/>
              </w:rPr>
            </w:pPr>
            <w:r>
              <w:rPr>
                <w:rFonts w:ascii="Arial" w:cs="Arial" w:eastAsia="Arial" w:hAnsi="Arial"/>
                <w:sz w:val="18"/>
                <w:szCs w:val="18"/>
                <w:color w:val="auto"/>
                <w:w w:val="89"/>
              </w:rPr>
              <w:t>506,491</w:t>
            </w:r>
          </w:p>
        </w:tc>
        <w:tc>
          <w:tcPr>
            <w:tcW w:w="3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506,491</w:t>
            </w:r>
          </w:p>
        </w:tc>
        <w:tc>
          <w:tcPr>
            <w:tcW w:w="3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Restricted cash and investments</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41,831</w:t>
            </w: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41,831</w:t>
            </w: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41,831</w:t>
            </w: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Borrowings under Senior Credit Facility</w:t>
            </w:r>
          </w:p>
        </w:tc>
        <w:tc>
          <w:tcPr>
            <w:tcW w:w="2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1,546,895</w:t>
            </w:r>
          </w:p>
        </w:tc>
        <w:tc>
          <w:tcPr>
            <w:tcW w:w="36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1,448,280</w:t>
            </w:r>
          </w:p>
        </w:tc>
        <w:tc>
          <w:tcPr>
            <w:tcW w:w="32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4"/>
              </w:rPr>
              <w:t>1,448,280</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180" w:type="dxa"/>
            <w:vAlign w:val="bottom"/>
          </w:tcPr>
          <w:p>
            <w:pPr>
              <w:ind w:left="200"/>
              <w:spacing w:after="0"/>
              <w:rPr>
                <w:sz w:val="20"/>
                <w:szCs w:val="20"/>
                <w:color w:val="auto"/>
              </w:rPr>
            </w:pPr>
            <w:r>
              <w:rPr>
                <w:rFonts w:ascii="Arial" w:cs="Arial" w:eastAsia="Arial" w:hAnsi="Arial"/>
                <w:sz w:val="18"/>
                <w:szCs w:val="18"/>
                <w:color w:val="auto"/>
              </w:rPr>
              <w:t>5.125% Senior Notes due 2023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259,275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left="94"/>
              <w:spacing w:after="0"/>
              <w:rPr>
                <w:sz w:val="20"/>
                <w:szCs w:val="20"/>
                <w:color w:val="auto"/>
              </w:rPr>
            </w:pPr>
            <w:r>
              <w:rPr>
                <w:rFonts w:ascii="Arial" w:cs="Arial" w:eastAsia="Arial" w:hAnsi="Arial"/>
                <w:sz w:val="18"/>
                <w:szCs w:val="18"/>
                <w:color w:val="auto"/>
                <w:w w:val="89"/>
              </w:rPr>
              <w:t>248,479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248,479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5.875% Senior Notes due 2024</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225,293</w:t>
            </w: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center"/>
              <w:ind w:left="94"/>
              <w:spacing w:after="0"/>
              <w:rPr>
                <w:sz w:val="20"/>
                <w:szCs w:val="20"/>
                <w:color w:val="auto"/>
              </w:rPr>
            </w:pPr>
            <w:r>
              <w:rPr>
                <w:rFonts w:ascii="Arial" w:cs="Arial" w:eastAsia="Arial" w:hAnsi="Arial"/>
                <w:sz w:val="18"/>
                <w:szCs w:val="18"/>
                <w:color w:val="auto"/>
                <w:w w:val="89"/>
              </w:rPr>
              <w:t>199,522</w:t>
            </w: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199,522</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180" w:type="dxa"/>
            <w:vAlign w:val="bottom"/>
          </w:tcPr>
          <w:p>
            <w:pPr>
              <w:ind w:left="200"/>
              <w:spacing w:after="0"/>
              <w:rPr>
                <w:sz w:val="20"/>
                <w:szCs w:val="20"/>
                <w:color w:val="auto"/>
              </w:rPr>
            </w:pPr>
            <w:r>
              <w:rPr>
                <w:rFonts w:ascii="Arial" w:cs="Arial" w:eastAsia="Arial" w:hAnsi="Arial"/>
                <w:sz w:val="18"/>
                <w:szCs w:val="18"/>
                <w:color w:val="auto"/>
              </w:rPr>
              <w:t>6.00% Senior Notes due 2026</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350,000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left="94"/>
              <w:spacing w:after="0"/>
              <w:rPr>
                <w:sz w:val="20"/>
                <w:szCs w:val="20"/>
                <w:color w:val="auto"/>
              </w:rPr>
            </w:pPr>
            <w:r>
              <w:rPr>
                <w:rFonts w:ascii="Arial" w:cs="Arial" w:eastAsia="Arial" w:hAnsi="Arial"/>
                <w:sz w:val="18"/>
                <w:szCs w:val="18"/>
                <w:color w:val="auto"/>
                <w:w w:val="89"/>
              </w:rPr>
              <w:t>283,691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283,691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6.50% Exchangeable Senior Notes due 2026</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230,000</w:t>
            </w: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center"/>
              <w:ind w:left="94"/>
              <w:spacing w:after="0"/>
              <w:rPr>
                <w:sz w:val="20"/>
                <w:szCs w:val="20"/>
                <w:color w:val="auto"/>
              </w:rPr>
            </w:pPr>
            <w:r>
              <w:rPr>
                <w:rFonts w:ascii="Arial" w:cs="Arial" w:eastAsia="Arial" w:hAnsi="Arial"/>
                <w:sz w:val="18"/>
                <w:szCs w:val="18"/>
                <w:color w:val="auto"/>
                <w:w w:val="89"/>
              </w:rPr>
              <w:t>248,211</w:t>
            </w: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248,211</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Non-recourse debt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310,108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left="94"/>
              <w:spacing w:after="0"/>
              <w:rPr>
                <w:sz w:val="20"/>
                <w:szCs w:val="20"/>
                <w:color w:val="auto"/>
              </w:rPr>
            </w:pPr>
            <w:r>
              <w:rPr>
                <w:rFonts w:ascii="Arial" w:cs="Arial" w:eastAsia="Arial" w:hAnsi="Arial"/>
                <w:sz w:val="18"/>
                <w:szCs w:val="18"/>
                <w:color w:val="auto"/>
                <w:w w:val="89"/>
              </w:rPr>
              <w:t>310,108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310,108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fair values of the Company’s cash and cash equivalents, and restricted cash and investments approximates the carrying values of these assets at December 31, 2022 and December 31, 2021. Restricted cash consists of money market funds, bank deposits, commercial paper and time deposits used for asset replacement funds and other funds contractually required to be maintained at the Company's Australian subsidiary. The fair value of the money market funds and bank deposits is based on quoted market prices (Level 1).</w:t>
      </w:r>
    </w:p>
    <w:p>
      <w:pPr>
        <w:spacing w:after="0" w:line="18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As further discussed in Note 12 - Debt, on August 19, 2022, the Company completed an exchange offer to exchange certain of its outstanding 5.125% Senior Notes due 2023, 5.875% Senior Notes due 2024, 6.000% Senior Notes due 2026 and certain revolving credit loans and term loans under its senior secured credit facility into newly issued Senior Second Lien Secured Notes and a new credit facility. The Company utilized a third-party valuation firm to assist with the estimation of the fair values on the date of issuance for the new debt instruments. The fair value of each new debt instrument on the date of issuance was estimated using a Black-Derman-Toy ("BDT") lattice model. The BDT model is a single factor, stochastic, no arbitrage model that incorporates the issuer's option to prepay a debt instrument if optimal, which occurs when interest rates decline such that the holding value of the instrument exceeds the prepayment price. The significant assumptions used in the BDT model for the new debt instruments were the Secured Overnight Financing Rate Data ("SOFR") forward rates (ranging from 2.30% to 3.61%), the risk-free rate curve based on U.S. Treasury rates (ranging from 2.23% to 3.44%), the yield volatility (ranging from 20% to 27%) and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11" w:name="page112"/>
    <w:bookmarkEnd w:id="111"/>
    <w:p>
      <w:pPr>
        <w:ind w:right="80"/>
        <w:spacing w:after="0" w:line="279" w:lineRule="auto"/>
        <w:rPr>
          <w:sz w:val="20"/>
          <w:szCs w:val="20"/>
          <w:color w:val="auto"/>
        </w:rPr>
      </w:pPr>
      <w:r>
        <w:rPr>
          <w:rFonts w:ascii="Arial" w:cs="Arial" w:eastAsia="Arial" w:hAnsi="Arial"/>
          <w:sz w:val="17"/>
          <w:szCs w:val="17"/>
          <w:color w:val="auto"/>
        </w:rPr>
        <w:t>credit spreads of the new debt instruments (ranging from 4.78% to 8.49%). On August 19, 2022, the date of the closing of the exchange offer, the new debt instruments were valued using Level 3 instruments as they were based on unobservable inputs. As of December 31, 2022, the new debt instruments were valued based on observable inputs through corroboration with observable market data and are therefore classified as Level 2. Refer to Note 12 - Debt for the estimated fair values of the new debt instruments at time of issuance and related premiums/discounts.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December 31, 2022, the recurring fair values of the Company's 10.500% Public Second Lien Notes due 2028 and the 9.500% Private Second Lien Notes due 2028 are based on level 2 inputs using quotations by major market news services, such as Bloomberg. The fair value of the Company's exchange credit facility was also based on quotations by major market new services and also estimates of trading value considering the Company's borrowing rate, the undrawn spread and similar instruments.</w:t>
      </w:r>
    </w:p>
    <w:p>
      <w:pPr>
        <w:spacing w:after="0" w:line="18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As of December 31, 2022 and December 31, 2021, the fair values of the Company's "5.875% Senior Notes due 2024", 6.00% Senior Notes, the 5.125% Senior Notes and the 6.50% Exchangeable Notes due 2026 are based on level 2 inputs by major market news services. The 5.125% Senior Notes were paid off in full prior to September 30, 2022. The fair values of the Company's non-recourse debt related to the Company’s Australian subsidiaries was estimated based on market prices of similar instruments. Due to the sale of the Company's equity investment interest in the government-owned Ravenhall Correctional Centre, this non-recourse debt is no longer outstanding to the Company as of December 31, 2022. Refer to Note 17 - Commitments, Contingencies and Other Matters. The fair value of borrowings under the senior credit facility is based on an estimate of trading value considering the Company’s borrowing rate, the undrawn spread and similar instruments.</w:t>
      </w:r>
    </w:p>
    <w:p>
      <w:pPr>
        <w:spacing w:after="0" w:line="200" w:lineRule="exact"/>
        <w:rPr>
          <w:sz w:val="20"/>
          <w:szCs w:val="20"/>
          <w:color w:val="auto"/>
        </w:rPr>
      </w:pPr>
    </w:p>
    <w:p>
      <w:pPr>
        <w:spacing w:after="0" w:line="220"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7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consisted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4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6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6"/>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interest</w:t>
            </w:r>
          </w:p>
        </w:tc>
        <w:tc>
          <w:tcPr>
            <w:tcW w:w="368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27,447</w:t>
            </w:r>
          </w:p>
        </w:tc>
        <w:tc>
          <w:tcPr>
            <w:tcW w:w="1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17,080</w:t>
            </w:r>
          </w:p>
        </w:tc>
        <w:tc>
          <w:tcPr>
            <w:tcW w:w="0" w:type="dxa"/>
            <w:vAlign w:val="bottom"/>
          </w:tcPr>
          <w:p>
            <w:pPr>
              <w:spacing w:after="0"/>
              <w:rPr>
                <w:sz w:val="1"/>
                <w:szCs w:val="1"/>
                <w:color w:val="auto"/>
              </w:rPr>
            </w:pPr>
          </w:p>
        </w:tc>
      </w:tr>
      <w:tr>
        <w:trPr>
          <w:trHeight w:val="236"/>
        </w:trPr>
        <w:tc>
          <w:tcPr>
            <w:tcW w:w="4040" w:type="dxa"/>
            <w:vAlign w:val="bottom"/>
          </w:tcPr>
          <w:p>
            <w:pPr>
              <w:ind w:left="20"/>
              <w:spacing w:after="0"/>
              <w:rPr>
                <w:sz w:val="20"/>
                <w:szCs w:val="20"/>
                <w:color w:val="auto"/>
              </w:rPr>
            </w:pPr>
            <w:r>
              <w:rPr>
                <w:rFonts w:ascii="Arial" w:cs="Arial" w:eastAsia="Arial" w:hAnsi="Arial"/>
                <w:sz w:val="18"/>
                <w:szCs w:val="18"/>
                <w:color w:val="auto"/>
              </w:rPr>
              <w:t>Accrued other compensation</w:t>
            </w:r>
          </w:p>
        </w:tc>
        <w:tc>
          <w:tcPr>
            <w:tcW w:w="3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33,475</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24,403</w:t>
            </w:r>
          </w:p>
        </w:tc>
        <w:tc>
          <w:tcPr>
            <w:tcW w:w="0" w:type="dxa"/>
            <w:vAlign w:val="bottom"/>
          </w:tcPr>
          <w:p>
            <w:pPr>
              <w:spacing w:after="0"/>
              <w:rPr>
                <w:sz w:val="1"/>
                <w:szCs w:val="1"/>
                <w:color w:val="auto"/>
              </w:rPr>
            </w:pPr>
          </w:p>
        </w:tc>
      </w:tr>
      <w:tr>
        <w:trPr>
          <w:trHeight w:val="249"/>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insurance</w:t>
            </w:r>
          </w:p>
        </w:tc>
        <w:tc>
          <w:tcPr>
            <w:tcW w:w="36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81,704</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76,171</w:t>
            </w:r>
          </w:p>
        </w:tc>
        <w:tc>
          <w:tcPr>
            <w:tcW w:w="0" w:type="dxa"/>
            <w:vAlign w:val="bottom"/>
          </w:tcPr>
          <w:p>
            <w:pPr>
              <w:spacing w:after="0"/>
              <w:rPr>
                <w:sz w:val="1"/>
                <w:szCs w:val="1"/>
                <w:color w:val="auto"/>
              </w:rPr>
            </w:pPr>
          </w:p>
        </w:tc>
      </w:tr>
      <w:tr>
        <w:trPr>
          <w:trHeight w:val="236"/>
        </w:trPr>
        <w:tc>
          <w:tcPr>
            <w:tcW w:w="4040" w:type="dxa"/>
            <w:vAlign w:val="bottom"/>
          </w:tcPr>
          <w:p>
            <w:pPr>
              <w:ind w:left="20"/>
              <w:spacing w:after="0"/>
              <w:rPr>
                <w:sz w:val="20"/>
                <w:szCs w:val="20"/>
                <w:color w:val="auto"/>
              </w:rPr>
            </w:pPr>
            <w:r>
              <w:rPr>
                <w:rFonts w:ascii="Arial" w:cs="Arial" w:eastAsia="Arial" w:hAnsi="Arial"/>
                <w:sz w:val="18"/>
                <w:szCs w:val="18"/>
                <w:color w:val="auto"/>
              </w:rPr>
              <w:t>Accrued property and other taxes</w:t>
            </w:r>
          </w:p>
        </w:tc>
        <w:tc>
          <w:tcPr>
            <w:tcW w:w="3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46,169</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43,720</w:t>
            </w:r>
          </w:p>
        </w:tc>
        <w:tc>
          <w:tcPr>
            <w:tcW w:w="0" w:type="dxa"/>
            <w:vAlign w:val="bottom"/>
          </w:tcPr>
          <w:p>
            <w:pPr>
              <w:spacing w:after="0"/>
              <w:rPr>
                <w:sz w:val="1"/>
                <w:szCs w:val="1"/>
                <w:color w:val="auto"/>
              </w:rPr>
            </w:pPr>
          </w:p>
        </w:tc>
      </w:tr>
      <w:tr>
        <w:trPr>
          <w:trHeight w:val="249"/>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legal and professional fees</w:t>
            </w:r>
          </w:p>
        </w:tc>
        <w:tc>
          <w:tcPr>
            <w:tcW w:w="36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12,301</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4,012</w:t>
            </w:r>
          </w:p>
        </w:tc>
        <w:tc>
          <w:tcPr>
            <w:tcW w:w="0" w:type="dxa"/>
            <w:vAlign w:val="bottom"/>
          </w:tcPr>
          <w:p>
            <w:pPr>
              <w:spacing w:after="0"/>
              <w:rPr>
                <w:sz w:val="1"/>
                <w:szCs w:val="1"/>
                <w:color w:val="auto"/>
              </w:rPr>
            </w:pPr>
          </w:p>
        </w:tc>
      </w:tr>
      <w:tr>
        <w:trPr>
          <w:trHeight w:val="236"/>
        </w:trPr>
        <w:tc>
          <w:tcPr>
            <w:tcW w:w="4040" w:type="dxa"/>
            <w:vAlign w:val="bottom"/>
          </w:tcPr>
          <w:p>
            <w:pPr>
              <w:ind w:left="20"/>
              <w:spacing w:after="0"/>
              <w:rPr>
                <w:sz w:val="20"/>
                <w:szCs w:val="20"/>
                <w:color w:val="auto"/>
              </w:rPr>
            </w:pPr>
            <w:r>
              <w:rPr>
                <w:rFonts w:ascii="Arial" w:cs="Arial" w:eastAsia="Arial" w:hAnsi="Arial"/>
                <w:sz w:val="18"/>
                <w:szCs w:val="18"/>
                <w:color w:val="auto"/>
              </w:rPr>
              <w:t>Construction retainage</w:t>
            </w:r>
          </w:p>
        </w:tc>
        <w:tc>
          <w:tcPr>
            <w:tcW w:w="3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865</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6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35,408</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35,103</w:t>
            </w:r>
          </w:p>
        </w:tc>
        <w:tc>
          <w:tcPr>
            <w:tcW w:w="0" w:type="dxa"/>
            <w:vAlign w:val="bottom"/>
          </w:tcPr>
          <w:p>
            <w:pPr>
              <w:spacing w:after="0"/>
              <w:rPr>
                <w:sz w:val="1"/>
                <w:szCs w:val="1"/>
                <w:color w:val="auto"/>
              </w:rPr>
            </w:pPr>
          </w:p>
        </w:tc>
      </w:tr>
      <w:tr>
        <w:trPr>
          <w:trHeight w:val="236"/>
        </w:trPr>
        <w:tc>
          <w:tcPr>
            <w:tcW w:w="4040" w:type="dxa"/>
            <w:vAlign w:val="bottom"/>
          </w:tcPr>
          <w:p>
            <w:pPr>
              <w:ind w:left="200"/>
              <w:spacing w:after="0"/>
              <w:rPr>
                <w:sz w:val="20"/>
                <w:szCs w:val="20"/>
                <w:color w:val="auto"/>
              </w:rPr>
            </w:pPr>
            <w:r>
              <w:rPr>
                <w:rFonts w:ascii="Arial" w:cs="Arial" w:eastAsia="Arial" w:hAnsi="Arial"/>
                <w:sz w:val="18"/>
                <w:szCs w:val="18"/>
                <w:color w:val="auto"/>
              </w:rPr>
              <w:t>Total</w:t>
            </w:r>
          </w:p>
        </w:tc>
        <w:tc>
          <w:tcPr>
            <w:tcW w:w="46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237,369</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200,712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680" w:type="dxa"/>
            <w:vAlign w:val="bottom"/>
            <w:vMerge w:val="restart"/>
          </w:tcPr>
          <w:p>
            <w:pPr>
              <w:jc w:val="right"/>
              <w:ind w:right="1876"/>
              <w:spacing w:after="0"/>
              <w:rPr>
                <w:sz w:val="20"/>
                <w:szCs w:val="20"/>
                <w:color w:val="auto"/>
              </w:rPr>
            </w:pPr>
            <w:r>
              <w:rPr>
                <w:rFonts w:ascii="Arial" w:cs="Arial" w:eastAsia="Arial" w:hAnsi="Arial"/>
                <w:sz w:val="18"/>
                <w:szCs w:val="18"/>
                <w:color w:val="auto"/>
              </w:rPr>
              <w:t>111</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404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-684530</wp:posOffset>
            </wp:positionV>
            <wp:extent cx="111125" cy="1885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Arial" w:cs="Arial" w:eastAsia="Arial" w:hAnsi="Arial"/>
                <w:sz w:val="18"/>
                <w:szCs w:val="18"/>
                <w:b w:val="1"/>
                <w:bCs w:val="1"/>
                <w:color w:val="auto"/>
              </w:rPr>
              <w:t>12.</w:t>
            </w:r>
          </w:p>
        </w:tc>
        <w:tc>
          <w:tcPr>
            <w:tcW w:w="7360" w:type="dxa"/>
            <w:vAlign w:val="bottom"/>
          </w:tcPr>
          <w:p>
            <w:pPr>
              <w:ind w:left="160"/>
              <w:spacing w:after="0"/>
              <w:rPr>
                <w:sz w:val="20"/>
                <w:szCs w:val="20"/>
                <w:color w:val="auto"/>
              </w:rPr>
            </w:pPr>
            <w:r>
              <w:rPr>
                <w:rFonts w:ascii="Arial" w:cs="Arial" w:eastAsia="Arial" w:hAnsi="Arial"/>
                <w:sz w:val="18"/>
                <w:szCs w:val="18"/>
                <w:b w:val="1"/>
                <w:bCs w:val="1"/>
                <w:color w:val="auto"/>
              </w:rPr>
              <w:t>Debt</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60" w:type="dxa"/>
            <w:vAlign w:val="bottom"/>
          </w:tcPr>
          <w:p>
            <w:pPr>
              <w:spacing w:after="0"/>
              <w:rPr>
                <w:sz w:val="24"/>
                <w:szCs w:val="24"/>
                <w:color w:val="auto"/>
              </w:rPr>
            </w:pPr>
          </w:p>
        </w:tc>
        <w:tc>
          <w:tcPr>
            <w:tcW w:w="7360" w:type="dxa"/>
            <w:vAlign w:val="bottom"/>
          </w:tcPr>
          <w:p>
            <w:pPr>
              <w:ind w:left="140"/>
              <w:spacing w:after="0"/>
              <w:rPr>
                <w:sz w:val="20"/>
                <w:szCs w:val="20"/>
                <w:color w:val="auto"/>
              </w:rPr>
            </w:pPr>
            <w:r>
              <w:rPr>
                <w:rFonts w:ascii="Arial" w:cs="Arial" w:eastAsia="Arial" w:hAnsi="Arial"/>
                <w:sz w:val="18"/>
                <w:szCs w:val="18"/>
                <w:color w:val="auto"/>
              </w:rPr>
              <w:t>Debt consisted of the following (in thousands):</w:t>
            </w:r>
          </w:p>
        </w:tc>
        <w:tc>
          <w:tcPr>
            <w:tcW w:w="160" w:type="dxa"/>
            <w:vAlign w:val="bottom"/>
          </w:tcPr>
          <w:p>
            <w:pPr>
              <w:spacing w:after="0"/>
              <w:rPr>
                <w:sz w:val="24"/>
                <w:szCs w:val="24"/>
                <w:color w:val="auto"/>
              </w:rPr>
            </w:pPr>
          </w:p>
        </w:tc>
        <w:tc>
          <w:tcPr>
            <w:tcW w:w="15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5"/>
              </w:rPr>
              <w:t>December 31, 2022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Senior Credit Facility:</w:t>
            </w:r>
          </w:p>
        </w:tc>
        <w:tc>
          <w:tcPr>
            <w:tcW w:w="16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20" w:type="dxa"/>
            <w:vAlign w:val="bottom"/>
            <w:gridSpan w:val="2"/>
          </w:tcPr>
          <w:p>
            <w:pPr>
              <w:ind w:left="200"/>
              <w:spacing w:after="0"/>
              <w:rPr>
                <w:sz w:val="20"/>
                <w:szCs w:val="20"/>
                <w:color w:val="auto"/>
              </w:rPr>
            </w:pPr>
            <w:r>
              <w:rPr>
                <w:rFonts w:ascii="Arial" w:cs="Arial" w:eastAsia="Arial" w:hAnsi="Arial"/>
                <w:sz w:val="18"/>
                <w:szCs w:val="18"/>
                <w:color w:val="auto"/>
              </w:rPr>
              <w:t>Term loan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762,000</w:t>
            </w:r>
          </w:p>
        </w:tc>
        <w:tc>
          <w:tcPr>
            <w:tcW w:w="0" w:type="dxa"/>
            <w:vAlign w:val="bottom"/>
          </w:tcPr>
          <w:p>
            <w:pPr>
              <w:spacing w:after="0"/>
              <w:rPr>
                <w:sz w:val="1"/>
                <w:szCs w:val="1"/>
                <w:color w:val="auto"/>
              </w:rPr>
            </w:pPr>
          </w:p>
        </w:tc>
      </w:tr>
      <w:tr>
        <w:trPr>
          <w:trHeight w:val="249"/>
        </w:trPr>
        <w:tc>
          <w:tcPr>
            <w:tcW w:w="77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Unamortized debt issuance costs on term loan</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(2,733 )</w:t>
            </w:r>
          </w:p>
        </w:tc>
        <w:tc>
          <w:tcPr>
            <w:tcW w:w="0" w:type="dxa"/>
            <w:vAlign w:val="bottom"/>
          </w:tcPr>
          <w:p>
            <w:pPr>
              <w:spacing w:after="0"/>
              <w:rPr>
                <w:sz w:val="1"/>
                <w:szCs w:val="1"/>
                <w:color w:val="auto"/>
              </w:rPr>
            </w:pPr>
          </w:p>
        </w:tc>
      </w:tr>
      <w:tr>
        <w:trPr>
          <w:trHeight w:val="236"/>
        </w:trPr>
        <w:tc>
          <w:tcPr>
            <w:tcW w:w="7720" w:type="dxa"/>
            <w:vAlign w:val="bottom"/>
            <w:gridSpan w:val="2"/>
          </w:tcPr>
          <w:p>
            <w:pPr>
              <w:ind w:left="200"/>
              <w:spacing w:after="0"/>
              <w:rPr>
                <w:sz w:val="20"/>
                <w:szCs w:val="20"/>
                <w:color w:val="auto"/>
              </w:rPr>
            </w:pPr>
            <w:r>
              <w:rPr>
                <w:rFonts w:ascii="Arial" w:cs="Arial" w:eastAsia="Arial" w:hAnsi="Arial"/>
                <w:sz w:val="18"/>
                <w:szCs w:val="18"/>
                <w:color w:val="auto"/>
              </w:rPr>
              <w:t>Unamortized discount on term loan</w:t>
            </w:r>
          </w:p>
        </w:tc>
        <w:tc>
          <w:tcPr>
            <w:tcW w:w="16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(1,152 )</w:t>
            </w: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Revolver</w:t>
            </w:r>
          </w:p>
        </w:tc>
        <w:tc>
          <w:tcPr>
            <w:tcW w:w="1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784,895</w:t>
            </w:r>
          </w:p>
        </w:tc>
        <w:tc>
          <w:tcPr>
            <w:tcW w:w="0" w:type="dxa"/>
            <w:vAlign w:val="bottom"/>
          </w:tcPr>
          <w:p>
            <w:pPr>
              <w:spacing w:after="0"/>
              <w:rPr>
                <w:sz w:val="1"/>
                <w:szCs w:val="1"/>
                <w:color w:val="auto"/>
              </w:rPr>
            </w:pPr>
          </w:p>
        </w:tc>
      </w:tr>
      <w:tr>
        <w:trPr>
          <w:trHeight w:val="238"/>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Senior Credit Facility</w:t>
            </w:r>
          </w:p>
        </w:tc>
        <w:tc>
          <w:tcPr>
            <w:tcW w:w="16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1,543,010</w:t>
            </w:r>
          </w:p>
        </w:tc>
        <w:tc>
          <w:tcPr>
            <w:tcW w:w="0" w:type="dxa"/>
            <w:vAlign w:val="bottom"/>
          </w:tcPr>
          <w:p>
            <w:pPr>
              <w:spacing w:after="0"/>
              <w:rPr>
                <w:sz w:val="1"/>
                <w:szCs w:val="1"/>
                <w:color w:val="auto"/>
              </w:rPr>
            </w:pPr>
          </w:p>
        </w:tc>
      </w:tr>
      <w:tr>
        <w:trPr>
          <w:trHeight w:val="247"/>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Exchange Credit Agreement [*]</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20" w:type="dxa"/>
            <w:vAlign w:val="bottom"/>
            <w:gridSpan w:val="2"/>
          </w:tcPr>
          <w:p>
            <w:pPr>
              <w:ind w:left="200"/>
              <w:spacing w:after="0"/>
              <w:rPr>
                <w:sz w:val="20"/>
                <w:szCs w:val="20"/>
                <w:color w:val="auto"/>
              </w:rPr>
            </w:pPr>
            <w:r>
              <w:rPr>
                <w:rFonts w:ascii="Arial" w:cs="Arial" w:eastAsia="Arial" w:hAnsi="Arial"/>
                <w:sz w:val="18"/>
                <w:szCs w:val="18"/>
                <w:color w:val="auto"/>
              </w:rPr>
              <w:t>Tranche 1 Loans</w:t>
            </w:r>
          </w:p>
        </w:tc>
        <w:tc>
          <w:tcPr>
            <w:tcW w:w="16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846,445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77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Unamortized premium on tranche 1 loans</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25,345</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720" w:type="dxa"/>
            <w:vAlign w:val="bottom"/>
            <w:gridSpan w:val="2"/>
          </w:tcPr>
          <w:p>
            <w:pPr>
              <w:ind w:left="200"/>
              <w:spacing w:after="0"/>
              <w:rPr>
                <w:sz w:val="20"/>
                <w:szCs w:val="20"/>
                <w:color w:val="auto"/>
              </w:rPr>
            </w:pPr>
            <w:r>
              <w:rPr>
                <w:rFonts w:ascii="Arial" w:cs="Arial" w:eastAsia="Arial" w:hAnsi="Arial"/>
                <w:sz w:val="18"/>
                <w:szCs w:val="18"/>
                <w:color w:val="auto"/>
              </w:rPr>
              <w:t>Unamortized debt issuance costs on tranche 1 loans</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(22,575 )</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77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Tranche 2 Loans</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236,794</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720" w:type="dxa"/>
            <w:vAlign w:val="bottom"/>
            <w:gridSpan w:val="2"/>
          </w:tcPr>
          <w:p>
            <w:pPr>
              <w:ind w:left="200"/>
              <w:spacing w:after="0"/>
              <w:rPr>
                <w:sz w:val="20"/>
                <w:szCs w:val="20"/>
                <w:color w:val="auto"/>
              </w:rPr>
            </w:pPr>
            <w:r>
              <w:rPr>
                <w:rFonts w:ascii="Arial" w:cs="Arial" w:eastAsia="Arial" w:hAnsi="Arial"/>
                <w:sz w:val="18"/>
                <w:szCs w:val="18"/>
                <w:color w:val="auto"/>
              </w:rPr>
              <w:t>Unamortized discount on tranche 2 loans</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(2,922 )</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77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Unamortized debt issuance costs on tranche 2 loans</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(6,310 )</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720" w:type="dxa"/>
            <w:vAlign w:val="bottom"/>
            <w:gridSpan w:val="2"/>
          </w:tcPr>
          <w:p>
            <w:pPr>
              <w:ind w:left="200"/>
              <w:spacing w:after="0"/>
              <w:rPr>
                <w:sz w:val="20"/>
                <w:szCs w:val="20"/>
                <w:color w:val="auto"/>
              </w:rPr>
            </w:pPr>
            <w:r>
              <w:rPr>
                <w:rFonts w:ascii="Arial" w:cs="Arial" w:eastAsia="Arial" w:hAnsi="Arial"/>
                <w:sz w:val="18"/>
                <w:szCs w:val="18"/>
                <w:color w:val="auto"/>
              </w:rPr>
              <w:t>Revolver</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30,000</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Total Exchange Credit Agreement</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1,106,777</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10.500% Public Second Lien Notes due 2028</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Notes Due in 2028</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286,521</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720" w:type="dxa"/>
            <w:vAlign w:val="bottom"/>
            <w:gridSpan w:val="2"/>
          </w:tcPr>
          <w:p>
            <w:pPr>
              <w:ind w:left="200"/>
              <w:spacing w:after="0"/>
              <w:rPr>
                <w:sz w:val="20"/>
                <w:szCs w:val="20"/>
                <w:color w:val="auto"/>
              </w:rPr>
            </w:pPr>
            <w:r>
              <w:rPr>
                <w:rFonts w:ascii="Arial" w:cs="Arial" w:eastAsia="Arial" w:hAnsi="Arial"/>
                <w:sz w:val="18"/>
                <w:szCs w:val="18"/>
                <w:color w:val="auto"/>
              </w:rPr>
              <w:t>Unamortized discount</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(15,457 )</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Unamortized debt issuance costs</w:t>
            </w:r>
          </w:p>
        </w:tc>
        <w:tc>
          <w:tcPr>
            <w:tcW w:w="1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(7,811 )</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10.500% Public Second Lien Notes due 2028</w:t>
            </w:r>
          </w:p>
        </w:tc>
        <w:tc>
          <w:tcPr>
            <w:tcW w:w="16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263,253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9.500% Private Second Lien Notes due 2028</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20" w:type="dxa"/>
            <w:vAlign w:val="bottom"/>
            <w:gridSpan w:val="2"/>
          </w:tcPr>
          <w:p>
            <w:pPr>
              <w:ind w:left="200"/>
              <w:spacing w:after="0"/>
              <w:rPr>
                <w:sz w:val="20"/>
                <w:szCs w:val="20"/>
                <w:color w:val="auto"/>
              </w:rPr>
            </w:pPr>
            <w:r>
              <w:rPr>
                <w:rFonts w:ascii="Arial" w:cs="Arial" w:eastAsia="Arial" w:hAnsi="Arial"/>
                <w:sz w:val="18"/>
                <w:szCs w:val="18"/>
                <w:color w:val="auto"/>
              </w:rPr>
              <w:t>Notes Due in 2028</w:t>
            </w:r>
          </w:p>
        </w:tc>
        <w:tc>
          <w:tcPr>
            <w:tcW w:w="16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239,142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77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Unamortized discount</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(22,524 )</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720" w:type="dxa"/>
            <w:vAlign w:val="bottom"/>
            <w:gridSpan w:val="2"/>
          </w:tcPr>
          <w:p>
            <w:pPr>
              <w:ind w:left="200"/>
              <w:spacing w:after="0"/>
              <w:rPr>
                <w:sz w:val="20"/>
                <w:szCs w:val="20"/>
                <w:color w:val="auto"/>
              </w:rPr>
            </w:pPr>
            <w:r>
              <w:rPr>
                <w:rFonts w:ascii="Arial" w:cs="Arial" w:eastAsia="Arial" w:hAnsi="Arial"/>
                <w:sz w:val="18"/>
                <w:szCs w:val="18"/>
                <w:color w:val="auto"/>
              </w:rPr>
              <w:t>Unamortized debt issuance costs</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(6,551 )</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Total 9.500% Private Second Lien Notes due 2028</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210,067</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6.50% Exchangeable Senior Notes:</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Notes Due in 2026</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230,000</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230,000</w:t>
            </w:r>
          </w:p>
        </w:tc>
        <w:tc>
          <w:tcPr>
            <w:tcW w:w="0" w:type="dxa"/>
            <w:vAlign w:val="bottom"/>
          </w:tcPr>
          <w:p>
            <w:pPr>
              <w:spacing w:after="0"/>
              <w:rPr>
                <w:sz w:val="1"/>
                <w:szCs w:val="1"/>
                <w:color w:val="auto"/>
              </w:rPr>
            </w:pPr>
          </w:p>
        </w:tc>
      </w:tr>
      <w:tr>
        <w:trPr>
          <w:trHeight w:val="236"/>
        </w:trPr>
        <w:tc>
          <w:tcPr>
            <w:tcW w:w="7720" w:type="dxa"/>
            <w:vAlign w:val="bottom"/>
            <w:gridSpan w:val="2"/>
          </w:tcPr>
          <w:p>
            <w:pPr>
              <w:ind w:left="200"/>
              <w:spacing w:after="0"/>
              <w:rPr>
                <w:sz w:val="20"/>
                <w:szCs w:val="20"/>
                <w:color w:val="auto"/>
              </w:rPr>
            </w:pPr>
            <w:r>
              <w:rPr>
                <w:rFonts w:ascii="Arial" w:cs="Arial" w:eastAsia="Arial" w:hAnsi="Arial"/>
                <w:sz w:val="18"/>
                <w:szCs w:val="18"/>
                <w:color w:val="auto"/>
              </w:rPr>
              <w:t>Unamortized debt issuance costs</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(6,489 )</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(8,246 )</w:t>
            </w:r>
          </w:p>
        </w:tc>
        <w:tc>
          <w:tcPr>
            <w:tcW w:w="0" w:type="dxa"/>
            <w:vAlign w:val="bottom"/>
          </w:tcPr>
          <w:p>
            <w:pPr>
              <w:spacing w:after="0"/>
              <w:rPr>
                <w:sz w:val="1"/>
                <w:szCs w:val="1"/>
                <w:color w:val="auto"/>
              </w:rPr>
            </w:pPr>
          </w:p>
        </w:tc>
      </w:tr>
      <w:tr>
        <w:trPr>
          <w:trHeight w:val="242"/>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Total 6.50% Exchangeable Senior Notes Due in 2026</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223,511</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221,754</w:t>
            </w:r>
          </w:p>
        </w:tc>
        <w:tc>
          <w:tcPr>
            <w:tcW w:w="0" w:type="dxa"/>
            <w:vAlign w:val="bottom"/>
          </w:tcPr>
          <w:p>
            <w:pPr>
              <w:spacing w:after="0"/>
              <w:rPr>
                <w:sz w:val="1"/>
                <w:szCs w:val="1"/>
                <w:color w:val="auto"/>
              </w:rPr>
            </w:pPr>
          </w:p>
        </w:tc>
      </w:tr>
      <w:tr>
        <w:trPr>
          <w:trHeight w:val="238"/>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6.00% Senior Notes:</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Notes Due in 2026</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110,858</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36"/>
        </w:trPr>
        <w:tc>
          <w:tcPr>
            <w:tcW w:w="7720" w:type="dxa"/>
            <w:vAlign w:val="bottom"/>
            <w:gridSpan w:val="2"/>
          </w:tcPr>
          <w:p>
            <w:pPr>
              <w:ind w:left="200"/>
              <w:spacing w:after="0"/>
              <w:rPr>
                <w:sz w:val="20"/>
                <w:szCs w:val="20"/>
                <w:color w:val="auto"/>
              </w:rPr>
            </w:pPr>
            <w:r>
              <w:rPr>
                <w:rFonts w:ascii="Arial" w:cs="Arial" w:eastAsia="Arial" w:hAnsi="Arial"/>
                <w:sz w:val="18"/>
                <w:szCs w:val="18"/>
                <w:color w:val="auto"/>
              </w:rPr>
              <w:t>Unamortized debt issuance costs</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(776 )</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(3,099 )</w:t>
            </w:r>
          </w:p>
        </w:tc>
        <w:tc>
          <w:tcPr>
            <w:tcW w:w="0" w:type="dxa"/>
            <w:vAlign w:val="bottom"/>
          </w:tcPr>
          <w:p>
            <w:pPr>
              <w:spacing w:after="0"/>
              <w:rPr>
                <w:sz w:val="1"/>
                <w:szCs w:val="1"/>
                <w:color w:val="auto"/>
              </w:rPr>
            </w:pPr>
          </w:p>
        </w:tc>
      </w:tr>
      <w:tr>
        <w:trPr>
          <w:trHeight w:val="242"/>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Total 6.00% Senior Notes Due in 2026</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110,082</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346,901</w:t>
            </w:r>
          </w:p>
        </w:tc>
        <w:tc>
          <w:tcPr>
            <w:tcW w:w="0" w:type="dxa"/>
            <w:vAlign w:val="bottom"/>
          </w:tcPr>
          <w:p>
            <w:pPr>
              <w:spacing w:after="0"/>
              <w:rPr>
                <w:sz w:val="1"/>
                <w:szCs w:val="1"/>
                <w:color w:val="auto"/>
              </w:rPr>
            </w:pPr>
          </w:p>
        </w:tc>
      </w:tr>
      <w:tr>
        <w:trPr>
          <w:trHeight w:val="238"/>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5.875% Senior Notes:</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Notes Due in 2024</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23,253</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225,293</w:t>
            </w:r>
          </w:p>
        </w:tc>
        <w:tc>
          <w:tcPr>
            <w:tcW w:w="0" w:type="dxa"/>
            <w:vAlign w:val="bottom"/>
          </w:tcPr>
          <w:p>
            <w:pPr>
              <w:spacing w:after="0"/>
              <w:rPr>
                <w:sz w:val="1"/>
                <w:szCs w:val="1"/>
                <w:color w:val="auto"/>
              </w:rPr>
            </w:pPr>
          </w:p>
        </w:tc>
      </w:tr>
      <w:tr>
        <w:trPr>
          <w:trHeight w:val="236"/>
        </w:trPr>
        <w:tc>
          <w:tcPr>
            <w:tcW w:w="7720" w:type="dxa"/>
            <w:vAlign w:val="bottom"/>
            <w:gridSpan w:val="2"/>
          </w:tcPr>
          <w:p>
            <w:pPr>
              <w:ind w:left="200"/>
              <w:spacing w:after="0"/>
              <w:rPr>
                <w:sz w:val="20"/>
                <w:szCs w:val="20"/>
                <w:color w:val="auto"/>
              </w:rPr>
            </w:pPr>
            <w:r>
              <w:rPr>
                <w:rFonts w:ascii="Arial" w:cs="Arial" w:eastAsia="Arial" w:hAnsi="Arial"/>
                <w:sz w:val="18"/>
                <w:szCs w:val="18"/>
                <w:color w:val="auto"/>
              </w:rPr>
              <w:t>Unamortized debt issuance costs</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(96 )</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(1,410 )</w:t>
            </w:r>
          </w:p>
        </w:tc>
        <w:tc>
          <w:tcPr>
            <w:tcW w:w="0" w:type="dxa"/>
            <w:vAlign w:val="bottom"/>
          </w:tcPr>
          <w:p>
            <w:pPr>
              <w:spacing w:after="0"/>
              <w:rPr>
                <w:sz w:val="1"/>
                <w:szCs w:val="1"/>
                <w:color w:val="auto"/>
              </w:rPr>
            </w:pPr>
          </w:p>
        </w:tc>
      </w:tr>
      <w:tr>
        <w:trPr>
          <w:trHeight w:val="242"/>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Total 5.875% Senior Notes Due in 2024</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23,157</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223,883</w:t>
            </w:r>
          </w:p>
        </w:tc>
        <w:tc>
          <w:tcPr>
            <w:tcW w:w="0" w:type="dxa"/>
            <w:vAlign w:val="bottom"/>
          </w:tcPr>
          <w:p>
            <w:pPr>
              <w:spacing w:after="0"/>
              <w:rPr>
                <w:sz w:val="1"/>
                <w:szCs w:val="1"/>
                <w:color w:val="auto"/>
              </w:rPr>
            </w:pPr>
          </w:p>
        </w:tc>
      </w:tr>
      <w:tr>
        <w:trPr>
          <w:trHeight w:val="238"/>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5.125% Senior Notes:</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Notes Due in 2023</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259,275</w:t>
            </w:r>
          </w:p>
        </w:tc>
        <w:tc>
          <w:tcPr>
            <w:tcW w:w="0" w:type="dxa"/>
            <w:vAlign w:val="bottom"/>
          </w:tcPr>
          <w:p>
            <w:pPr>
              <w:spacing w:after="0"/>
              <w:rPr>
                <w:sz w:val="1"/>
                <w:szCs w:val="1"/>
                <w:color w:val="auto"/>
              </w:rPr>
            </w:pPr>
          </w:p>
        </w:tc>
      </w:tr>
      <w:tr>
        <w:trPr>
          <w:trHeight w:val="236"/>
        </w:trPr>
        <w:tc>
          <w:tcPr>
            <w:tcW w:w="7720" w:type="dxa"/>
            <w:vAlign w:val="bottom"/>
            <w:gridSpan w:val="2"/>
          </w:tcPr>
          <w:p>
            <w:pPr>
              <w:ind w:left="200"/>
              <w:spacing w:after="0"/>
              <w:rPr>
                <w:sz w:val="20"/>
                <w:szCs w:val="20"/>
                <w:color w:val="auto"/>
              </w:rPr>
            </w:pPr>
            <w:r>
              <w:rPr>
                <w:rFonts w:ascii="Arial" w:cs="Arial" w:eastAsia="Arial" w:hAnsi="Arial"/>
                <w:sz w:val="18"/>
                <w:szCs w:val="18"/>
                <w:color w:val="auto"/>
              </w:rPr>
              <w:t>Unamortized debt issuance costs</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(1,221 )</w:t>
            </w:r>
          </w:p>
        </w:tc>
        <w:tc>
          <w:tcPr>
            <w:tcW w:w="0" w:type="dxa"/>
            <w:vAlign w:val="bottom"/>
          </w:tcPr>
          <w:p>
            <w:pPr>
              <w:spacing w:after="0"/>
              <w:rPr>
                <w:sz w:val="1"/>
                <w:szCs w:val="1"/>
                <w:color w:val="auto"/>
              </w:rPr>
            </w:pPr>
          </w:p>
        </w:tc>
      </w:tr>
      <w:tr>
        <w:trPr>
          <w:trHeight w:val="242"/>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Total 5.125% Senior Notes Due in 2023</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258,054</w:t>
            </w:r>
          </w:p>
        </w:tc>
        <w:tc>
          <w:tcPr>
            <w:tcW w:w="0" w:type="dxa"/>
            <w:vAlign w:val="bottom"/>
          </w:tcPr>
          <w:p>
            <w:pPr>
              <w:spacing w:after="0"/>
              <w:rPr>
                <w:sz w:val="1"/>
                <w:szCs w:val="1"/>
                <w:color w:val="auto"/>
              </w:rPr>
            </w:pPr>
          </w:p>
        </w:tc>
      </w:tr>
      <w:tr>
        <w:trPr>
          <w:trHeight w:val="238"/>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Non-Recourse Debt:</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Non-Recourse Debt</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310,108</w:t>
            </w:r>
          </w:p>
        </w:tc>
        <w:tc>
          <w:tcPr>
            <w:tcW w:w="0" w:type="dxa"/>
            <w:vAlign w:val="bottom"/>
          </w:tcPr>
          <w:p>
            <w:pPr>
              <w:spacing w:after="0"/>
              <w:rPr>
                <w:sz w:val="1"/>
                <w:szCs w:val="1"/>
                <w:color w:val="auto"/>
              </w:rPr>
            </w:pPr>
          </w:p>
        </w:tc>
      </w:tr>
      <w:tr>
        <w:trPr>
          <w:trHeight w:val="236"/>
        </w:trPr>
        <w:tc>
          <w:tcPr>
            <w:tcW w:w="7720" w:type="dxa"/>
            <w:vAlign w:val="bottom"/>
            <w:tcBorders>
              <w:bottom w:val="single" w:sz="8" w:color="CFF0FC"/>
            </w:tcBorders>
            <w:gridSpan w:val="2"/>
          </w:tcPr>
          <w:p>
            <w:pPr>
              <w:ind w:left="200"/>
              <w:spacing w:after="0"/>
              <w:rPr>
                <w:sz w:val="20"/>
                <w:szCs w:val="20"/>
                <w:color w:val="auto"/>
              </w:rPr>
            </w:pPr>
            <w:r>
              <w:rPr>
                <w:rFonts w:ascii="Arial" w:cs="Arial" w:eastAsia="Arial" w:hAnsi="Arial"/>
                <w:sz w:val="18"/>
                <w:szCs w:val="18"/>
                <w:color w:val="auto"/>
              </w:rPr>
              <w:t>Unamortized debt issuance costs on non-recourse debt</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(4,556 )</w:t>
            </w:r>
          </w:p>
        </w:tc>
        <w:tc>
          <w:tcPr>
            <w:tcW w:w="0" w:type="dxa"/>
            <w:vAlign w:val="bottom"/>
          </w:tcPr>
          <w:p>
            <w:pPr>
              <w:spacing w:after="0"/>
              <w:rPr>
                <w:sz w:val="1"/>
                <w:szCs w:val="1"/>
                <w:color w:val="auto"/>
              </w:rPr>
            </w:pPr>
          </w:p>
        </w:tc>
      </w:tr>
      <w:tr>
        <w:trPr>
          <w:trHeight w:val="242"/>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Total Non-Recourse Debt</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305,552</w:t>
            </w:r>
          </w:p>
        </w:tc>
        <w:tc>
          <w:tcPr>
            <w:tcW w:w="0" w:type="dxa"/>
            <w:vAlign w:val="bottom"/>
          </w:tcPr>
          <w:p>
            <w:pPr>
              <w:spacing w:after="0"/>
              <w:rPr>
                <w:sz w:val="1"/>
                <w:szCs w:val="1"/>
                <w:color w:val="auto"/>
              </w:rPr>
            </w:pPr>
          </w:p>
        </w:tc>
      </w:tr>
      <w:tr>
        <w:trPr>
          <w:trHeight w:val="236"/>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Finance Lease Obligations</w:t>
            </w:r>
          </w:p>
        </w:tc>
        <w:tc>
          <w:tcPr>
            <w:tcW w:w="16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1,977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Other debt</w:t>
            </w:r>
          </w:p>
        </w:tc>
        <w:tc>
          <w:tcPr>
            <w:tcW w:w="1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40,323</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41,363</w:t>
            </w:r>
          </w:p>
        </w:tc>
        <w:tc>
          <w:tcPr>
            <w:tcW w:w="0" w:type="dxa"/>
            <w:vAlign w:val="bottom"/>
          </w:tcPr>
          <w:p>
            <w:pPr>
              <w:spacing w:after="0"/>
              <w:rPr>
                <w:sz w:val="1"/>
                <w:szCs w:val="1"/>
                <w:color w:val="auto"/>
              </w:rPr>
            </w:pPr>
          </w:p>
        </w:tc>
      </w:tr>
      <w:tr>
        <w:trPr>
          <w:trHeight w:val="236"/>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Total debt</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1,979,147</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2,944,360</w:t>
            </w:r>
          </w:p>
        </w:tc>
        <w:tc>
          <w:tcPr>
            <w:tcW w:w="0" w:type="dxa"/>
            <w:vAlign w:val="bottom"/>
          </w:tcPr>
          <w:p>
            <w:pPr>
              <w:spacing w:after="0"/>
              <w:rPr>
                <w:sz w:val="1"/>
                <w:szCs w:val="1"/>
                <w:color w:val="auto"/>
              </w:rPr>
            </w:pPr>
          </w:p>
        </w:tc>
      </w:tr>
      <w:tr>
        <w:trPr>
          <w:trHeight w:val="242"/>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Current portion of finance lease obligations, long-term debt and non-recourse debt</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(44,722 )</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(18,568 )</w:t>
            </w:r>
          </w:p>
        </w:tc>
        <w:tc>
          <w:tcPr>
            <w:tcW w:w="0" w:type="dxa"/>
            <w:vAlign w:val="bottom"/>
          </w:tcPr>
          <w:p>
            <w:pPr>
              <w:spacing w:after="0"/>
              <w:rPr>
                <w:sz w:val="1"/>
                <w:szCs w:val="1"/>
                <w:color w:val="auto"/>
              </w:rPr>
            </w:pPr>
          </w:p>
        </w:tc>
      </w:tr>
      <w:tr>
        <w:trPr>
          <w:trHeight w:val="236"/>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Finance Lease Obligations, long-term portion</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(1,280 )</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(1,977 )</w:t>
            </w: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Non-Recourse Debt, long-term portion</w:t>
            </w:r>
          </w:p>
        </w:tc>
        <w:tc>
          <w:tcPr>
            <w:tcW w:w="1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(297,856 )</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1,933,145</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2,625,959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-7338060</wp:posOffset>
            </wp:positionV>
            <wp:extent cx="111125" cy="1625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-5163185</wp:posOffset>
            </wp:positionV>
            <wp:extent cx="111125" cy="1625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-1258570</wp:posOffset>
            </wp:positionV>
            <wp:extent cx="1111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-787400</wp:posOffset>
            </wp:positionV>
            <wp:extent cx="111125" cy="1714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-154305</wp:posOffset>
            </wp:positionV>
            <wp:extent cx="2234565" cy="1885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234565" cy="188595"/>
                    </a:xfrm>
                    <a:prstGeom prst="rect">
                      <a:avLst/>
                    </a:prstGeom>
                    <a:noFill/>
                  </pic:spPr>
                </pic:pic>
              </a:graphicData>
            </a:graphic>
          </wp:anchor>
        </w:drawing>
      </w:r>
    </w:p>
    <w:p>
      <w:pPr>
        <w:spacing w:after="0" w:line="19" w:lineRule="exact"/>
        <w:rPr>
          <w:sz w:val="20"/>
          <w:szCs w:val="20"/>
          <w:color w:val="auto"/>
        </w:rPr>
      </w:pPr>
    </w:p>
    <w:p>
      <w:pPr>
        <w:ind w:left="5500" w:right="1140" w:hanging="5492"/>
        <w:spacing w:after="0" w:line="527" w:lineRule="auto"/>
        <w:tabs>
          <w:tab w:leader="none" w:pos="27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further discussed below, the exchange credit agreement included Tranche 3 Loans which were redeemed prior to December 31, 2022.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4902835</wp:posOffset>
            </wp:positionH>
            <wp:positionV relativeFrom="paragraph">
              <wp:posOffset>-575945</wp:posOffset>
            </wp:positionV>
            <wp:extent cx="223456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23456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-100965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i w:val="1"/>
          <w:iCs w:val="1"/>
          <w:color w:val="auto"/>
        </w:rPr>
        <w:t>Exchange Offer</w:t>
      </w:r>
    </w:p>
    <w:p>
      <w:pPr>
        <w:spacing w:after="0" w:line="2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On August 19, 2022, the Company completed an exchange offer to exchange certain of its outstanding 5.125% Senior Notes due 2023, 5.875% Senior Notes due 2024, 6.00% Senior Notes due 2026 and certain revolving credit loans and term loans under its senior secured credit facility into newly issued Senior Second Lien Secured Notes and a new Exchange Credit Agreement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No. 4 and Amendment No. 5 to Existing Credit Agreement</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connection with the exchange offer, (i) the Company and GEO Corrections Holdings, Inc. (“Corrections”), as borrowers (the “Borrowers”), certain lenders (the “Consenting Lenders”) and BNP Paribas, as the existing administrative agent (the “Existing Administrative Agent”) under the Company’s existing senior secured credit agreement (the “Existing Credit Agreement”), entered into Amendment No. 4 to Third Amended and Restated Credit Agreement, dated as of August 19, 2022 (“Amendment No. 4”), and (ii) the Borrowers, certain subsidiaries of the Borrowers (the “Credit Facility Guarantors”), the Consenting Lenders, the Existing Administrative Agent, Alter Domus Products Corp., as the new administrative agent for the lenders under the amended existing credit agreement (in such capacity, the “Amended Credit Agreement Administrative Agent”), and Alter Domus Products Corp., as the administrative agent for the lenders under the Exchange Credit Agreement (as defined below) (in such capacity, the “Exchange Credit Agreement Administrative Agent”), entered into Amendment No. 5 to Third Amended and Restated Credit Agreement, dated as of August 19, 2022 (“Amendment No. 5,” and the Existing Credit Agreement as amended by Amendment No. 4 and Amendment No. 5, the “Amended Credit Agreement”).</w:t>
      </w:r>
    </w:p>
    <w:p>
      <w:pPr>
        <w:spacing w:after="0" w:line="17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Pursuant to Amendment No. 4, the Borrowers and the Consenting Lenders amended the Existing Credit Agreement to permit the consummation of the Exchange Offers and Consent Solicitations described below. Pursuant to Amendment No. 5, (i) the Existing Administrative Agent was replaced as administrative agent under the Amended Credit Agreement with the Amended Credit Agreement Administrative Agent, (ii) the Borrowers and the Consenting Lenders agreed to amend the Existing Credit Agreement as set forth therein, (iii) the Company agreed to purchase the revolving credit commitments of certain Consenting Lenders under the Existing Credit Agreement and exchange such revolving credit commitments with revolving credit commitments under the Exchange Credit Agreement, (iv) certain Consenting Lenders holding such revolving credit commitments agreed to exchange their revolving credit loans and related obligations for cash, tranche 2 term loans under the Exchange Credit Agreement (“Tranche 2 Loans”) and tranche 3 term loans under the Exchange Credit Agreement (“Tranche 3 Loans”), (v) certain Consenting Lenders holding such revolving credit commitments agreed to assign their revolving credit loans and related obligations to certain other Consenting Lenders (who then agreed to exchange such assigned revolving credit loans and related obligations for tranche 1 term loans under the Exchange Credit Agreement (“Tranche 1 Loans”)) and exchange the remainder of such revolving credit loans and related obligations for cash, Tranche 2 Loans and/or Tranche 3 Loans, (vi) the Company agreed to purchase the term loans of certain Consenting Lenders under the Existing Credit Agreement and exchange such term loans with Tranche 1 Loans or a combination of Tranche 1 Loans and cash, and (vii) all letters of credit outstanding under the Existing Credit Agreement were deemed issued and outstanding under the Exchange Credit Agreement and no longer outstanding under the Existing Credit Agreement.</w:t>
      </w:r>
    </w:p>
    <w:p>
      <w:pPr>
        <w:spacing w:after="0" w:line="180"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After giving effect to Amendment No. 4 and Amendment No. 5 and the transactions described therein, approximately $87 million in aggregate principal amount of revolving credit commitments and approximately $102 million in aggregate principal amount of term loans remained outstanding under the Amended Credit Agreement. The Credit Facility Guarantors continue to guarantee the obligations in respect of the commitments and loans under the Amended Credit Agreement, and the collateral securing the Borrowers’ and the Credit Facility Guarantors’ obligations in respect of the commitments and loans under the Existing Credit Agreement prior to the effectiveness of the transactions (the “Common Collateral”) continues to secure the Borrower’s and the Credit Facility Guarantors’ obligations in respect of the commitments and loans under the Amended Credit Agreement after giving effect to the transactions. Revolving credit loans under the Amended Credit Agreement will continue to bear interest at a per annum rate equal to LIBOR (with no LIBOR floor) plus 1.50% to 2.50%, and the Borrowers will continue to pay a fee in respect of unused revolving commitments under the Amended Credit Agreement at a per annum rate of 0.25% to 0.30%, in each case depending on the Company’s total leverage ratio as of the most recent determination date. Term loans under the Amended Credit Agreement will continue to bear interest at a per annum rate equal to LIBOR (subject to a floor of 0.75%) plus</w:t>
      </w:r>
    </w:p>
    <w:p>
      <w:pPr>
        <w:spacing w:after="0" w:line="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2.00%. The revolving credit commitments under the Amended Credit Agreement terminate on May 17, 2024, and the term loans under the Amended Credit Agreement mature on March 23, 2024. The representations and warranties and affirmative and negative covenants in the Amended Credit Agreement were amended so that the representations and warranties and affirmative and negative covenants in the Exchange Credit Agreement are incorporated by reference into the Amended Credit Agreement. Subsequent to the transactions, but prior to December 31, 2022, the term loans were repaid in full.</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The transactions were accounted for as an extinguishment of the revolving credit loan and term loans with the new Tranche 1, 2 and 3 Loans recorded at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fair value. The Company used a third-party valuation firm to assist with the estimation of the fair values which were determined to be $884.6 million,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$233.7 million and $43.6 million for the Tranche 1 Loans, Tranche 2 Loans and Tranche 3 Loans, respectively, resulting in a $27.4 million premium,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discount and $1.6 million discount, respectively, at issuance. Refer to Note 10 - Fair Value of Assets and Liabilities for discussion on the valuation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methodology and assumptions used to estimate the fair value. The premium and discounts are being amortized as non-cash interest expense over the terms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Tranche 1, 2 and 3 Loans using the effective interest method. As a result, the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14" w:name="page115"/>
    <w:bookmarkEnd w:id="114"/>
    <w:p>
      <w:pPr>
        <w:ind w:right="340"/>
        <w:spacing w:after="0" w:line="263" w:lineRule="auto"/>
        <w:rPr>
          <w:sz w:val="20"/>
          <w:szCs w:val="20"/>
          <w:color w:val="auto"/>
        </w:rPr>
      </w:pPr>
      <w:r>
        <w:rPr>
          <w:rFonts w:ascii="Arial" w:cs="Arial" w:eastAsia="Arial" w:hAnsi="Arial"/>
          <w:sz w:val="18"/>
          <w:szCs w:val="18"/>
          <w:color w:val="auto"/>
        </w:rPr>
        <w:t>Company recorded a net loss on extinguishment of debt of approximately $13.1 million and $50.9 million related to the revolving credit loans and term loans, respectively. The net loss on extinguishment of debt represented the difference between the carrying values that were exchanged (including unamortized debt issuance costs) and the fair value of the Tranche 1, 2 and 3 Loans.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Exchange Credit Agreement</w:t>
      </w:r>
    </w:p>
    <w:p>
      <w:pPr>
        <w:spacing w:after="0" w:line="2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connection with the exchange offer, the Borrowers, the Consenting Lenders and the Exchange Credit Agreement Administrative Agent entered into a Credit Agreement, dated as of August 19, 2022 (the “Exchange Credit Agreement”), to, among other things, evidence and govern the exchanged revolving credit commitments (the “Exchange Revolving Credit Facility”), Tranche 1 Loans, Tranche 2 Loans and Tranche 3 Loans described above. On the transaction date, after giving effect to the transactions, the aggregate principal amount of revolving credit commitments under the Exchange Revolving Credit Facility was approximately $187 million (including a $175 million letter of credit subfacility), the aggregate principal amount of the Tranche 1 Loans was approximately $857 million, the aggregate principal amount of the Tranche 2 Loans was approximately $237 million and the aggregate principal amount of the Tranche 3 Loans was approximately $45 million.</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Revolving credit loans under the Exchange Revolving Credit Facility bear interest at a per annum rate equal to Term Secured Overnight Financing Rate (“SOFR”) (subject to a 0.75% floor) plus between 2.25% and 3.25%, and the Borrowers will pay a fee in respect of unused revolving commitments under the Exchange Revolving Credit Facility at a per annum rate of 0.25% to 0.30%, in each case depending on the Company’s total leverage ratio as of the most recent determination date. Tranche 1 Loans bear interest at a per annum rate equal to Term SOFR (subject to a 0.75% floor) plus 7.125%, Tranche 2 Loans bear interest at a per annum rate equal to Term SOFR (subject to a 0.75% floor) plus 6.125% and Tranche 3 Loans bear interest at a per annum rate equal to Term SOFR (subject to a 0.75% floor) plus 2.00%. At any time after the earlier of (x) February 19, 2024, solely in the event that no 2023 Notes (defined below) or 2024 Notes (defined below) remain outstanding at such time, and (y) November 1, 2024, (i) if the Company’s first lien leverage ratio is less than 1.50:1.00 at such time, then the interest rate margin on Tranche 1 Loans and Tranche 2 Loans will be reduced by 0.25%, and (ii) if the Company has achieved a public corporate credit rating of at least B3 or B-, as applicable (in any case with a stable or better outlook), from any two of S&amp;P, Moody’s and Fitch, then the interest rate margin on Tranche 1 Loans and Tranche 2 Loans will be reduced by 0.25%, resulting in a total reduction in the interest rate margin on Tranche 1 Loans and Tranche 2 Loans of 0.50% if both conditions set forth in clauses (i) and (ii) are satisfied. If, following any reduction in the interest rate margin in accordance with the previous sentence, the condition giving rise to such reduction is no longer satisfied as of the last day of the Company’s most recently ended fiscal quarter, such interest rate margin reduction will no longer apply unless and until such condition is satisfied again.</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Loans under the Exchange Revolving Credit Facility may not be borrowed if, at the time of and immediately after giving pro forma effect to such extension of credit and any planned future expenditures entered into or expected to be made or payments on indebtedness required to be made, in each case within 60 days of such extension of credit, domestic unrestricted cash for the Company and its restricted subsidiaries exceeds $234 million. Tranche 1 Loans amortize at a rate of 1.25% per quarter, and Tranche 3 Loans amortize at a rate of 0.25% per quarter. Tranche 2 Loans are not subject to amortization. Mandatory prepayments of loans under the Exchange Credit Agreement are required in respect of certain casualty and asset sale proceeds, excess cash flow and domestic unrestricted cash in excess of $234 million as of the last day of any fiscal quarter, subject to certain thresholds and exceptions. Voluntary prepayments of Tranche 2 Loans, Tranche 3 Loans and loans under the Exchange Revolving Credit Facility may be made by the Borrowers at any time without premium or penalty (subject to reimbursement for customary breakage expenses). Voluntary prepayments of Tranche 1 Loans and any prepayments of Tranche 1 Loans required in connection with any acceleration of the maturity thereof require payment of a premium equal to (i) a customary “make whole” amount if made prior to the first anniversary of the transaction date, (ii) 3.00% of the principal amount prepaid or required to be prepaid if made on or after the first anniversary but prior to the second anniversary of the transaction date, and (iii) 2.00% of the principal amount prepaid or required to be prepaid if made on or after the second anniversary but prior to the third anniversary of the transaction date.</w:t>
      </w:r>
    </w:p>
    <w:p>
      <w:pPr>
        <w:spacing w:after="0" w:line="17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revolving credit commitments under the Exchange Revolving Credit Facility terminate, and the Tranche 1 Loans and Tranche 2 Loans mature, in each case on the earliest of (i) March 23, 2027, and (ii) in the event that an aggregate principal amount equal to or greater than $100,000,000 of any Specified Senior Note (defined below) remains outstanding on the Springing Maturity Date (defined below) applicable thereto, such Springing Maturity Date, it being understood that Specified Senior Notes are not outstanding to the extent the Company or GEO Corrections Holdings, Inc., as applicable, shall have deposited or caused to be deposited funds into a customary irrevocable escrow in an amount sufficient to pay or redeem such Specified Senior Notes in full on the maturity date thereof, where “Specified Senior Notes” refers to each of the 2026 Notes and the Company’s 6.500% Exchangeable Senior Notes due 2026 (the “2026 Exchangeable Senior Notes”), and “Springing Maturity Date” means the date that is 91 days prior to the stated maturity date of the 2026 Notes or the 2026 Exchangeable Senior Notes, as applicable. The Tranche 3 Loans were to mature on March 23, 2024. Subsequent to the transaction, the Tranche 3 Loans were redeemed in full.</w:t>
      </w:r>
    </w:p>
    <w:p>
      <w:pPr>
        <w:spacing w:after="0" w:line="177"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The Exchange Credit Agreement contains certain customary representations and warranties, affirmative covenants and negative covenants, including restrictions on the ability of the Company and its restricted subsidiaries to, among other things, (i) create, incur or assume any indebtedness, (ii) create, incur, assume or permit liens, (iii) make loans and investments, (iv) engage in mergers, acquisitions and asset sales, (v) make certain restricted payments,</w:t>
      </w:r>
    </w:p>
    <w:p>
      <w:pPr>
        <w:spacing w:after="0" w:line="2" w:lineRule="exact"/>
        <w:rPr>
          <w:sz w:val="20"/>
          <w:szCs w:val="20"/>
          <w:color w:val="auto"/>
        </w:rPr>
      </w:pPr>
    </w:p>
    <w:p>
      <w:pPr>
        <w:ind w:left="5500" w:right="4040" w:hanging="5492"/>
        <w:spacing w:after="0" w:line="510" w:lineRule="auto"/>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issue, sell or otherwise dispose of capital stock, (vii) engage in transactions with affiliates, (viii)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5" w:name="page116"/>
    <w:bookmarkEnd w:id="115"/>
    <w:p>
      <w:pPr>
        <w:ind w:right="180"/>
        <w:spacing w:after="0" w:line="271" w:lineRule="auto"/>
        <w:rPr>
          <w:sz w:val="20"/>
          <w:szCs w:val="20"/>
          <w:color w:val="auto"/>
        </w:rPr>
      </w:pPr>
      <w:r>
        <w:rPr>
          <w:rFonts w:ascii="Arial" w:cs="Arial" w:eastAsia="Arial" w:hAnsi="Arial"/>
          <w:sz w:val="17"/>
          <w:szCs w:val="17"/>
          <w:color w:val="auto"/>
        </w:rPr>
        <w:t>cancel, forgive, make any voluntary or optional payment or prepayment on, or redeem or acquire for value any senior notes, except as permitted, (ix) engage in other businesses, except as permitted, and (x) materially impair the security interests securing the obligations under the Exchange Credit Agreement. The Exchange Credit Agreement also contains certain financial covenants, including a maximum total leverage ratio covenant of 6.25:1.00, a maximum first lien leverage ratio covenant of 3.50:1.00, a minimum interest coverage ratio covenant of 1.50:1.00 and a cap of $55 million on the amount of unrestricted cash that the Company’s foreign subsidiaries may hold as of the last day of any fiscal quarter. In addition, the Exchange Credit Agreement restricts the Company from electing to be taxed as a real estate investment trust under the Internal Revenue Code. The Exchange Credit Agreement also contains certain customary events of default.</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Credit Facility Guarantors guarantee the obligations in respect of the commitments and loans under the Exchange Credit Agreement. The obligations of the Borrowers and the Credit Facility Guarantors in respect of the Exchange Credit Agreement are secured by first-priority liens on the Common Collateral securing the obligations under the Amended Credit Agreement and, other than with respect to the Tranche 3 Loans, first-priority liens on certain additional assets of the Borrower and the Credit Facility Guarantors (the “Exclusive Collateral”), including real property interests with respect to which the Exchange Credit Agreement requires the execution and delivery of a mortgage but with respect to which the Amended Credit Agreement does not. The rights of the secured parties under the Amended Credit Agreement and the Exchange Credit Agreement in respect of the Common Collateral are governed by a First Lien Pari Passu Intercreditor Agreement (the “First Lien Pari Passu Intercreditor Agreement”), dated as of August 19, 2022, among the Amended Credit Agreement Administrative Agent, the Exchange Credit Agreement Administrative Agent and each additional senior representative party thereto from time to time, and acknowledged by the Borrower and the Credit Facility Guarantors.</w:t>
      </w:r>
    </w:p>
    <w:p>
      <w:pPr>
        <w:spacing w:after="0" w:line="178"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As of December 31, 2022, the Company had approximately $30.0 million in borrowings under its revolver, and approximately $77.6 million in letters of credit which left approximately $226.4 million in additional borrowing capacity under the revolver. Subsequent to the transaction, the Tranche 3 Loans were repaid in full. The weighted average interest rate on outstanding borrowings under the Credit Agreement as of December 31, 2022 was 9.85%.</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5.125% Senior Notes due 2023 and 5.875% Senior Notes due 2024</w:t>
      </w:r>
    </w:p>
    <w:p>
      <w:pPr>
        <w:spacing w:after="0" w:line="23"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Company exchanged $100.6 million and $178.3 million principal amounts of its 5.125% Senior Notes due 2023 and 5.875% Senior Notes due 2024, respectively, for newly issued $286.5 million 10.500% Senior Second Lien Secured Notes maturing on June 30, 2028 ("New Registered Notes") and, if elected, cash upon the terms and subject to the conditions set forth in the prospectus. Holders of the 5.125% Senior Notes due 2023 could elect cash and new notes at 100% par or new notes only at 105% par. Holders of the 5.785% Senior Notes due 2024 could elect cash and new notes at 100% par or new notes only at 103% par. The transactions were accounted for as an extinguishment of the 5.125% Senior Notes due 2023 and the 5.875% Senior Notes due 2024, with the New Registered Notes recorded at fair value on the issuance date. The Company used a third-party valuation firm to assist with the estimation of the fair value which was determined to be $270.4 million resulting in a $16.2 million discount at issuance. Refer to Note 10 - Fair Value of Assets and Liabilities for discussion on the valuation methodology and assumptions used to estimate the fair value. The discount is being amortized as non-cash interest expense over the term of the New Registered Notes using the effective interest method. As a result, the Company recorded a net gain on extinguishment of debt of $7.2 million related to the 5.125% Senior Notes due 2023 and the 5.875% Senior Notes due 2024 which represented the difference between the carrying values that were exchanged (including unamortized debt issuance costs) and the fair value of the New Registered Notes. After the transactions, there was approximately $125.7 million and $23.3 million remaining in outstanding principal on the 5.125% Senior Notes due 2023 and the 5.875% Senior Notes due 2024, respectively. Subsequent to the transaction, the remaining balance of the 5.125% Senior Notes due 2023 was deposited on account with the Trustee and the Indenture was discharged. On October 6, 2022, the 5.125% Senior Notes due 2023 were redeemed in full.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6.00% Senior Notes due 2026</w:t>
      </w:r>
    </w:p>
    <w:p>
      <w:pPr>
        <w:spacing w:after="0" w:line="2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Company exchanged $239.1 million principal amount of its 6.000% Senior Notes due 2026 for newly issued $239.1 million 9.500% Senior Second Lien Secured Notes maturing on December 31, 2028 ("New Private Notes"). The transaction was accounted for as an extinguishment of the 6.00% Senior Notes due 2026, with the New Private Notes recorded at fair value on the issuance date. The Company used a third-party valuation firm to assist with the estimation of the fair value which was determined to be $215.7 million resulting in a $23.4 million discount at issuance. Refer to Note 10 - Fair Value of Assets and Liabilities for discussion on the valuation methodology and assumptions used to estimate the fair value. The discount is being amortized as non-cash interest expense over the term of the Private Notes due 2028 using the effective interest method. As a result, the Company recorded a net gain on extinguishment of debt of $21.6 million related to the 6.00% Senior Notes due 2026 which represented the difference between the carrying value that was exchanged (including unamortized debt issuance costs) and the fair value of the New Private Notes. After the transaction, there was approximately $110.9 million remaining in outstanding principal on the 6.00% Senior Notes due 2026.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 description of the New Registered Notes and the New Private Notes is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10.500% Senior Second Lien Secured Notes due 2028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6" w:name="page117"/>
    <w:bookmarkEnd w:id="116"/>
    <w:p>
      <w:pPr>
        <w:ind w:right="360"/>
        <w:spacing w:after="0" w:line="286" w:lineRule="auto"/>
        <w:rPr>
          <w:sz w:val="20"/>
          <w:szCs w:val="20"/>
          <w:color w:val="auto"/>
        </w:rPr>
      </w:pPr>
      <w:r>
        <w:rPr>
          <w:rFonts w:ascii="Arial" w:cs="Arial" w:eastAsia="Arial" w:hAnsi="Arial"/>
          <w:sz w:val="17"/>
          <w:szCs w:val="17"/>
          <w:color w:val="auto"/>
        </w:rPr>
        <w:t>The Company issued $286.5 million aggregate principal amount of New Registered Notes pursuant to an Indenture, dated as of August 19, 2022 (the “Registered Notes Indenture”), among the Company, the guarantors named therein (the “Guarantors”) and Ankura Trust Company, LLC, as trustee and second lien collateral trustee (in such capacities, the “Trustee” and “Second Lien Collateral Trustee,” as applicable).</w:t>
      </w:r>
    </w:p>
    <w:p>
      <w:pPr>
        <w:spacing w:after="0" w:line="16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New Registered Notes will initially be fully and unconditionally guaranteed (collectively, the “Registered Notes Guarantees”) by each of the Company’s Restricted Subsidiaries (as defined in the Registered Notes Indenture) that has guaranteed its obligations under the Exchange Credit Agreement and may be guaranteed by additional subsidiaries as described in the Registered Notes Indenture.</w:t>
      </w:r>
    </w:p>
    <w:p>
      <w:pPr>
        <w:spacing w:after="0" w:line="18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New Registered Notes and the Registered Notes Guarantees are secured on a second-priority basis by the same collateral (the “Collateral”) that secures the obligations under the Exchange Credit Agreement in accordance with the terms of the Registered Notes Indenture and the Second Lien Collateral Trust Agreement, dated as of August 19, 2022 (as amended, supplemented or otherwise modified, the “Second Lien Collateral Trust Agreement”), among the Company, the Guarantors, the Second Lien Collateral Trustee and the Trustee. The Second Lien Collateral Trust Agreement sets forth therein the relative rights of the second-lien secured parties with respect to the Collateral and covering certain other matters relating to the administration of security interests. The Second Lien Collateral Trust Agreement generally controls substantially all matters related to the interest of the second-lien secured parties in the Collateral, including with respect to directing the Second Lien Collateral Trustee, distribution of proceeds and enforcement.</w:t>
      </w:r>
    </w:p>
    <w:p>
      <w:pPr>
        <w:spacing w:after="0" w:line="16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New Registered Notes are also subject to the terms of the First Lien/Second Lien Intercreditor Agreement (the “First Lien/Second Lien Intercreditor Agreement”), dated August 19, 2022, among the Amended Credit Agreement Administrative Agent, the Exchange Credit Agreement Administrative Agent, each additional senior representative party thereto from time to time and the Second Lien Collateral Trustee and acknowledged by the Company and the Guarantors, and, in connection with the Exchange Offers and Consent Solicitations, the Second Lien Collateral Trustee entered into the First Lien/Second Lien Intercreditor Agreement with respect to the New Registered Notes and the New Private Notes. The First Lien/Second Lien Intercreditor Agreement restricts the actions permitted to be taken by the Second Lien Collateral Trustee with respect to the Collateral on behalf of the holders of the New Registered Notes and the New Private Notes, and the Second Lien Collateral Trustee, on behalf of itself and the holders of the New Registered Notes and the New Private Notes, agreed to limit certain other rights with respect to the Collateral during any insolvency proceeding.</w:t>
      </w:r>
    </w:p>
    <w:p>
      <w:pPr>
        <w:spacing w:after="0" w:line="163"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New Registered Notes bear interest at a rate of 10.500% per year, accruing from August 19, 2022. Interest on the New Registered Notes is payable semiannually in arrears on June 30 and December 31 of each year, beginning on December 31, 2022. The New Registered Notes will mature on June 30, 2028, subject to earlier repurchase or redemption in accordance with the terms of the Registered Notes Indenture.</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may redeem some or all of the New Registered Notes at any time upon not less than 10 nor more than 60 days’ notice, at a price equal to (a) 103% of the principal amount of the New Registered Notes redeemed, if redeemed prior to August 19, 2023, (b) 102% of the principal amount of the New Registered Notes redeemed, if redeemed on or after August 19, 2023, but prior to August 19, 2024, (c) 101% of the principal amount of the New Registered Notes redeemed, if redeemed on or after August 19, 2024, but prior to August 19, 2025 or (d) 100% of the principal amount of the New Registered Notes redeemed, if redeemed on or after August 19, 2025, in each case plus accrued and unpaid interest, if any, to, but not including, the redemption date and a make-whole premium set forth in the Registered Notes Indenture. If the Company experiences certain change of control events, the Company must offer to repurchase the New Registered Notes at 101% of their principal amount, plus accrued and unpaid interest, if any, to, but not including, the repurchase date.</w:t>
      </w:r>
    </w:p>
    <w:p>
      <w:pPr>
        <w:spacing w:after="0" w:line="164"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Registered Notes Indenture contains covenants that, among other things, restrict the Company’ ability and the ability of its restricted subsidiaries to incur certain additional indebtedness and issue preferred stock, make certain dividend payments, distributions, investments and other restricted payments, sell certain assets, agree to any restrictions on the ability of its restricted subsidiaries to make payments to the Company, create certain liens, merge, consolidate or sell all or substantially all of their assets and enter into certain transactions with affiliates. These covenants are subject to a number of important exceptions and qualifications as described in the Registered Notes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9.500% Senior Second Lien Secured Notes due 2028</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issued $239.1 million aggregate principal amount of New Private Notes pursuant to an Indenture, dated as of August 19, 2022 (the “Private Notes Indenture”), among the Company, the Guarantors, the Trustee and the Second Lien Collateral Trustee.</w:t>
      </w:r>
    </w:p>
    <w:p>
      <w:pPr>
        <w:spacing w:after="0" w:line="16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New Private Notes will initially be fully and unconditionally guaranteed (collectively, the “Private Notes Guarantees”) by each of the Company’s Restricted Subsidiaries (as defined in the Registered Notes Indenture) that has guaranteed its obligations under the Exchange Credit Agreement and may be guaranteed by additional subsidiaries as described in the Registered Notes Indenture.</w:t>
      </w:r>
    </w:p>
    <w:p>
      <w:pPr>
        <w:spacing w:after="0" w:line="2"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The New Private Notes and Private Notes Guarantees are subject to the terms of the Second Lien Collateral Trust Agreement and the First Lien/Second Lien Intercreditor Agreement described above on the same terms as the New Registered Notes.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7" w:name="page118"/>
    <w:bookmarkEnd w:id="117"/>
    <w:p>
      <w:pPr>
        <w:ind w:right="80"/>
        <w:spacing w:after="0" w:line="263" w:lineRule="auto"/>
        <w:rPr>
          <w:sz w:val="20"/>
          <w:szCs w:val="20"/>
          <w:color w:val="auto"/>
        </w:rPr>
      </w:pPr>
      <w:r>
        <w:rPr>
          <w:rFonts w:ascii="Arial" w:cs="Arial" w:eastAsia="Arial" w:hAnsi="Arial"/>
          <w:sz w:val="18"/>
          <w:szCs w:val="18"/>
          <w:color w:val="auto"/>
        </w:rPr>
        <w:t>The New Private Notes bear interest at a rate of 9.500% per year, accruing from August 19, 2022. Interest on the New Private Notes is payable semiannually in arrears on June 30 and December 31 of each year, beginning on December 31, 2022. The New Private Notes will mature on December 31, 2028, subject to earlier repurchase or redemption in accordance with the terms of the Private Notes Indenture.</w:t>
      </w:r>
    </w:p>
    <w:p>
      <w:pPr>
        <w:spacing w:after="0" w:line="18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may redeem some or all of the New Private Notes at any time upon not less than 10 nor more than 60 days’ notice, at a price equal to (a) 103% of the principal amount of the New Private Notes redeemed, if redeemed prior to August 19, 2023, (b) 102% of the principal amount of the New Private Notes redeemed, if redeemed on or after August 19, 2023, but prior to August 19, 2024, (c) 101% of the principal amount of the New Private Notes redeemed, if redeemed on or after August 19, 2024, but prior to August 19, 2025 or (d) 100% of the principal amount of the New Private Notes redeemed, if redeemed on or after August 19, 2025, in each case plus accrued and unpaid interest, if any, to, but not including, the redemption date and a make-whole premium set forth in the Private Notes Indenture. If the Company experiences certain change of control events, the Company must offer to repurchase the New Private Notes at 101% of their principal amount, plus accrued and unpaid interest, if any, to, but not including, the repurchase date.</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Private Notes Indenture contains covenants that, among other things, restrict the Company’s ability and the ability of its restricted subsidiaries to incur certain additional indebtedness and issue preferred stock, make certain dividend payments, distributions, investments and other restricted payments, sell certain assets, agree to any restrictions on the ability of its restricted subsidiaries to make payments to the Company, create certain liens, merge, consolidate or sell all or substantially all of their assets and enter into certain transactions with affiliates. These covenants are subject to a number of important exceptions and qualifications as described in the Private Notes Indenture.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Fees</w:t>
      </w:r>
    </w:p>
    <w:p>
      <w:pPr>
        <w:spacing w:after="0" w:line="2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As a result of the transactions discussed above, the Company incurred a total of approximately $52.8 million of debt issuance fees which were allocated to the new revolving credit commitments, new Tranche 1, 2 and 3 Loans, New Registered Notes and New Private Notes based on their fair values at date of issuance. The debt issuance fees are being amortized over the terms of the respective agreements using the effective interest method.</w:t>
      </w:r>
    </w:p>
    <w:p>
      <w:pPr>
        <w:spacing w:after="0" w:line="154" w:lineRule="exact"/>
        <w:rPr>
          <w:sz w:val="20"/>
          <w:szCs w:val="20"/>
          <w:color w:val="auto"/>
        </w:rPr>
      </w:pPr>
    </w:p>
    <w:p>
      <w:pPr>
        <w:ind w:right="80"/>
        <w:spacing w:after="0" w:line="307" w:lineRule="auto"/>
        <w:rPr>
          <w:sz w:val="20"/>
          <w:szCs w:val="20"/>
          <w:color w:val="auto"/>
        </w:rPr>
      </w:pPr>
      <w:r>
        <w:rPr>
          <w:rFonts w:ascii="Arial" w:cs="Arial" w:eastAsia="Arial" w:hAnsi="Arial"/>
          <w:sz w:val="17"/>
          <w:szCs w:val="17"/>
          <w:color w:val="auto"/>
        </w:rPr>
        <w:t>As a result of the repayment of the remaining principal balance of Term Loan B, the 5.125% Senior Notes due 2023 and the newly issued Tranche 3 Loans as discussed further above, the Company wrote off an additional $2.3 million in deferred loan costs to loss on extinguishment of debt.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6.50% Exchangeable Senior Notes due 2026</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February 24, 2021, the Company’s wholly owned subsidiary, GEO Corrections Holdings, Inc. (“GEOCH”), completed a private offering of $230 million aggregate principal amount of Convertible Notes which included the full exercise of the initial purchasers’ over-allotment option to purchase an additional $30 million aggregate principal amount of Convertible Notes. The Convertible Notes will mature on February 23, 2026, unless earlier repurchased or exchanged. The Convertible Notes bear interest at the rate of 6.50% per year plus an additional amount based on the dividends paid by the Company on its common stock, $0.01 par value per share. Interest on the notes is payable semi-annually in arrears on March 1 and September 1 of each year, beginning on September 1, 2021. Interest expense related to the Convertible notes was $14.8 million and $12.9 million for the years ended December 31, 2022 and 2021, respectively.</w:t>
      </w:r>
    </w:p>
    <w:p>
      <w:pPr>
        <w:spacing w:after="0" w:line="19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Subject to certain restrictions on share ownership and transfer, holders may exchange the Convertible Notes at their option prior to the close of business on the business day immediately preceding November 25, 2025, but only under the following circumstances: (1) during the five consecutive business day period after any five consecutive trading day period, or the measurement period, in which the trading price per $1,000 principal amount of Convertible Notes for each trading day of such measurement period was less than 98% of the product of the last reported sale price of the Company’s common stock and the exchange rate for the Convertible Notes on each such trading day; or (2) upon the occurrence of certain specified corporate events. On or after November 25, 2025, until the close of business on the second scheduled trading day immediately preceding the maturity date of the Convertible Notes, holders may exchange their Convertible Notes at any time, regardless of the foregoing circumstances. Upon exchange of a Convertible Note, GEO will pay or deliver, as the case may be, cash or a combination of cash and shares of the Company’s common stock. As of December 31, 2022, conditions had not been met to exchange the Convertible Notes.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Upon conversion, the Company will pay or deliver, as the case may be, cash or a combination of cash and shares of common stock. The initial conversion rate is 108.4011 shares of common stock per $1,000 principal amount of Convertible Notes (equivalent to an initial conversion price of approximately $9.225 per share of common stock). The conversion rate will be subject to adjustment in certain events. If the Company or GEOCH undergoes a fundamental change, holders may require GEOCH to purchase the Convertible Notes in whole or in part for cash at a fundamental change purchase price equal to 100% of the principal amount of the Convertible Notes to be purchased, plus accrued and unpaid interest, if any, to, but excluding, the fundamental change purchase date.</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8" w:name="page119"/>
    <w:bookmarkEnd w:id="118"/>
    <w:p>
      <w:pPr>
        <w:ind w:right="80"/>
        <w:spacing w:after="0" w:line="256" w:lineRule="auto"/>
        <w:rPr>
          <w:sz w:val="20"/>
          <w:szCs w:val="20"/>
          <w:color w:val="auto"/>
        </w:rPr>
      </w:pPr>
      <w:r>
        <w:rPr>
          <w:rFonts w:ascii="Arial" w:cs="Arial" w:eastAsia="Arial" w:hAnsi="Arial"/>
          <w:sz w:val="18"/>
          <w:szCs w:val="18"/>
          <w:color w:val="auto"/>
        </w:rPr>
        <w:t>The Company used the net proceeds from this offering, including the exercise in full of the initial purchasers' over-allotment option to fund the redemption of the then outstanding amount of approximately $194.0 million of the Company’s 5.875% Senior Notes due 2022, to re-purchase additional senior notes and used remaining net proceeds to pay related transaction fees and expenses, and for general corporate purposes of the Company. As a result of the redemption, deferred loan costs in the amount of approximately $0.7 million were written off to loss on extinguishment of debt during the year ended December 31, 2021.</w:t>
      </w:r>
    </w:p>
    <w:p>
      <w:pPr>
        <w:spacing w:after="0" w:line="19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Convertible Notes were offered in the United States only to persons reasonably believed to be “qualified institutional buyers” pursuant to Rule 144A under the Securities Act, and outside of the United States to non-U.S. persons in compliance with Regulation S under the Securities Act. Neither the Convertible Notes nor any of the shares of the Company’s common stock issuable upon exchange of the Convertible Notes, if any, have been, or will be, registered under the Securities Act and, unless so registered, may not be offered or sold in the United States, except pursuant to an applicable exemption from the registration requirements under the Securities Act.</w:t>
      </w:r>
    </w:p>
    <w:p>
      <w:pPr>
        <w:spacing w:after="0" w:line="19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elected to early adopt Accounting Standards Update ("ASU") 2020-06, Debt – Debt with Conversion and Other Options and Derivatives and Hedging – Contracts in Entity’s Own Equity, on January 1, 2021. The new standard simplifies the accounting for convertible debt by removing the requirements to separately present certain conversion features in equity. In addition, the new standard also simplifies the guidance in ASC 815-40, Derivatives and Hedging – Contract in Entity’s Own Equity, by removing certain criteria that must be satisfied to classify a contract as equity. Finally, the new standard revised the guidance on calculating earnings per share. The Company determined under the guidance of the new standard that the embedded conversion option does not require bifurcation and all proceeds were allocated to the Convertible Notes as a single instrument and is included in Long-Term Debt in the accompanying consolidated balance sheets. The costs incurred in the issuance, including the initial purchasers discount, totaling approximately $9.6 million, are classified as a cash outflow within the financing activities section in the consolidated statement of cash flows, and are also being amortized to expense over the term of the Convertible Notes.</w:t>
      </w:r>
    </w:p>
    <w:p>
      <w:pPr>
        <w:spacing w:after="0" w:line="17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Because the Company currently intends to settle conversions by paying cash up to the principal amount of the Convertible Notes, with any excess conversion value settled in shares of common stock, the Convertible Notes are being accounted for using the net settlement method (or treasury stock-type method) for the purposes of calculating diluted earnings per share. Using this method, the denominator will be affected when the average share price of the Company's common stock for a given period is greater than the conversion price of approximately $9.225 per share. There was a dilutive impact of approximately 1.3 million shares for the three months ended December 31, 2022 and no dilutive impact for the years ended December 31, 2022 and 2021.</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Repurchases</w:t>
      </w:r>
    </w:p>
    <w:p>
      <w:pPr>
        <w:spacing w:after="0" w:line="171"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On August 16, 2019, the Company's Board of Directors authorized the Company to repurchase and/or retire a portion of the 6.00% Senior Notes due 2026, the 5.875% Senior Notes due 2024, the 5.125% Senior Notes due 2023, the 5.875% Senior Notes due 2022 (collectively the "GEO Senior Notes") and the Company's term loan under its Amended Credit Agreement through cash purchases, in open market, privately negotiated transactions, or otherwise, up to an aggregate maximum of $100.0 million, subject to certain limitations through December 31, 2020. On February 11, 2021, the Company’s Board of Directors authorized a new repurchase program for repurchases/retirements of the above referenced Senior Notes and term loan, subject to certain limitations up to an aggregate maximum of $100.0 million through December 31, 2022.</w:t>
      </w:r>
    </w:p>
    <w:p>
      <w:pPr>
        <w:spacing w:after="0" w:line="122"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During 2021, the Company repurchased $22.5 million in aggregate principal amount of its 5.125% Senior Notes due 2023 at a weighted average price of 90.68% for a total cost of $20.4 million. Additionally, the Company repurchased $17.2 million in aggregate principal amount of its 5.875% Senior Notes due 2024 at a weighted average price of 79.51% for a total cost of $13.7 million. As a result of these repurchases, the Company recognized a net gain on extinguishment of debt of $4.7 million, net of the write-off of associated unamortized deferred loan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Non-Recourse Debt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 - Ravenhall</w:t>
      </w:r>
    </w:p>
    <w:p>
      <w:pPr>
        <w:spacing w:after="0" w:line="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connection with a design and build project agreement with the State of Victoria, in September 2014, the Company had entered into a syndicated facility agreement (the "Construction Facility") to provide debt financing for construction of the project. On September 20, 2022, the Company sold its equity investment interest in the Ravenhall project and, as a result, the non-recourse notes were transferred to the buyer and are no longer an outstanding obligation of the Company. Refer to Note 17 - Commitments, Contingencies and Other Matters for further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3" w:lineRule="exact"/>
        <w:rPr>
          <w:sz w:val="20"/>
          <w:szCs w:val="20"/>
          <w:color w:val="auto"/>
        </w:rPr>
      </w:pPr>
    </w:p>
    <w:p>
      <w:pPr>
        <w:ind w:right="440"/>
        <w:spacing w:after="0" w:line="322" w:lineRule="auto"/>
        <w:rPr>
          <w:sz w:val="20"/>
          <w:szCs w:val="20"/>
          <w:color w:val="auto"/>
        </w:rPr>
      </w:pPr>
      <w:r>
        <w:rPr>
          <w:rFonts w:ascii="Arial" w:cs="Arial" w:eastAsia="Arial" w:hAnsi="Arial"/>
          <w:sz w:val="16"/>
          <w:szCs w:val="16"/>
          <w:color w:val="auto"/>
        </w:rPr>
        <w:t>In August of 2019, the Company entered into two identical Notes in the aggregate amount of $44.3 million which are secured by loan agreements and mortgage and security agreements on certain real property and improvements. The terms of the Notes are through September 1,</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9" w:name="page120"/>
    <w:bookmarkEnd w:id="119"/>
    <w:p>
      <w:pPr>
        <w:spacing w:after="0" w:line="263" w:lineRule="auto"/>
        <w:rPr>
          <w:sz w:val="20"/>
          <w:szCs w:val="20"/>
          <w:color w:val="auto"/>
        </w:rPr>
      </w:pPr>
      <w:r>
        <w:rPr>
          <w:rFonts w:ascii="Arial" w:cs="Arial" w:eastAsia="Arial" w:hAnsi="Arial"/>
          <w:sz w:val="18"/>
          <w:szCs w:val="18"/>
          <w:color w:val="auto"/>
        </w:rPr>
        <w:t>2034 and bear interest at LIBOR plus 200 basis points and are payable in monthly installments plus interest. The Company has entered into interest rate swap agreements to fix the interest rate to 4.22%. Included in the balance at December 31, 2022 is $0.6 million of deferred loan costs incurred in the transaction. Refer to Note 9 - Derivative Financial Instruments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557" w:right="659" w:bottom="1440" w:gutter="0" w:footer="0" w:header="0"/>
        </w:sectPr>
      </w:pPr>
    </w:p>
    <w:bookmarkStart w:id="120" w:name="page121"/>
    <w:bookmarkEnd w:id="120"/>
    <w:p>
      <w:pPr>
        <w:ind w:left="260"/>
        <w:spacing w:after="0"/>
        <w:rPr>
          <w:sz w:val="20"/>
          <w:szCs w:val="20"/>
          <w:color w:val="auto"/>
        </w:rPr>
      </w:pPr>
      <w:r>
        <w:rPr>
          <w:rFonts w:ascii="Arial" w:cs="Arial" w:eastAsia="Arial" w:hAnsi="Arial"/>
          <w:sz w:val="18"/>
          <w:szCs w:val="18"/>
          <w:b w:val="1"/>
          <w:bCs w:val="1"/>
          <w:i w:val="1"/>
          <w:iCs w:val="1"/>
          <w:color w:val="auto"/>
        </w:rPr>
        <w:t>Debt Repayment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Debt repayment schedules under Finance Lease Obligations, Long-Term Debt, Term Loans and the Exchange Credit Agreement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Year</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13"/>
              <w:spacing w:after="0"/>
              <w:rPr>
                <w:sz w:val="20"/>
                <w:szCs w:val="20"/>
                <w:color w:val="auto"/>
              </w:rPr>
            </w:pPr>
            <w:r>
              <w:rPr>
                <w:rFonts w:ascii="Arial" w:cs="Arial" w:eastAsia="Arial" w:hAnsi="Arial"/>
                <w:sz w:val="14"/>
                <w:szCs w:val="14"/>
                <w:b w:val="1"/>
                <w:bCs w:val="1"/>
                <w:color w:val="auto"/>
              </w:rPr>
              <w:t>Finance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193"/>
              <w:spacing w:after="0"/>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97"/>
              </w:rPr>
              <w:t>Revolver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353"/>
              <w:spacing w:after="0"/>
              <w:rPr>
                <w:sz w:val="20"/>
                <w:szCs w:val="20"/>
                <w:color w:val="auto"/>
              </w:rPr>
            </w:pPr>
            <w:r>
              <w:rPr>
                <w:rFonts w:ascii="Arial" w:cs="Arial" w:eastAsia="Arial" w:hAnsi="Arial"/>
                <w:sz w:val="14"/>
                <w:szCs w:val="14"/>
                <w:b w:val="1"/>
                <w:bCs w:val="1"/>
                <w:color w:val="auto"/>
              </w:rPr>
              <w:t>Term</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0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Leases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Debt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Loans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2"/>
              </w:rPr>
              <w:t>Repayment</w:t>
            </w: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759</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1,166</w:t>
            </w:r>
          </w:p>
        </w:tc>
        <w:tc>
          <w:tcPr>
            <w:tcW w:w="3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42,860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44,785</w:t>
            </w:r>
          </w:p>
        </w:tc>
        <w:tc>
          <w:tcPr>
            <w:tcW w:w="0" w:type="dxa"/>
            <w:vAlign w:val="bottom"/>
          </w:tcPr>
          <w:p>
            <w:pPr>
              <w:spacing w:after="0"/>
              <w:rPr>
                <w:sz w:val="1"/>
                <w:szCs w:val="1"/>
                <w:color w:val="auto"/>
              </w:rPr>
            </w:pPr>
          </w:p>
        </w:tc>
      </w:tr>
      <w:tr>
        <w:trPr>
          <w:trHeight w:val="236"/>
        </w:trPr>
        <w:tc>
          <w:tcPr>
            <w:tcW w:w="5040" w:type="dxa"/>
            <w:vAlign w:val="bottom"/>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24,461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42,860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98,080</w:t>
            </w:r>
          </w:p>
        </w:tc>
        <w:tc>
          <w:tcPr>
            <w:tcW w:w="0" w:type="dxa"/>
            <w:vAlign w:val="bottom"/>
          </w:tcPr>
          <w:p>
            <w:pPr>
              <w:spacing w:after="0"/>
              <w:rPr>
                <w:sz w:val="1"/>
                <w:szCs w:val="1"/>
                <w:color w:val="auto"/>
              </w:rPr>
            </w:pPr>
          </w:p>
        </w:tc>
      </w:tr>
      <w:tr>
        <w:trPr>
          <w:trHeight w:val="249"/>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1,274</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42,860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44,670</w:t>
            </w:r>
          </w:p>
        </w:tc>
        <w:tc>
          <w:tcPr>
            <w:tcW w:w="0" w:type="dxa"/>
            <w:vAlign w:val="bottom"/>
          </w:tcPr>
          <w:p>
            <w:pPr>
              <w:spacing w:after="0"/>
              <w:rPr>
                <w:sz w:val="1"/>
                <w:szCs w:val="1"/>
                <w:color w:val="auto"/>
              </w:rPr>
            </w:pPr>
          </w:p>
        </w:tc>
      </w:tr>
      <w:tr>
        <w:trPr>
          <w:trHeight w:val="236"/>
        </w:trPr>
        <w:tc>
          <w:tcPr>
            <w:tcW w:w="5040" w:type="dxa"/>
            <w:vAlign w:val="bottom"/>
          </w:tcPr>
          <w:p>
            <w:pPr>
              <w:ind w:left="20"/>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342,183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42,860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385,072</w:t>
            </w:r>
          </w:p>
        </w:tc>
        <w:tc>
          <w:tcPr>
            <w:tcW w:w="0" w:type="dxa"/>
            <w:vAlign w:val="bottom"/>
          </w:tcPr>
          <w:p>
            <w:pPr>
              <w:spacing w:after="0"/>
              <w:rPr>
                <w:sz w:val="1"/>
                <w:szCs w:val="1"/>
                <w:color w:val="auto"/>
              </w:rPr>
            </w:pPr>
          </w:p>
        </w:tc>
      </w:tr>
      <w:tr>
        <w:trPr>
          <w:trHeight w:val="249"/>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1,383</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911,801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913,184</w:t>
            </w:r>
          </w:p>
        </w:tc>
        <w:tc>
          <w:tcPr>
            <w:tcW w:w="0" w:type="dxa"/>
            <w:vAlign w:val="bottom"/>
          </w:tcPr>
          <w:p>
            <w:pPr>
              <w:spacing w:after="0"/>
              <w:rPr>
                <w:sz w:val="1"/>
                <w:szCs w:val="1"/>
                <w:color w:val="auto"/>
              </w:rPr>
            </w:pPr>
          </w:p>
        </w:tc>
      </w:tr>
      <w:tr>
        <w:trPr>
          <w:trHeight w:val="236"/>
        </w:trPr>
        <w:tc>
          <w:tcPr>
            <w:tcW w:w="50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560,215</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560,215</w:t>
            </w:r>
          </w:p>
        </w:tc>
        <w:tc>
          <w:tcPr>
            <w:tcW w:w="0" w:type="dxa"/>
            <w:vAlign w:val="bottom"/>
          </w:tcPr>
          <w:p>
            <w:pPr>
              <w:spacing w:after="0"/>
              <w:rPr>
                <w:sz w:val="1"/>
                <w:szCs w:val="1"/>
                <w:color w:val="auto"/>
              </w:rPr>
            </w:pPr>
          </w:p>
        </w:tc>
      </w:tr>
      <w:tr>
        <w:trPr>
          <w:trHeight w:val="242"/>
        </w:trPr>
        <w:tc>
          <w:tcPr>
            <w:tcW w:w="50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2,083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930,682</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w w:val="97"/>
              </w:rPr>
              <w:t>1,083,241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2,046,006</w:t>
            </w:r>
          </w:p>
        </w:tc>
        <w:tc>
          <w:tcPr>
            <w:tcW w:w="0" w:type="dxa"/>
            <w:vAlign w:val="bottom"/>
          </w:tcPr>
          <w:p>
            <w:pPr>
              <w:spacing w:after="0"/>
              <w:rPr>
                <w:sz w:val="1"/>
                <w:szCs w:val="1"/>
                <w:color w:val="auto"/>
              </w:rPr>
            </w:pPr>
          </w:p>
        </w:tc>
      </w:tr>
      <w:tr>
        <w:trPr>
          <w:trHeight w:val="236"/>
        </w:trPr>
        <w:tc>
          <w:tcPr>
            <w:tcW w:w="5040" w:type="dxa"/>
            <w:vAlign w:val="bottom"/>
          </w:tcPr>
          <w:p>
            <w:pPr>
              <w:ind w:left="20"/>
              <w:spacing w:after="0"/>
              <w:rPr>
                <w:sz w:val="20"/>
                <w:szCs w:val="20"/>
                <w:color w:val="auto"/>
              </w:rPr>
            </w:pPr>
            <w:r>
              <w:rPr>
                <w:rFonts w:ascii="Arial" w:cs="Arial" w:eastAsia="Arial" w:hAnsi="Arial"/>
                <w:sz w:val="18"/>
                <w:szCs w:val="18"/>
                <w:color w:val="auto"/>
              </w:rPr>
              <w:t>Interest imputed on finance leases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49"/>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Original issue (discount) premium</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(37,981 )</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22,423</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(15,558 )</w:t>
            </w:r>
          </w:p>
        </w:tc>
        <w:tc>
          <w:tcPr>
            <w:tcW w:w="0" w:type="dxa"/>
            <w:vAlign w:val="bottom"/>
          </w:tcPr>
          <w:p>
            <w:pPr>
              <w:spacing w:after="0"/>
              <w:rPr>
                <w:sz w:val="1"/>
                <w:szCs w:val="1"/>
                <w:color w:val="auto"/>
              </w:rPr>
            </w:pPr>
          </w:p>
        </w:tc>
      </w:tr>
      <w:tr>
        <w:trPr>
          <w:trHeight w:val="236"/>
        </w:trPr>
        <w:tc>
          <w:tcPr>
            <w:tcW w:w="5040" w:type="dxa"/>
            <w:vAlign w:val="bottom"/>
          </w:tcPr>
          <w:p>
            <w:pPr>
              <w:ind w:left="20"/>
              <w:spacing w:after="0"/>
              <w:rPr>
                <w:sz w:val="20"/>
                <w:szCs w:val="20"/>
                <w:color w:val="auto"/>
              </w:rPr>
            </w:pPr>
            <w:r>
              <w:rPr>
                <w:rFonts w:ascii="Arial" w:cs="Arial" w:eastAsia="Arial" w:hAnsi="Arial"/>
                <w:sz w:val="18"/>
                <w:szCs w:val="18"/>
                <w:color w:val="auto"/>
              </w:rPr>
              <w:t>Current portion</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(697 )</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(1,166 )</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(42,860 )</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(44,723 )</w:t>
            </w:r>
          </w:p>
        </w:tc>
        <w:tc>
          <w:tcPr>
            <w:tcW w:w="0" w:type="dxa"/>
            <w:vAlign w:val="bottom"/>
          </w:tcPr>
          <w:p>
            <w:pPr>
              <w:spacing w:after="0"/>
              <w:rPr>
                <w:sz w:val="1"/>
                <w:szCs w:val="1"/>
                <w:color w:val="auto"/>
              </w:rPr>
            </w:pPr>
          </w:p>
        </w:tc>
      </w:tr>
      <w:tr>
        <w:trPr>
          <w:trHeight w:val="276"/>
        </w:trPr>
        <w:tc>
          <w:tcPr>
            <w:tcW w:w="5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portion</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1,280</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891,535</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w w:val="97"/>
              </w:rPr>
              <w:t>1,062,804</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1,985,619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-24765</wp:posOffset>
            </wp:positionV>
            <wp:extent cx="768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-7620</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-24765</wp:posOffset>
            </wp:positionV>
            <wp:extent cx="768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-7620</wp:posOffset>
            </wp:positionV>
            <wp:extent cx="768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-24765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-7620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-24765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-7620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Guarantees</w:t>
      </w:r>
    </w:p>
    <w:p>
      <w:pPr>
        <w:spacing w:after="0" w:line="17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The Company has entered into certain guarantees in connection with the performance of a facility in Australia (Refer to Note 6 - Contract</w:t>
      </w:r>
    </w:p>
    <w:p>
      <w:pPr>
        <w:spacing w:after="0" w:line="23"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Receivable). The obligations amounted to approximately AUD53 million, or $36.1 million, based on exchange rates in effect as of December 31, 2022.</w:t>
      </w:r>
    </w:p>
    <w:p>
      <w:pPr>
        <w:spacing w:after="0" w:line="233"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At December 31, 2022, the Company also had seven letters of guarantee outstanding under separate international facilities relating to performance guarantees of its Australian subsidiary totaling $9.1 million.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Except as discussed above, the Company does not have any off-balance sheet arrangements.</w:t>
      </w:r>
    </w:p>
    <w:p>
      <w:pPr>
        <w:spacing w:after="0" w:line="247" w:lineRule="exact"/>
        <w:rPr>
          <w:sz w:val="20"/>
          <w:szCs w:val="20"/>
          <w:color w:val="auto"/>
        </w:rPr>
      </w:pPr>
    </w:p>
    <w:p>
      <w:pPr>
        <w:ind w:left="520" w:hanging="512"/>
        <w:spacing w:after="0"/>
        <w:tabs>
          <w:tab w:leader="none" w:pos="5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100" w:firstLine="509"/>
        <w:spacing w:after="0" w:line="271" w:lineRule="auto"/>
        <w:rPr>
          <w:sz w:val="20"/>
          <w:szCs w:val="20"/>
          <w:color w:val="auto"/>
        </w:rPr>
      </w:pPr>
      <w:r>
        <w:rPr>
          <w:rFonts w:ascii="Arial" w:cs="Arial" w:eastAsia="Arial" w:hAnsi="Arial"/>
          <w:sz w:val="17"/>
          <w:szCs w:val="17"/>
          <w:color w:val="auto"/>
        </w:rPr>
        <w:t>The Company has operating and finance leases for facilities, ground leases, office space, computers, copier equipment and transportation vehicles that have remaining lease terms of one year to seventy-seven years, some of which include options to extend the lease for up to ten years. For leases with terms greater than 12 months, the Company records the related asset and obligation at the present value of the lease payments over the term of the lease. Many of GEO's leases include rental escalation clauses, renewal options and/or termination options that are factored into the determination of lease payments when appropriate. Only renewal or termination options that are reasonably certain to be exercised by the Company are included in the lease term which is used in the calculation of lease liabilities and right-of-use assets. GEO does not typically enter into lease agreements that contain a residual guarantee or that provide for variable lease payments.</w:t>
      </w:r>
    </w:p>
    <w:p>
      <w:pPr>
        <w:spacing w:after="0" w:line="181"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When available, GEO uses the rate implicit in the lease to discount lease payments to present value, however, most of GEO's lease agreements do not provide a readily determinable implicit rate. Therefore, the Company must estimate its incremental borrowing rate to discount the lease payments based on information available at lease commencement.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sectPr>
      </w:pPr>
    </w:p>
    <w:bookmarkStart w:id="121" w:name="page122"/>
    <w:bookmarkEnd w:id="121"/>
    <w:p>
      <w:pPr>
        <w:ind w:left="520"/>
        <w:spacing w:after="0"/>
        <w:rPr>
          <w:sz w:val="20"/>
          <w:szCs w:val="20"/>
          <w:color w:val="auto"/>
        </w:rPr>
      </w:pPr>
      <w:r>
        <w:rPr>
          <w:rFonts w:ascii="Arial" w:cs="Arial" w:eastAsia="Arial" w:hAnsi="Arial"/>
          <w:sz w:val="18"/>
          <w:szCs w:val="18"/>
          <w:color w:val="auto"/>
        </w:rPr>
        <w:t>Lease related assets and liabilities are recorded on the balance sheet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00" w:type="dxa"/>
            <w:vAlign w:val="bottom"/>
          </w:tcPr>
          <w:p>
            <w:pPr>
              <w:spacing w:after="0"/>
              <w:rPr>
                <w:sz w:val="16"/>
                <w:szCs w:val="16"/>
                <w:color w:val="auto"/>
              </w:rPr>
            </w:pPr>
          </w:p>
        </w:tc>
        <w:tc>
          <w:tcPr>
            <w:tcW w:w="510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Classification on the Balance Sheet</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1"/>
              </w:rPr>
              <w:t>December 31, 2022</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0"/>
              </w:rPr>
              <w:t>December 31, 2021</w:t>
            </w:r>
          </w:p>
        </w:tc>
      </w:tr>
      <w:tr>
        <w:trPr>
          <w:trHeight w:val="236"/>
        </w:trPr>
        <w:tc>
          <w:tcPr>
            <w:tcW w:w="2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5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r>
      <w:tr>
        <w:trPr>
          <w:trHeight w:val="236"/>
        </w:trPr>
        <w:tc>
          <w:tcPr>
            <w:tcW w:w="2800" w:type="dxa"/>
            <w:vAlign w:val="bottom"/>
          </w:tcPr>
          <w:p>
            <w:pPr>
              <w:ind w:left="200"/>
              <w:spacing w:after="0"/>
              <w:rPr>
                <w:sz w:val="20"/>
                <w:szCs w:val="20"/>
                <w:color w:val="auto"/>
              </w:rPr>
            </w:pPr>
            <w:r>
              <w:rPr>
                <w:rFonts w:ascii="Arial" w:cs="Arial" w:eastAsia="Arial" w:hAnsi="Arial"/>
                <w:sz w:val="18"/>
                <w:szCs w:val="18"/>
                <w:color w:val="auto"/>
              </w:rPr>
              <w:t>Operating lease assets</w:t>
            </w:r>
          </w:p>
        </w:tc>
        <w:tc>
          <w:tcPr>
            <w:tcW w:w="510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90,950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112,187</w:t>
            </w:r>
          </w:p>
        </w:tc>
      </w:tr>
      <w:tr>
        <w:trPr>
          <w:trHeight w:val="249"/>
        </w:trPr>
        <w:tc>
          <w:tcPr>
            <w:tcW w:w="2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Finance lease assets</w:t>
            </w:r>
          </w:p>
        </w:tc>
        <w:tc>
          <w:tcPr>
            <w:tcW w:w="5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1,895</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3,420</w:t>
            </w: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Total lease assets</w:t>
            </w:r>
          </w:p>
        </w:tc>
        <w:tc>
          <w:tcPr>
            <w:tcW w:w="5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92,845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115,607</w:t>
            </w:r>
          </w:p>
        </w:tc>
      </w:tr>
      <w:tr>
        <w:trPr>
          <w:trHeight w:val="20"/>
        </w:trPr>
        <w:tc>
          <w:tcPr>
            <w:tcW w:w="28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9"/>
        </w:trPr>
        <w:tc>
          <w:tcPr>
            <w:tcW w:w="2800" w:type="dxa"/>
            <w:vAlign w:val="bottom"/>
            <w:shd w:val="clear" w:color="auto" w:fill="CFF0FC"/>
          </w:tcPr>
          <w:p>
            <w:pPr>
              <w:spacing w:after="0"/>
              <w:rPr>
                <w:sz w:val="19"/>
                <w:szCs w:val="19"/>
                <w:color w:val="auto"/>
              </w:rPr>
            </w:pPr>
          </w:p>
        </w:tc>
        <w:tc>
          <w:tcPr>
            <w:tcW w:w="5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r>
      <w:tr>
        <w:trPr>
          <w:trHeight w:val="238"/>
        </w:trPr>
        <w:tc>
          <w:tcPr>
            <w:tcW w:w="28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5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7"/>
        </w:trPr>
        <w:tc>
          <w:tcPr>
            <w:tcW w:w="2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w:t>
            </w:r>
          </w:p>
        </w:tc>
        <w:tc>
          <w:tcPr>
            <w:tcW w:w="5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r>
      <w:tr>
        <w:trPr>
          <w:trHeight w:val="236"/>
        </w:trPr>
        <w:tc>
          <w:tcPr>
            <w:tcW w:w="2800" w:type="dxa"/>
            <w:vAlign w:val="bottom"/>
          </w:tcPr>
          <w:p>
            <w:pPr>
              <w:ind w:left="200"/>
              <w:spacing w:after="0"/>
              <w:rPr>
                <w:sz w:val="20"/>
                <w:szCs w:val="20"/>
                <w:color w:val="auto"/>
              </w:rPr>
            </w:pPr>
            <w:r>
              <w:rPr>
                <w:rFonts w:ascii="Arial" w:cs="Arial" w:eastAsia="Arial" w:hAnsi="Arial"/>
                <w:sz w:val="18"/>
                <w:szCs w:val="18"/>
                <w:color w:val="auto"/>
              </w:rPr>
              <w:t>Operating</w:t>
            </w:r>
          </w:p>
        </w:tc>
        <w:tc>
          <w:tcPr>
            <w:tcW w:w="5100" w:type="dxa"/>
            <w:vAlign w:val="bottom"/>
          </w:tcPr>
          <w:p>
            <w:pPr>
              <w:ind w:left="20"/>
              <w:spacing w:after="0"/>
              <w:rPr>
                <w:sz w:val="20"/>
                <w:szCs w:val="20"/>
                <w:color w:val="auto"/>
              </w:rPr>
            </w:pPr>
            <w:r>
              <w:rPr>
                <w:rFonts w:ascii="Arial" w:cs="Arial" w:eastAsia="Arial" w:hAnsi="Arial"/>
                <w:sz w:val="18"/>
                <w:szCs w:val="18"/>
                <w:color w:val="auto"/>
              </w:rPr>
              <w:t>Operating lease liabilities, current portion</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22,584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28,279</w:t>
            </w:r>
          </w:p>
        </w:tc>
      </w:tr>
      <w:tr>
        <w:trPr>
          <w:trHeight w:val="221"/>
        </w:trPr>
        <w:tc>
          <w:tcPr>
            <w:tcW w:w="2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Finance [1]</w:t>
            </w:r>
          </w:p>
        </w:tc>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2"/>
              </w:rPr>
              <w:t>Current portion of finance liabilities, long-term debt and non-recourse</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r>
      <w:tr>
        <w:trPr>
          <w:trHeight w:val="244"/>
        </w:trPr>
        <w:tc>
          <w:tcPr>
            <w:tcW w:w="2800" w:type="dxa"/>
            <w:vAlign w:val="bottom"/>
            <w:shd w:val="clear" w:color="auto" w:fill="CFF0FC"/>
          </w:tcPr>
          <w:p>
            <w:pPr>
              <w:spacing w:after="0"/>
              <w:rPr>
                <w:sz w:val="21"/>
                <w:szCs w:val="21"/>
                <w:color w:val="auto"/>
              </w:rPr>
            </w:pPr>
          </w:p>
        </w:tc>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debt</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697</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1,866</w:t>
            </w:r>
          </w:p>
        </w:tc>
      </w:tr>
      <w:tr>
        <w:trPr>
          <w:trHeight w:val="236"/>
        </w:trPr>
        <w:tc>
          <w:tcPr>
            <w:tcW w:w="2800" w:type="dxa"/>
            <w:vAlign w:val="bottom"/>
          </w:tcPr>
          <w:p>
            <w:pPr>
              <w:ind w:left="20"/>
              <w:spacing w:after="0"/>
              <w:rPr>
                <w:sz w:val="20"/>
                <w:szCs w:val="20"/>
                <w:color w:val="auto"/>
              </w:rPr>
            </w:pPr>
            <w:r>
              <w:rPr>
                <w:rFonts w:ascii="Arial" w:cs="Arial" w:eastAsia="Arial" w:hAnsi="Arial"/>
                <w:sz w:val="18"/>
                <w:szCs w:val="18"/>
                <w:color w:val="auto"/>
              </w:rPr>
              <w:t>Noncurrent</w:t>
            </w:r>
          </w:p>
        </w:tc>
        <w:tc>
          <w:tcPr>
            <w:tcW w:w="5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9"/>
        </w:trPr>
        <w:tc>
          <w:tcPr>
            <w:tcW w:w="2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w:t>
            </w:r>
          </w:p>
        </w:tc>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73,801</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89,917</w:t>
            </w:r>
          </w:p>
        </w:tc>
      </w:tr>
      <w:tr>
        <w:trPr>
          <w:trHeight w:val="243"/>
        </w:trPr>
        <w:tc>
          <w:tcPr>
            <w:tcW w:w="2800" w:type="dxa"/>
            <w:vAlign w:val="bottom"/>
          </w:tcPr>
          <w:p>
            <w:pPr>
              <w:ind w:left="200"/>
              <w:spacing w:after="0"/>
              <w:rPr>
                <w:sz w:val="20"/>
                <w:szCs w:val="20"/>
                <w:color w:val="auto"/>
              </w:rPr>
            </w:pPr>
            <w:r>
              <w:rPr>
                <w:rFonts w:ascii="Arial" w:cs="Arial" w:eastAsia="Arial" w:hAnsi="Arial"/>
                <w:sz w:val="18"/>
                <w:szCs w:val="18"/>
                <w:color w:val="auto"/>
              </w:rPr>
              <w:t>Finance [1]</w:t>
            </w:r>
          </w:p>
        </w:tc>
        <w:tc>
          <w:tcPr>
            <w:tcW w:w="5100" w:type="dxa"/>
            <w:vAlign w:val="bottom"/>
          </w:tcPr>
          <w:p>
            <w:pPr>
              <w:ind w:left="20"/>
              <w:spacing w:after="0"/>
              <w:rPr>
                <w:sz w:val="20"/>
                <w:szCs w:val="20"/>
                <w:color w:val="auto"/>
              </w:rPr>
            </w:pPr>
            <w:r>
              <w:rPr>
                <w:rFonts w:ascii="Arial" w:cs="Arial" w:eastAsia="Arial" w:hAnsi="Arial"/>
                <w:sz w:val="18"/>
                <w:szCs w:val="18"/>
                <w:color w:val="auto"/>
              </w:rPr>
              <w:t>Finance Lease Liabilities</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1,280</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1,977</w:t>
            </w:r>
          </w:p>
        </w:tc>
      </w:tr>
      <w:tr>
        <w:trPr>
          <w:trHeight w:val="270"/>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liabilities</w:t>
            </w:r>
          </w:p>
        </w:tc>
        <w:tc>
          <w:tcPr>
            <w:tcW w:w="5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98,362</w:t>
            </w:r>
          </w:p>
        </w:tc>
        <w:tc>
          <w:tcPr>
            <w:tcW w:w="1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122,039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6084570</wp:posOffset>
            </wp:positionH>
            <wp:positionV relativeFrom="paragraph">
              <wp:posOffset>-1746250</wp:posOffset>
            </wp:positionV>
            <wp:extent cx="85725" cy="18859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-24765</wp:posOffset>
            </wp:positionV>
            <wp:extent cx="857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-7620</wp:posOffset>
            </wp:positionV>
            <wp:extent cx="857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[1] Also refer to Note 12 - Debt.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information related to the lease costs for finance and operating leases is presented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Year Ended</w:t>
            </w:r>
          </w:p>
        </w:tc>
      </w:tr>
      <w:tr>
        <w:trPr>
          <w:trHeight w:val="185"/>
        </w:trPr>
        <w:tc>
          <w:tcPr>
            <w:tcW w:w="54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9"/>
              </w:rPr>
              <w:t>December 31, 2022</w:t>
            </w:r>
          </w:p>
        </w:tc>
        <w:tc>
          <w:tcPr>
            <w:tcW w:w="200" w:type="dxa"/>
            <w:vAlign w:val="bottom"/>
          </w:tcPr>
          <w:p>
            <w:pPr>
              <w:spacing w:after="0"/>
              <w:rPr>
                <w:sz w:val="16"/>
                <w:szCs w:val="16"/>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December 31, 2021</w:t>
            </w:r>
          </w:p>
        </w:tc>
      </w:tr>
      <w:tr>
        <w:trPr>
          <w:trHeight w:val="236"/>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18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37,362</w:t>
            </w:r>
          </w:p>
        </w:tc>
        <w:tc>
          <w:tcPr>
            <w:tcW w:w="1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40,020</w:t>
            </w:r>
          </w:p>
        </w:tc>
        <w:tc>
          <w:tcPr>
            <w:tcW w:w="60" w:type="dxa"/>
            <w:vAlign w:val="bottom"/>
          </w:tcPr>
          <w:p>
            <w:pPr>
              <w:spacing w:after="0"/>
              <w:rPr>
                <w:sz w:val="20"/>
                <w:szCs w:val="20"/>
                <w:color w:val="auto"/>
              </w:rPr>
            </w:pPr>
          </w:p>
        </w:tc>
      </w:tr>
      <w:tr>
        <w:trPr>
          <w:trHeight w:val="236"/>
        </w:trPr>
        <w:tc>
          <w:tcPr>
            <w:tcW w:w="544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5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right-of-use assets</w:t>
            </w:r>
          </w:p>
        </w:tc>
        <w:tc>
          <w:tcPr>
            <w:tcW w:w="18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1,525</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1,687</w:t>
            </w:r>
          </w:p>
        </w:tc>
        <w:tc>
          <w:tcPr>
            <w:tcW w:w="60" w:type="dxa"/>
            <w:vAlign w:val="bottom"/>
          </w:tcPr>
          <w:p>
            <w:pPr>
              <w:spacing w:after="0"/>
              <w:rPr>
                <w:sz w:val="21"/>
                <w:szCs w:val="21"/>
                <w:color w:val="auto"/>
              </w:rPr>
            </w:pPr>
          </w:p>
        </w:tc>
      </w:tr>
      <w:tr>
        <w:trPr>
          <w:trHeight w:val="236"/>
        </w:trPr>
        <w:tc>
          <w:tcPr>
            <w:tcW w:w="5440" w:type="dxa"/>
            <w:vAlign w:val="bottom"/>
          </w:tcPr>
          <w:p>
            <w:pPr>
              <w:ind w:left="200"/>
              <w:spacing w:after="0"/>
              <w:rPr>
                <w:sz w:val="20"/>
                <w:szCs w:val="20"/>
                <w:color w:val="auto"/>
              </w:rPr>
            </w:pPr>
            <w:r>
              <w:rPr>
                <w:rFonts w:ascii="Arial" w:cs="Arial" w:eastAsia="Arial" w:hAnsi="Arial"/>
                <w:sz w:val="18"/>
                <w:szCs w:val="18"/>
                <w:color w:val="auto"/>
              </w:rPr>
              <w:t>Interest on lease liabilities</w:t>
            </w:r>
          </w:p>
        </w:tc>
        <w:tc>
          <w:tcPr>
            <w:tcW w:w="1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287</w:t>
            </w:r>
          </w:p>
        </w:tc>
        <w:tc>
          <w:tcPr>
            <w:tcW w:w="60" w:type="dxa"/>
            <w:vAlign w:val="bottom"/>
          </w:tcPr>
          <w:p>
            <w:pPr>
              <w:spacing w:after="0"/>
              <w:rPr>
                <w:sz w:val="20"/>
                <w:szCs w:val="20"/>
                <w:color w:val="auto"/>
              </w:rPr>
            </w:pPr>
          </w:p>
        </w:tc>
      </w:tr>
      <w:tr>
        <w:trPr>
          <w:trHeight w:val="242"/>
        </w:trPr>
        <w:tc>
          <w:tcPr>
            <w:tcW w:w="5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finance lease cost</w:t>
            </w:r>
          </w:p>
        </w:tc>
        <w:tc>
          <w:tcPr>
            <w:tcW w:w="18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1,644</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1,974</w:t>
            </w:r>
          </w:p>
        </w:tc>
        <w:tc>
          <w:tcPr>
            <w:tcW w:w="60" w:type="dxa"/>
            <w:vAlign w:val="bottom"/>
          </w:tcPr>
          <w:p>
            <w:pPr>
              <w:spacing w:after="0"/>
              <w:rPr>
                <w:sz w:val="21"/>
                <w:szCs w:val="21"/>
                <w:color w:val="auto"/>
              </w:rPr>
            </w:pPr>
          </w:p>
        </w:tc>
      </w:tr>
      <w:tr>
        <w:trPr>
          <w:trHeight w:val="236"/>
        </w:trPr>
        <w:tc>
          <w:tcPr>
            <w:tcW w:w="544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1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4,869</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20"/>
                <w:szCs w:val="20"/>
                <w:color w:val="auto"/>
              </w:rPr>
            </w:pPr>
          </w:p>
        </w:tc>
      </w:tr>
      <w:tr>
        <w:trPr>
          <w:trHeight w:val="276"/>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cost</w:t>
            </w:r>
          </w:p>
        </w:tc>
        <w:tc>
          <w:tcPr>
            <w:tcW w:w="18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43,875</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42,344</w:t>
            </w:r>
          </w:p>
        </w:tc>
        <w:tc>
          <w:tcPr>
            <w:tcW w:w="60" w:type="dxa"/>
            <w:vAlign w:val="bottom"/>
          </w:tcPr>
          <w:p>
            <w:pPr>
              <w:spacing w:after="0"/>
              <w:rPr>
                <w:sz w:val="24"/>
                <w:szCs w:val="24"/>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w w:val="96"/>
              </w:rPr>
              <w:t>Cash paid for amounts included in the measurement of lease liabilities</w:t>
            </w:r>
          </w:p>
        </w:tc>
        <w:tc>
          <w:tcPr>
            <w:tcW w:w="1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9"/>
        </w:trPr>
        <w:tc>
          <w:tcPr>
            <w:tcW w:w="5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cash flows for operating leases</w:t>
            </w:r>
          </w:p>
        </w:tc>
        <w:tc>
          <w:tcPr>
            <w:tcW w:w="20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37,836</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38,874</w:t>
            </w:r>
          </w:p>
        </w:tc>
        <w:tc>
          <w:tcPr>
            <w:tcW w:w="60" w:type="dxa"/>
            <w:vAlign w:val="bottom"/>
          </w:tcPr>
          <w:p>
            <w:pPr>
              <w:spacing w:after="0"/>
              <w:rPr>
                <w:sz w:val="21"/>
                <w:szCs w:val="21"/>
                <w:color w:val="auto"/>
              </w:rPr>
            </w:pPr>
          </w:p>
        </w:tc>
      </w:tr>
      <w:tr>
        <w:trPr>
          <w:trHeight w:val="236"/>
        </w:trPr>
        <w:tc>
          <w:tcPr>
            <w:tcW w:w="5440" w:type="dxa"/>
            <w:vAlign w:val="bottom"/>
          </w:tcPr>
          <w:p>
            <w:pPr>
              <w:ind w:left="200"/>
              <w:spacing w:after="0"/>
              <w:rPr>
                <w:sz w:val="20"/>
                <w:szCs w:val="20"/>
                <w:color w:val="auto"/>
              </w:rPr>
            </w:pPr>
            <w:r>
              <w:rPr>
                <w:rFonts w:ascii="Arial" w:cs="Arial" w:eastAsia="Arial" w:hAnsi="Arial"/>
                <w:sz w:val="18"/>
                <w:szCs w:val="18"/>
                <w:color w:val="auto"/>
              </w:rPr>
              <w:t>Operating cash flows for finance leases</w:t>
            </w:r>
          </w:p>
        </w:tc>
        <w:tc>
          <w:tcPr>
            <w:tcW w:w="20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1,262</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1,255</w:t>
            </w:r>
          </w:p>
        </w:tc>
        <w:tc>
          <w:tcPr>
            <w:tcW w:w="60" w:type="dxa"/>
            <w:vAlign w:val="bottom"/>
          </w:tcPr>
          <w:p>
            <w:pPr>
              <w:spacing w:after="0"/>
              <w:rPr>
                <w:sz w:val="20"/>
                <w:szCs w:val="20"/>
                <w:color w:val="auto"/>
              </w:rPr>
            </w:pPr>
          </w:p>
        </w:tc>
      </w:tr>
      <w:tr>
        <w:trPr>
          <w:trHeight w:val="249"/>
        </w:trPr>
        <w:tc>
          <w:tcPr>
            <w:tcW w:w="5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Financing activities for finance leases</w:t>
            </w:r>
          </w:p>
        </w:tc>
        <w:tc>
          <w:tcPr>
            <w:tcW w:w="20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726</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1,289</w:t>
            </w:r>
          </w:p>
        </w:tc>
        <w:tc>
          <w:tcPr>
            <w:tcW w:w="60" w:type="dxa"/>
            <w:vAlign w:val="bottom"/>
          </w:tcPr>
          <w:p>
            <w:pPr>
              <w:spacing w:after="0"/>
              <w:rPr>
                <w:sz w:val="21"/>
                <w:szCs w:val="21"/>
                <w:color w:val="auto"/>
              </w:rPr>
            </w:pPr>
          </w:p>
        </w:tc>
      </w:tr>
      <w:tr>
        <w:trPr>
          <w:trHeight w:val="236"/>
        </w:trPr>
        <w:tc>
          <w:tcPr>
            <w:tcW w:w="5440" w:type="dxa"/>
            <w:vAlign w:val="bottom"/>
          </w:tcPr>
          <w:p>
            <w:pPr>
              <w:ind w:left="20"/>
              <w:spacing w:after="0"/>
              <w:rPr>
                <w:sz w:val="20"/>
                <w:szCs w:val="20"/>
                <w:color w:val="auto"/>
              </w:rPr>
            </w:pPr>
            <w:r>
              <w:rPr>
                <w:rFonts w:ascii="Arial" w:cs="Arial" w:eastAsia="Arial" w:hAnsi="Arial"/>
                <w:sz w:val="18"/>
                <w:szCs w:val="18"/>
                <w:color w:val="auto"/>
                <w:w w:val="90"/>
              </w:rPr>
              <w:t>Right-of-use assets obtained in exchange for new operating lease liabilities</w:t>
            </w:r>
          </w:p>
        </w:tc>
        <w:tc>
          <w:tcPr>
            <w:tcW w:w="20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11,697</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10,786</w:t>
            </w:r>
          </w:p>
        </w:tc>
        <w:tc>
          <w:tcPr>
            <w:tcW w:w="60" w:type="dxa"/>
            <w:vAlign w:val="bottom"/>
          </w:tcPr>
          <w:p>
            <w:pPr>
              <w:spacing w:after="0"/>
              <w:rPr>
                <w:sz w:val="20"/>
                <w:szCs w:val="20"/>
                <w:color w:val="auto"/>
              </w:rPr>
            </w:pPr>
          </w:p>
        </w:tc>
      </w:tr>
      <w:tr>
        <w:trPr>
          <w:trHeight w:val="249"/>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3"/>
              </w:rPr>
              <w:t>Right-of-use assets obtained in exchange for new finance lease liabilities</w:t>
            </w:r>
          </w:p>
        </w:tc>
        <w:tc>
          <w:tcPr>
            <w:tcW w:w="20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1,198</w:t>
            </w:r>
          </w:p>
        </w:tc>
        <w:tc>
          <w:tcPr>
            <w:tcW w:w="60" w:type="dxa"/>
            <w:vAlign w:val="bottom"/>
          </w:tcPr>
          <w:p>
            <w:pPr>
              <w:spacing w:after="0"/>
              <w:rPr>
                <w:sz w:val="21"/>
                <w:szCs w:val="2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Weighted average remaining lease term:</w:t>
            </w: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5"/>
        </w:trPr>
        <w:tc>
          <w:tcPr>
            <w:tcW w:w="5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leases</w:t>
            </w:r>
          </w:p>
        </w:tc>
        <w:tc>
          <w:tcPr>
            <w:tcW w:w="18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6.3 years</w:t>
            </w:r>
          </w:p>
        </w:tc>
        <w:tc>
          <w:tcPr>
            <w:tcW w:w="200" w:type="dxa"/>
            <w:vAlign w:val="bottom"/>
            <w:shd w:val="clear" w:color="auto" w:fill="CFF0FC"/>
          </w:tcPr>
          <w:p>
            <w:pPr>
              <w:spacing w:after="0"/>
              <w:rPr>
                <w:sz w:val="22"/>
                <w:szCs w:val="22"/>
                <w:color w:val="auto"/>
              </w:rPr>
            </w:pPr>
          </w:p>
        </w:tc>
        <w:tc>
          <w:tcPr>
            <w:tcW w:w="1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6.2 years</w:t>
            </w:r>
          </w:p>
        </w:tc>
        <w:tc>
          <w:tcPr>
            <w:tcW w:w="60" w:type="dxa"/>
            <w:vAlign w:val="bottom"/>
          </w:tcPr>
          <w:p>
            <w:pPr>
              <w:spacing w:after="0"/>
              <w:rPr>
                <w:sz w:val="22"/>
                <w:szCs w:val="22"/>
                <w:color w:val="auto"/>
              </w:rPr>
            </w:pPr>
          </w:p>
        </w:tc>
      </w:tr>
      <w:tr>
        <w:trPr>
          <w:trHeight w:val="236"/>
        </w:trPr>
        <w:tc>
          <w:tcPr>
            <w:tcW w:w="5440" w:type="dxa"/>
            <w:vAlign w:val="bottom"/>
          </w:tcPr>
          <w:p>
            <w:pPr>
              <w:ind w:left="200"/>
              <w:spacing w:after="0"/>
              <w:rPr>
                <w:sz w:val="20"/>
                <w:szCs w:val="20"/>
                <w:color w:val="auto"/>
              </w:rPr>
            </w:pPr>
            <w:r>
              <w:rPr>
                <w:rFonts w:ascii="Arial" w:cs="Arial" w:eastAsia="Arial" w:hAnsi="Arial"/>
                <w:sz w:val="18"/>
                <w:szCs w:val="18"/>
                <w:color w:val="auto"/>
              </w:rPr>
              <w:t>Finance leases</w:t>
            </w: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2.8 years</w:t>
            </w:r>
          </w:p>
        </w:tc>
        <w:tc>
          <w:tcPr>
            <w:tcW w:w="200" w:type="dxa"/>
            <w:vAlign w:val="bottom"/>
          </w:tcPr>
          <w:p>
            <w:pPr>
              <w:spacing w:after="0"/>
              <w:rPr>
                <w:sz w:val="20"/>
                <w:szCs w:val="20"/>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3.8 years</w:t>
            </w:r>
          </w:p>
        </w:tc>
        <w:tc>
          <w:tcPr>
            <w:tcW w:w="60" w:type="dxa"/>
            <w:vAlign w:val="bottom"/>
          </w:tcPr>
          <w:p>
            <w:pPr>
              <w:spacing w:after="0"/>
              <w:rPr>
                <w:sz w:val="20"/>
                <w:szCs w:val="20"/>
                <w:color w:val="auto"/>
              </w:rPr>
            </w:pPr>
          </w:p>
        </w:tc>
      </w:tr>
      <w:tr>
        <w:trPr>
          <w:trHeight w:val="249"/>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discount rate:</w:t>
            </w:r>
          </w:p>
        </w:tc>
        <w:tc>
          <w:tcPr>
            <w:tcW w:w="18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5440" w:type="dxa"/>
            <w:vAlign w:val="bottom"/>
          </w:tcPr>
          <w:p>
            <w:pPr>
              <w:ind w:left="200"/>
              <w:spacing w:after="0"/>
              <w:rPr>
                <w:sz w:val="20"/>
                <w:szCs w:val="20"/>
                <w:color w:val="auto"/>
              </w:rPr>
            </w:pPr>
            <w:r>
              <w:rPr>
                <w:rFonts w:ascii="Arial" w:cs="Arial" w:eastAsia="Arial" w:hAnsi="Arial"/>
                <w:sz w:val="18"/>
                <w:szCs w:val="18"/>
                <w:color w:val="auto"/>
              </w:rPr>
              <w:t>Operating leases</w:t>
            </w: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3.90 %</w:t>
            </w:r>
          </w:p>
        </w:tc>
        <w:tc>
          <w:tcPr>
            <w:tcW w:w="200" w:type="dxa"/>
            <w:vAlign w:val="bottom"/>
          </w:tcPr>
          <w:p>
            <w:pPr>
              <w:spacing w:after="0"/>
              <w:rPr>
                <w:sz w:val="20"/>
                <w:szCs w:val="20"/>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4.56 %</w:t>
            </w:r>
          </w:p>
        </w:tc>
      </w:tr>
      <w:tr>
        <w:trPr>
          <w:trHeight w:val="242"/>
        </w:trPr>
        <w:tc>
          <w:tcPr>
            <w:tcW w:w="5440" w:type="dxa"/>
            <w:vAlign w:val="bottom"/>
          </w:tcPr>
          <w:p>
            <w:pPr>
              <w:ind w:left="200"/>
              <w:spacing w:after="0"/>
              <w:rPr>
                <w:sz w:val="20"/>
                <w:szCs w:val="20"/>
                <w:color w:val="auto"/>
              </w:rPr>
            </w:pPr>
            <w:r>
              <w:rPr>
                <w:rFonts w:ascii="Arial" w:cs="Arial" w:eastAsia="Arial" w:hAnsi="Arial"/>
                <w:sz w:val="18"/>
                <w:szCs w:val="18"/>
                <w:color w:val="auto"/>
              </w:rPr>
              <w:t>Finance leases</w:t>
            </w:r>
          </w:p>
        </w:tc>
        <w:tc>
          <w:tcPr>
            <w:tcW w:w="1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4.00 %</w:t>
            </w:r>
          </w:p>
        </w:tc>
        <w:tc>
          <w:tcPr>
            <w:tcW w:w="200" w:type="dxa"/>
            <w:vAlign w:val="bottom"/>
          </w:tcPr>
          <w:p>
            <w:pPr>
              <w:spacing w:after="0"/>
              <w:rPr>
                <w:sz w:val="21"/>
                <w:szCs w:val="21"/>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5.26 %</w:t>
            </w:r>
          </w:p>
        </w:tc>
      </w:tr>
      <w:tr>
        <w:trPr>
          <w:trHeight w:val="661"/>
        </w:trPr>
        <w:tc>
          <w:tcPr>
            <w:tcW w:w="5440" w:type="dxa"/>
            <w:vAlign w:val="bottom"/>
          </w:tcPr>
          <w:p>
            <w:pPr>
              <w:spacing w:after="0"/>
              <w:rPr>
                <w:sz w:val="24"/>
                <w:szCs w:val="24"/>
                <w:color w:val="auto"/>
              </w:rPr>
            </w:pPr>
          </w:p>
        </w:tc>
        <w:tc>
          <w:tcPr>
            <w:tcW w:w="1880" w:type="dxa"/>
            <w:vAlign w:val="bottom"/>
          </w:tcPr>
          <w:p>
            <w:pPr>
              <w:jc w:val="right"/>
              <w:ind w:right="1470"/>
              <w:spacing w:after="0"/>
              <w:rPr>
                <w:sz w:val="20"/>
                <w:szCs w:val="20"/>
                <w:color w:val="auto"/>
              </w:rPr>
            </w:pPr>
            <w:r>
              <w:rPr>
                <w:rFonts w:ascii="Arial" w:cs="Arial" w:eastAsia="Arial" w:hAnsi="Arial"/>
                <w:sz w:val="18"/>
                <w:szCs w:val="18"/>
                <w:color w:val="auto"/>
                <w:w w:val="99"/>
              </w:rPr>
              <w:t>121</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544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5853430</wp:posOffset>
            </wp:positionH>
            <wp:positionV relativeFrom="paragraph">
              <wp:posOffset>-2362835</wp:posOffset>
            </wp:positionV>
            <wp:extent cx="93980" cy="1797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-641350</wp:posOffset>
            </wp:positionV>
            <wp:extent cx="7132320" cy="1543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772" w:right="27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Undiscounted Cash Flows</w:t>
      </w:r>
    </w:p>
    <w:p>
      <w:pPr>
        <w:spacing w:after="0" w:line="390"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and finance lease liabilities recorded on the balance sheet as of December 31, 2022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Finance Leases</w:t>
            </w:r>
          </w:p>
        </w:tc>
      </w:tr>
      <w:tr>
        <w:trPr>
          <w:trHeight w:val="236"/>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28,447</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759</w:t>
            </w:r>
          </w:p>
        </w:tc>
      </w:tr>
      <w:tr>
        <w:trPr>
          <w:trHeight w:val="236"/>
        </w:trPr>
        <w:tc>
          <w:tcPr>
            <w:tcW w:w="658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20"/>
                <w:szCs w:val="20"/>
                <w:color w:val="auto"/>
              </w:rPr>
            </w:pPr>
          </w:p>
        </w:tc>
        <w:tc>
          <w:tcPr>
            <w:tcW w:w="1920" w:type="dxa"/>
            <w:vAlign w:val="bottom"/>
          </w:tcPr>
          <w:p>
            <w:pPr>
              <w:jc w:val="right"/>
              <w:ind w:right="32"/>
              <w:spacing w:after="0"/>
              <w:rPr>
                <w:sz w:val="20"/>
                <w:szCs w:val="20"/>
                <w:color w:val="auto"/>
              </w:rPr>
            </w:pPr>
            <w:r>
              <w:rPr>
                <w:rFonts w:ascii="Arial" w:cs="Arial" w:eastAsia="Arial" w:hAnsi="Arial"/>
                <w:sz w:val="18"/>
                <w:szCs w:val="18"/>
                <w:color w:val="auto"/>
              </w:rPr>
              <w:t>23,527</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jc w:val="right"/>
              <w:ind w:right="32"/>
              <w:spacing w:after="0"/>
              <w:rPr>
                <w:sz w:val="20"/>
                <w:szCs w:val="20"/>
                <w:color w:val="auto"/>
              </w:rPr>
            </w:pPr>
            <w:r>
              <w:rPr>
                <w:rFonts w:ascii="Arial" w:cs="Arial" w:eastAsia="Arial" w:hAnsi="Arial"/>
                <w:sz w:val="18"/>
                <w:szCs w:val="18"/>
                <w:color w:val="auto"/>
              </w:rPr>
              <w:t>759</w:t>
            </w:r>
          </w:p>
        </w:tc>
      </w:tr>
      <w:tr>
        <w:trPr>
          <w:trHeight w:val="249"/>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FF0FC"/>
          </w:tcPr>
          <w:p>
            <w:pPr>
              <w:spacing w:after="0"/>
              <w:rPr>
                <w:sz w:val="21"/>
                <w:szCs w:val="21"/>
                <w:color w:val="auto"/>
              </w:rPr>
            </w:pPr>
          </w:p>
        </w:tc>
        <w:tc>
          <w:tcPr>
            <w:tcW w:w="1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17,844</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536</w:t>
            </w:r>
          </w:p>
        </w:tc>
      </w:tr>
      <w:tr>
        <w:trPr>
          <w:trHeight w:val="236"/>
        </w:trPr>
        <w:tc>
          <w:tcPr>
            <w:tcW w:w="6580" w:type="dxa"/>
            <w:vAlign w:val="bottom"/>
          </w:tcPr>
          <w:p>
            <w:pPr>
              <w:ind w:left="20"/>
              <w:spacing w:after="0"/>
              <w:rPr>
                <w:sz w:val="20"/>
                <w:szCs w:val="20"/>
                <w:color w:val="auto"/>
              </w:rPr>
            </w:pPr>
            <w:r>
              <w:rPr>
                <w:rFonts w:ascii="Arial" w:cs="Arial" w:eastAsia="Arial" w:hAnsi="Arial"/>
                <w:sz w:val="18"/>
                <w:szCs w:val="18"/>
                <w:color w:val="auto"/>
              </w:rPr>
              <w:t>2026</w:t>
            </w:r>
          </w:p>
        </w:tc>
        <w:tc>
          <w:tcPr>
            <w:tcW w:w="320" w:type="dxa"/>
            <w:vAlign w:val="bottom"/>
          </w:tcPr>
          <w:p>
            <w:pPr>
              <w:spacing w:after="0"/>
              <w:rPr>
                <w:sz w:val="20"/>
                <w:szCs w:val="20"/>
                <w:color w:val="auto"/>
              </w:rPr>
            </w:pPr>
          </w:p>
        </w:tc>
        <w:tc>
          <w:tcPr>
            <w:tcW w:w="1920" w:type="dxa"/>
            <w:vAlign w:val="bottom"/>
          </w:tcPr>
          <w:p>
            <w:pPr>
              <w:jc w:val="right"/>
              <w:ind w:right="32"/>
              <w:spacing w:after="0"/>
              <w:rPr>
                <w:sz w:val="20"/>
                <w:szCs w:val="20"/>
                <w:color w:val="auto"/>
              </w:rPr>
            </w:pPr>
            <w:r>
              <w:rPr>
                <w:rFonts w:ascii="Arial" w:cs="Arial" w:eastAsia="Arial" w:hAnsi="Arial"/>
                <w:sz w:val="18"/>
                <w:szCs w:val="18"/>
                <w:color w:val="auto"/>
              </w:rPr>
              <w:t>11,593</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jc w:val="right"/>
              <w:ind w:right="32"/>
              <w:spacing w:after="0"/>
              <w:rPr>
                <w:sz w:val="20"/>
                <w:szCs w:val="20"/>
                <w:color w:val="auto"/>
              </w:rPr>
            </w:pPr>
            <w:r>
              <w:rPr>
                <w:rFonts w:ascii="Arial" w:cs="Arial" w:eastAsia="Arial" w:hAnsi="Arial"/>
                <w:sz w:val="18"/>
                <w:szCs w:val="18"/>
                <w:color w:val="auto"/>
              </w:rPr>
              <w:t>29</w:t>
            </w:r>
          </w:p>
        </w:tc>
      </w:tr>
      <w:tr>
        <w:trPr>
          <w:trHeight w:val="249"/>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320" w:type="dxa"/>
            <w:vAlign w:val="bottom"/>
            <w:shd w:val="clear" w:color="auto" w:fill="CFF0FC"/>
          </w:tcPr>
          <w:p>
            <w:pPr>
              <w:spacing w:after="0"/>
              <w:rPr>
                <w:sz w:val="21"/>
                <w:szCs w:val="21"/>
                <w:color w:val="auto"/>
              </w:rPr>
            </w:pPr>
          </w:p>
        </w:tc>
        <w:tc>
          <w:tcPr>
            <w:tcW w:w="1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9,069</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36"/>
        </w:trPr>
        <w:tc>
          <w:tcPr>
            <w:tcW w:w="65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21,849</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r>
        <w:trPr>
          <w:trHeight w:val="242"/>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minimum lease payments</w:t>
            </w:r>
          </w:p>
        </w:tc>
        <w:tc>
          <w:tcPr>
            <w:tcW w:w="320" w:type="dxa"/>
            <w:vAlign w:val="bottom"/>
            <w:shd w:val="clear" w:color="auto" w:fill="CFF0FC"/>
          </w:tcPr>
          <w:p>
            <w:pPr>
              <w:spacing w:after="0"/>
              <w:rPr>
                <w:sz w:val="21"/>
                <w:szCs w:val="21"/>
                <w:color w:val="auto"/>
              </w:rPr>
            </w:pPr>
          </w:p>
        </w:tc>
        <w:tc>
          <w:tcPr>
            <w:tcW w:w="1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112,329</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2,083</w:t>
            </w:r>
          </w:p>
        </w:tc>
      </w:tr>
      <w:tr>
        <w:trPr>
          <w:trHeight w:val="236"/>
        </w:trPr>
        <w:tc>
          <w:tcPr>
            <w:tcW w:w="6580" w:type="dxa"/>
            <w:vAlign w:val="bottom"/>
          </w:tcPr>
          <w:p>
            <w:pPr>
              <w:ind w:left="20"/>
              <w:spacing w:after="0"/>
              <w:rPr>
                <w:sz w:val="20"/>
                <w:szCs w:val="20"/>
                <w:color w:val="auto"/>
              </w:rPr>
            </w:pPr>
            <w:r>
              <w:rPr>
                <w:rFonts w:ascii="Arial" w:cs="Arial" w:eastAsia="Arial" w:hAnsi="Arial"/>
                <w:sz w:val="18"/>
                <w:szCs w:val="18"/>
                <w:color w:val="auto"/>
              </w:rPr>
              <w:t>Less: amount of lease payment representing interest</w:t>
            </w: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(15,944 )</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(106 )</w:t>
            </w:r>
          </w:p>
        </w:tc>
      </w:tr>
      <w:tr>
        <w:trPr>
          <w:trHeight w:val="242"/>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Present value of future minimum lease payments</w:t>
            </w:r>
          </w:p>
        </w:tc>
        <w:tc>
          <w:tcPr>
            <w:tcW w:w="320" w:type="dxa"/>
            <w:vAlign w:val="bottom"/>
            <w:shd w:val="clear" w:color="auto" w:fill="CFF0FC"/>
          </w:tcPr>
          <w:p>
            <w:pPr>
              <w:spacing w:after="0"/>
              <w:rPr>
                <w:sz w:val="21"/>
                <w:szCs w:val="21"/>
                <w:color w:val="auto"/>
              </w:rPr>
            </w:pPr>
          </w:p>
        </w:tc>
        <w:tc>
          <w:tcPr>
            <w:tcW w:w="1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96,385</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1,977</w:t>
            </w:r>
          </w:p>
        </w:tc>
      </w:tr>
      <w:tr>
        <w:trPr>
          <w:trHeight w:val="236"/>
        </w:trPr>
        <w:tc>
          <w:tcPr>
            <w:tcW w:w="6580" w:type="dxa"/>
            <w:vAlign w:val="bottom"/>
          </w:tcPr>
          <w:p>
            <w:pPr>
              <w:ind w:left="20"/>
              <w:spacing w:after="0"/>
              <w:rPr>
                <w:sz w:val="20"/>
                <w:szCs w:val="20"/>
                <w:color w:val="auto"/>
              </w:rPr>
            </w:pPr>
            <w:r>
              <w:rPr>
                <w:rFonts w:ascii="Arial" w:cs="Arial" w:eastAsia="Arial" w:hAnsi="Arial"/>
                <w:sz w:val="18"/>
                <w:szCs w:val="18"/>
                <w:color w:val="auto"/>
              </w:rPr>
              <w:t>Less: current obligations under leases</w:t>
            </w: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(22,584 )</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(697 )</w:t>
            </w:r>
          </w:p>
        </w:tc>
      </w:tr>
      <w:tr>
        <w:trPr>
          <w:trHeight w:val="276"/>
        </w:trPr>
        <w:tc>
          <w:tcPr>
            <w:tcW w:w="6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lease obligations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73,801</w:t>
            </w:r>
          </w:p>
        </w:tc>
        <w:tc>
          <w:tcPr>
            <w:tcW w:w="2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1,280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5604510</wp:posOffset>
            </wp:positionH>
            <wp:positionV relativeFrom="paragraph">
              <wp:posOffset>-24765</wp:posOffset>
            </wp:positionV>
            <wp:extent cx="1282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-7620</wp:posOffset>
            </wp:positionV>
            <wp:extent cx="1282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45"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175" w:lineRule="exact"/>
        <w:rPr>
          <w:sz w:val="20"/>
          <w:szCs w:val="20"/>
          <w:color w:val="auto"/>
        </w:rPr>
      </w:pPr>
    </w:p>
    <w:p>
      <w:pPr>
        <w:ind w:right="300" w:firstLine="509"/>
        <w:spacing w:after="0" w:line="259" w:lineRule="auto"/>
        <w:rPr>
          <w:sz w:val="20"/>
          <w:szCs w:val="20"/>
          <w:color w:val="auto"/>
        </w:rPr>
      </w:pPr>
      <w:r>
        <w:rPr>
          <w:rFonts w:ascii="Arial" w:cs="Arial" w:eastAsia="Arial" w:hAnsi="Arial"/>
          <w:sz w:val="18"/>
          <w:szCs w:val="18"/>
          <w:color w:val="auto"/>
        </w:rPr>
        <w:t>The Company’s employees participate in an Employee Retirement Savings Plan (the “Retirement Plan”) under Section 401(k) of the Internal Revenue Code that covers substantially all U.S. based salaried employees. Employees may contribute a percentage of eligible compensation to the plan, subject to certain limits under the Internal Revenue Code. For the years ended December 31, 2022, 2021 and 2020, the Company provided matching contributions of $7.2 million, $7.3 million and $8.3 million, respectively.</w:t>
      </w:r>
    </w:p>
    <w:p>
      <w:pPr>
        <w:spacing w:after="0" w:line="185" w:lineRule="exact"/>
        <w:rPr>
          <w:sz w:val="20"/>
          <w:szCs w:val="20"/>
          <w:color w:val="auto"/>
        </w:rPr>
      </w:pPr>
    </w:p>
    <w:p>
      <w:pPr>
        <w:ind w:right="120" w:firstLine="509"/>
        <w:spacing w:after="0" w:line="279" w:lineRule="auto"/>
        <w:rPr>
          <w:sz w:val="20"/>
          <w:szCs w:val="20"/>
          <w:color w:val="auto"/>
        </w:rPr>
      </w:pPr>
      <w:r>
        <w:rPr>
          <w:rFonts w:ascii="Arial" w:cs="Arial" w:eastAsia="Arial" w:hAnsi="Arial"/>
          <w:sz w:val="17"/>
          <w:szCs w:val="17"/>
          <w:color w:val="auto"/>
        </w:rPr>
        <w:t>The Company has two non-contributory defined benefit pension plans covering certain of the Company’s executives. Retirement benefits are based on years of service, employees’ average compensation for the last five years prior to retirement and social security benefits. Currently, the plans are not funded. The Company purchased and is the beneficiary of life insurance policies for certain participants enrolled in the plans. There were no significant transactions between the employer or related parties and the plans during 2022, 2021 or 2020.</w:t>
      </w:r>
    </w:p>
    <w:p>
      <w:pPr>
        <w:spacing w:after="0" w:line="170"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 Company had a non-qualified deferred compensation agreement with its Executive Chairman and former Chief Executive Officer (“CEO”). The agreement provided for a lump sum payment upon retirement, no sooner than age 55. As of December 31, 2022, the Executive Chairman had reached age 55 and was eligible to receive the payment upon retirement.</w:t>
      </w:r>
    </w:p>
    <w:p>
      <w:pPr>
        <w:spacing w:after="0" w:line="169" w:lineRule="exact"/>
        <w:rPr>
          <w:sz w:val="20"/>
          <w:szCs w:val="20"/>
          <w:color w:val="auto"/>
        </w:rPr>
      </w:pPr>
    </w:p>
    <w:p>
      <w:pPr>
        <w:ind w:right="780" w:firstLine="509"/>
        <w:spacing w:after="0" w:line="277" w:lineRule="auto"/>
        <w:rPr>
          <w:sz w:val="20"/>
          <w:szCs w:val="20"/>
          <w:color w:val="auto"/>
        </w:rPr>
      </w:pPr>
      <w:r>
        <w:rPr>
          <w:rFonts w:ascii="Arial" w:cs="Arial" w:eastAsia="Arial" w:hAnsi="Arial"/>
          <w:sz w:val="18"/>
          <w:szCs w:val="18"/>
          <w:color w:val="auto"/>
        </w:rPr>
        <w:t>On February 26, 2020 (the "Effective Date"), the Company and its former CEO entered into an amended and restated executive retirement agreement that amends the former CEO’s executive retirement agreement.</w:t>
      </w:r>
    </w:p>
    <w:p>
      <w:pPr>
        <w:spacing w:after="0" w:line="156"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The amended and restated executive retirement agreement provided that upon the former CEO’s retirement from the Company, the Company would pay a lump sum amount equal to $8,925,065 (determined as of February 26, 2020) (the “Grandfathered Payment”) which was to be paid in the form of a fixed number of shares of the Company’s common stock.</w:t>
      </w:r>
    </w:p>
    <w:p>
      <w:pPr>
        <w:spacing w:after="0" w:line="169" w:lineRule="exact"/>
        <w:rPr>
          <w:sz w:val="20"/>
          <w:szCs w:val="20"/>
          <w:color w:val="auto"/>
        </w:rPr>
      </w:pPr>
    </w:p>
    <w:p>
      <w:pPr>
        <w:jc w:val="both"/>
        <w:ind w:right="100" w:firstLine="509"/>
        <w:spacing w:after="0" w:line="287" w:lineRule="auto"/>
        <w:rPr>
          <w:sz w:val="20"/>
          <w:szCs w:val="20"/>
          <w:color w:val="auto"/>
        </w:rPr>
      </w:pPr>
      <w:r>
        <w:rPr>
          <w:rFonts w:ascii="Arial" w:cs="Arial" w:eastAsia="Arial" w:hAnsi="Arial"/>
          <w:sz w:val="16"/>
          <w:szCs w:val="16"/>
          <w:color w:val="auto"/>
        </w:rPr>
        <w:t>On the Effective Date, an amount equal to the Grandfathered Payment was invested in the Company’s common stock (“GEO Shares”). The number of the Company’s shares of common stock as of the Effective Date was equal to the Grandfathered Payment divided by the closing price of the Company’s common stock on the Effective Date (rounded up to the nearest whole number of shares), which equals 553,665 shares of the Company’s common stock.</w:t>
      </w:r>
    </w:p>
    <w:p>
      <w:pPr>
        <w:spacing w:after="0" w:line="2"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Additional shares of the Company’s common stock were credited with a value equal to any dividends declared and paid on the Company’s shares of common stock, calculated by reference to the closing price of the Company’s common stock on the payment date for such dividends (rounded up to the nearest whole number of shares).</w:t>
      </w:r>
    </w:p>
    <w:p>
      <w:pPr>
        <w:spacing w:after="0" w:line="175"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The Company had established several trusts for the purpose of paying the retirement benefit pursuant to the amended and restated executive retirement agreement. The trusts are revocable “rabbi trusts” and the assets of the trusts are subject to the claims of the Company’s creditors in the event of the Company’s insolvency.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3" w:name="page124"/>
    <w:bookmarkEnd w:id="123"/>
    <w:p>
      <w:pPr>
        <w:ind w:right="40" w:firstLine="509"/>
        <w:spacing w:after="0" w:line="256" w:lineRule="auto"/>
        <w:rPr>
          <w:sz w:val="20"/>
          <w:szCs w:val="20"/>
          <w:color w:val="auto"/>
        </w:rPr>
      </w:pPr>
      <w:r>
        <w:rPr>
          <w:rFonts w:ascii="Arial" w:cs="Arial" w:eastAsia="Arial" w:hAnsi="Arial"/>
          <w:sz w:val="18"/>
          <w:szCs w:val="18"/>
          <w:color w:val="auto"/>
        </w:rPr>
        <w:t>The Company repurchased shares of its outstanding common stock under its stock buyback program and contributed such shares to the trusts in order to fund the retirement benefit under the amended and restated executive retirement agreement. In accordance with Accounting Standards Codification (“ASC”) 710 – Compensation-General, the shares of common stock held in the rabbi trusts are classified as treasury stock. In addition, the amended and restated executive retirement agreement qualified for equity accounting under ASC 710 and therefore, the fair value of the Grandfathered Payment was reclassified to stockholders’ equity.</w:t>
      </w:r>
    </w:p>
    <w:p>
      <w:pPr>
        <w:spacing w:after="0" w:line="191"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The Company and its Executive Chairman and former CEO, subsequently entered into on May 27, 2021, and effective July 1, 2021, an Amended and Restated Executive Retirement Agreement which replaced the February 26, 2020 agreement discussed above. Pursuant to the terms of the Amended and Restated Executive Retirement Agreement, upon the date that the Executive Chairman ceases to provide services to the Company, the Company will pay to the Executive Chairman an amount equal to $3,600,000 which shall be paid in cash. The payment shall be credited with interest at a rate of 5% compounded quarterly. Additionally, at the end of each calendar year provided that the Executive Chairman is still providing services to GEO pursuant to the Executive Chairman Employment Agreement, GEO will credit an amount equal to $1,000,000 (the "Employment Contributions Account"). The Employment Contributions Account will be credited with interest at the rate of 5% compounded quarterly. As the Executive Chairman's retirement payment will no longer be settled with a fixed number of shares of GEO’s common stock, $3,600,000 has been reclassified from equity to other non-current liabilities in 2021. The balance of the Amended and Restated Executive Retirement Agreement was approximately $7 million at December 31, 2022 which is fully funded. The following table presents the balance due to the Executive Chairman at the end of each the next five years under the Amended and Restated Executive Retirement Agreement provided that the Executive Chairman is still providing services to the Company under his Executive Chairman Employment Agreement:</w:t>
      </w:r>
    </w:p>
    <w:p>
      <w:pPr>
        <w:spacing w:after="0" w:line="394"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6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w w:val="95"/>
              </w:rPr>
              <w:t>Retirement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7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5"/>
              </w:rPr>
              <w:t>Obligation</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6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12/31/2023</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9,557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12/31/2024</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720" w:type="dxa"/>
            <w:vAlign w:val="bottom"/>
          </w:tcPr>
          <w:p>
            <w:pPr>
              <w:ind w:left="20"/>
              <w:spacing w:after="0"/>
              <w:rPr>
                <w:sz w:val="20"/>
                <w:szCs w:val="20"/>
                <w:color w:val="auto"/>
              </w:rPr>
            </w:pPr>
            <w:r>
              <w:rPr>
                <w:rFonts w:ascii="Arial" w:cs="Arial" w:eastAsia="Arial" w:hAnsi="Arial"/>
                <w:sz w:val="18"/>
                <w:szCs w:val="18"/>
                <w:color w:val="auto"/>
              </w:rPr>
              <w:t>12/31/2025</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16,336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12/31/2026</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12/31/2027</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26,351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4" w:name="page125"/>
    <w:bookmarkEnd w:id="124"/>
    <w:p>
      <w:pPr>
        <w:ind w:right="120" w:firstLine="509"/>
        <w:spacing w:after="0" w:line="255" w:lineRule="auto"/>
        <w:rPr>
          <w:sz w:val="20"/>
          <w:szCs w:val="20"/>
          <w:color w:val="auto"/>
        </w:rPr>
      </w:pPr>
      <w:r>
        <w:rPr>
          <w:rFonts w:ascii="Arial" w:cs="Arial" w:eastAsia="Arial" w:hAnsi="Arial"/>
          <w:sz w:val="18"/>
          <w:szCs w:val="18"/>
          <w:color w:val="auto"/>
        </w:rPr>
        <w:t>The following table summarizes key information related to the Company’s defined benefit pension plans. The table illustrates the reconciliation of the beginning and ending balances of the benefit obligation showing the effects during the periods presented attributable to service cost, interest cost, plan amendments, termination benefits, actuarial gains and losses. The assumptions used in the Company’s calculation of accrued pension costs are based on market information and the Company’s historical rates for employment compensation and discount rates. The vested benefit obligation is determined as the actuarial present value of the vested benefits to which the employee is currently entitled to but based on the employee's expected date of separation or retirement.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5"/>
              </w:rPr>
              <w:t>December 31, 2022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December 31, 2021</w:t>
            </w:r>
          </w:p>
        </w:tc>
      </w:tr>
      <w:tr>
        <w:trPr>
          <w:trHeight w:val="236"/>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Accumulated Benefit Obligation, End of Year</w:t>
            </w:r>
          </w:p>
        </w:tc>
        <w:tc>
          <w:tcPr>
            <w:tcW w:w="1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21,612</w:t>
            </w:r>
          </w:p>
        </w:tc>
        <w:tc>
          <w:tcPr>
            <w:tcW w:w="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25,417</w:t>
            </w:r>
          </w:p>
        </w:tc>
        <w:tc>
          <w:tcPr>
            <w:tcW w:w="60" w:type="dxa"/>
            <w:vAlign w:val="bottom"/>
          </w:tcPr>
          <w:p>
            <w:pPr>
              <w:spacing w:after="0"/>
              <w:rPr>
                <w:sz w:val="20"/>
                <w:szCs w:val="20"/>
                <w:color w:val="auto"/>
              </w:rPr>
            </w:pPr>
          </w:p>
        </w:tc>
      </w:tr>
      <w:tr>
        <w:trPr>
          <w:trHeight w:val="243"/>
        </w:trPr>
        <w:tc>
          <w:tcPr>
            <w:tcW w:w="7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Change in Projected Benefit Obligation</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7620" w:type="dxa"/>
            <w:vAlign w:val="bottom"/>
          </w:tcPr>
          <w:p>
            <w:pPr>
              <w:ind w:left="20"/>
              <w:spacing w:after="0"/>
              <w:rPr>
                <w:sz w:val="20"/>
                <w:szCs w:val="20"/>
                <w:color w:val="auto"/>
              </w:rPr>
            </w:pPr>
            <w:r>
              <w:rPr>
                <w:rFonts w:ascii="Arial" w:cs="Arial" w:eastAsia="Arial" w:hAnsi="Arial"/>
                <w:sz w:val="18"/>
                <w:szCs w:val="18"/>
                <w:color w:val="auto"/>
              </w:rPr>
              <w:t>Projected Benefit Obligation, Beginning of Year</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31,830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33,530</w:t>
            </w:r>
          </w:p>
        </w:tc>
        <w:tc>
          <w:tcPr>
            <w:tcW w:w="60" w:type="dxa"/>
            <w:vAlign w:val="bottom"/>
          </w:tcPr>
          <w:p>
            <w:pPr>
              <w:spacing w:after="0"/>
              <w:rPr>
                <w:sz w:val="20"/>
                <w:szCs w:val="20"/>
                <w:color w:val="auto"/>
              </w:rPr>
            </w:pPr>
          </w:p>
        </w:tc>
      </w:tr>
      <w:tr>
        <w:trPr>
          <w:trHeight w:val="249"/>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1,404</w:t>
            </w:r>
          </w:p>
        </w:tc>
        <w:tc>
          <w:tcPr>
            <w:tcW w:w="60" w:type="dxa"/>
            <w:vAlign w:val="bottom"/>
          </w:tcPr>
          <w:p>
            <w:pPr>
              <w:spacing w:after="0"/>
              <w:rPr>
                <w:sz w:val="21"/>
                <w:szCs w:val="21"/>
                <w:color w:val="auto"/>
              </w:rPr>
            </w:pPr>
          </w:p>
        </w:tc>
      </w:tr>
      <w:tr>
        <w:trPr>
          <w:trHeight w:val="236"/>
        </w:trPr>
        <w:tc>
          <w:tcPr>
            <w:tcW w:w="7620" w:type="dxa"/>
            <w:vAlign w:val="bottom"/>
          </w:tcPr>
          <w:p>
            <w:pPr>
              <w:ind w:left="200"/>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1,274</w:t>
            </w:r>
          </w:p>
        </w:tc>
        <w:tc>
          <w:tcPr>
            <w:tcW w:w="60" w:type="dxa"/>
            <w:vAlign w:val="bottom"/>
          </w:tcPr>
          <w:p>
            <w:pPr>
              <w:spacing w:after="0"/>
              <w:rPr>
                <w:sz w:val="20"/>
                <w:szCs w:val="20"/>
                <w:color w:val="auto"/>
              </w:rPr>
            </w:pPr>
          </w:p>
        </w:tc>
      </w:tr>
      <w:tr>
        <w:trPr>
          <w:trHeight w:val="249"/>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Actuarial Gain</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(6,710 )</w:t>
            </w: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(3,505 )</w:t>
            </w:r>
          </w:p>
        </w:tc>
        <w:tc>
          <w:tcPr>
            <w:tcW w:w="60" w:type="dxa"/>
            <w:vAlign w:val="bottom"/>
          </w:tcPr>
          <w:p>
            <w:pPr>
              <w:spacing w:after="0"/>
              <w:rPr>
                <w:sz w:val="21"/>
                <w:szCs w:val="21"/>
                <w:color w:val="auto"/>
              </w:rPr>
            </w:pPr>
          </w:p>
        </w:tc>
      </w:tr>
      <w:tr>
        <w:trPr>
          <w:trHeight w:val="236"/>
        </w:trPr>
        <w:tc>
          <w:tcPr>
            <w:tcW w:w="7620" w:type="dxa"/>
            <w:vAlign w:val="bottom"/>
          </w:tcPr>
          <w:p>
            <w:pPr>
              <w:ind w:left="200"/>
              <w:spacing w:after="0"/>
              <w:rPr>
                <w:sz w:val="20"/>
                <w:szCs w:val="20"/>
                <w:color w:val="auto"/>
              </w:rPr>
            </w:pPr>
            <w:r>
              <w:rPr>
                <w:rFonts w:ascii="Arial" w:cs="Arial" w:eastAsia="Arial" w:hAnsi="Arial"/>
                <w:sz w:val="18"/>
                <w:szCs w:val="18"/>
                <w:color w:val="auto"/>
              </w:rPr>
              <w:t>Benefits Paid</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(993 )</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(873 )</w:t>
            </w:r>
          </w:p>
        </w:tc>
        <w:tc>
          <w:tcPr>
            <w:tcW w:w="60" w:type="dxa"/>
            <w:vAlign w:val="bottom"/>
          </w:tcPr>
          <w:p>
            <w:pPr>
              <w:spacing w:after="0"/>
              <w:rPr>
                <w:sz w:val="20"/>
                <w:szCs w:val="20"/>
                <w:color w:val="auto"/>
              </w:rPr>
            </w:pPr>
          </w:p>
        </w:tc>
      </w:tr>
      <w:tr>
        <w:trPr>
          <w:trHeight w:val="236"/>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Projected Benefit Obligation, End of Year</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26,207</w:t>
            </w:r>
          </w:p>
        </w:tc>
        <w:tc>
          <w:tcPr>
            <w:tcW w:w="4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31,830</w:t>
            </w:r>
          </w:p>
        </w:tc>
        <w:tc>
          <w:tcPr>
            <w:tcW w:w="60" w:type="dxa"/>
            <w:vAlign w:val="bottom"/>
          </w:tcPr>
          <w:p>
            <w:pPr>
              <w:spacing w:after="0"/>
              <w:rPr>
                <w:sz w:val="20"/>
                <w:szCs w:val="20"/>
                <w:color w:val="auto"/>
              </w:rPr>
            </w:pPr>
          </w:p>
        </w:tc>
      </w:tr>
      <w:tr>
        <w:trPr>
          <w:trHeight w:val="234"/>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Plan Assets at Fair Value, Beginning of Year</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36"/>
        </w:trPr>
        <w:tc>
          <w:tcPr>
            <w:tcW w:w="7620" w:type="dxa"/>
            <w:vAlign w:val="bottom"/>
          </w:tcPr>
          <w:p>
            <w:pPr>
              <w:ind w:left="200"/>
              <w:spacing w:after="0"/>
              <w:rPr>
                <w:sz w:val="20"/>
                <w:szCs w:val="20"/>
                <w:color w:val="auto"/>
              </w:rPr>
            </w:pPr>
            <w:r>
              <w:rPr>
                <w:rFonts w:ascii="Arial" w:cs="Arial" w:eastAsia="Arial" w:hAnsi="Arial"/>
                <w:sz w:val="18"/>
                <w:szCs w:val="18"/>
                <w:color w:val="auto"/>
              </w:rPr>
              <w:t>Company Contributions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993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873</w:t>
            </w:r>
          </w:p>
        </w:tc>
        <w:tc>
          <w:tcPr>
            <w:tcW w:w="60" w:type="dxa"/>
            <w:vAlign w:val="bottom"/>
          </w:tcPr>
          <w:p>
            <w:pPr>
              <w:spacing w:after="0"/>
              <w:rPr>
                <w:sz w:val="20"/>
                <w:szCs w:val="20"/>
                <w:color w:val="auto"/>
              </w:rPr>
            </w:pPr>
          </w:p>
        </w:tc>
      </w:tr>
      <w:tr>
        <w:trPr>
          <w:trHeight w:val="243"/>
        </w:trPr>
        <w:tc>
          <w:tcPr>
            <w:tcW w:w="7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Benefits Paid</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(993 )</w:t>
            </w:r>
          </w:p>
        </w:tc>
        <w:tc>
          <w:tcPr>
            <w:tcW w:w="1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(873 )</w:t>
            </w:r>
          </w:p>
        </w:tc>
        <w:tc>
          <w:tcPr>
            <w:tcW w:w="60" w:type="dxa"/>
            <w:vAlign w:val="bottom"/>
          </w:tcPr>
          <w:p>
            <w:pPr>
              <w:spacing w:after="0"/>
              <w:rPr>
                <w:sz w:val="21"/>
                <w:szCs w:val="21"/>
                <w:color w:val="auto"/>
              </w:rPr>
            </w:pPr>
          </w:p>
        </w:tc>
      </w:tr>
      <w:tr>
        <w:trPr>
          <w:trHeight w:val="236"/>
        </w:trPr>
        <w:tc>
          <w:tcPr>
            <w:tcW w:w="7620" w:type="dxa"/>
            <w:vAlign w:val="bottom"/>
          </w:tcPr>
          <w:p>
            <w:pPr>
              <w:ind w:left="20"/>
              <w:spacing w:after="0"/>
              <w:rPr>
                <w:sz w:val="20"/>
                <w:szCs w:val="20"/>
                <w:color w:val="auto"/>
              </w:rPr>
            </w:pPr>
            <w:r>
              <w:rPr>
                <w:rFonts w:ascii="Arial" w:cs="Arial" w:eastAsia="Arial" w:hAnsi="Arial"/>
                <w:sz w:val="18"/>
                <w:szCs w:val="18"/>
                <w:color w:val="auto"/>
              </w:rPr>
              <w:t>Plan Assets at Fair Value, End of Year</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78"/>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Unfunded Status of the Plan</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(26,207 )</w:t>
            </w:r>
          </w:p>
        </w:tc>
        <w:tc>
          <w:tcPr>
            <w:tcW w:w="12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(31,830 )</w:t>
            </w:r>
          </w:p>
        </w:tc>
        <w:tc>
          <w:tcPr>
            <w:tcW w:w="60" w:type="dxa"/>
            <w:vAlign w:val="bottom"/>
          </w:tcPr>
          <w:p>
            <w:pPr>
              <w:spacing w:after="0"/>
              <w:rPr>
                <w:sz w:val="24"/>
                <w:szCs w:val="24"/>
                <w:color w:val="auto"/>
              </w:rPr>
            </w:pP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Amounts Recognized in Accumulated Other Comprehensive Income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1"/>
        </w:trPr>
        <w:tc>
          <w:tcPr>
            <w:tcW w:w="7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Loss</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(511 )</w:t>
            </w:r>
          </w:p>
        </w:tc>
        <w:tc>
          <w:tcPr>
            <w:tcW w:w="12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6,631</w:t>
            </w:r>
          </w:p>
        </w:tc>
        <w:tc>
          <w:tcPr>
            <w:tcW w:w="60" w:type="dxa"/>
            <w:vAlign w:val="bottom"/>
          </w:tcPr>
          <w:p>
            <w:pPr>
              <w:spacing w:after="0"/>
              <w:rPr>
                <w:sz w:val="20"/>
                <w:szCs w:val="20"/>
                <w:color w:val="auto"/>
              </w:rPr>
            </w:pPr>
          </w:p>
        </w:tc>
      </w:tr>
      <w:tr>
        <w:trPr>
          <w:trHeight w:val="236"/>
        </w:trPr>
        <w:tc>
          <w:tcPr>
            <w:tcW w:w="7620" w:type="dxa"/>
            <w:vAlign w:val="bottom"/>
          </w:tcPr>
          <w:p>
            <w:pPr>
              <w:ind w:left="20"/>
              <w:spacing w:after="0"/>
              <w:rPr>
                <w:sz w:val="20"/>
                <w:szCs w:val="20"/>
                <w:color w:val="auto"/>
              </w:rPr>
            </w:pPr>
            <w:r>
              <w:rPr>
                <w:rFonts w:ascii="Arial" w:cs="Arial" w:eastAsia="Arial" w:hAnsi="Arial"/>
                <w:sz w:val="18"/>
                <w:szCs w:val="18"/>
                <w:color w:val="auto"/>
              </w:rPr>
              <w:t>Total Pension Cost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(511 )</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6,631</w:t>
            </w:r>
          </w:p>
        </w:tc>
        <w:tc>
          <w:tcPr>
            <w:tcW w:w="60" w:type="dxa"/>
            <w:vAlign w:val="bottom"/>
          </w:tcPr>
          <w:p>
            <w:pPr>
              <w:spacing w:after="0"/>
              <w:rPr>
                <w:sz w:val="20"/>
                <w:szCs w:val="20"/>
                <w:color w:val="auto"/>
              </w:rPr>
            </w:pPr>
          </w:p>
        </w:tc>
      </w:tr>
      <w:tr>
        <w:trPr>
          <w:trHeight w:val="20"/>
        </w:trPr>
        <w:tc>
          <w:tcPr>
            <w:tcW w:w="7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8"/>
        </w:trPr>
        <w:tc>
          <w:tcPr>
            <w:tcW w:w="7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24"/>
                <w:szCs w:val="24"/>
                <w:color w:val="auto"/>
              </w:rPr>
            </w:pPr>
          </w:p>
        </w:tc>
      </w:tr>
      <w:tr>
        <w:trPr>
          <w:trHeight w:val="236"/>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Components of Net Periodic Benefit Cost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762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1,118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1,404</w:t>
            </w:r>
          </w:p>
        </w:tc>
        <w:tc>
          <w:tcPr>
            <w:tcW w:w="60" w:type="dxa"/>
            <w:vAlign w:val="bottom"/>
          </w:tcPr>
          <w:p>
            <w:pPr>
              <w:spacing w:after="0"/>
              <w:rPr>
                <w:sz w:val="20"/>
                <w:szCs w:val="20"/>
                <w:color w:val="auto"/>
              </w:rPr>
            </w:pPr>
          </w:p>
        </w:tc>
      </w:tr>
      <w:tr>
        <w:trPr>
          <w:trHeight w:val="24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962</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1,274</w:t>
            </w:r>
          </w:p>
        </w:tc>
        <w:tc>
          <w:tcPr>
            <w:tcW w:w="60" w:type="dxa"/>
            <w:vAlign w:val="bottom"/>
          </w:tcPr>
          <w:p>
            <w:pPr>
              <w:spacing w:after="0"/>
              <w:rPr>
                <w:sz w:val="21"/>
                <w:szCs w:val="21"/>
                <w:color w:val="auto"/>
              </w:rPr>
            </w:pPr>
          </w:p>
        </w:tc>
      </w:tr>
      <w:tr>
        <w:trPr>
          <w:trHeight w:val="236"/>
        </w:trPr>
        <w:tc>
          <w:tcPr>
            <w:tcW w:w="7620" w:type="dxa"/>
            <w:vAlign w:val="bottom"/>
          </w:tcPr>
          <w:p>
            <w:pPr>
              <w:ind w:left="20"/>
              <w:spacing w:after="0"/>
              <w:rPr>
                <w:sz w:val="20"/>
                <w:szCs w:val="20"/>
                <w:color w:val="auto"/>
              </w:rPr>
            </w:pPr>
            <w:r>
              <w:rPr>
                <w:rFonts w:ascii="Arial" w:cs="Arial" w:eastAsia="Arial" w:hAnsi="Arial"/>
                <w:sz w:val="18"/>
                <w:szCs w:val="18"/>
                <w:color w:val="auto"/>
              </w:rPr>
              <w:t>Amortization of:</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Loss</w:t>
            </w:r>
          </w:p>
        </w:tc>
        <w:tc>
          <w:tcPr>
            <w:tcW w:w="10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431</w:t>
            </w: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788</w:t>
            </w:r>
          </w:p>
        </w:tc>
        <w:tc>
          <w:tcPr>
            <w:tcW w:w="60" w:type="dxa"/>
            <w:vAlign w:val="bottom"/>
          </w:tcPr>
          <w:p>
            <w:pPr>
              <w:spacing w:after="0"/>
              <w:rPr>
                <w:sz w:val="21"/>
                <w:szCs w:val="21"/>
                <w:color w:val="auto"/>
              </w:rPr>
            </w:pPr>
          </w:p>
        </w:tc>
      </w:tr>
      <w:tr>
        <w:trPr>
          <w:trHeight w:val="236"/>
        </w:trPr>
        <w:tc>
          <w:tcPr>
            <w:tcW w:w="7620" w:type="dxa"/>
            <w:vAlign w:val="bottom"/>
          </w:tcPr>
          <w:p>
            <w:pPr>
              <w:ind w:left="20"/>
              <w:spacing w:after="0"/>
              <w:rPr>
                <w:sz w:val="20"/>
                <w:szCs w:val="20"/>
                <w:color w:val="auto"/>
              </w:rPr>
            </w:pPr>
            <w:r>
              <w:rPr>
                <w:rFonts w:ascii="Arial" w:cs="Arial" w:eastAsia="Arial" w:hAnsi="Arial"/>
                <w:sz w:val="18"/>
                <w:szCs w:val="18"/>
                <w:color w:val="auto"/>
              </w:rPr>
              <w:t>Net Periodic Pension Cost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2,511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3,466</w:t>
            </w:r>
          </w:p>
        </w:tc>
        <w:tc>
          <w:tcPr>
            <w:tcW w:w="60" w:type="dxa"/>
            <w:vAlign w:val="bottom"/>
          </w:tcPr>
          <w:p>
            <w:pPr>
              <w:spacing w:after="0"/>
              <w:rPr>
                <w:sz w:val="20"/>
                <w:szCs w:val="20"/>
                <w:color w:val="auto"/>
              </w:rPr>
            </w:pPr>
          </w:p>
        </w:tc>
      </w:tr>
      <w:tr>
        <w:trPr>
          <w:trHeight w:val="20"/>
        </w:trPr>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Weighted Average Assumptions for Expense</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5.20 %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3.05 %</w:t>
            </w:r>
          </w:p>
        </w:tc>
      </w:tr>
      <w:tr>
        <w:trPr>
          <w:trHeight w:val="255"/>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64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2"/>
                <w:szCs w:val="22"/>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4.40 %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4.40 %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-3296285</wp:posOffset>
            </wp:positionV>
            <wp:extent cx="111125" cy="1625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-2671445</wp:posOffset>
            </wp:positionV>
            <wp:extent cx="111125" cy="1714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-2346325</wp:posOffset>
            </wp:positionV>
            <wp:extent cx="111125" cy="1797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-2012315</wp:posOffset>
            </wp:positionV>
            <wp:extent cx="111125" cy="1885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-796290</wp:posOffset>
            </wp:positionV>
            <wp:extent cx="93980" cy="1885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The long-term portion of the pension liability related to the defined benefit plan as of December 31, 2022 and 2021 was $25.4 million and $31.5 million, respectively, and is included in Other Non-Current liabilities in the accompanying consolidated balance sheets.</w:t>
      </w:r>
    </w:p>
    <w:p>
      <w:pPr>
        <w:spacing w:after="0" w:line="169"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The amount included in accumulated other comprehensive income as of December 31, 2022 that has not yet been recognized as a component of net periodic benefit cost is $0.5 million. There was no amount included in other accumulated comprehensive income as of December 31, 2022 that is expected to be recognized as a component of net periodic benefit cost in fiscal year 2023.</w:t>
      </w:r>
    </w:p>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72" w:right="279" w:bottom="1440" w:gutter="0" w:footer="0" w:header="0"/>
        </w:sectPr>
      </w:pPr>
    </w:p>
    <w:bookmarkStart w:id="125" w:name="page126"/>
    <w:bookmarkEnd w:id="125"/>
    <w:p>
      <w:pPr>
        <w:ind w:right="140" w:firstLine="509"/>
        <w:spacing w:after="0" w:line="277" w:lineRule="auto"/>
        <w:rPr>
          <w:sz w:val="20"/>
          <w:szCs w:val="20"/>
          <w:color w:val="auto"/>
        </w:rPr>
      </w:pPr>
      <w:r>
        <w:rPr>
          <w:rFonts w:ascii="Arial" w:cs="Arial" w:eastAsia="Arial" w:hAnsi="Arial"/>
          <w:sz w:val="18"/>
          <w:szCs w:val="18"/>
          <w:color w:val="auto"/>
        </w:rPr>
        <w:t>The benefit payments reflected in the table below represent the Company’s obligations to employees that are eligible for retirement or have already retired and are receiving deferred compensation benefits: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jc w:val="center"/>
              <w:ind w:right="336"/>
              <w:spacing w:after="0"/>
              <w:rPr>
                <w:sz w:val="20"/>
                <w:szCs w:val="20"/>
                <w:color w:val="auto"/>
              </w:rPr>
            </w:pPr>
            <w:r>
              <w:rPr>
                <w:rFonts w:ascii="Arial" w:cs="Arial" w:eastAsia="Arial" w:hAnsi="Arial"/>
                <w:sz w:val="14"/>
                <w:szCs w:val="14"/>
                <w:b w:val="1"/>
                <w:bCs w:val="1"/>
                <w:color w:val="auto"/>
                <w:w w:val="88"/>
              </w:rPr>
              <w:t>Pension</w:t>
            </w:r>
          </w:p>
        </w:tc>
        <w:tc>
          <w:tcPr>
            <w:tcW w:w="0" w:type="dxa"/>
            <w:vAlign w:val="bottom"/>
          </w:tcPr>
          <w:p>
            <w:pPr>
              <w:spacing w:after="0"/>
              <w:rPr>
                <w:sz w:val="1"/>
                <w:szCs w:val="1"/>
                <w:color w:val="auto"/>
              </w:rPr>
            </w:pPr>
          </w:p>
        </w:tc>
      </w:tr>
      <w:tr>
        <w:trPr>
          <w:trHeight w:val="185"/>
        </w:trPr>
        <w:tc>
          <w:tcPr>
            <w:tcW w:w="90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w w:val="86"/>
              </w:rPr>
              <w:t>Benefits</w:t>
            </w:r>
          </w:p>
        </w:tc>
        <w:tc>
          <w:tcPr>
            <w:tcW w:w="0" w:type="dxa"/>
            <w:vAlign w:val="bottom"/>
          </w:tcPr>
          <w:p>
            <w:pPr>
              <w:spacing w:after="0"/>
              <w:rPr>
                <w:sz w:val="1"/>
                <w:szCs w:val="1"/>
                <w:color w:val="auto"/>
              </w:rPr>
            </w:pPr>
          </w:p>
        </w:tc>
      </w:tr>
      <w:tr>
        <w:trPr>
          <w:trHeight w:val="169"/>
        </w:trPr>
        <w:tc>
          <w:tcPr>
            <w:tcW w:w="9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jc w:val="center"/>
              <w:ind w:right="336"/>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43"/>
        </w:trPr>
        <w:tc>
          <w:tcPr>
            <w:tcW w:w="9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36"/>
        </w:trPr>
        <w:tc>
          <w:tcPr>
            <w:tcW w:w="902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jc w:val="right"/>
              <w:ind w:right="36"/>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49"/>
        </w:trPr>
        <w:tc>
          <w:tcPr>
            <w:tcW w:w="9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36"/>
        </w:trPr>
        <w:tc>
          <w:tcPr>
            <w:tcW w:w="9020" w:type="dxa"/>
            <w:vAlign w:val="bottom"/>
          </w:tcPr>
          <w:p>
            <w:pPr>
              <w:ind w:left="2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jc w:val="right"/>
              <w:ind w:right="36"/>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49"/>
        </w:trPr>
        <w:tc>
          <w:tcPr>
            <w:tcW w:w="9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36"/>
        </w:trPr>
        <w:tc>
          <w:tcPr>
            <w:tcW w:w="90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20,160</w:t>
            </w:r>
          </w:p>
        </w:tc>
        <w:tc>
          <w:tcPr>
            <w:tcW w:w="0" w:type="dxa"/>
            <w:vAlign w:val="bottom"/>
          </w:tcPr>
          <w:p>
            <w:pPr>
              <w:spacing w:after="0"/>
              <w:rPr>
                <w:sz w:val="1"/>
                <w:szCs w:val="1"/>
                <w:color w:val="auto"/>
              </w:rPr>
            </w:pPr>
          </w:p>
        </w:tc>
      </w:tr>
      <w:tr>
        <w:trPr>
          <w:trHeight w:val="276"/>
        </w:trPr>
        <w:tc>
          <w:tcPr>
            <w:tcW w:w="90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26,207</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The Company also maintains The GEO Group Inc. Deferred Compensation Plan (“Deferred Compensation Plan”), a non-qualified deferred compensation plan for employees who are ineligible to participate in its qualified 401(k) plan. Eligible employees may defer a fixed percentage of their salary and the Company matches employee contributions up to a certain amount based on the employee’s years of service. Payments will be made at retirement age of 65, at termination of employment or earlier depending on the employees’ elections. The Company established a rabbi trust; the purpose of which is to segregate the assets of the Deferred Compensation Plan from the Company’s cash balances. The funds in the rabbi trust are included in Restricted Cash and Investments in the accompanying Consolidated Balance Sheets. These funds are not available to the Company for any purpose other than to fund the Deferred Compensation Plan; however, these funds may be available to the Company’s creditors in the event the Company becomes insolvent. The rabbi trust had a balance of approximately $37.0 million at December 31, 2022. All employee and employer contributions relative to the Deferred Compensation Plan are made directly to the rabbi trust. The Company recognized expense related to its contributions of $0.6 million for the year ended December 31, 2022 and $0.1 million for each of the years ended December 31, 2021 and 2020. The total liability for this plan at December 31, 2022 and 2021 was approximately $32.3 million and $35.0 million, respectively, and is included in Other Non-Current Liabilities in the accompanying Consolidated Balance Sheets. The current portion of this liability was $1.8 million and $3.7 million as of December 31, 2022 and 2021, respectively.</w:t>
      </w:r>
    </w:p>
    <w:p>
      <w:pPr>
        <w:spacing w:after="0" w:line="197" w:lineRule="exact"/>
        <w:rPr>
          <w:sz w:val="20"/>
          <w:szCs w:val="20"/>
          <w:color w:val="auto"/>
        </w:rPr>
      </w:pPr>
    </w:p>
    <w:p>
      <w:pPr>
        <w:ind w:left="520" w:hanging="512"/>
        <w:spacing w:after="0"/>
        <w:tabs>
          <w:tab w:leader="none" w:pos="5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 and Geographic Information</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and Reporting Segments</w:t>
      </w:r>
    </w:p>
    <w:p>
      <w:pPr>
        <w:spacing w:after="0" w:line="171"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The Company conducts its business through four reportable business segments: the U.S. Secure Services segment; the Electronic Monitoring and Supervision Services segment; the Reentry Services segment; and the International Services segment. The Company has identified these four reportable segments to reflect the current view that the Company operates four distinct business lines, each of which constitutes a material part of its overall business. The Company determined that its previously reportable business segment, Facility Construction and Design, no longer qualifies as a reportable segment as it no longer meets certain quantitative thresholds and has been aggregated with the Company’s International Services reportable business segment below. In addition, the Company appointed a new Chief Executive Officer, the chief operating decision maker, during fiscal 2021. Based on changes to the way the Company’s chief operating decision maker views the business and financial results used to allocate resources to its electronic monitoring and supervision services operations, along with the growth of the business, the Company will report the electronic monitoring and supervision services operation as a separate reportable segment. This new segment will be presented as Electronic Monitoring and Supervision Services. Previously, the electronic monitoring and supervision services operations were included in the GEO Care reportable segment. In addition, the GEO Care reportable segment was renamed Reentry Services and will include services provided to adults for residential and non-residential treatment, educational and community-based programs, pre-release and half-way house programs. Reentry Services also includes activities for our former youth division for half of 2021 and all historical periods. The youth division was divested on July 1, 2021.</w:t>
      </w:r>
    </w:p>
    <w:p>
      <w:pPr>
        <w:spacing w:after="0" w:line="129"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The U.S. Secure Services segment primarily encompasses U.S.-based secure services business. The Electronic Monitoring and Supervision Services segment, which conducts its services in the United States, represents services provided to adults for monitoring services and evidence-based supervision and treatment programs for community-based parolees, probationers, and pretrial defendants. The Reentry Services segment, which conducts its services in the United States represents services provided to adults for residential and non-residential treatment, educational and community-based programs, pre-release and half-way house programs. The International Services segment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26" w:name="page127"/>
    <w:bookmarkEnd w:id="126"/>
    <w:p>
      <w:pPr>
        <w:ind w:right="260"/>
        <w:spacing w:after="0" w:line="277" w:lineRule="auto"/>
        <w:rPr>
          <w:sz w:val="20"/>
          <w:szCs w:val="20"/>
          <w:color w:val="auto"/>
        </w:rPr>
      </w:pPr>
      <w:r>
        <w:rPr>
          <w:rFonts w:ascii="Arial" w:cs="Arial" w:eastAsia="Arial" w:hAnsi="Arial"/>
          <w:sz w:val="18"/>
          <w:szCs w:val="18"/>
          <w:color w:val="auto"/>
        </w:rPr>
        <w:t>primarily consists of secure services operations in South Africa and Australia. Segment disclosures below (in thousands) reflect the results of continuing operations. All transactions between segments are eliminated.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36"/>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6"/>
        </w:trPr>
        <w:tc>
          <w:tcPr>
            <w:tcW w:w="6460" w:type="dxa"/>
            <w:vAlign w:val="bottom"/>
          </w:tcPr>
          <w:p>
            <w:pPr>
              <w:ind w:left="200"/>
              <w:spacing w:after="0"/>
              <w:rPr>
                <w:sz w:val="20"/>
                <w:szCs w:val="20"/>
                <w:color w:val="auto"/>
              </w:rPr>
            </w:pPr>
            <w:r>
              <w:rPr>
                <w:rFonts w:ascii="Arial" w:cs="Arial" w:eastAsia="Arial" w:hAnsi="Arial"/>
                <w:sz w:val="18"/>
                <w:szCs w:val="18"/>
                <w:color w:val="auto"/>
              </w:rPr>
              <w:t>U.S. Secure Services</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1,437,831</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1,488,936</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1,571,216</w:t>
            </w:r>
          </w:p>
        </w:tc>
      </w:tr>
      <w:tr>
        <w:trPr>
          <w:trHeight w:val="249"/>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Electronic Monitoring and Supervision Services</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496,268</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278,934</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241,944</w:t>
            </w:r>
          </w:p>
        </w:tc>
      </w:tr>
      <w:tr>
        <w:trPr>
          <w:trHeight w:val="236"/>
        </w:trPr>
        <w:tc>
          <w:tcPr>
            <w:tcW w:w="6460" w:type="dxa"/>
            <w:vAlign w:val="bottom"/>
          </w:tcPr>
          <w:p>
            <w:pPr>
              <w:ind w:left="200"/>
              <w:spacing w:after="0"/>
              <w:rPr>
                <w:sz w:val="20"/>
                <w:szCs w:val="20"/>
                <w:color w:val="auto"/>
              </w:rPr>
            </w:pPr>
            <w:r>
              <w:rPr>
                <w:rFonts w:ascii="Arial" w:cs="Arial" w:eastAsia="Arial" w:hAnsi="Arial"/>
                <w:sz w:val="18"/>
                <w:szCs w:val="18"/>
                <w:color w:val="auto"/>
              </w:rPr>
              <w:t>Reentry Services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255,428</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274,893</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309,398</w:t>
            </w:r>
          </w:p>
        </w:tc>
      </w:tr>
      <w:tr>
        <w:trPr>
          <w:trHeight w:val="243"/>
        </w:trPr>
        <w:tc>
          <w:tcPr>
            <w:tcW w:w="6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International Services</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187,200</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213,849</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227,540</w:t>
            </w:r>
          </w:p>
        </w:tc>
      </w:tr>
      <w:tr>
        <w:trPr>
          <w:trHeight w:val="236"/>
        </w:trPr>
        <w:tc>
          <w:tcPr>
            <w:tcW w:w="64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2,376,727</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2,256,612</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2,350,098</w:t>
            </w:r>
          </w:p>
        </w:tc>
      </w:tr>
      <w:tr>
        <w:trPr>
          <w:trHeight w:val="20"/>
        </w:trPr>
        <w:tc>
          <w:tcPr>
            <w:tcW w:w="6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9"/>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6"/>
        </w:trPr>
        <w:tc>
          <w:tcPr>
            <w:tcW w:w="6460" w:type="dxa"/>
            <w:vAlign w:val="bottom"/>
          </w:tcPr>
          <w:p>
            <w:pPr>
              <w:ind w:left="200"/>
              <w:spacing w:after="0"/>
              <w:rPr>
                <w:sz w:val="20"/>
                <w:szCs w:val="20"/>
                <w:color w:val="auto"/>
              </w:rPr>
            </w:pPr>
            <w:r>
              <w:rPr>
                <w:rFonts w:ascii="Arial" w:cs="Arial" w:eastAsia="Arial" w:hAnsi="Arial"/>
                <w:sz w:val="18"/>
                <w:szCs w:val="18"/>
                <w:color w:val="auto"/>
              </w:rPr>
              <w:t>U.S. Secure Services</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52,613</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23,780</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58,410</w:t>
            </w:r>
          </w:p>
        </w:tc>
      </w:tr>
      <w:tr>
        <w:trPr>
          <w:trHeight w:val="249"/>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Electronic Monitoring and Supervision Services</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31,354</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29,504</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32,972</w:t>
            </w:r>
          </w:p>
        </w:tc>
      </w:tr>
      <w:tr>
        <w:trPr>
          <w:trHeight w:val="236"/>
        </w:trPr>
        <w:tc>
          <w:tcPr>
            <w:tcW w:w="6460" w:type="dxa"/>
            <w:vAlign w:val="bottom"/>
          </w:tcPr>
          <w:p>
            <w:pPr>
              <w:ind w:left="200"/>
              <w:spacing w:after="0"/>
              <w:rPr>
                <w:sz w:val="20"/>
                <w:szCs w:val="20"/>
                <w:color w:val="auto"/>
              </w:rPr>
            </w:pPr>
            <w:r>
              <w:rPr>
                <w:rFonts w:ascii="Arial" w:cs="Arial" w:eastAsia="Arial" w:hAnsi="Arial"/>
                <w:sz w:val="18"/>
                <w:szCs w:val="18"/>
                <w:color w:val="auto"/>
              </w:rPr>
              <w:t>Reentry Services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3,181</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14,675</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16,276</w:t>
            </w:r>
          </w:p>
        </w:tc>
      </w:tr>
      <w:tr>
        <w:trPr>
          <w:trHeight w:val="243"/>
        </w:trPr>
        <w:tc>
          <w:tcPr>
            <w:tcW w:w="6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International Services</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2,878</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1,435</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1,142</w:t>
            </w:r>
          </w:p>
        </w:tc>
      </w:tr>
      <w:tr>
        <w:trPr>
          <w:trHeight w:val="236"/>
        </w:trPr>
        <w:tc>
          <w:tcPr>
            <w:tcW w:w="6460" w:type="dxa"/>
            <w:vAlign w:val="bottom"/>
          </w:tcPr>
          <w:p>
            <w:pPr>
              <w:ind w:left="20"/>
              <w:spacing w:after="0"/>
              <w:rPr>
                <w:sz w:val="20"/>
                <w:szCs w:val="20"/>
                <w:color w:val="auto"/>
              </w:rPr>
            </w:pPr>
            <w:r>
              <w:rPr>
                <w:rFonts w:ascii="Arial" w:cs="Arial" w:eastAsia="Arial" w:hAnsi="Arial"/>
                <w:sz w:val="18"/>
                <w:szCs w:val="18"/>
                <w:color w:val="auto"/>
              </w:rPr>
              <w:t>Total capital expenditures</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90,026</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69,394</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108,800</w:t>
            </w:r>
          </w:p>
        </w:tc>
      </w:tr>
      <w:tr>
        <w:trPr>
          <w:trHeight w:val="20"/>
        </w:trPr>
        <w:tc>
          <w:tcPr>
            <w:tcW w:w="6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9"/>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6"/>
        </w:trPr>
        <w:tc>
          <w:tcPr>
            <w:tcW w:w="6460" w:type="dxa"/>
            <w:vAlign w:val="bottom"/>
          </w:tcPr>
          <w:p>
            <w:pPr>
              <w:ind w:left="200"/>
              <w:spacing w:after="0"/>
              <w:rPr>
                <w:sz w:val="20"/>
                <w:szCs w:val="20"/>
                <w:color w:val="auto"/>
              </w:rPr>
            </w:pPr>
            <w:r>
              <w:rPr>
                <w:rFonts w:ascii="Arial" w:cs="Arial" w:eastAsia="Arial" w:hAnsi="Arial"/>
                <w:sz w:val="18"/>
                <w:szCs w:val="18"/>
                <w:color w:val="auto"/>
              </w:rPr>
              <w:t>U.S. Secure Services</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80,600</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83,721</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80,702</w:t>
            </w:r>
          </w:p>
        </w:tc>
      </w:tr>
      <w:tr>
        <w:trPr>
          <w:trHeight w:val="249"/>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Electronic Monitoring and Supervision Services</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31,838</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30,422</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31,678</w:t>
            </w:r>
          </w:p>
        </w:tc>
      </w:tr>
      <w:tr>
        <w:trPr>
          <w:trHeight w:val="236"/>
        </w:trPr>
        <w:tc>
          <w:tcPr>
            <w:tcW w:w="6460" w:type="dxa"/>
            <w:vAlign w:val="bottom"/>
          </w:tcPr>
          <w:p>
            <w:pPr>
              <w:ind w:left="200"/>
              <w:spacing w:after="0"/>
              <w:rPr>
                <w:sz w:val="20"/>
                <w:szCs w:val="20"/>
                <w:color w:val="auto"/>
              </w:rPr>
            </w:pPr>
            <w:r>
              <w:rPr>
                <w:rFonts w:ascii="Arial" w:cs="Arial" w:eastAsia="Arial" w:hAnsi="Arial"/>
                <w:sz w:val="18"/>
                <w:szCs w:val="18"/>
                <w:color w:val="auto"/>
              </w:rPr>
              <w:t>Reentry Services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18,416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18,773</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20,154</w:t>
            </w:r>
          </w:p>
        </w:tc>
      </w:tr>
      <w:tr>
        <w:trPr>
          <w:trHeight w:val="243"/>
        </w:trPr>
        <w:tc>
          <w:tcPr>
            <w:tcW w:w="6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International Services</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2,071</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2,261</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2,146</w:t>
            </w:r>
          </w:p>
        </w:tc>
      </w:tr>
      <w:tr>
        <w:trPr>
          <w:trHeight w:val="236"/>
        </w:trPr>
        <w:tc>
          <w:tcPr>
            <w:tcW w:w="6460" w:type="dxa"/>
            <w:vAlign w:val="bottom"/>
          </w:tcPr>
          <w:p>
            <w:pPr>
              <w:ind w:left="20"/>
              <w:spacing w:after="0"/>
              <w:rPr>
                <w:sz w:val="20"/>
                <w:szCs w:val="20"/>
                <w:color w:val="auto"/>
              </w:rPr>
            </w:pPr>
            <w:r>
              <w:rPr>
                <w:rFonts w:ascii="Arial" w:cs="Arial" w:eastAsia="Arial" w:hAnsi="Arial"/>
                <w:sz w:val="18"/>
                <w:szCs w:val="18"/>
                <w:color w:val="auto"/>
              </w:rPr>
              <w:t>Total depreciation and amortization</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132,925</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135,177</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134,680</w:t>
            </w:r>
          </w:p>
        </w:tc>
      </w:tr>
      <w:tr>
        <w:trPr>
          <w:trHeight w:val="20"/>
        </w:trPr>
        <w:tc>
          <w:tcPr>
            <w:tcW w:w="6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9"/>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6"/>
        </w:trPr>
        <w:tc>
          <w:tcPr>
            <w:tcW w:w="6460" w:type="dxa"/>
            <w:vAlign w:val="bottom"/>
          </w:tcPr>
          <w:p>
            <w:pPr>
              <w:ind w:left="200"/>
              <w:spacing w:after="0"/>
              <w:rPr>
                <w:sz w:val="20"/>
                <w:szCs w:val="20"/>
                <w:color w:val="auto"/>
              </w:rPr>
            </w:pPr>
            <w:r>
              <w:rPr>
                <w:rFonts w:ascii="Arial" w:cs="Arial" w:eastAsia="Arial" w:hAnsi="Arial"/>
                <w:sz w:val="18"/>
                <w:szCs w:val="18"/>
                <w:color w:val="auto"/>
              </w:rPr>
              <w:t>U.S. Secure Services</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279,975</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292,925</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298,952</w:t>
            </w:r>
          </w:p>
        </w:tc>
      </w:tr>
      <w:tr>
        <w:trPr>
          <w:trHeight w:val="249"/>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Electronic Monitoring and Supervision Services</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238,194</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127,070</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97,421</w:t>
            </w:r>
          </w:p>
        </w:tc>
      </w:tr>
      <w:tr>
        <w:trPr>
          <w:trHeight w:val="236"/>
        </w:trPr>
        <w:tc>
          <w:tcPr>
            <w:tcW w:w="6460" w:type="dxa"/>
            <w:vAlign w:val="bottom"/>
          </w:tcPr>
          <w:p>
            <w:pPr>
              <w:ind w:left="200"/>
              <w:spacing w:after="0"/>
              <w:rPr>
                <w:sz w:val="20"/>
                <w:szCs w:val="20"/>
                <w:color w:val="auto"/>
              </w:rPr>
            </w:pPr>
            <w:r>
              <w:rPr>
                <w:rFonts w:ascii="Arial" w:cs="Arial" w:eastAsia="Arial" w:hAnsi="Arial"/>
                <w:sz w:val="18"/>
                <w:szCs w:val="18"/>
                <w:color w:val="auto"/>
              </w:rPr>
              <w:t>Reentry Services [1]</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42,923</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50,128</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6,740</w:t>
            </w:r>
          </w:p>
        </w:tc>
      </w:tr>
      <w:tr>
        <w:trPr>
          <w:trHeight w:val="243"/>
        </w:trPr>
        <w:tc>
          <w:tcPr>
            <w:tcW w:w="6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International Services</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18,982</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22,266</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19,664</w:t>
            </w:r>
          </w:p>
        </w:tc>
      </w:tr>
      <w:tr>
        <w:trPr>
          <w:trHeight w:val="236"/>
        </w:trPr>
        <w:tc>
          <w:tcPr>
            <w:tcW w:w="6460" w:type="dxa"/>
            <w:vAlign w:val="bottom"/>
          </w:tcPr>
          <w:p>
            <w:pPr>
              <w:ind w:left="20"/>
              <w:spacing w:after="0"/>
              <w:rPr>
                <w:sz w:val="20"/>
                <w:szCs w:val="20"/>
                <w:color w:val="auto"/>
              </w:rPr>
            </w:pPr>
            <w:r>
              <w:rPr>
                <w:rFonts w:ascii="Arial" w:cs="Arial" w:eastAsia="Arial" w:hAnsi="Arial"/>
                <w:sz w:val="18"/>
                <w:szCs w:val="18"/>
                <w:color w:val="auto"/>
              </w:rPr>
              <w:t>Operating income from segments</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580,074</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492,389</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422,777</w:t>
            </w:r>
          </w:p>
        </w:tc>
      </w:tr>
      <w:tr>
        <w:trPr>
          <w:trHeight w:val="236"/>
        </w:trPr>
        <w:tc>
          <w:tcPr>
            <w:tcW w:w="6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(196,972 )</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(204,306 )</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(193,372 )</w:t>
            </w:r>
          </w:p>
        </w:tc>
      </w:tr>
      <w:tr>
        <w:trPr>
          <w:trHeight w:val="236"/>
        </w:trPr>
        <w:tc>
          <w:tcPr>
            <w:tcW w:w="6460" w:type="dxa"/>
            <w:vAlign w:val="bottom"/>
          </w:tcPr>
          <w:p>
            <w:pPr>
              <w:ind w:left="20"/>
              <w:spacing w:after="0"/>
              <w:rPr>
                <w:sz w:val="20"/>
                <w:szCs w:val="20"/>
                <w:color w:val="auto"/>
              </w:rPr>
            </w:pPr>
            <w:r>
              <w:rPr>
                <w:rFonts w:ascii="Arial" w:cs="Arial" w:eastAsia="Arial" w:hAnsi="Arial"/>
                <w:sz w:val="18"/>
                <w:szCs w:val="18"/>
                <w:color w:val="auto"/>
              </w:rPr>
              <w:t>Total operating income</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383,102</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288,083</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229,405</w:t>
            </w:r>
          </w:p>
        </w:tc>
      </w:tr>
      <w:tr>
        <w:trPr>
          <w:trHeight w:val="20"/>
        </w:trPr>
        <w:tc>
          <w:tcPr>
            <w:tcW w:w="6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-3390265</wp:posOffset>
            </wp:positionV>
            <wp:extent cx="93980" cy="18859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-3390265</wp:posOffset>
            </wp:positionV>
            <wp:extent cx="93980" cy="18859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-2430780</wp:posOffset>
            </wp:positionV>
            <wp:extent cx="93980" cy="1885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-2430780</wp:posOffset>
            </wp:positionV>
            <wp:extent cx="93980" cy="18859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-1471930</wp:posOffset>
            </wp:positionV>
            <wp:extent cx="93980" cy="1885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-1471930</wp:posOffset>
            </wp:positionV>
            <wp:extent cx="93980" cy="18859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-513080</wp:posOffset>
            </wp:positionV>
            <wp:extent cx="93980" cy="1714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-513080</wp:posOffset>
            </wp:positionV>
            <wp:extent cx="93980" cy="1714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-187960</wp:posOffset>
            </wp:positionV>
            <wp:extent cx="93980" cy="18859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-187960</wp:posOffset>
            </wp:positionV>
            <wp:extent cx="93980" cy="18859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[1] Operating income for Reentry Services for the year ended December 31, 2020 includes a goodwill impairment charge of $21.1 million.</w:t>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Pre-Tax Income Reconciliation of Segments</w:t>
      </w:r>
    </w:p>
    <w:p>
      <w:pPr>
        <w:spacing w:after="0" w:line="171" w:lineRule="exact"/>
        <w:rPr>
          <w:sz w:val="20"/>
          <w:szCs w:val="20"/>
          <w:color w:val="auto"/>
        </w:rPr>
      </w:pPr>
    </w:p>
    <w:p>
      <w:pPr>
        <w:ind w:right="340" w:firstLine="509"/>
        <w:spacing w:after="0" w:line="307" w:lineRule="auto"/>
        <w:rPr>
          <w:sz w:val="20"/>
          <w:szCs w:val="20"/>
          <w:color w:val="auto"/>
        </w:rPr>
      </w:pPr>
      <w:r>
        <w:rPr>
          <w:rFonts w:ascii="Arial" w:cs="Arial" w:eastAsia="Arial" w:hAnsi="Arial"/>
          <w:sz w:val="17"/>
          <w:szCs w:val="17"/>
          <w:color w:val="auto"/>
        </w:rPr>
        <w:t>The following is a reconciliation of the Company’s total operating income from its reportable segments to the Company’s income before income taxes and equity in earnings of affiliates, in each case, during the years ended December 31, 2022, 2021 and 2020, respectively.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 Ended</w:t>
            </w:r>
          </w:p>
        </w:tc>
        <w:tc>
          <w:tcPr>
            <w:tcW w:w="1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169"/>
        </w:trPr>
        <w:tc>
          <w:tcPr>
            <w:tcW w:w="5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255"/>
              <w:spacing w:after="0"/>
              <w:rPr>
                <w:sz w:val="20"/>
                <w:szCs w:val="20"/>
                <w:color w:val="auto"/>
              </w:rPr>
            </w:pPr>
            <w:r>
              <w:rPr>
                <w:rFonts w:ascii="Arial" w:cs="Arial" w:eastAsia="Arial" w:hAnsi="Arial"/>
                <w:sz w:val="14"/>
                <w:szCs w:val="14"/>
                <w:b w:val="1"/>
                <w:bCs w:val="1"/>
                <w:color w:val="auto"/>
                <w:w w:val="95"/>
              </w:rPr>
              <w:t>(In thousands)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43"/>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from segments</w:t>
            </w:r>
          </w:p>
        </w:tc>
        <w:tc>
          <w:tcPr>
            <w:tcW w:w="192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580,074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492,389</w:t>
            </w: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422,777</w:t>
            </w:r>
          </w:p>
        </w:tc>
      </w:tr>
      <w:tr>
        <w:trPr>
          <w:trHeight w:val="236"/>
        </w:trPr>
        <w:tc>
          <w:tcPr>
            <w:tcW w:w="5020" w:type="dxa"/>
            <w:vAlign w:val="bottom"/>
          </w:tcPr>
          <w:p>
            <w:pPr>
              <w:ind w:left="20"/>
              <w:spacing w:after="0"/>
              <w:rPr>
                <w:sz w:val="20"/>
                <w:szCs w:val="20"/>
                <w:color w:val="auto"/>
              </w:rPr>
            </w:pPr>
            <w:r>
              <w:rPr>
                <w:rFonts w:ascii="Arial" w:cs="Arial" w:eastAsia="Arial" w:hAnsi="Arial"/>
                <w:sz w:val="18"/>
                <w:szCs w:val="18"/>
                <w:color w:val="auto"/>
              </w:rPr>
              <w:t>Unallocated amounts:</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5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 expense</w:t>
            </w:r>
          </w:p>
        </w:tc>
        <w:tc>
          <w:tcPr>
            <w:tcW w:w="1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(196,972 )</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(204,306 )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(193,372 )</w:t>
            </w:r>
          </w:p>
        </w:tc>
      </w:tr>
      <w:tr>
        <w:trPr>
          <w:trHeight w:val="236"/>
        </w:trPr>
        <w:tc>
          <w:tcPr>
            <w:tcW w:w="5020" w:type="dxa"/>
            <w:vAlign w:val="bottom"/>
          </w:tcPr>
          <w:p>
            <w:pPr>
              <w:ind w:left="200"/>
              <w:spacing w:after="0"/>
              <w:rPr>
                <w:sz w:val="20"/>
                <w:szCs w:val="20"/>
                <w:color w:val="auto"/>
              </w:rPr>
            </w:pPr>
            <w:r>
              <w:rPr>
                <w:rFonts w:ascii="Arial" w:cs="Arial" w:eastAsia="Arial" w:hAnsi="Arial"/>
                <w:sz w:val="18"/>
                <w:szCs w:val="18"/>
                <w:color w:val="auto"/>
              </w:rPr>
              <w:t>Net interest expense</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(147,719 )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(105,453 )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(103,765 )</w:t>
            </w:r>
          </w:p>
        </w:tc>
      </w:tr>
      <w:tr>
        <w:trPr>
          <w:trHeight w:val="249"/>
        </w:trPr>
        <w:tc>
          <w:tcPr>
            <w:tcW w:w="5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Gain (loss) on extinguishment of debt</w:t>
            </w:r>
          </w:p>
        </w:tc>
        <w:tc>
          <w:tcPr>
            <w:tcW w:w="1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(37,895 )</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4,693</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5,319</w:t>
            </w:r>
          </w:p>
        </w:tc>
      </w:tr>
      <w:tr>
        <w:trPr>
          <w:trHeight w:val="236"/>
        </w:trPr>
        <w:tc>
          <w:tcPr>
            <w:tcW w:w="5020" w:type="dxa"/>
            <w:vAlign w:val="bottom"/>
          </w:tcPr>
          <w:p>
            <w:pPr>
              <w:ind w:left="200"/>
              <w:spacing w:after="0"/>
              <w:rPr>
                <w:sz w:val="20"/>
                <w:szCs w:val="20"/>
                <w:color w:val="auto"/>
              </w:rPr>
            </w:pPr>
            <w:r>
              <w:rPr>
                <w:rFonts w:ascii="Arial" w:cs="Arial" w:eastAsia="Arial" w:hAnsi="Arial"/>
                <w:sz w:val="18"/>
                <w:szCs w:val="18"/>
                <w:color w:val="auto"/>
              </w:rPr>
              <w:t>Net gain (loss) on disposition of assets</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32,332</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5,499</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(6,831 )</w:t>
            </w:r>
          </w:p>
        </w:tc>
      </w:tr>
      <w:tr>
        <w:trPr>
          <w:trHeight w:val="276"/>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9"/>
              </w:rPr>
              <w:t>Income before income taxes and equity in earnings of affiliates</w:t>
            </w:r>
          </w:p>
        </w:tc>
        <w:tc>
          <w:tcPr>
            <w:tcW w:w="1600" w:type="dxa"/>
            <w:vAlign w:val="bottom"/>
            <w:tcBorders>
              <w:bottom w:val="single" w:sz="8" w:color="CFF0FC"/>
            </w:tcBorders>
            <w:gridSpan w:val="2"/>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229,820</w:t>
            </w: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192,822</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124,128</w:t>
            </w:r>
          </w:p>
        </w:tc>
      </w:tr>
      <w:tr>
        <w:trPr>
          <w:trHeight w:val="634"/>
        </w:trPr>
        <w:tc>
          <w:tcPr>
            <w:tcW w:w="5020" w:type="dxa"/>
            <w:vAlign w:val="bottom"/>
          </w:tcPr>
          <w:p>
            <w:pPr>
              <w:spacing w:after="0"/>
              <w:rPr>
                <w:sz w:val="24"/>
                <w:szCs w:val="24"/>
                <w:color w:val="auto"/>
              </w:rPr>
            </w:pPr>
          </w:p>
        </w:tc>
        <w:tc>
          <w:tcPr>
            <w:tcW w:w="1440" w:type="dxa"/>
            <w:vAlign w:val="bottom"/>
          </w:tcPr>
          <w:p>
            <w:pPr>
              <w:jc w:val="right"/>
              <w:ind w:right="610"/>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-521970</wp:posOffset>
            </wp:positionV>
            <wp:extent cx="939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-504825</wp:posOffset>
            </wp:positionV>
            <wp:extent cx="939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-521970</wp:posOffset>
            </wp:positionV>
            <wp:extent cx="939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-504825</wp:posOffset>
            </wp:positionV>
            <wp:extent cx="939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r>
      <w:tr>
        <w:trPr>
          <w:trHeight w:val="169"/>
        </w:trPr>
        <w:tc>
          <w:tcPr>
            <w:tcW w:w="7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Segment assets:</w:t>
            </w: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36"/>
        </w:trPr>
        <w:tc>
          <w:tcPr>
            <w:tcW w:w="7600" w:type="dxa"/>
            <w:vAlign w:val="bottom"/>
          </w:tcPr>
          <w:p>
            <w:pPr>
              <w:ind w:left="200"/>
              <w:spacing w:after="0"/>
              <w:rPr>
                <w:sz w:val="20"/>
                <w:szCs w:val="20"/>
                <w:color w:val="auto"/>
              </w:rPr>
            </w:pPr>
            <w:r>
              <w:rPr>
                <w:rFonts w:ascii="Arial" w:cs="Arial" w:eastAsia="Arial" w:hAnsi="Arial"/>
                <w:sz w:val="18"/>
                <w:szCs w:val="18"/>
                <w:color w:val="auto"/>
              </w:rPr>
              <w:t>U.S. Secure Services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2,371,146</w:t>
            </w: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2,433,023</w:t>
            </w:r>
          </w:p>
        </w:tc>
        <w:tc>
          <w:tcPr>
            <w:tcW w:w="18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Reentry Services</w:t>
            </w: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572,154</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566,916</w:t>
            </w:r>
          </w:p>
        </w:tc>
        <w:tc>
          <w:tcPr>
            <w:tcW w:w="180" w:type="dxa"/>
            <w:vAlign w:val="bottom"/>
            <w:shd w:val="clear" w:color="auto" w:fill="CFF0FC"/>
          </w:tcPr>
          <w:p>
            <w:pPr>
              <w:spacing w:after="0"/>
              <w:rPr>
                <w:sz w:val="21"/>
                <w:szCs w:val="21"/>
                <w:color w:val="auto"/>
              </w:rPr>
            </w:pPr>
          </w:p>
        </w:tc>
      </w:tr>
      <w:tr>
        <w:trPr>
          <w:trHeight w:val="236"/>
        </w:trPr>
        <w:tc>
          <w:tcPr>
            <w:tcW w:w="7600" w:type="dxa"/>
            <w:vAlign w:val="bottom"/>
          </w:tcPr>
          <w:p>
            <w:pPr>
              <w:ind w:left="200"/>
              <w:spacing w:after="0"/>
              <w:rPr>
                <w:sz w:val="20"/>
                <w:szCs w:val="20"/>
                <w:color w:val="auto"/>
              </w:rPr>
            </w:pPr>
            <w:r>
              <w:rPr>
                <w:rFonts w:ascii="Arial" w:cs="Arial" w:eastAsia="Arial" w:hAnsi="Arial"/>
                <w:sz w:val="18"/>
                <w:szCs w:val="18"/>
                <w:color w:val="auto"/>
              </w:rPr>
              <w:t>Electronic Monitoring and Supervision Services</w:t>
            </w:r>
          </w:p>
        </w:tc>
        <w:tc>
          <w:tcPr>
            <w:tcW w:w="36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536,291</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483,112</w:t>
            </w:r>
          </w:p>
        </w:tc>
        <w:tc>
          <w:tcPr>
            <w:tcW w:w="18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International Services</w:t>
            </w:r>
          </w:p>
        </w:tc>
        <w:tc>
          <w:tcPr>
            <w:tcW w:w="3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66,023</w:t>
            </w:r>
          </w:p>
        </w:tc>
        <w:tc>
          <w:tcPr>
            <w:tcW w:w="1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451,547</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236"/>
        </w:trPr>
        <w:tc>
          <w:tcPr>
            <w:tcW w:w="7600" w:type="dxa"/>
            <w:vAlign w:val="bottom"/>
          </w:tcPr>
          <w:p>
            <w:pPr>
              <w:ind w:left="20"/>
              <w:spacing w:after="0"/>
              <w:rPr>
                <w:sz w:val="20"/>
                <w:szCs w:val="20"/>
                <w:color w:val="auto"/>
              </w:rPr>
            </w:pPr>
            <w:r>
              <w:rPr>
                <w:rFonts w:ascii="Arial" w:cs="Arial" w:eastAsia="Arial" w:hAnsi="Arial"/>
                <w:sz w:val="18"/>
                <w:szCs w:val="18"/>
                <w:color w:val="auto"/>
              </w:rPr>
              <w:t>Total segment assets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3,545,614</w:t>
            </w: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3,934,598</w:t>
            </w:r>
          </w:p>
        </w:tc>
        <w:tc>
          <w:tcPr>
            <w:tcW w:w="18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5869940</wp:posOffset>
            </wp:positionH>
            <wp:positionV relativeFrom="paragraph">
              <wp:posOffset>-187960</wp:posOffset>
            </wp:positionV>
            <wp:extent cx="111125" cy="18859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7026275</wp:posOffset>
            </wp:positionH>
            <wp:positionV relativeFrom="paragraph">
              <wp:posOffset>-187960</wp:posOffset>
            </wp:positionV>
            <wp:extent cx="111125" cy="18859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 Reconciliation</w:t>
      </w:r>
    </w:p>
    <w:p>
      <w:pPr>
        <w:spacing w:after="0" w:line="171"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The following is a reconciliation of the Company’s reportable segment assets to the Company’s total assets as of December 31, 2022 and 2021, respectively.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r>
      <w:tr>
        <w:trPr>
          <w:trHeight w:val="169"/>
        </w:trPr>
        <w:tc>
          <w:tcPr>
            <w:tcW w:w="7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4"/>
                <w:szCs w:val="14"/>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Reportable segment assets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3,545,614</w:t>
            </w:r>
          </w:p>
        </w:tc>
        <w:tc>
          <w:tcPr>
            <w:tcW w:w="64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3,934,598</w:t>
            </w: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Cash</w:t>
            </w:r>
          </w:p>
        </w:tc>
        <w:tc>
          <w:tcPr>
            <w:tcW w:w="380" w:type="dxa"/>
            <w:vAlign w:val="bottom"/>
          </w:tcPr>
          <w:p>
            <w:pPr>
              <w:spacing w:after="0"/>
              <w:rPr>
                <w:sz w:val="20"/>
                <w:szCs w:val="20"/>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95,073</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506,491</w:t>
            </w: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income tax assets</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8,005</w:t>
            </w: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Restricted cash and investments, current and non-current</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111,691</w:t>
            </w: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96,319</w:t>
            </w: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3,760,383</w:t>
            </w:r>
          </w:p>
        </w:tc>
        <w:tc>
          <w:tcPr>
            <w:tcW w:w="1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4,537,408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-24765</wp:posOffset>
            </wp:positionV>
            <wp:extent cx="1111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1111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71" w:lineRule="exact"/>
        <w:rPr>
          <w:sz w:val="20"/>
          <w:szCs w:val="20"/>
          <w:color w:val="auto"/>
        </w:rPr>
      </w:pPr>
    </w:p>
    <w:p>
      <w:pPr>
        <w:ind w:right="140" w:firstLine="509"/>
        <w:spacing w:after="0" w:line="271" w:lineRule="auto"/>
        <w:rPr>
          <w:sz w:val="20"/>
          <w:szCs w:val="20"/>
          <w:color w:val="auto"/>
        </w:rPr>
      </w:pPr>
      <w:r>
        <w:rPr>
          <w:rFonts w:ascii="Arial" w:cs="Arial" w:eastAsia="Arial" w:hAnsi="Arial"/>
          <w:sz w:val="17"/>
          <w:szCs w:val="17"/>
          <w:color w:val="auto"/>
        </w:rPr>
        <w:t>During each of the years ended December 31, 2022, 2021 and 2020, the Company’s international operations were conducted through (i) the Company’s wholly owned Australian subsidiary, The GEO Group Australia Pty. Ltd., through which the Company has management contracts for four correctional facilities, (ii) the Company's wholly owned subsidiaries, GEO Ravenhall Finance Holdings Pty. Ltd. and GEO Ravenhall Holdings Pty. Ltd. which, together, had a design and construction contract for a facility in Ravenhall, Australia which was completed in November 2017, (iii) the Company’s wholly-owned subsidiary in South Africa, SACM, through which the Company manages one correctional facility, and (iv) the Company’s wholly-owned subsidiary in the United Kingdom, The GEO Group UK Ltd., through which the Company managed the Dungavel House Immigration Removal Centre (GEO transitioned the management contract for Dungavel to the government effective September 30,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w:t>
            </w:r>
          </w:p>
        </w:tc>
        <w:tc>
          <w:tcPr>
            <w:tcW w:w="2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253"/>
              <w:spacing w:after="0"/>
              <w:rPr>
                <w:sz w:val="20"/>
                <w:szCs w:val="20"/>
                <w:color w:val="auto"/>
              </w:rPr>
            </w:pPr>
            <w:r>
              <w:rPr>
                <w:rFonts w:ascii="Arial" w:cs="Arial" w:eastAsia="Arial" w:hAnsi="Arial"/>
                <w:sz w:val="14"/>
                <w:szCs w:val="14"/>
                <w:b w:val="1"/>
                <w:bCs w:val="1"/>
                <w:color w:val="auto"/>
                <w:w w:val="95"/>
              </w:rPr>
              <w:t>(In thousands)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00" w:type="dxa"/>
            <w:vAlign w:val="bottom"/>
          </w:tcPr>
          <w:p>
            <w:pPr>
              <w:ind w:left="200"/>
              <w:spacing w:after="0"/>
              <w:rPr>
                <w:sz w:val="20"/>
                <w:szCs w:val="20"/>
                <w:color w:val="auto"/>
              </w:rPr>
            </w:pPr>
            <w:r>
              <w:rPr>
                <w:rFonts w:ascii="Arial" w:cs="Arial" w:eastAsia="Arial" w:hAnsi="Arial"/>
                <w:sz w:val="18"/>
                <w:szCs w:val="18"/>
                <w:color w:val="auto"/>
              </w:rPr>
              <w:t>U.S. operations</w:t>
            </w:r>
          </w:p>
        </w:tc>
        <w:tc>
          <w:tcPr>
            <w:tcW w:w="2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2,189,527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2,043,157</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2,123,045</w:t>
            </w:r>
          </w:p>
        </w:tc>
        <w:tc>
          <w:tcPr>
            <w:tcW w:w="0" w:type="dxa"/>
            <w:vAlign w:val="bottom"/>
          </w:tcPr>
          <w:p>
            <w:pPr>
              <w:spacing w:after="0"/>
              <w:rPr>
                <w:sz w:val="1"/>
                <w:szCs w:val="1"/>
                <w:color w:val="auto"/>
              </w:rPr>
            </w:pPr>
          </w:p>
        </w:tc>
      </w:tr>
      <w:tr>
        <w:trPr>
          <w:trHeight w:val="249"/>
        </w:trPr>
        <w:tc>
          <w:tcPr>
            <w:tcW w:w="4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Australia operations</w:t>
            </w:r>
          </w:p>
        </w:tc>
        <w:tc>
          <w:tcPr>
            <w:tcW w:w="2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168,225</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186,980</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201,932</w:t>
            </w:r>
          </w:p>
        </w:tc>
        <w:tc>
          <w:tcPr>
            <w:tcW w:w="0" w:type="dxa"/>
            <w:vAlign w:val="bottom"/>
          </w:tcPr>
          <w:p>
            <w:pPr>
              <w:spacing w:after="0"/>
              <w:rPr>
                <w:sz w:val="1"/>
                <w:szCs w:val="1"/>
                <w:color w:val="auto"/>
              </w:rPr>
            </w:pPr>
          </w:p>
        </w:tc>
      </w:tr>
      <w:tr>
        <w:trPr>
          <w:trHeight w:val="236"/>
        </w:trPr>
        <w:tc>
          <w:tcPr>
            <w:tcW w:w="4000" w:type="dxa"/>
            <w:vAlign w:val="bottom"/>
          </w:tcPr>
          <w:p>
            <w:pPr>
              <w:ind w:left="200"/>
              <w:spacing w:after="0"/>
              <w:rPr>
                <w:sz w:val="20"/>
                <w:szCs w:val="20"/>
                <w:color w:val="auto"/>
              </w:rPr>
            </w:pPr>
            <w:r>
              <w:rPr>
                <w:rFonts w:ascii="Arial" w:cs="Arial" w:eastAsia="Arial" w:hAnsi="Arial"/>
                <w:sz w:val="18"/>
                <w:szCs w:val="18"/>
                <w:color w:val="auto"/>
              </w:rPr>
              <w:t>South African operations</w:t>
            </w:r>
          </w:p>
        </w:tc>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18,975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19,527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17,044</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United Kingdom operations</w:t>
            </w:r>
          </w:p>
        </w:tc>
        <w:tc>
          <w:tcPr>
            <w:tcW w:w="24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6,948</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8,077</w:t>
            </w:r>
          </w:p>
        </w:tc>
        <w:tc>
          <w:tcPr>
            <w:tcW w:w="0" w:type="dxa"/>
            <w:vAlign w:val="bottom"/>
          </w:tcPr>
          <w:p>
            <w:pPr>
              <w:spacing w:after="0"/>
              <w:rPr>
                <w:sz w:val="1"/>
                <w:szCs w:val="1"/>
                <w:color w:val="auto"/>
              </w:rPr>
            </w:pPr>
          </w:p>
        </w:tc>
      </w:tr>
      <w:tr>
        <w:trPr>
          <w:trHeight w:val="236"/>
        </w:trPr>
        <w:tc>
          <w:tcPr>
            <w:tcW w:w="40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2,376,727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2,256,612</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2,350,098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00" w:type="dxa"/>
            <w:vAlign w:val="bottom"/>
          </w:tcPr>
          <w:p>
            <w:pPr>
              <w:ind w:left="200"/>
              <w:spacing w:after="0"/>
              <w:rPr>
                <w:sz w:val="20"/>
                <w:szCs w:val="20"/>
                <w:color w:val="auto"/>
              </w:rPr>
            </w:pPr>
            <w:r>
              <w:rPr>
                <w:rFonts w:ascii="Arial" w:cs="Arial" w:eastAsia="Arial" w:hAnsi="Arial"/>
                <w:sz w:val="18"/>
                <w:szCs w:val="18"/>
                <w:color w:val="auto"/>
              </w:rPr>
              <w:t>U.S. operations</w:t>
            </w:r>
          </w:p>
        </w:tc>
        <w:tc>
          <w:tcPr>
            <w:tcW w:w="2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1,991,968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2,026,252</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2,109,070</w:t>
            </w:r>
          </w:p>
        </w:tc>
        <w:tc>
          <w:tcPr>
            <w:tcW w:w="0" w:type="dxa"/>
            <w:vAlign w:val="bottom"/>
          </w:tcPr>
          <w:p>
            <w:pPr>
              <w:spacing w:after="0"/>
              <w:rPr>
                <w:sz w:val="1"/>
                <w:szCs w:val="1"/>
                <w:color w:val="auto"/>
              </w:rPr>
            </w:pPr>
          </w:p>
        </w:tc>
      </w:tr>
      <w:tr>
        <w:trPr>
          <w:trHeight w:val="249"/>
        </w:trPr>
        <w:tc>
          <w:tcPr>
            <w:tcW w:w="4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Australia operations</w:t>
            </w:r>
          </w:p>
        </w:tc>
        <w:tc>
          <w:tcPr>
            <w:tcW w:w="2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9,961</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11,491</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12,908</w:t>
            </w:r>
          </w:p>
        </w:tc>
        <w:tc>
          <w:tcPr>
            <w:tcW w:w="0" w:type="dxa"/>
            <w:vAlign w:val="bottom"/>
          </w:tcPr>
          <w:p>
            <w:pPr>
              <w:spacing w:after="0"/>
              <w:rPr>
                <w:sz w:val="1"/>
                <w:szCs w:val="1"/>
                <w:color w:val="auto"/>
              </w:rPr>
            </w:pPr>
          </w:p>
        </w:tc>
      </w:tr>
      <w:tr>
        <w:trPr>
          <w:trHeight w:val="236"/>
        </w:trPr>
        <w:tc>
          <w:tcPr>
            <w:tcW w:w="4000" w:type="dxa"/>
            <w:vAlign w:val="bottom"/>
          </w:tcPr>
          <w:p>
            <w:pPr>
              <w:ind w:left="200"/>
              <w:spacing w:after="0"/>
              <w:rPr>
                <w:sz w:val="20"/>
                <w:szCs w:val="20"/>
                <w:color w:val="auto"/>
              </w:rPr>
            </w:pPr>
            <w:r>
              <w:rPr>
                <w:rFonts w:ascii="Arial" w:cs="Arial" w:eastAsia="Arial" w:hAnsi="Arial"/>
                <w:sz w:val="18"/>
                <w:szCs w:val="18"/>
                <w:color w:val="auto"/>
              </w:rPr>
              <w:t>South African operations</w:t>
            </w:r>
          </w:p>
        </w:tc>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United Kingdom operations</w:t>
            </w:r>
          </w:p>
        </w:tc>
        <w:tc>
          <w:tcPr>
            <w:tcW w:w="24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6"/>
        </w:trPr>
        <w:tc>
          <w:tcPr>
            <w:tcW w:w="4000" w:type="dxa"/>
            <w:vAlign w:val="bottom"/>
          </w:tcPr>
          <w:p>
            <w:pPr>
              <w:ind w:left="20"/>
              <w:spacing w:after="0"/>
              <w:rPr>
                <w:sz w:val="20"/>
                <w:szCs w:val="20"/>
                <w:color w:val="auto"/>
              </w:rPr>
            </w:pPr>
            <w:r>
              <w:rPr>
                <w:rFonts w:ascii="Arial" w:cs="Arial" w:eastAsia="Arial" w:hAnsi="Arial"/>
                <w:sz w:val="18"/>
                <w:szCs w:val="18"/>
                <w:color w:val="auto"/>
              </w:rPr>
              <w:t>Total Property and Equipment, net</w:t>
            </w:r>
          </w:p>
        </w:tc>
        <w:tc>
          <w:tcPr>
            <w:tcW w:w="2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2,002,021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2,037,845</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2,122,195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460" w:type="dxa"/>
            <w:vAlign w:val="bottom"/>
            <w:vMerge w:val="restart"/>
          </w:tcPr>
          <w:p>
            <w:pPr>
              <w:jc w:val="right"/>
              <w:ind w:right="610"/>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400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-1643380</wp:posOffset>
            </wp:positionV>
            <wp:extent cx="93980" cy="18859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-1643380</wp:posOffset>
            </wp:positionV>
            <wp:extent cx="93980" cy="18859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-684530</wp:posOffset>
            </wp:positionV>
            <wp:extent cx="93980" cy="18859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-684530</wp:posOffset>
            </wp:positionV>
            <wp:extent cx="93980" cy="1885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128" w:name="page129"/>
    <w:bookmarkEnd w:id="128"/>
    <w:p>
      <w:pPr>
        <w:ind w:left="260"/>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71" w:lineRule="exact"/>
        <w:rPr>
          <w:sz w:val="20"/>
          <w:szCs w:val="20"/>
          <w:color w:val="auto"/>
        </w:rPr>
      </w:pPr>
    </w:p>
    <w:p>
      <w:pPr>
        <w:jc w:val="both"/>
        <w:ind w:right="160" w:firstLine="509"/>
        <w:spacing w:after="0" w:line="279" w:lineRule="auto"/>
        <w:rPr>
          <w:sz w:val="20"/>
          <w:szCs w:val="20"/>
          <w:color w:val="auto"/>
        </w:rPr>
      </w:pPr>
      <w:r>
        <w:rPr>
          <w:rFonts w:ascii="Arial" w:cs="Arial" w:eastAsia="Arial" w:hAnsi="Arial"/>
          <w:sz w:val="18"/>
          <w:szCs w:val="18"/>
          <w:color w:val="auto"/>
        </w:rPr>
        <w:t>The Company derives most of its revenue from the management of secure facilities through public-private partnerships. The Company also derives revenue from the provision of reentry services and electronic monitoring and evidence-based supervision and treatment programs in the United States, and expansion of new and existing secure facilities, processing centers and reentry centers.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r>
      <w:tr>
        <w:trPr>
          <w:trHeight w:val="169"/>
        </w:trPr>
        <w:tc>
          <w:tcPr>
            <w:tcW w:w="7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79"/>
              </w:rPr>
              <w:t>thousands)</w:t>
            </w: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43"/>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36"/>
        </w:trPr>
        <w:tc>
          <w:tcPr>
            <w:tcW w:w="7400" w:type="dxa"/>
            <w:vAlign w:val="bottom"/>
          </w:tcPr>
          <w:p>
            <w:pPr>
              <w:ind w:left="200"/>
              <w:spacing w:after="0"/>
              <w:rPr>
                <w:sz w:val="20"/>
                <w:szCs w:val="20"/>
                <w:color w:val="auto"/>
              </w:rPr>
            </w:pPr>
            <w:r>
              <w:rPr>
                <w:rFonts w:ascii="Arial" w:cs="Arial" w:eastAsia="Arial" w:hAnsi="Arial"/>
                <w:sz w:val="18"/>
                <w:szCs w:val="18"/>
                <w:color w:val="auto"/>
              </w:rPr>
              <w:t>Secure Services [1]</w:t>
            </w:r>
          </w:p>
        </w:tc>
        <w:tc>
          <w:tcPr>
            <w:tcW w:w="5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1,625,031</w:t>
            </w:r>
          </w:p>
        </w:tc>
        <w:tc>
          <w:tcPr>
            <w:tcW w:w="7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1,702,785</w:t>
            </w:r>
          </w:p>
        </w:tc>
        <w:tc>
          <w:tcPr>
            <w:tcW w:w="180" w:type="dxa"/>
            <w:vAlign w:val="bottom"/>
          </w:tcPr>
          <w:p>
            <w:pPr>
              <w:spacing w:after="0"/>
              <w:rPr>
                <w:sz w:val="20"/>
                <w:szCs w:val="20"/>
                <w:color w:val="auto"/>
              </w:rPr>
            </w:pPr>
          </w:p>
        </w:tc>
      </w:tr>
      <w:tr>
        <w:trPr>
          <w:trHeight w:val="249"/>
        </w:trPr>
        <w:tc>
          <w:tcPr>
            <w:tcW w:w="7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Electronic Monitoring and Supervision Services</w:t>
            </w: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496,268</w:t>
            </w: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278,934</w:t>
            </w:r>
          </w:p>
        </w:tc>
        <w:tc>
          <w:tcPr>
            <w:tcW w:w="180" w:type="dxa"/>
            <w:vAlign w:val="bottom"/>
            <w:shd w:val="clear" w:color="auto" w:fill="CFF0FC"/>
          </w:tcPr>
          <w:p>
            <w:pPr>
              <w:spacing w:after="0"/>
              <w:rPr>
                <w:sz w:val="21"/>
                <w:szCs w:val="21"/>
                <w:color w:val="auto"/>
              </w:rPr>
            </w:pPr>
          </w:p>
        </w:tc>
      </w:tr>
      <w:tr>
        <w:trPr>
          <w:trHeight w:val="236"/>
        </w:trPr>
        <w:tc>
          <w:tcPr>
            <w:tcW w:w="7400" w:type="dxa"/>
            <w:vAlign w:val="bottom"/>
          </w:tcPr>
          <w:p>
            <w:pPr>
              <w:ind w:left="200"/>
              <w:spacing w:after="0"/>
              <w:rPr>
                <w:sz w:val="20"/>
                <w:szCs w:val="20"/>
                <w:color w:val="auto"/>
              </w:rPr>
            </w:pPr>
            <w:r>
              <w:rPr>
                <w:rFonts w:ascii="Arial" w:cs="Arial" w:eastAsia="Arial" w:hAnsi="Arial"/>
                <w:sz w:val="18"/>
                <w:szCs w:val="18"/>
                <w:color w:val="auto"/>
              </w:rPr>
              <w:t>Reentry Services</w:t>
            </w:r>
          </w:p>
        </w:tc>
        <w:tc>
          <w:tcPr>
            <w:tcW w:w="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255,428</w:t>
            </w:r>
          </w:p>
        </w:tc>
        <w:tc>
          <w:tcPr>
            <w:tcW w:w="1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274,893</w:t>
            </w:r>
          </w:p>
        </w:tc>
        <w:tc>
          <w:tcPr>
            <w:tcW w:w="180" w:type="dxa"/>
            <w:vAlign w:val="bottom"/>
          </w:tcPr>
          <w:p>
            <w:pPr>
              <w:spacing w:after="0"/>
              <w:rPr>
                <w:sz w:val="20"/>
                <w:szCs w:val="20"/>
                <w:color w:val="auto"/>
              </w:rPr>
            </w:pPr>
          </w:p>
        </w:tc>
      </w:tr>
      <w:tr>
        <w:trPr>
          <w:trHeight w:val="276"/>
        </w:trPr>
        <w:tc>
          <w:tcPr>
            <w:tcW w:w="7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2,376,727</w:t>
            </w:r>
          </w:p>
        </w:tc>
        <w:tc>
          <w:tcPr>
            <w:tcW w:w="1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2,256,612</w:t>
            </w:r>
          </w:p>
        </w:tc>
        <w:tc>
          <w:tcPr>
            <w:tcW w:w="1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5869940</wp:posOffset>
            </wp:positionH>
            <wp:positionV relativeFrom="paragraph">
              <wp:posOffset>-24765</wp:posOffset>
            </wp:positionV>
            <wp:extent cx="1111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-7620</wp:posOffset>
            </wp:positionV>
            <wp:extent cx="1111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7026275</wp:posOffset>
            </wp:positionH>
            <wp:positionV relativeFrom="paragraph">
              <wp:posOffset>-24765</wp:posOffset>
            </wp:positionV>
            <wp:extent cx="1111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7026275</wp:posOffset>
            </wp:positionH>
            <wp:positionV relativeFrom="paragraph">
              <wp:posOffset>-7620</wp:posOffset>
            </wp:positionV>
            <wp:extent cx="11112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 Includes international secured services</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 Earnings of Affiliates</w:t>
      </w:r>
    </w:p>
    <w:p>
      <w:pPr>
        <w:spacing w:after="0" w:line="171"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Equity in earnings of affiliates for 2022, 2021 and 2020 includes the operating results of the Company’s joint ventures in SACS and GEOAmey. These joint ventures are accounted for under the equity method and the Company’s investments in SACS and GEOAmey are presented as a component of other non-current assets in the accompanying Consolidated Balance Sheets.</w:t>
      </w:r>
    </w:p>
    <w:p>
      <w:pPr>
        <w:spacing w:after="0" w:line="183" w:lineRule="exact"/>
        <w:rPr>
          <w:sz w:val="20"/>
          <w:szCs w:val="20"/>
          <w:color w:val="auto"/>
        </w:rPr>
      </w:pPr>
    </w:p>
    <w:p>
      <w:pPr>
        <w:ind w:right="280" w:firstLine="509"/>
        <w:spacing w:after="0" w:line="296" w:lineRule="auto"/>
        <w:rPr>
          <w:sz w:val="20"/>
          <w:szCs w:val="20"/>
          <w:color w:val="auto"/>
        </w:rPr>
      </w:pPr>
      <w:r>
        <w:rPr>
          <w:rFonts w:ascii="Arial" w:cs="Arial" w:eastAsia="Arial" w:hAnsi="Arial"/>
          <w:sz w:val="16"/>
          <w:szCs w:val="16"/>
          <w:color w:val="auto"/>
        </w:rPr>
        <w:t>The Company has recorded $2.5 million, $3.6 million and $3.7 million in earnings, net of tax impact, for SACS operations during the years ended December 31, 2022, 2021 and 2020, respectively, which are included in equity in earnings of affiliates, net of income tax provision in the accompanying Consolidated Statements of Operations. As of December 31, 2022 and 2021, the Company’s investment in SACS was $10.2 million and $10.3 million, respectively. The investment is included in other non-current assets in the accompanying Consolidated Balance Sheets. The Company received dividend distributions of $1.9 million and $3.1 million, in 2022 and 2021, respectively, from this unconsolidated joint venture.</w:t>
      </w:r>
    </w:p>
    <w:p>
      <w:pPr>
        <w:spacing w:after="0" w:line="160"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The Company has recorded $2.2 million, $3.6 million and $5.5 million in earnings, net of tax impact, for GEOAmey’s operations during the years ended December 31, 2022, 2021 and 2020, respectively, which are included in equity in earnings of affiliates, net of income tax provision, in the accompanying Consolidated Statements of Operations. As of December 31, 2022 and 2021, the Company’s investment in GEOAmey was $8.7 million and $10.1 million, respectively, and represents its share of cumulative reported earnings. The Company received dividend distributions of $2.6 million and $5.2 million in 2022 and 2021, respectively, from this unconsolidated joint venture. There were no dividend distributions in 2020.</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Concentration</w:t>
      </w:r>
    </w:p>
    <w:p>
      <w:pPr>
        <w:spacing w:after="0" w:line="171"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color w:val="auto"/>
        </w:rPr>
        <w:t>Except for the major customer noted in the following table, no other single customer made up greater than 10% of the Company’s consolidated revenues for the following fiscal years: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Customer</w:t>
            </w:r>
          </w:p>
        </w:tc>
        <w:tc>
          <w:tcPr>
            <w:tcW w:w="120" w:type="dxa"/>
            <w:vAlign w:val="bottom"/>
          </w:tcPr>
          <w:p>
            <w:pPr>
              <w:spacing w:after="0"/>
              <w:rPr>
                <w:sz w:val="16"/>
                <w:szCs w:val="16"/>
                <w:color w:val="auto"/>
              </w:rPr>
            </w:pPr>
          </w:p>
        </w:tc>
        <w:tc>
          <w:tcPr>
            <w:tcW w:w="15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224"/>
        </w:trPr>
        <w:tc>
          <w:tcPr>
            <w:tcW w:w="6480" w:type="dxa"/>
            <w:vAlign w:val="bottom"/>
          </w:tcPr>
          <w:p>
            <w:pPr>
              <w:ind w:left="20"/>
              <w:spacing w:after="0"/>
              <w:rPr>
                <w:sz w:val="20"/>
                <w:szCs w:val="20"/>
                <w:color w:val="auto"/>
              </w:rPr>
            </w:pPr>
            <w:r>
              <w:rPr>
                <w:rFonts w:ascii="Arial" w:cs="Arial" w:eastAsia="Arial" w:hAnsi="Arial"/>
                <w:sz w:val="18"/>
                <w:szCs w:val="18"/>
                <w:color w:val="auto"/>
              </w:rPr>
              <w:t>Various agencies of the U.S Federal Government:</w:t>
            </w:r>
          </w:p>
        </w:tc>
        <w:tc>
          <w:tcPr>
            <w:tcW w:w="120" w:type="dxa"/>
            <w:vAlign w:val="bottom"/>
          </w:tcPr>
          <w:p>
            <w:pPr>
              <w:spacing w:after="0"/>
              <w:rPr>
                <w:sz w:val="19"/>
                <w:szCs w:val="19"/>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64 %</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58 %</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concentrations above relate to the Company's U.S. Secure Services and its Electronic Monitoring and Supervision segments.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Credit risk related to accounts receivable is reflective of the related revenues.</w:t>
      </w:r>
    </w:p>
    <w:p>
      <w:pPr>
        <w:spacing w:after="0" w:line="200" w:lineRule="exact"/>
        <w:rPr>
          <w:sz w:val="20"/>
          <w:szCs w:val="20"/>
          <w:color w:val="auto"/>
        </w:rPr>
      </w:pPr>
    </w:p>
    <w:p>
      <w:pPr>
        <w:spacing w:after="0" w:line="24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84" w:right="279" w:bottom="1440" w:gutter="0" w:footer="0" w:header="0"/>
        </w:sectPr>
      </w:pPr>
    </w:p>
    <w:bookmarkStart w:id="129" w:name="page130"/>
    <w:bookmarkEnd w:id="129"/>
    <w:p>
      <w:pPr>
        <w:ind w:left="520" w:hanging="512"/>
        <w:spacing w:after="0"/>
        <w:tabs>
          <w:tab w:leader="none" w:pos="5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United States and foreign components of income before income taxes and equity in earnings in affiliates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214"/>
              <w:spacing w:after="0"/>
              <w:rPr>
                <w:sz w:val="20"/>
                <w:szCs w:val="20"/>
                <w:color w:val="auto"/>
              </w:rPr>
            </w:pPr>
            <w:r>
              <w:rPr>
                <w:rFonts w:ascii="Arial" w:cs="Arial" w:eastAsia="Arial" w:hAnsi="Arial"/>
                <w:sz w:val="14"/>
                <w:szCs w:val="14"/>
                <w:b w:val="1"/>
                <w:bCs w:val="1"/>
                <w:color w:val="auto"/>
                <w:w w:val="93"/>
              </w:rPr>
              <w:t>(In thousands)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taxes and equity in earnings in affiliates</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205,360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161,856</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96,428</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24,460</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30,966</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27,700</w:t>
            </w:r>
          </w:p>
        </w:tc>
        <w:tc>
          <w:tcPr>
            <w:tcW w:w="0" w:type="dxa"/>
            <w:vAlign w:val="bottom"/>
          </w:tcPr>
          <w:p>
            <w:pPr>
              <w:spacing w:after="0"/>
              <w:rPr>
                <w:sz w:val="1"/>
                <w:szCs w:val="1"/>
                <w:color w:val="auto"/>
              </w:rPr>
            </w:pPr>
          </w:p>
        </w:tc>
      </w:tr>
      <w:tr>
        <w:trPr>
          <w:trHeight w:val="236"/>
        </w:trPr>
        <w:tc>
          <w:tcPr>
            <w:tcW w:w="6620" w:type="dxa"/>
            <w:vAlign w:val="bottom"/>
          </w:tcPr>
          <w:p>
            <w:pPr>
              <w:ind w:left="380"/>
              <w:spacing w:after="0"/>
              <w:rPr>
                <w:sz w:val="20"/>
                <w:szCs w:val="20"/>
                <w:color w:val="auto"/>
              </w:rPr>
            </w:pPr>
            <w:r>
              <w:rPr>
                <w:rFonts w:ascii="Arial" w:cs="Arial" w:eastAsia="Arial" w:hAnsi="Arial"/>
                <w:sz w:val="18"/>
                <w:szCs w:val="18"/>
                <w:color w:val="auto"/>
              </w:rPr>
              <w:t>Income before income taxes and equity in earnings in affiliates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229,820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192,822</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124,128</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520"/>
              <w:spacing w:after="0"/>
              <w:rPr>
                <w:sz w:val="20"/>
                <w:szCs w:val="20"/>
                <w:color w:val="auto"/>
              </w:rPr>
            </w:pPr>
            <w:r>
              <w:rPr>
                <w:rFonts w:ascii="Arial" w:cs="Arial" w:eastAsia="Arial" w:hAnsi="Arial"/>
                <w:sz w:val="18"/>
                <w:szCs w:val="18"/>
                <w:color w:val="auto"/>
              </w:rPr>
              <w:t>The provision for income taxes consists of the following components: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6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214"/>
              <w:spacing w:after="0"/>
              <w:rPr>
                <w:sz w:val="20"/>
                <w:szCs w:val="20"/>
                <w:color w:val="auto"/>
              </w:rPr>
            </w:pPr>
            <w:r>
              <w:rPr>
                <w:rFonts w:ascii="Arial" w:cs="Arial" w:eastAsia="Arial" w:hAnsi="Arial"/>
                <w:sz w:val="14"/>
                <w:szCs w:val="14"/>
                <w:b w:val="1"/>
                <w:bCs w:val="1"/>
                <w:color w:val="auto"/>
                <w:w w:val="93"/>
              </w:rPr>
              <w:t>(In thousands)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 income taxes:</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Current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25,699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20,006</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8,259</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Deferred</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17,328</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71,202</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(255 )</w:t>
            </w:r>
          </w:p>
        </w:tc>
        <w:tc>
          <w:tcPr>
            <w:tcW w:w="0" w:type="dxa"/>
            <w:vAlign w:val="bottom"/>
          </w:tcPr>
          <w:p>
            <w:pPr>
              <w:spacing w:after="0"/>
              <w:rPr>
                <w:sz w:val="1"/>
                <w:szCs w:val="1"/>
                <w:color w:val="auto"/>
              </w:rPr>
            </w:pPr>
          </w:p>
        </w:tc>
      </w:tr>
      <w:tr>
        <w:trPr>
          <w:trHeight w:val="236"/>
        </w:trPr>
        <w:tc>
          <w:tcPr>
            <w:tcW w:w="6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43,027</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91,208</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8,004</w:t>
            </w:r>
          </w:p>
        </w:tc>
        <w:tc>
          <w:tcPr>
            <w:tcW w:w="0" w:type="dxa"/>
            <w:vAlign w:val="bottom"/>
          </w:tcPr>
          <w:p>
            <w:pPr>
              <w:spacing w:after="0"/>
              <w:rPr>
                <w:sz w:val="1"/>
                <w:szCs w:val="1"/>
                <w:color w:val="auto"/>
              </w:rPr>
            </w:pPr>
          </w:p>
        </w:tc>
      </w:tr>
      <w:tr>
        <w:trPr>
          <w:trHeight w:val="242"/>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State income taxes:</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Current</w:t>
            </w:r>
          </w:p>
        </w:tc>
        <w:tc>
          <w:tcPr>
            <w:tcW w:w="32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10,422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8,564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Deferred</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3,960</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18,587</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6"/>
        </w:trPr>
        <w:tc>
          <w:tcPr>
            <w:tcW w:w="6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14,382</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27,151</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42"/>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income taxes (benefit):</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Current</w:t>
            </w:r>
          </w:p>
        </w:tc>
        <w:tc>
          <w:tcPr>
            <w:tcW w:w="32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39,904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7,780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(3,163 )</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Deferred</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(34,414 )</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(3,409 )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11,429</w:t>
            </w:r>
          </w:p>
        </w:tc>
        <w:tc>
          <w:tcPr>
            <w:tcW w:w="0" w:type="dxa"/>
            <w:vAlign w:val="bottom"/>
          </w:tcPr>
          <w:p>
            <w:pPr>
              <w:spacing w:after="0"/>
              <w:rPr>
                <w:sz w:val="1"/>
                <w:szCs w:val="1"/>
                <w:color w:val="auto"/>
              </w:rPr>
            </w:pPr>
          </w:p>
        </w:tc>
      </w:tr>
      <w:tr>
        <w:trPr>
          <w:trHeight w:val="236"/>
        </w:trPr>
        <w:tc>
          <w:tcPr>
            <w:tcW w:w="6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5,490</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4,371</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8,266</w:t>
            </w:r>
          </w:p>
        </w:tc>
        <w:tc>
          <w:tcPr>
            <w:tcW w:w="0" w:type="dxa"/>
            <w:vAlign w:val="bottom"/>
          </w:tcPr>
          <w:p>
            <w:pPr>
              <w:spacing w:after="0"/>
              <w:rPr>
                <w:sz w:val="1"/>
                <w:szCs w:val="1"/>
                <w:color w:val="auto"/>
              </w:rPr>
            </w:pPr>
          </w:p>
        </w:tc>
      </w:tr>
      <w:tr>
        <w:trPr>
          <w:trHeight w:val="276"/>
        </w:trPr>
        <w:tc>
          <w:tcPr>
            <w:tcW w:w="66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U.S. and foreign provision for income taxes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62,899</w:t>
            </w: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122,730</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20,463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-2945130</wp:posOffset>
            </wp:positionV>
            <wp:extent cx="93980" cy="18859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-2945130</wp:posOffset>
            </wp:positionV>
            <wp:extent cx="93980" cy="18859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-1617345</wp:posOffset>
            </wp:positionV>
            <wp:extent cx="93980" cy="1714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-1617345</wp:posOffset>
            </wp:positionV>
            <wp:extent cx="93980" cy="1714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-984250</wp:posOffset>
            </wp:positionV>
            <wp:extent cx="93980" cy="1714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-984250</wp:posOffset>
            </wp:positionV>
            <wp:extent cx="93980" cy="1714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-350520</wp:posOffset>
            </wp:positionV>
            <wp:extent cx="93980" cy="1714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-350520</wp:posOffset>
            </wp:positionV>
            <wp:extent cx="93980" cy="1714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-24765</wp:posOffset>
            </wp:positionV>
            <wp:extent cx="939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939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-24765</wp:posOffset>
            </wp:positionV>
            <wp:extent cx="939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-7620</wp:posOffset>
            </wp:positionV>
            <wp:extent cx="939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statutory U.S. federal tax rate of 21% and the effective income tax rate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169"/>
        </w:trPr>
        <w:tc>
          <w:tcPr>
            <w:tcW w:w="6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253"/>
              <w:spacing w:after="0"/>
              <w:rPr>
                <w:sz w:val="20"/>
                <w:szCs w:val="20"/>
                <w:color w:val="auto"/>
              </w:rPr>
            </w:pPr>
            <w:r>
              <w:rPr>
                <w:rFonts w:ascii="Arial" w:cs="Arial" w:eastAsia="Arial" w:hAnsi="Arial"/>
                <w:sz w:val="14"/>
                <w:szCs w:val="14"/>
                <w:b w:val="1"/>
                <w:bCs w:val="1"/>
                <w:color w:val="auto"/>
                <w:w w:val="95"/>
              </w:rPr>
              <w:t>(In thousands)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Provisions using statutory federal income tax rate</w:t>
            </w: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0"/>
              </w:rPr>
              <w:t>48,262</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40,492</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26,067</w:t>
            </w: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State income taxes, net of federal tax benefit</w:t>
            </w:r>
          </w:p>
        </w:tc>
        <w:tc>
          <w:tcPr>
            <w:tcW w:w="82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12,738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7,921</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3,099</w:t>
            </w: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REIT benefit</w:t>
            </w:r>
          </w:p>
        </w:tc>
        <w:tc>
          <w:tcPr>
            <w:tcW w:w="82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(12,271 )</w:t>
            </w: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8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(242 )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389</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(1,775 )</w:t>
            </w: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 tax credits</w:t>
            </w:r>
          </w:p>
        </w:tc>
        <w:tc>
          <w:tcPr>
            <w:tcW w:w="8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(1,742 )</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(2,015 )</w:t>
            </w: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Foreign income taxes</w:t>
            </w:r>
          </w:p>
        </w:tc>
        <w:tc>
          <w:tcPr>
            <w:tcW w:w="82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1,932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3,802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1,373</w:t>
            </w: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 impact of vested equity compensation</w:t>
            </w:r>
          </w:p>
        </w:tc>
        <w:tc>
          <w:tcPr>
            <w:tcW w:w="82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2,100</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3,621</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3,628</w:t>
            </w: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Impact of REIT termination</w:t>
            </w:r>
          </w:p>
        </w:tc>
        <w:tc>
          <w:tcPr>
            <w:tcW w:w="82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70,813</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contingent tax liability</w:t>
            </w:r>
          </w:p>
        </w:tc>
        <w:tc>
          <w:tcPr>
            <w:tcW w:w="82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452</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(4,339 )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143</w:t>
            </w: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Asset divestiture</w:t>
            </w:r>
          </w:p>
        </w:tc>
        <w:tc>
          <w:tcPr>
            <w:tcW w:w="8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3"/>
              </w:rPr>
              <w:t>(5,596 )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net</w:t>
            </w:r>
          </w:p>
        </w:tc>
        <w:tc>
          <w:tcPr>
            <w:tcW w:w="8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4,995</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1,445</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2,214</w:t>
            </w: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Total provision for income taxes</w:t>
            </w: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62,899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122,730</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20,463</w:t>
            </w:r>
          </w:p>
        </w:tc>
      </w:tr>
      <w:tr>
        <w:trPr>
          <w:trHeight w:val="20"/>
        </w:trPr>
        <w:tc>
          <w:tcPr>
            <w:tcW w:w="6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-187960</wp:posOffset>
            </wp:positionV>
            <wp:extent cx="93980" cy="18859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-187960</wp:posOffset>
            </wp:positionV>
            <wp:extent cx="93980" cy="18859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effective tax rate differs from the U.S. statutory rate of 21% primarily due to lower taxes on an asset divestiture in 2022</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of $5.6 million, non-cash tax expense related to the termination of the REIT status in 2021 of $70.8 million and lower taxes due to a zero tax rate on earnings generated by the Company's REIT operations while a REIT in 2020 of $12.3 million. Additionally, taxes differ due to state income taxes and foreign income taxes in excess of the US statutory rate in the presented periods. State income taxes, net of federal tax benefits of $12.7 million, $7.9 million and $3.1 million were incurred in 2022, 2021 and 2020, respectively.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0" w:name="page131"/>
    <w:bookmarkEnd w:id="130"/>
    <w:p>
      <w:pPr>
        <w:ind w:right="60" w:firstLine="509"/>
        <w:spacing w:after="0" w:line="277" w:lineRule="auto"/>
        <w:rPr>
          <w:sz w:val="20"/>
          <w:szCs w:val="20"/>
          <w:color w:val="auto"/>
        </w:rPr>
      </w:pPr>
      <w:r>
        <w:rPr>
          <w:rFonts w:ascii="Arial" w:cs="Arial" w:eastAsia="Arial" w:hAnsi="Arial"/>
          <w:sz w:val="18"/>
          <w:szCs w:val="18"/>
          <w:color w:val="auto"/>
        </w:rPr>
        <w:t>The following table presents the breakdown between non-current net deferred tax assets as classified on the balance sheets as of December 31, 2022 and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r>
      <w:tr>
        <w:trPr>
          <w:trHeight w:val="169"/>
        </w:trPr>
        <w:tc>
          <w:tcPr>
            <w:tcW w:w="7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4"/>
                <w:szCs w:val="14"/>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 - non-current</w:t>
            </w:r>
          </w:p>
        </w:tc>
        <w:tc>
          <w:tcPr>
            <w:tcW w:w="98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8,005</w:t>
            </w:r>
          </w:p>
        </w:tc>
        <w:tc>
          <w:tcPr>
            <w:tcW w:w="64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Deferred tax liabilities - non-current</w:t>
            </w:r>
          </w:p>
        </w:tc>
        <w:tc>
          <w:tcPr>
            <w:tcW w:w="9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(75,849 )</w:t>
            </w: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(80,768 )</w:t>
            </w:r>
          </w:p>
        </w:tc>
      </w:tr>
      <w:tr>
        <w:trPr>
          <w:trHeight w:val="276"/>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net deferred tax assets</w:t>
            </w:r>
          </w:p>
        </w:tc>
        <w:tc>
          <w:tcPr>
            <w:tcW w:w="98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(67,844 )</w:t>
            </w:r>
          </w:p>
        </w:tc>
        <w:tc>
          <w:tcPr>
            <w:tcW w:w="1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(80,768 )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-24765</wp:posOffset>
            </wp:positionV>
            <wp:extent cx="1111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1111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significant components of the Company's deferred tax assets and liabilities consisted of the following as of December 31, 2022 and 2021: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80" w:type="dxa"/>
            <w:vAlign w:val="bottom"/>
          </w:tcPr>
          <w:p>
            <w:pPr>
              <w:spacing w:after="0"/>
              <w:rPr>
                <w:sz w:val="20"/>
                <w:szCs w:val="20"/>
                <w:color w:val="auto"/>
              </w:rPr>
            </w:pPr>
          </w:p>
        </w:tc>
        <w:tc>
          <w:tcPr>
            <w:tcW w:w="19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operating losses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17,457</w:t>
            </w:r>
          </w:p>
        </w:tc>
        <w:tc>
          <w:tcPr>
            <w:tcW w:w="64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18,022</w:t>
            </w:r>
          </w:p>
        </w:tc>
      </w:tr>
      <w:tr>
        <w:trPr>
          <w:trHeight w:val="236"/>
        </w:trPr>
        <w:tc>
          <w:tcPr>
            <w:tcW w:w="772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34,333</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29,473</w:t>
            </w: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compensation</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14,437</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19,052</w:t>
            </w:r>
          </w:p>
        </w:tc>
      </w:tr>
      <w:tr>
        <w:trPr>
          <w:trHeight w:val="236"/>
        </w:trPr>
        <w:tc>
          <w:tcPr>
            <w:tcW w:w="772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38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6,928</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6,694</w:t>
            </w: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1,654</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21,134</w:t>
            </w:r>
          </w:p>
        </w:tc>
      </w:tr>
      <w:tr>
        <w:trPr>
          <w:trHeight w:val="236"/>
        </w:trPr>
        <w:tc>
          <w:tcPr>
            <w:tcW w:w="7720" w:type="dxa"/>
            <w:vAlign w:val="bottom"/>
          </w:tcPr>
          <w:p>
            <w:pPr>
              <w:ind w:left="200"/>
              <w:spacing w:after="0"/>
              <w:rPr>
                <w:sz w:val="20"/>
                <w:szCs w:val="20"/>
                <w:color w:val="auto"/>
              </w:rPr>
            </w:pPr>
            <w:r>
              <w:rPr>
                <w:rFonts w:ascii="Arial" w:cs="Arial" w:eastAsia="Arial" w:hAnsi="Arial"/>
                <w:sz w:val="18"/>
                <w:szCs w:val="18"/>
                <w:color w:val="auto"/>
              </w:rPr>
              <w:t>Tax credits</w:t>
            </w:r>
          </w:p>
        </w:tc>
        <w:tc>
          <w:tcPr>
            <w:tcW w:w="38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4,423</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3,065</w:t>
            </w: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Equity awards</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3,322</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3,694</w:t>
            </w:r>
          </w:p>
        </w:tc>
      </w:tr>
      <w:tr>
        <w:trPr>
          <w:trHeight w:val="236"/>
        </w:trPr>
        <w:tc>
          <w:tcPr>
            <w:tcW w:w="7720" w:type="dxa"/>
            <w:vAlign w:val="bottom"/>
          </w:tcPr>
          <w:p>
            <w:pPr>
              <w:ind w:left="200"/>
              <w:spacing w:after="0"/>
              <w:rPr>
                <w:sz w:val="20"/>
                <w:szCs w:val="20"/>
                <w:color w:val="auto"/>
              </w:rPr>
            </w:pPr>
            <w:r>
              <w:rPr>
                <w:rFonts w:ascii="Arial" w:cs="Arial" w:eastAsia="Arial" w:hAnsi="Arial"/>
                <w:sz w:val="18"/>
                <w:szCs w:val="18"/>
                <w:color w:val="auto"/>
              </w:rPr>
              <w:t>Operating lease liability</w:t>
            </w:r>
          </w:p>
        </w:tc>
        <w:tc>
          <w:tcPr>
            <w:tcW w:w="38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23,556</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28,756</w:t>
            </w: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net</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910</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1,212</w:t>
            </w:r>
          </w:p>
        </w:tc>
      </w:tr>
      <w:tr>
        <w:trPr>
          <w:trHeight w:val="236"/>
        </w:trPr>
        <w:tc>
          <w:tcPr>
            <w:tcW w:w="7720" w:type="dxa"/>
            <w:vAlign w:val="bottom"/>
          </w:tcPr>
          <w:p>
            <w:pPr>
              <w:ind w:left="20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(21,016 )</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(19,322 )</w:t>
            </w: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deferred tax assets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86,004</w:t>
            </w:r>
          </w:p>
        </w:tc>
        <w:tc>
          <w:tcPr>
            <w:tcW w:w="1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111,780</w:t>
            </w: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9"/>
        </w:trPr>
        <w:tc>
          <w:tcPr>
            <w:tcW w:w="7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Depreciation</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(85,402 )</w:t>
            </w:r>
          </w:p>
        </w:tc>
        <w:tc>
          <w:tcPr>
            <w:tcW w:w="64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(59,057 )</w:t>
            </w:r>
          </w:p>
        </w:tc>
      </w:tr>
      <w:tr>
        <w:trPr>
          <w:trHeight w:val="236"/>
        </w:trPr>
        <w:tc>
          <w:tcPr>
            <w:tcW w:w="7720" w:type="dxa"/>
            <w:vAlign w:val="bottom"/>
          </w:tcPr>
          <w:p>
            <w:pPr>
              <w:ind w:left="200"/>
              <w:spacing w:after="0"/>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(46,228 )</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(48,935 )</w:t>
            </w: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Capitalized transaction costs</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(15,229 )</w:t>
            </w:r>
          </w:p>
        </w:tc>
      </w:tr>
      <w:tr>
        <w:trPr>
          <w:trHeight w:val="236"/>
        </w:trPr>
        <w:tc>
          <w:tcPr>
            <w:tcW w:w="7720" w:type="dxa"/>
            <w:vAlign w:val="bottom"/>
          </w:tcPr>
          <w:p>
            <w:pPr>
              <w:ind w:left="200"/>
              <w:spacing w:after="0"/>
              <w:rPr>
                <w:sz w:val="20"/>
                <w:szCs w:val="20"/>
                <w:color w:val="auto"/>
              </w:rPr>
            </w:pPr>
            <w:r>
              <w:rPr>
                <w:rFonts w:ascii="Arial" w:cs="Arial" w:eastAsia="Arial" w:hAnsi="Arial"/>
                <w:sz w:val="18"/>
                <w:szCs w:val="18"/>
                <w:color w:val="auto"/>
              </w:rPr>
              <w:t>Accounting method change</w:t>
            </w:r>
          </w:p>
        </w:tc>
        <w:tc>
          <w:tcPr>
            <w:tcW w:w="38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(2,334 )</w:t>
            </w: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expenses and other</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(16 )</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(39,739 )</w:t>
            </w:r>
          </w:p>
        </w:tc>
      </w:tr>
      <w:tr>
        <w:trPr>
          <w:trHeight w:val="236"/>
        </w:trPr>
        <w:tc>
          <w:tcPr>
            <w:tcW w:w="772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Lease right-of-use assets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(22,202 )</w:t>
            </w:r>
          </w:p>
        </w:tc>
        <w:tc>
          <w:tcPr>
            <w:tcW w:w="180" w:type="dxa"/>
            <w:vAlign w:val="bottom"/>
            <w:tcBorders>
              <w:bottom w:val="single" w:sz="8" w:color="CFF0FC"/>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(27,254 )</w:t>
            </w: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deferred tax liabilities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(153,848 )</w:t>
            </w:r>
          </w:p>
        </w:tc>
        <w:tc>
          <w:tcPr>
            <w:tcW w:w="1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(192,548 )</w:t>
            </w:r>
          </w:p>
        </w:tc>
      </w:tr>
      <w:tr>
        <w:trPr>
          <w:trHeight w:val="242"/>
        </w:trPr>
        <w:tc>
          <w:tcPr>
            <w:tcW w:w="7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40" w:type="dxa"/>
            <w:vAlign w:val="bottom"/>
            <w:gridSpan w:val="2"/>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net deferred tax assets (liabilities)</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(67,844 )</w:t>
            </w:r>
          </w:p>
        </w:tc>
        <w:tc>
          <w:tcPr>
            <w:tcW w:w="18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(80,768 )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-1600835</wp:posOffset>
            </wp:positionV>
            <wp:extent cx="111125" cy="16256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-525780</wp:posOffset>
            </wp:positionV>
            <wp:extent cx="7132320" cy="34671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34671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-24765</wp:posOffset>
            </wp:positionV>
            <wp:extent cx="1111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111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8"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Deferred income taxes should be reduced by a valuation allowance if it is not more likely than not that some portion or all of the deferred tax assets will be realized. On a periodic basis, management evaluates and determines the amount of the valuation allowance required and adjusts such valuation allowance accordingly. At year end 2022 and 2021, the Company has a valuation allowance of $21.0 million and $19.3 million, respectively related to deferred tax assets for foreign net operating losses and foreign tax credits, state net operating losses and state tax credits. The valuation allowance increased by $1.7 million during the year ended December 31, 2022 related to certain deferred tax assets increases that were not benefited.</w:t>
      </w:r>
    </w:p>
    <w:p>
      <w:pPr>
        <w:spacing w:after="0" w:line="160" w:lineRule="exact"/>
        <w:rPr>
          <w:sz w:val="20"/>
          <w:szCs w:val="20"/>
          <w:color w:val="auto"/>
        </w:rPr>
      </w:pPr>
    </w:p>
    <w:p>
      <w:pPr>
        <w:ind w:right="100" w:firstLine="509"/>
        <w:spacing w:after="0" w:line="301" w:lineRule="auto"/>
        <w:rPr>
          <w:sz w:val="20"/>
          <w:szCs w:val="20"/>
          <w:color w:val="auto"/>
        </w:rPr>
      </w:pPr>
      <w:r>
        <w:rPr>
          <w:rFonts w:ascii="Arial" w:cs="Arial" w:eastAsia="Arial" w:hAnsi="Arial"/>
          <w:sz w:val="16"/>
          <w:szCs w:val="16"/>
          <w:color w:val="auto"/>
        </w:rPr>
        <w:t>The Company provides income taxes on the undistributed earnings of non-U.S. subsidiaries except to the extent that such earnings are permanently invested outside the United States. At December 31, 2022, $10.2 million of accumulated undistributed earnings of non-U.S. subsidiaries were permanently invested outside the United States. At the existing U.S. federal income and applicable foreign withholding tax rates, additional taxes (net of foreign tax credits) of $0.5 million, consisting solely of withholding taxes, would have to be provided if such earnings were remitted currently.</w:t>
      </w:r>
    </w:p>
    <w:p>
      <w:pPr>
        <w:spacing w:after="0" w:line="156"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At December 31, 2022, the Company had no Federal net operating loss carryforwards and $210.0 million of combined net operating loss carryforwards in various states which will begin to expire in 2023. The Company has recorded a partial valuation allowance against the deferred tax assets related to the state operating losses.</w:t>
      </w:r>
    </w:p>
    <w:p>
      <w:pPr>
        <w:spacing w:after="0" w:line="183"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Also, as of the year ended December 31, 2022, the Company had $14.0 million of foreign operating losses which carry forward indefinitely and $1.9 million of state tax credits which will begin to expire in 2023. The Company has recorded a partial valuation allowance against the deferred tax assets related to the foreign operating losses and state tax credits.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31" w:name="page132"/>
    <w:bookmarkEnd w:id="131"/>
    <w:p>
      <w:pPr>
        <w:ind w:right="140" w:firstLine="509"/>
        <w:spacing w:after="0" w:line="293" w:lineRule="auto"/>
        <w:rPr>
          <w:sz w:val="20"/>
          <w:szCs w:val="20"/>
          <w:color w:val="auto"/>
        </w:rPr>
      </w:pPr>
      <w:r>
        <w:rPr>
          <w:rFonts w:ascii="Arial" w:cs="Arial" w:eastAsia="Arial" w:hAnsi="Arial"/>
          <w:sz w:val="16"/>
          <w:szCs w:val="16"/>
          <w:color w:val="auto"/>
        </w:rPr>
        <w:t>The Company recognizes the cost of employee services received in exchange for awards of equity instruments based upon the grant date fair value of those awards. The exercise of non-qualified stock options and vesting of restricted stock awards which have been granted under the Company’s equity award plans give rise to compensation income which is includable in the taxable income of the applicable employees and the majority of which is deductible by the Company for federal and state income tax purposes. In the case of non-qualified stock options, the compensation income results from increases in the fair market value of the Company's common stock subsequent to the date of grant. At December 31, 2022, the deferred tax asset related to unexercised stock options and restricted stock grants for which the Company has recorded a book expense was $3.3 million.</w:t>
      </w:r>
    </w:p>
    <w:p>
      <w:pPr>
        <w:spacing w:after="0" w:line="163" w:lineRule="exact"/>
        <w:rPr>
          <w:sz w:val="20"/>
          <w:szCs w:val="20"/>
          <w:color w:val="auto"/>
        </w:rPr>
      </w:pPr>
    </w:p>
    <w:p>
      <w:pPr>
        <w:ind w:right="280" w:firstLine="509"/>
        <w:spacing w:after="0" w:line="311" w:lineRule="auto"/>
        <w:rPr>
          <w:sz w:val="20"/>
          <w:szCs w:val="20"/>
          <w:color w:val="auto"/>
        </w:rPr>
      </w:pPr>
      <w:r>
        <w:rPr>
          <w:rFonts w:ascii="Arial" w:cs="Arial" w:eastAsia="Arial" w:hAnsi="Arial"/>
          <w:sz w:val="16"/>
          <w:szCs w:val="16"/>
          <w:color w:val="auto"/>
        </w:rPr>
        <w:t>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 ultimate settlement with the relevant tax authority.</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169"/>
        </w:trPr>
        <w:tc>
          <w:tcPr>
            <w:tcW w:w="6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255"/>
              <w:spacing w:after="0"/>
              <w:rPr>
                <w:sz w:val="20"/>
                <w:szCs w:val="20"/>
                <w:color w:val="auto"/>
              </w:rPr>
            </w:pPr>
            <w:r>
              <w:rPr>
                <w:rFonts w:ascii="Arial" w:cs="Arial" w:eastAsia="Arial" w:hAnsi="Arial"/>
                <w:sz w:val="14"/>
                <w:szCs w:val="14"/>
                <w:b w:val="1"/>
                <w:bCs w:val="1"/>
                <w:color w:val="auto"/>
                <w:w w:val="95"/>
              </w:rPr>
              <w:t>(In thousands)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Beginning of Period</w:t>
            </w: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1,105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5,623</w:t>
            </w: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5,469</w:t>
            </w: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Additions based on tax positions related to the current year</w:t>
            </w:r>
          </w:p>
        </w:tc>
        <w:tc>
          <w:tcPr>
            <w:tcW w:w="86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581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44</w:t>
            </w: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Additions for tax positions of prior years</w:t>
            </w:r>
          </w:p>
        </w:tc>
        <w:tc>
          <w:tcPr>
            <w:tcW w:w="86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166</w:t>
            </w: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Reductions as a result of a lapse of applicable statutes of limitations</w:t>
            </w:r>
          </w:p>
        </w:tc>
        <w:tc>
          <w:tcPr>
            <w:tcW w:w="8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(223 )</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(4,708 )</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(56 )</w:t>
            </w: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End of Period</w:t>
            </w: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1,520</w:t>
            </w: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1,105</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5,623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-24765</wp:posOffset>
            </wp:positionV>
            <wp:extent cx="939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939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-24765</wp:posOffset>
            </wp:positionV>
            <wp:extent cx="939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-7620</wp:posOffset>
            </wp:positionV>
            <wp:extent cx="939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8"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color w:val="auto"/>
        </w:rPr>
        <w:t>All amounts in the reconciliation are reported on a gross basis and do not reflect a federal tax benefit on state income taxes. The Company has accrued $1.5 million of accrued uncertain tax benefits as of December 31, 2022 which is inclusive of the federal tax benefit on state income taxes. The Company believes that it is reasonably possible that a decrease may be necessary in the unrecognized tax benefits within twelve months of the reporting date of approximately $0.1 million, related to state tax exposures, due to a lapse of the statute of limitation. The accrued uncertain tax balance at December 31, 2022 includes $1.5 million of unrecognized tax benefits which, if ultimately recognized, will reduce the Company’s annual effective tax rate.</w:t>
      </w:r>
    </w:p>
    <w:p>
      <w:pPr>
        <w:spacing w:after="0" w:line="160" w:lineRule="exact"/>
        <w:rPr>
          <w:sz w:val="20"/>
          <w:szCs w:val="20"/>
          <w:color w:val="auto"/>
        </w:rPr>
      </w:pPr>
    </w:p>
    <w:p>
      <w:pPr>
        <w:ind w:right="340" w:firstLine="509"/>
        <w:spacing w:after="0" w:line="311" w:lineRule="auto"/>
        <w:rPr>
          <w:sz w:val="20"/>
          <w:szCs w:val="20"/>
          <w:color w:val="auto"/>
        </w:rPr>
      </w:pPr>
      <w:r>
        <w:rPr>
          <w:rFonts w:ascii="Arial" w:cs="Arial" w:eastAsia="Arial" w:hAnsi="Arial"/>
          <w:sz w:val="16"/>
          <w:szCs w:val="16"/>
          <w:color w:val="auto"/>
        </w:rPr>
        <w:t>The Company is subject to income taxes in the U.S. federal jurisdiction, and various states and foreign jurisdictions. Tax regulations within each jurisdiction are subject to the interpretation of the related tax laws and regulations and require significant judgment to apply. With few exceptions, the Company is no longer subject to U.S. federal, state and local, or non-U.S. income tax examinations by tax authorities for the years before 2018.</w:t>
      </w:r>
    </w:p>
    <w:p>
      <w:pPr>
        <w:spacing w:after="0" w:line="148"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The calculation of the Company’s provision (benefit) for income taxes requires the use of significant judgment and involves dealing with uncertainties in the application of complex tax laws and regulations. In determining the adequacy of the Company’s provision (benefit) for income taxes, potential settlement outcomes resulting from income tax examinations are regularly assessed. As such, the final outcome of tax examinations, including the total amount payable or the timing of any such payments upon resolution of these issues, cannot be estimated with certainty.</w:t>
      </w:r>
    </w:p>
    <w:p>
      <w:pPr>
        <w:spacing w:after="0" w:line="170" w:lineRule="exact"/>
        <w:rPr>
          <w:sz w:val="20"/>
          <w:szCs w:val="20"/>
          <w:color w:val="auto"/>
        </w:rPr>
      </w:pPr>
    </w:p>
    <w:p>
      <w:pPr>
        <w:ind w:right="200" w:firstLine="509"/>
        <w:spacing w:after="0" w:line="255" w:lineRule="auto"/>
        <w:rPr>
          <w:sz w:val="20"/>
          <w:szCs w:val="20"/>
          <w:color w:val="auto"/>
        </w:rPr>
      </w:pPr>
      <w:r>
        <w:rPr>
          <w:rFonts w:ascii="Arial" w:cs="Arial" w:eastAsia="Arial" w:hAnsi="Arial"/>
          <w:sz w:val="18"/>
          <w:szCs w:val="18"/>
          <w:color w:val="auto"/>
        </w:rPr>
        <w:t>During the year ended December 31, 2021, the Company recognized a net decrease in interest of $0.2 million related to the change of unrecognized tax benefits noted above. The net decrease in interest during the year ended December 31, 2022 was not significant. During the year ended December 31, 2022, the Company recorded a potential penalty of $0.1 million. There was no potential penalty recorded during the year ended December 31, 2021. The Company had approximately $0.1 million for the payment of interest and penalties accrued at December 31, 2022. The amount accrued for the payment of interest and penalties was not significant at December 31, 2021. The Company classifies interest and penalties as interest expense and operating expense, respectively.</w:t>
      </w:r>
    </w:p>
    <w:p>
      <w:pPr>
        <w:spacing w:after="0" w:line="214" w:lineRule="exact"/>
        <w:rPr>
          <w:sz w:val="20"/>
          <w:szCs w:val="20"/>
          <w:color w:val="auto"/>
        </w:rPr>
      </w:pPr>
    </w:p>
    <w:p>
      <w:pPr>
        <w:ind w:left="600" w:hanging="592"/>
        <w:spacing w:after="0"/>
        <w:tabs>
          <w:tab w:leader="none" w:pos="6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Other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Collective Bargaining Agreements</w:t>
      </w:r>
    </w:p>
    <w:p>
      <w:pPr>
        <w:spacing w:after="0" w:line="171"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 Company had approximately 47% of its workforce covered by collective bargaining agreements at December 31, 2022. Collective bargaining agreements with 9% of employees are set to expire in less than one year.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Developments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32" w:name="page133"/>
    <w:bookmarkEnd w:id="132"/>
    <w:p>
      <w:pPr>
        <w:ind w:right="1780" w:firstLine="90"/>
        <w:spacing w:after="0" w:line="277" w:lineRule="auto"/>
        <w:rPr>
          <w:sz w:val="20"/>
          <w:szCs w:val="20"/>
          <w:color w:val="auto"/>
        </w:rPr>
      </w:pPr>
      <w:r>
        <w:rPr>
          <w:rFonts w:ascii="Arial" w:cs="Arial" w:eastAsia="Arial" w:hAnsi="Arial"/>
          <w:sz w:val="18"/>
          <w:szCs w:val="18"/>
          <w:color w:val="auto"/>
        </w:rPr>
        <w:t>Effective April 6, 2022, Delaware County, Pennsylvania took over management of the managed-only George W. Hill Correctional Facility.</w:t>
      </w:r>
    </w:p>
    <w:p>
      <w:pPr>
        <w:spacing w:after="0" w:line="169" w:lineRule="exact"/>
        <w:rPr>
          <w:sz w:val="20"/>
          <w:szCs w:val="20"/>
          <w:color w:val="auto"/>
        </w:rPr>
      </w:pPr>
    </w:p>
    <w:p>
      <w:pPr>
        <w:ind w:right="100" w:firstLine="90"/>
        <w:spacing w:after="0" w:line="277" w:lineRule="auto"/>
        <w:rPr>
          <w:sz w:val="20"/>
          <w:szCs w:val="20"/>
          <w:color w:val="auto"/>
        </w:rPr>
      </w:pPr>
      <w:r>
        <w:rPr>
          <w:rFonts w:ascii="Arial" w:cs="Arial" w:eastAsia="Arial" w:hAnsi="Arial"/>
          <w:sz w:val="18"/>
          <w:szCs w:val="18"/>
          <w:color w:val="auto"/>
        </w:rPr>
        <w:t>The Company's contract with the BOP for its company-owned North Lake Correctional Facility in Michigan expired at the end of September 2022. As of December 31, 2022, the Company no longer has any contracts with the BOP for secure correctional facilities.</w:t>
      </w:r>
    </w:p>
    <w:p>
      <w:pPr>
        <w:spacing w:after="0" w:line="169" w:lineRule="exact"/>
        <w:rPr>
          <w:sz w:val="20"/>
          <w:szCs w:val="20"/>
          <w:color w:val="auto"/>
        </w:rPr>
      </w:pPr>
    </w:p>
    <w:p>
      <w:pPr>
        <w:ind w:right="260" w:firstLine="90"/>
        <w:spacing w:after="0" w:line="277" w:lineRule="auto"/>
        <w:rPr>
          <w:sz w:val="20"/>
          <w:szCs w:val="20"/>
          <w:color w:val="auto"/>
        </w:rPr>
      </w:pPr>
      <w:r>
        <w:rPr>
          <w:rFonts w:ascii="Arial" w:cs="Arial" w:eastAsia="Arial" w:hAnsi="Arial"/>
          <w:sz w:val="18"/>
          <w:szCs w:val="18"/>
          <w:color w:val="auto"/>
        </w:rPr>
        <w:t>The Company received a contract extension with the USMS extending to September 2023 for its company-leased Western Region Detention Facility in California.</w:t>
      </w:r>
    </w:p>
    <w:p>
      <w:pPr>
        <w:spacing w:after="0" w:line="16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 October 2022, the Company signed a five-year contract renewal for the 780-bed Florence West Correctional and Rehabilitation Facility in Arizona.</w:t>
      </w:r>
    </w:p>
    <w:p>
      <w:pPr>
        <w:spacing w:after="0" w:line="248" w:lineRule="exact"/>
        <w:rPr>
          <w:sz w:val="20"/>
          <w:szCs w:val="20"/>
          <w:color w:val="auto"/>
        </w:rPr>
      </w:pPr>
    </w:p>
    <w:p>
      <w:pPr>
        <w:ind w:left="140"/>
        <w:spacing w:after="0"/>
        <w:rPr>
          <w:sz w:val="20"/>
          <w:szCs w:val="20"/>
          <w:color w:val="auto"/>
        </w:rPr>
      </w:pPr>
      <w:r>
        <w:rPr>
          <w:rFonts w:ascii="Arial" w:cs="Arial" w:eastAsia="Arial" w:hAnsi="Arial"/>
          <w:sz w:val="17"/>
          <w:szCs w:val="17"/>
          <w:color w:val="auto"/>
        </w:rPr>
        <w:t>In December 2022, the Company signed a two-year contract renewal for the 3,400-bed Kingman Correctional and Rehabilitation Facility in Arizona.</w:t>
      </w:r>
    </w:p>
    <w:p>
      <w:pPr>
        <w:spacing w:after="0" w:line="236" w:lineRule="exact"/>
        <w:rPr>
          <w:sz w:val="20"/>
          <w:szCs w:val="20"/>
          <w:color w:val="auto"/>
        </w:rPr>
      </w:pPr>
    </w:p>
    <w:p>
      <w:pPr>
        <w:ind w:right="240" w:firstLine="135"/>
        <w:spacing w:after="0" w:line="277" w:lineRule="auto"/>
        <w:rPr>
          <w:sz w:val="20"/>
          <w:szCs w:val="20"/>
          <w:color w:val="auto"/>
        </w:rPr>
      </w:pPr>
      <w:r>
        <w:rPr>
          <w:rFonts w:ascii="Arial" w:cs="Arial" w:eastAsia="Arial" w:hAnsi="Arial"/>
          <w:sz w:val="18"/>
          <w:szCs w:val="18"/>
          <w:color w:val="auto"/>
        </w:rPr>
        <w:t>During the fourth quarter of 2022, the Company was notified by the USMS of the agency's intent to exercise the five-year contract option period for its 768-bed Robert Deyton Facility in Georgia.</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During the fourth quarter of 2022, the Company renewed five residential reentry contracts, including four contracts with the BOP.</w:t>
      </w:r>
    </w:p>
    <w:p>
      <w:pPr>
        <w:spacing w:after="0" w:line="225" w:lineRule="exact"/>
        <w:rPr>
          <w:sz w:val="20"/>
          <w:szCs w:val="20"/>
          <w:color w:val="auto"/>
        </w:rPr>
      </w:pPr>
    </w:p>
    <w:p>
      <w:pPr>
        <w:ind w:firstLine="180"/>
        <w:spacing w:after="0" w:line="263" w:lineRule="auto"/>
        <w:rPr>
          <w:sz w:val="20"/>
          <w:szCs w:val="20"/>
          <w:color w:val="auto"/>
        </w:rPr>
      </w:pPr>
      <w:r>
        <w:rPr>
          <w:rFonts w:ascii="Arial" w:cs="Arial" w:eastAsia="Arial" w:hAnsi="Arial"/>
          <w:sz w:val="18"/>
          <w:szCs w:val="18"/>
          <w:color w:val="auto"/>
        </w:rPr>
        <w:t>On January 9, 2023, the Company announced that its Australian subsidiary, GEO Australia, had entered into a contract with the Department of Justice and Community Safety in the State of Victoria for delivery of primary health services across thirteen public prisons. The contract will commence on July 1, 2023.</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71"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As of December 31, 2022, the Company had contractually required commitments for a number of projects using existing Company financing facilities. The Company’s management estimates that these existing contractually required capital projects will cost approximately $42.2 million, of which $19.5 million was spent through 2022. The Company estimates the remaining capital requirements related to these contractually required capital projects to be approximately $22.7 million. These projects are expected to be completed through 2023.</w:t>
      </w:r>
    </w:p>
    <w:p>
      <w:pPr>
        <w:spacing w:after="0" w:line="185"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In addition to these current estimated capital requirements, the Company is currently in the process of bidding on, or evaluating potential bids for the design, construction and management of a number of new projects. In the event that the Company wins bids for these projects and decides to self-finance their construction, its capital requirements could materially increase.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Claims and Assessments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Shareholder and Derivative Litigation</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July 7, 2020, a putative shareholder class action lawsuit was filed against the Company and its officers George C. Zoley and Brian R. Evans, in the U.S. District Court for the Southern District of Florida. On November 18, 2020, the lead plaintiffs, James Michael DeLoach and Edward Oketola, filed a consolidated class action amended complaint against Messrs. Zoley and Evans––as well as then current and former Company officers J. David Donahue and Ann M. Schlarb. On September 23, 2021, the court dismissed all claims against Messrs. Evans and Donahue, and Ms. Schlarb, and dismissed all claims against GEO and Mr. Zoley other than claims related to GEO's disclosures about pending litigation. On October 4, 2021, plaintiffs filed a consolidated class action second amended complaint. The second amended complaint alleges that GEO and Mr. Zoley violated Sections 10(b) and 20(a) of the Securities Exchange Act of 1934 (the “Exchange Act”), and Rule 10b-5 promulgated thereunder, and alleges that Mr. Zoley violated Section 20(a) of the Exchange Act, by making materially false and misleading statements and/or omissions related to pending litigation, and seeks relief individually and on behalf of a putative class consisting of all persons and entities––other than the defendants, the officers and directors of the Company, members of their immediate families and their legal representatives, heirs, successors or assigns and any entity in which the defendants have or had a controlling interest––who purchased or otherwise acquired the Company’s securities during the alleged class period from November 9, 2018 to August 5, 2020, inclusive. The second amended complaint seeks damages, interest, attorneys’ fees, expert fees, other costs, and such other relief as the court may deem proper. On June 21, 2022, the court dismissed all claims in the second amended complaint other than those related to the Company’s statements about pending lawsuits made prior to July 17, 2019.</w:t>
      </w:r>
    </w:p>
    <w:p>
      <w:pPr>
        <w:spacing w:after="0" w:line="18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After the putative shareholder class action lawsuit was filed, three related putative shareholder derivative actions have also been filed. These cases generally allege breaches of fiduciary duties related to the same underlying matters alleged in the class action. First, on July 1, 2021, a putative shareholder derivative complaint was filed in Palm Beach County, Florida Circuit Court against the Company, as well as current and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3" w:name="page134"/>
    <w:bookmarkEnd w:id="133"/>
    <w:p>
      <w:pPr>
        <w:ind w:right="40"/>
        <w:spacing w:after="0" w:line="287" w:lineRule="auto"/>
        <w:rPr>
          <w:sz w:val="20"/>
          <w:szCs w:val="20"/>
          <w:color w:val="auto"/>
        </w:rPr>
      </w:pPr>
      <w:r>
        <w:rPr>
          <w:rFonts w:ascii="Arial" w:cs="Arial" w:eastAsia="Arial" w:hAnsi="Arial"/>
          <w:sz w:val="16"/>
          <w:szCs w:val="16"/>
          <w:color w:val="auto"/>
        </w:rPr>
        <w:t>former Company directors and officers George C. Zoley, Jose Gordo, Brian R. Evans, Ann M. Schlarb, Richard H. Glanton, Anne N. Foreman, Christopher C. Wheeler, Julie M. Wood, Guido van Hauwermeiren, Scott M. Kernan, and Duane Helkowski (collectively, the “State Court Defendants”). Second, on November 12, 2021, a putative shareholder derivative complaint was filed in the U.S. District Court for the Southern District of Florida against the Company, the State Court Defendants, as well as then current and former Company officers David Venturella and J. David Donahue (collectively, the “Derivative Defendants”). Third, on August 24, 2022, a putative stockholder derivative complaint was filed in the U.S. District Court for the Southern District of Florida against the Company and the Derivative Defendants. The state-court complaint alleges breach of fiduciary duty and unjust enrichment claims against the State Court Defendants relating to purported healthcare and quality of care deficiencies, an allegedly inadequate response to the COVID-19 pandemic, alleged forced labor by detainees, and alleged exposure to pending litigation, which purportedly led to damage to GEO. The federal-court complaints make similar allegations of breach of fiduciary duty as to the Derivative Defendants, and also allege that the Derivative Defendants violated Section 10(b) of the Exchange Act, and Rule 10b-5 promulgated thereunder and that Mr. Zoley contributed to alleged violations of Sections 10(b) and 21D of the Exchange Act. These cases are currently stayed pending the resolution of the federal putative shareholder class action lawsuit described above.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GEO strongly disputes the claims made in these four lawsuits, and intends to take all necessary steps to vigorously defend itself from these lawsuits.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Immigration Detainee Litigation</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Civil immigration detainees at the Aurora ICE Processing Center filed a class action lawsuit on October 22, 2014, against the Company in the U.S. District Court for the District of Colorado. The complaint alleges that the Company was in violation of the Colorado Minimum Wages of Workers Act and the Federal Trafficking Victims Protection Act (“TVPA”). The complaint also claims that the Company was unjustly enriched based on the level of payment the detainees received for work performed in a Voluntary Work Program ("VWP") the Company is required to implement at the facility under the terms of its contract with the federal government. On July 6, 2015, the court found that detainees were not employees under the Colorado Minimum Wage Order and dismissed this claim. On February 27, 2017, the court granted the plaintiffs' motion for class certification on the TVPA and unjust enrichment claims. The plaintiffs class seeks actual damages, compensatory damages, exemplary damages, punitive damages, restitution, attorneys’ fees and costs, and such other relief as the court may deem proper. On October 18, 2022, the court issued an order granting plaintiffs’ motion for summary judgment on the Company’s affirmative defenses, denying the Company’s motion for summary judgment, motion to dismiss, and motion for decertification of the class, narrowing the class period for plaintiffs’ TVPA claims, and otherwise ruling against the Company’s motions for relief. All trial dates are currently stayed by court order pending appeal of evidentiary issue to the 10th Circuit Court of Appeal.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Since the Colorado suit was initially filed, four similar lawsuits have been filed - two in the state of Washington and two in California.</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first of the two state of Washington lawsuits was filed on September 26, 2017 by immigration detainees against the Company in the U.S. District Court for the Western District of Washington. The second lawsuit was filed on September 20, 2017 by the State Attorney General against the Company in the Superior Court of the State of Washington for Pierce County, which the Company removed to the U.S. District Court for the Western District of Washington on October 9, 2017. The plaintiffs claimed that Washington State minimum wage laws should be enforced with respect to detainees who volunteer to participate in a VWP administered by GEO at the Northwest ICE Processing Center (the "Center") as required by the U.S. Department of Homeland Security under the terms of GEO’s contract. The Center houses persons in the custody of federal immigration authorities while the federal government is determining their immigration status. In October 2021, an unfavorable jury verdict and court judgment resulting in a combined $23.2 million judgment entered against the Company in the retrial of the two cases, which judgment amounts were subsequently increased by a further award against the Company of attorney’s fees, costs, and pre-judgment interest in the amount of $12.7 million. Post judgment interest is accruing on these judgments in accordance with Washington law. The trial court has waived the necessity to post a supersedeas bond for the combined judgments and has stayed enforcement of the verdict and judgments while GEO’s appeal to the U.S. Court of Appeals for the Ninth Circuit is pending. Oral argument was held on October 6, 2022. The case has been formally submitted to the three-judge panel for decision. GEO intends to take all necessary steps to vigorously defend itself. The Company has not established an accrual for this judgment as it believes a potential loss related to this case is not probable.</w:t>
      </w:r>
    </w:p>
    <w:p>
      <w:pPr>
        <w:spacing w:after="0" w:line="17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California, a class-action lawsuit was filed on December 19, 2017 by immigration detainees against the Company in the U.S. District Court Eastern Division of the Central District of California. The California lawsuit alleges violations of the state’s minimum wage laws, violations of the TVPA and California's equivalent state statute, unjust enrichment, unfair competition and retaliation. The California court has certified a class of individuals who have been civilly detained at the Company's Adelanto Facility from December 19, 2014, until the date of final judgment. On March 31, 2022, the court entered a stay of the California case until the Ninth Circuit rules on the Washington cases.</w:t>
      </w:r>
    </w:p>
    <w:p>
      <w:pPr>
        <w:spacing w:after="0" w:line="19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Current and former detainees of the Mesa Verde ICE Processing Center and the Golden State Annex ICE Processing Center filed a class action lawsuit on July 13, 2022, against the Company in the U.S. District Court for the Eastern District of California, Fresno Division. This lawsuit is similar to the cases in Colorado, Washington and California discussed above. The complaint alleges that federal detainees who volunteer to participate in the VWP at GEO’s Mesa Verde and Golden State Annex ICE facilities are employees of GEO and entitled to the state’s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4" w:name="page135"/>
    <w:bookmarkEnd w:id="134"/>
    <w:p>
      <w:pPr>
        <w:ind w:right="500"/>
        <w:spacing w:after="0" w:line="277" w:lineRule="auto"/>
        <w:rPr>
          <w:sz w:val="20"/>
          <w:szCs w:val="20"/>
          <w:color w:val="auto"/>
        </w:rPr>
      </w:pPr>
      <w:r>
        <w:rPr>
          <w:rFonts w:ascii="Arial" w:cs="Arial" w:eastAsia="Arial" w:hAnsi="Arial"/>
          <w:sz w:val="18"/>
          <w:szCs w:val="18"/>
          <w:color w:val="auto"/>
        </w:rPr>
        <w:t>minimum wage. Plaintiffs also make claims for unfair competition, unjust enrichment, human trafficking, forced labor, California's Private Attorneys General Act and retaliation.</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GEO believes it operates the VWP in full compliance with its contract with ICE and all applicable laws, regulations, and standards. GEO strongly disputes the claims made in these lawsuits, and intends to take all necessary steps to vigorously defend itself from these lawsuits. GEO has not recorded any accruals relating to these lawsuits at this time as losses are not considered probable.</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Challenges to State Legislation that Conflict with Federal Contracts</w:t>
      </w:r>
    </w:p>
    <w:p>
      <w:pPr>
        <w:spacing w:after="0" w:line="22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On December 30, 2019, the Company filed a lawsuit in the U.S. District Court for the Southern District of California against the State of California for declaratory and injunctive relief challenging California’s newly enacted law - Assembly Bill 32 ("AB-32"), - which prohibits the operation of "private detention facilities" in California, including facilities in which the Company provides secure immigration detention contract services to the federal government. The Company’s lawsuit asserts that AB-32 violates the Constitution’s Supremacy Clause, which protects the federal government from regulation by any state. By prohibiting federal detention facilities in California, the suit argues AB-32 substantially interferes with the ability of USMS and ICE to carry out detention responsibilities for the federal government. Secondly, because AB-32 creates an exemption for the application of AB-32 for the State of California for the use of "private detention facilities" (to alleviate overcrowding), California’s statute unlawfully discriminates against the federal government. On January 24, 2020, the United States filed a lawsuit challenging AB-32. On October 8, 2020, the court issued an order granting, in part, and denying, in part, the Company’s and the United States’ motions for preliminary injunction and California’s motion to dismiss. Among other findings, the court (1) dismissed the Company’s intergovernmental immunity claims as well as the United States’ preemption claims as applied to ICE facilities; (2) found that the Company and the United States were likely to succeed on the preemption claims as applied to U.S. Marshals’ facilities and enjoined enforcing AB-32 against those facilities; and (3) refused to enjoin California from enforcing AB-32 against ICE contracts with the Company and the United States. The Company and the United States appealed to the Ninth Circuit Court of Appeals. Oral argument was held on June 7, 2021. On October 5, 2021, a three-Judge panel of the Ninth Circuit Court of Appeals reversed the lower court’s decision, holding that AB-32 conflicted with federal law. California petitioned the Ninth Circuit for the matter to be heard by the court sitting en banc, which petition was accepted. On September 26, 2022, in an 8-3 en banc decision, the Ninth Circuit Court of Appeals held that AB-32 violates the Constitution's Supremacy Clause and that AB-32 is preempted, vacated the lower court’s denial of the Company’s and the United States’ motions for preliminary injunction, and remanded the case to the District Court to consider the remaining preliminary injunction factors.</w:t>
      </w:r>
    </w:p>
    <w:p>
      <w:pPr>
        <w:spacing w:after="0" w:line="1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April 29, 2021, the Company filed a lawsuit in the U.S. District Court for the Western District of Washington against the State of Washington for declaratory and injunctive relief challenging the State of Washington’s newly enacted law – House Bill 1090 – that purports to prohibit the operation of "private detention facilities" in the state, which would prevent the United States from using privately contracted detention facilities to house detainees in the custody of U.S. Immigration and Customs Enforcement (“ICE”). The court has entered a stay in this action pending the final resolution of the AB-32 appeal.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Litigation</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nature of the Company's business also exposes it to various other third-party legal claims or litigation against the Company, including, but not limited to, civil rights claims relating to conditions of confinement and/or mistreatment, sexual misconduct claims brought by individuals in its care, medical malpractice claims, claims related to deaths in custody,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indemnification claims by its customers and other third parties, contractual claims and claims for personal injury or other damages resulting from contact with the Company's facilities, programs, electronic monitoring products, personnel or detainees, including damages arising from the escape of an individual in its care or from a disturbance or riot at a facility.</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Accruals for Legal Proceedings</w:t>
      </w:r>
    </w:p>
    <w:p>
      <w:pPr>
        <w:spacing w:after="0" w:line="22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Company establishes accruals for specific legal proceedings when it is considered probable that a loss has been incurred and the amount of the loss can be reasonably estimated. However, the results of these claims or proceedings cannot be predicted with certainty, and an unfavorable resolution of one or more of these claims or proceedings could have a material adverse effect on the Company's financial condition, results of operations or cash flows or could result in a material impairment of the Company’s assets. The Company's accruals for loss contingencies are reviewed quarterly and adjusted as additional information becomes available. The Company does not accrue for anticipated legal fees and costs but expenses those items as incurred.</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i w:val="1"/>
          <w:iCs w:val="1"/>
          <w:color w:val="auto"/>
        </w:rPr>
        <w:t>Other Assessment</w:t>
      </w:r>
    </w:p>
    <w:p>
      <w:pPr>
        <w:spacing w:after="0" w:line="171"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A state non-income tax audit completed in 2016 included tax periods for which the state tax authority had a number of years ago processed a substantial tax refund. At the completion of the audit fieldwork, the Company received a notice of audit findings disallowing deductions that were previously claimed by the Company, approved by the state tax authority and served as the basis for the approved refund claim. In early January 2017, the Company received a formal Notice of Assessment of Taxes and Demand for Payment from the taxing authority disallowing the deductions. The total tax, penalty and interest assessed is approximately $20.0 million. The Company is appealing an administrative ruling and disagrees with the assessment and intends to take all necessary steps to vigorously defend its position. The Company has established a reserve based on its estimate of the most probable loss based on the facts and circumstances known to date and the advice of outside counsel in connection with this matter.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Divestitures</w:t>
      </w:r>
    </w:p>
    <w:p>
      <w:pPr>
        <w:spacing w:after="0" w:line="225" w:lineRule="exact"/>
        <w:rPr>
          <w:sz w:val="20"/>
          <w:szCs w:val="20"/>
          <w:color w:val="auto"/>
        </w:rPr>
      </w:pPr>
    </w:p>
    <w:p>
      <w:pPr>
        <w:ind w:right="40" w:firstLine="135"/>
        <w:spacing w:after="0" w:line="270" w:lineRule="auto"/>
        <w:rPr>
          <w:sz w:val="20"/>
          <w:szCs w:val="20"/>
          <w:color w:val="auto"/>
        </w:rPr>
      </w:pPr>
      <w:r>
        <w:rPr>
          <w:rFonts w:ascii="Arial" w:cs="Arial" w:eastAsia="Arial" w:hAnsi="Arial"/>
          <w:sz w:val="17"/>
          <w:szCs w:val="17"/>
          <w:color w:val="auto"/>
        </w:rPr>
        <w:t>Effective September 20, 2022, the Company executed a Share and Unit Sale and Purchase Agreement ("SPA") for the sale of its equity investment interest in the government-owned Ravenhall Correctional Centre ("Centre") project in Australia for approximately $84 million in gross proceeds, pre-tax to an unrelated third party. In accordance with the SPA, the Company sold its shares/units in GEO Australasia Holdings Pty Ltd, GEO Australasia Finance Holdings Pty Ltd and GEO Australasia Finance Holding Trust, the Company's former wholly owned subsidiaries. These subsidiaries held the contract receivable and related non-recourse debt which were transferred to the buyer and are no longer an asset or outstanding obligation of the Company. These subsidiaries also held restricted cash that was also transferred to the buyer. The Company continues to manage the operations of the Centre on behalf of the State of Victoria. As a result of the sale, the Company recorded a gain of approximately $29.3 million, pre-tax. The proceeds, along with available cash on hand, were used to repay all of the remaining outstanding principal of its Term Loan B and its newly issued Tranche 3 Loans. Refer to Note 12 - Debt for additional information.</w:t>
      </w:r>
    </w:p>
    <w:p>
      <w:pPr>
        <w:spacing w:after="0" w:line="394" w:lineRule="exact"/>
        <w:rPr>
          <w:sz w:val="20"/>
          <w:szCs w:val="20"/>
          <w:color w:val="auto"/>
        </w:rPr>
      </w:pPr>
    </w:p>
    <w:p>
      <w:pPr>
        <w:ind w:right="20" w:firstLine="135"/>
        <w:spacing w:after="0" w:line="286" w:lineRule="auto"/>
        <w:rPr>
          <w:sz w:val="20"/>
          <w:szCs w:val="20"/>
          <w:color w:val="auto"/>
        </w:rPr>
      </w:pPr>
      <w:r>
        <w:rPr>
          <w:rFonts w:ascii="Arial" w:cs="Arial" w:eastAsia="Arial" w:hAnsi="Arial"/>
          <w:sz w:val="16"/>
          <w:szCs w:val="16"/>
          <w:color w:val="auto"/>
        </w:rPr>
        <w:t>On July 1, 2021, the Company completed a divestiture of its youth division (“Abraxas”). The divestiture included the sale of certain non-real estate assets in the Company's youth division for total consideration of $10 million which was in the form of an unsecured term note receivable (“Term Note”). The Term Note was to mature July 1, 2026 and bore annual interest at 5%. Principal payments of $250,000 were to be due annually each year starting July 1, 2022. After June 30, 2023, an additional payment would have been due equal to 50% of the excess cash flow (as defined in the Term Note) in excess of $1,000,000. The remaining balance was due on the maturity date. Additionally, the Company had provided a $4 million working capital line of credit (“Grid Note”) which was to mature on December 31, 2022 and bore daily interest at prime minus 1%. Each loan under the Grid Note was payable upon the earlier of (i) on demand, (ii) thirty days from the funding date, or (iii) the maturity date. There were no amounts drawn on the Grid Note during 2021. The sale resulted in the assignment of the Company's youth services management contracts to Abraxas. The Company retained the ownership of the youth services real estate assets and have entered into lease agreements with Abraxas for the six company-owned youth facilities. As a result of the transaction, the Company recorded a loss on asset divestiture of approximately $4.5 million during the year ended December 31, 2021 inclusive of a working capital adjustment. On October 15, 2021, the Company signed a letter agreement with Abraxas and another unrelated not-for-profit entity for the settlement of the Term Note and termination of the Grid Note. In accordance with the letter agreement, Abraxas became affiliated with the other unrelated not-for-profit entity and paid the Company $8 million in full settlement of the Term Note on December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CARES Act</w:t>
      </w:r>
    </w:p>
    <w:p>
      <w:pPr>
        <w:spacing w:after="0" w:line="238" w:lineRule="exact"/>
        <w:rPr>
          <w:sz w:val="20"/>
          <w:szCs w:val="20"/>
          <w:color w:val="auto"/>
        </w:rPr>
      </w:pPr>
    </w:p>
    <w:p>
      <w:pPr>
        <w:ind w:firstLine="220"/>
        <w:spacing w:after="0" w:line="254" w:lineRule="auto"/>
        <w:rPr>
          <w:sz w:val="20"/>
          <w:szCs w:val="20"/>
          <w:color w:val="auto"/>
        </w:rPr>
      </w:pPr>
      <w:r>
        <w:rPr>
          <w:rFonts w:ascii="Arial" w:cs="Arial" w:eastAsia="Arial" w:hAnsi="Arial"/>
          <w:sz w:val="18"/>
          <w:szCs w:val="18"/>
          <w:color w:val="auto"/>
        </w:rPr>
        <w:t>On March 27, 2020, the Coronavirus Aid, Relief, and Economic Security Act (“CARES Act”) was enacted in response to the COVID-19 pandemic. The CARES Act, among other things, allowed employers to defer the deposit and payment of the employer's share of Social Security taxes. The deferral applied to deposits and payments of the employer’s share of Social Security tax that would otherwise be required to be made during the period beginning on March 27, 2020 and ending on December 31, 2021. The deferred amounts are due to be paid in two equal installments no later than December 31, 2021 and December 31, 2022. The Company paid the first installment in September 2021. The remaining balance of the deferred payroll taxes of approximately $20.0 million was paid in August 2022.</w:t>
      </w:r>
    </w:p>
    <w:p>
      <w:pPr>
        <w:spacing w:after="0" w:line="3" w:lineRule="exact"/>
        <w:rPr>
          <w:sz w:val="20"/>
          <w:szCs w:val="20"/>
          <w:color w:val="auto"/>
        </w:rPr>
      </w:pPr>
    </w:p>
    <w:p>
      <w:pPr>
        <w:ind w:left="520" w:hanging="512"/>
        <w:spacing w:after="0"/>
        <w:tabs>
          <w:tab w:leader="none" w:pos="5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and Restricted Stock Awards</w:t>
      </w:r>
    </w:p>
    <w:p>
      <w:pPr>
        <w:spacing w:after="0" w:line="171"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On February 9, 2023, the Compensation Committee of the Board resolved to grant approximately 362,000 options and 1,151,000 shares of restricted stock to certain employees and directors of the Company which will be effective March 1, 2023. Of the total shares of restricted stock granted, 339,000 are performance-based awards which vest subject to the achievement of certain total shareholder return and return on capital employed metrics over a three-year period.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9" w:right="35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1110" w:right="1440" w:bottom="1440" w:gutter="0" w:footer="0" w:header="0"/>
        </w:sectPr>
      </w:pPr>
    </w:p>
    <w:bookmarkStart w:id="137" w:name="page138"/>
    <w:bookmarkEnd w:id="137"/>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has evaluated the effectiveness of our disclosure controls and procedures (as such term is defined in Rules 13a-15(e) and 15d-15(e) under the Securities Exchange Act of 1934, as amended, referred to as the Exchange Act), as of the end of the period covered by this report. On the basis of this review, our management, including our Chief Executive Officer and our Chief Financial Officer, has concluded that as of the end of the period covered by this report, our disclosure controls and procedures were effective to give reasonable assurance that the information required to be disclosed in our reports filed with the Securities and Exchange Commission, or the SEC, under the Exchange Act is recorded, processed, summarized and reported within the time periods specified in the rules and forms of the SEC, and to ensure that the information required to be disclosed in the reports filed or submitted under the Exchange Act is accumulated and communicated to our management, including our Chief Executive Officer and our Chief Financial Officer, in a manner that allows timely decisions regarding required disclosure.</w:t>
      </w:r>
    </w:p>
    <w:p>
      <w:pPr>
        <w:spacing w:after="0" w:line="194"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It should be noted that the effectiveness of our system of disclosure controls and procedures is subject to certain limitations inherent in any system of disclosure controls and procedures, including the exercise of judgment in designing, implementing and evaluating the controls and procedures, the assumptions used in identifying the likelihood of future events, and the inability to eliminate misconduct completely. Accordingly, there can be no assurance that our disclosure controls and procedures will detect all errors or fraud. As a result, by its nature, our system of disclosure controls and procedures can provide only reasonable assurance regarding management’s control objectives.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 Management’s Annual Report on Internal Control Over Financial Reporting</w:t>
      </w:r>
    </w:p>
    <w:p>
      <w:pPr>
        <w:spacing w:after="0" w:line="171"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See “Item 8. — Financial Statements and Supplementary Data — Management’s Annual Report on Internal Control Over Financial Reporting” for management’s report on the effectiveness of our internal control over financial reporting as of December 31, 2022.</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 Attestation Report of the Registered Public Accounting Firm</w:t>
      </w:r>
    </w:p>
    <w:p>
      <w:pPr>
        <w:spacing w:after="0" w:line="171" w:lineRule="exact"/>
        <w:rPr>
          <w:sz w:val="20"/>
          <w:szCs w:val="20"/>
          <w:color w:val="auto"/>
        </w:rPr>
      </w:pPr>
    </w:p>
    <w:p>
      <w:pPr>
        <w:ind w:right="200" w:firstLine="509"/>
        <w:spacing w:after="0" w:line="307" w:lineRule="auto"/>
        <w:rPr>
          <w:sz w:val="20"/>
          <w:szCs w:val="20"/>
          <w:color w:val="auto"/>
        </w:rPr>
      </w:pPr>
      <w:r>
        <w:rPr>
          <w:rFonts w:ascii="Arial" w:cs="Arial" w:eastAsia="Arial" w:hAnsi="Arial"/>
          <w:sz w:val="17"/>
          <w:szCs w:val="17"/>
          <w:color w:val="auto"/>
        </w:rPr>
        <w:t>See “Item 8. — Financial Statements and Supplementary Data — Report of Independent Registered Public Accounting Firm” for the report of our independent registered public accounting firm on the effectiveness of our internal control over financial reporting as of December 31, 2022.</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 Changes in Internal Control over Financial Reporting</w:t>
      </w:r>
    </w:p>
    <w:p>
      <w:pPr>
        <w:spacing w:after="0" w:line="171" w:lineRule="exact"/>
        <w:rPr>
          <w:sz w:val="20"/>
          <w:szCs w:val="20"/>
          <w:color w:val="auto"/>
        </w:rPr>
      </w:pPr>
    </w:p>
    <w:p>
      <w:pPr>
        <w:ind w:right="280" w:firstLine="509"/>
        <w:spacing w:after="0" w:line="275" w:lineRule="auto"/>
        <w:rPr>
          <w:sz w:val="20"/>
          <w:szCs w:val="20"/>
          <w:color w:val="auto"/>
        </w:rPr>
      </w:pPr>
      <w:r>
        <w:rPr>
          <w:rFonts w:ascii="Arial" w:cs="Arial" w:eastAsia="Arial" w:hAnsi="Arial"/>
          <w:sz w:val="17"/>
          <w:szCs w:val="17"/>
          <w:color w:val="auto"/>
        </w:rPr>
        <w:t>Our management is responsible for reporting any changes in our internal control over financial reporting (as such terms are defined in Rules 13a-15(f) and 15d-15(f) under the Exchange Act) during the period to which this report relates that have materially affected, or are reasonably likely to materially affect, our internal control over financial reporting. Management believes that there have not been any changes in our internal control over financial reporting (as such term is defined in Rules 13a-15(f) and 15d-15(f) under the Exchange Act) during the period to which this report relates that have materially affected, or are reasonably likely to materially affect, our internal control over financial reporting.</w:t>
      </w:r>
    </w:p>
    <w:p>
      <w:pPr>
        <w:spacing w:after="0" w:line="198" w:lineRule="exact"/>
        <w:rPr>
          <w:sz w:val="20"/>
          <w:szCs w:val="20"/>
          <w:color w:val="auto"/>
        </w:rPr>
      </w:pPr>
    </w:p>
    <w:p>
      <w:pPr>
        <w:jc w:val="center"/>
        <w:ind w:right="9140"/>
        <w:spacing w:after="0"/>
        <w:rPr>
          <w:sz w:val="20"/>
          <w:szCs w:val="20"/>
          <w:color w:val="auto"/>
        </w:rPr>
      </w:pPr>
      <w:r>
        <w:rPr>
          <w:rFonts w:ascii="Arial" w:cs="Arial" w:eastAsia="Arial" w:hAnsi="Arial"/>
          <w:sz w:val="16"/>
          <w:szCs w:val="16"/>
          <w:b w:val="1"/>
          <w:bCs w:val="1"/>
          <w:color w:val="auto"/>
        </w:rPr>
        <w:t xml:space="preserve">Item 9B. </w:t>
      </w:r>
      <w:r>
        <w:rPr>
          <w:rFonts w:ascii="Arial" w:cs="Arial" w:eastAsia="Arial" w:hAnsi="Arial"/>
          <w:sz w:val="16"/>
          <w:szCs w:val="16"/>
          <w:b w:val="1"/>
          <w:bCs w:val="1"/>
          <w:i w:val="1"/>
          <w:iCs w:val="1"/>
          <w:color w:val="auto"/>
        </w:rPr>
        <w:t>Other Information</w:t>
      </w:r>
    </w:p>
    <w:p>
      <w:pPr>
        <w:spacing w:after="0" w:line="117" w:lineRule="exact"/>
        <w:rPr>
          <w:sz w:val="20"/>
          <w:szCs w:val="20"/>
          <w:color w:val="auto"/>
        </w:rPr>
      </w:pPr>
    </w:p>
    <w:p>
      <w:pPr>
        <w:jc w:val="center"/>
        <w:ind w:right="9140"/>
        <w:spacing w:after="0"/>
        <w:rPr>
          <w:sz w:val="20"/>
          <w:szCs w:val="20"/>
          <w:color w:val="auto"/>
        </w:rPr>
      </w:pPr>
      <w:r>
        <w:rPr>
          <w:rFonts w:ascii="Arial" w:cs="Arial" w:eastAsia="Arial" w:hAnsi="Arial"/>
          <w:sz w:val="18"/>
          <w:szCs w:val="18"/>
          <w:color w:val="auto"/>
        </w:rPr>
        <w:t>Not applicable.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8" w:name="page139"/>
    <w:bookmarkEnd w:id="138"/>
    <w:p>
      <w:pPr>
        <w:ind w:left="52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75"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We have adopted a code of business conduct and ethics applicable to all of our directors, officers, employees, agents and representatives, including our consultants. The code strives to deter wrongdoing and promote honest and ethical conduct, the avoidance of conflicts of interest, full, fair, accurate, timely and transparent disclosure, compliance with the applicable government and self-regulatory organization laws, rules and regulations, prompt internal reporting of violations of the code, and accountability for compliance with the code. In addition, we have adopted a code of ethics for the CEO, our senior financial officers and all other employees. The codes can be found on our website at http://www.geogroup.com by clicking on the link “About Us” on our homepage and then clicking on the link “Corporate Governance.” In addition, the codes are available in print to any shareholder who request them by contacting our Vice President of Corporate Relations at 561-999-7306. In the event that we amend or waive any of the provisions of the code of business conduct and ethics and the code of ethics for the CEO, our senior financial officers and employees that relate to any element of the code of ethics definition enumerated in Item 406(b) of Regulation S-K, we intend to disclose the same on our Investor Relations website. The other information required by this item will be contained in, and is incorporated by reference from, the proxy statement for our 2023 annual meeting of shareholders, which will be filed with the SEC pursuant to Regulation 14A within 120 days after the end of the year covered by this report.</w:t>
      </w:r>
    </w:p>
    <w:p>
      <w:pPr>
        <w:spacing w:after="0" w:line="19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75" w:lineRule="exact"/>
        <w:rPr>
          <w:sz w:val="20"/>
          <w:szCs w:val="20"/>
          <w:color w:val="auto"/>
        </w:rPr>
      </w:pPr>
    </w:p>
    <w:p>
      <w:pPr>
        <w:ind w:right="80" w:firstLine="509"/>
        <w:spacing w:after="0" w:line="341" w:lineRule="auto"/>
        <w:rPr>
          <w:sz w:val="20"/>
          <w:szCs w:val="20"/>
          <w:color w:val="auto"/>
        </w:rPr>
      </w:pPr>
      <w:r>
        <w:rPr>
          <w:rFonts w:ascii="Arial" w:cs="Arial" w:eastAsia="Arial" w:hAnsi="Arial"/>
          <w:sz w:val="16"/>
          <w:szCs w:val="16"/>
          <w:color w:val="auto"/>
        </w:rPr>
        <w:t>The information required by this item will be contained in, and is incorporated by reference from, the proxy statement for our 2023 annual meeting of shareholders, which will be filed with the SEC pursuant to Regulation 14A within 120 days after the end of the fiscal year covered by this report.</w:t>
      </w:r>
    </w:p>
    <w:p>
      <w:pPr>
        <w:spacing w:after="0" w:line="14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75" w:lineRule="exact"/>
        <w:rPr>
          <w:sz w:val="20"/>
          <w:szCs w:val="20"/>
          <w:color w:val="auto"/>
        </w:rPr>
      </w:pPr>
    </w:p>
    <w:p>
      <w:pPr>
        <w:ind w:right="80" w:firstLine="509"/>
        <w:spacing w:after="0" w:line="341" w:lineRule="auto"/>
        <w:rPr>
          <w:sz w:val="20"/>
          <w:szCs w:val="20"/>
          <w:color w:val="auto"/>
        </w:rPr>
      </w:pPr>
      <w:r>
        <w:rPr>
          <w:rFonts w:ascii="Arial" w:cs="Arial" w:eastAsia="Arial" w:hAnsi="Arial"/>
          <w:sz w:val="16"/>
          <w:szCs w:val="16"/>
          <w:color w:val="auto"/>
        </w:rPr>
        <w:t>The information required by this item will be contained in, and is incorporated by reference from, the proxy statement for our 2023 annual meeting of shareholders, which will be filed with the SEC pursuant to Regulation 14A within 120 days after the end of the fiscal year covered by this report.</w:t>
      </w:r>
    </w:p>
    <w:p>
      <w:pPr>
        <w:spacing w:after="0" w:line="14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175" w:lineRule="exact"/>
        <w:rPr>
          <w:sz w:val="20"/>
          <w:szCs w:val="20"/>
          <w:color w:val="auto"/>
        </w:rPr>
      </w:pPr>
    </w:p>
    <w:p>
      <w:pPr>
        <w:ind w:right="80" w:firstLine="509"/>
        <w:spacing w:after="0" w:line="341" w:lineRule="auto"/>
        <w:rPr>
          <w:sz w:val="20"/>
          <w:szCs w:val="20"/>
          <w:color w:val="auto"/>
        </w:rPr>
      </w:pPr>
      <w:r>
        <w:rPr>
          <w:rFonts w:ascii="Arial" w:cs="Arial" w:eastAsia="Arial" w:hAnsi="Arial"/>
          <w:sz w:val="16"/>
          <w:szCs w:val="16"/>
          <w:color w:val="auto"/>
        </w:rPr>
        <w:t>The information required by this item will be contained in, and is incorporated by reference from, the proxy statement for our 2023 annual meeting of shareholders, which will be filed with the SEC pursuant to Regulation 14A within 120 days after the end of the fiscal year covered by this report.</w:t>
      </w:r>
    </w:p>
    <w:p>
      <w:pPr>
        <w:spacing w:after="0" w:line="14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175" w:lineRule="exact"/>
        <w:rPr>
          <w:sz w:val="20"/>
          <w:szCs w:val="20"/>
          <w:color w:val="auto"/>
        </w:rPr>
      </w:pPr>
    </w:p>
    <w:p>
      <w:pPr>
        <w:ind w:right="80" w:firstLine="509"/>
        <w:spacing w:after="0" w:line="341" w:lineRule="auto"/>
        <w:rPr>
          <w:sz w:val="20"/>
          <w:szCs w:val="20"/>
          <w:color w:val="auto"/>
        </w:rPr>
      </w:pPr>
      <w:r>
        <w:rPr>
          <w:rFonts w:ascii="Arial" w:cs="Arial" w:eastAsia="Arial" w:hAnsi="Arial"/>
          <w:sz w:val="16"/>
          <w:szCs w:val="16"/>
          <w:color w:val="auto"/>
        </w:rPr>
        <w:t>The information required by this item will be contained in, and is incorporated by reference from, the proxy statement for our 2023 annual meeting of shareholders, which will be filed with the SEC pursuant to Regulation 14A within 120 days after the end of the fiscal year covered by this report.</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 and Financial Statement Schedules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consolidated financial statements of GEO are filed under Item 8 of Part II of this report.</w:t>
      </w:r>
    </w:p>
    <w:p>
      <w:pPr>
        <w:spacing w:after="0" w:line="225" w:lineRule="exact"/>
        <w:rPr>
          <w:sz w:val="20"/>
          <w:szCs w:val="20"/>
          <w:color w:val="auto"/>
        </w:rPr>
      </w:pPr>
    </w:p>
    <w:p>
      <w:pPr>
        <w:ind w:left="780" w:hanging="263"/>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Schedule II — Valuation and Qualifying Accounts — Page 148</w:t>
      </w:r>
    </w:p>
    <w:p>
      <w:pPr>
        <w:spacing w:after="0" w:line="225"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All other schedules specified in the accounting regulations of the Securities and Exchange Commission have been omitted because they are either inapplicable or not required.</w:t>
      </w:r>
    </w:p>
    <w:p>
      <w:pPr>
        <w:spacing w:after="0" w:line="169" w:lineRule="exact"/>
        <w:rPr>
          <w:sz w:val="20"/>
          <w:szCs w:val="20"/>
          <w:color w:val="auto"/>
        </w:rPr>
      </w:pPr>
    </w:p>
    <w:p>
      <w:pPr>
        <w:ind w:left="780" w:hanging="263"/>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Exhibits Required by Item 601 of Regulation S-K. The following exhibits are filed as part of this Annual Report:</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Exhibit</w:t>
      </w:r>
    </w:p>
    <w:p>
      <w:pPr>
        <w:spacing w:after="0" w:line="3"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97155</wp:posOffset>
            </wp:positionV>
            <wp:extent cx="6749415" cy="7232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749415" cy="72326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p>
      <w:pPr>
        <w:spacing w:after="0" w:line="155" w:lineRule="exact"/>
        <w:rPr>
          <w:sz w:val="20"/>
          <w:szCs w:val="20"/>
          <w:color w:val="auto"/>
        </w:rPr>
      </w:pPr>
    </w:p>
    <w:p>
      <w:pPr>
        <w:ind w:left="120"/>
        <w:spacing w:after="0"/>
        <w:rPr>
          <w:sz w:val="20"/>
          <w:szCs w:val="20"/>
          <w:color w:val="auto"/>
        </w:rPr>
      </w:pPr>
      <w:r>
        <w:rPr>
          <w:rFonts w:ascii="Arial" w:cs="Arial" w:eastAsia="Arial" w:hAnsi="Arial"/>
          <w:sz w:val="15"/>
          <w:szCs w:val="15"/>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Arial" w:cs="Arial" w:eastAsia="Arial" w:hAnsi="Arial"/>
          <w:sz w:val="15"/>
          <w:szCs w:val="15"/>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Arial" w:cs="Arial" w:eastAsia="Arial" w:hAnsi="Arial"/>
          <w:sz w:val="15"/>
          <w:szCs w:val="15"/>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spacing w:after="0"/>
        <w:rPr>
          <w:sz w:val="20"/>
          <w:szCs w:val="20"/>
          <w:color w:val="auto"/>
        </w:rPr>
      </w:pPr>
      <w:r>
        <w:rPr>
          <w:rFonts w:ascii="Arial" w:cs="Arial" w:eastAsia="Arial" w:hAnsi="Arial"/>
          <w:sz w:val="15"/>
          <w:szCs w:val="15"/>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0"/>
        <w:spacing w:after="0"/>
        <w:rPr>
          <w:sz w:val="20"/>
          <w:szCs w:val="20"/>
          <w:color w:val="auto"/>
        </w:rPr>
      </w:pPr>
      <w:r>
        <w:rPr>
          <w:rFonts w:ascii="Arial" w:cs="Arial" w:eastAsia="Arial" w:hAnsi="Arial"/>
          <w:sz w:val="15"/>
          <w:szCs w:val="15"/>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7"/>
          <w:szCs w:val="17"/>
          <w:color w:val="auto"/>
        </w:rPr>
        <w:t>Amended and Restated Articles of</w:t>
      </w:r>
    </w:p>
    <w:p>
      <w:pPr>
        <w:spacing w:after="0" w:line="35" w:lineRule="exact"/>
        <w:rPr>
          <w:sz w:val="20"/>
          <w:szCs w:val="20"/>
          <w:color w:val="auto"/>
        </w:rPr>
      </w:pPr>
    </w:p>
    <w:p>
      <w:pPr>
        <w:ind w:left="40"/>
        <w:spacing w:after="0"/>
        <w:tabs>
          <w:tab w:leader="none" w:pos="1260" w:val="left"/>
          <w:tab w:leader="none" w:pos="2480" w:val="left"/>
        </w:tabs>
        <w:rPr>
          <w:sz w:val="20"/>
          <w:szCs w:val="20"/>
          <w:color w:val="auto"/>
        </w:rPr>
      </w:pPr>
      <w:r>
        <w:rPr>
          <w:rFonts w:ascii="Arial" w:cs="Arial" w:eastAsia="Arial" w:hAnsi="Arial"/>
          <w:sz w:val="18"/>
          <w:szCs w:val="18"/>
          <w:color w:val="auto"/>
        </w:rPr>
        <w:t>Incorporation</w:t>
        <w:tab/>
        <w:t>(incorporated</w:t>
      </w:r>
      <w:r>
        <w:rPr>
          <w:sz w:val="20"/>
          <w:szCs w:val="20"/>
          <w:color w:val="auto"/>
        </w:rPr>
        <w:tab/>
      </w:r>
      <w:r>
        <w:rPr>
          <w:rFonts w:ascii="Arial" w:cs="Arial" w:eastAsia="Arial" w:hAnsi="Arial"/>
          <w:sz w:val="17"/>
          <w:szCs w:val="17"/>
          <w:color w:val="auto"/>
        </w:rPr>
        <w:t>by</w:t>
      </w:r>
    </w:p>
    <w:p>
      <w:pPr>
        <w:spacing w:after="0" w:line="9" w:lineRule="exact"/>
        <w:rPr>
          <w:sz w:val="20"/>
          <w:szCs w:val="20"/>
          <w:color w:val="auto"/>
        </w:rPr>
      </w:pPr>
    </w:p>
    <w:p>
      <w:pPr>
        <w:ind w:left="40"/>
        <w:spacing w:after="0"/>
        <w:tabs>
          <w:tab w:leader="none" w:pos="840" w:val="left"/>
          <w:tab w:leader="none" w:pos="1120" w:val="left"/>
          <w:tab w:leader="none" w:pos="1800" w:val="left"/>
          <w:tab w:leader="none" w:pos="2160" w:val="left"/>
          <w:tab w:leader="none" w:pos="2440" w:val="left"/>
        </w:tabs>
        <w:rPr>
          <w:sz w:val="20"/>
          <w:szCs w:val="20"/>
          <w:color w:val="auto"/>
        </w:rPr>
      </w:pPr>
      <w:r>
        <w:rPr>
          <w:rFonts w:ascii="Arial" w:cs="Arial" w:eastAsia="Arial" w:hAnsi="Arial"/>
          <w:sz w:val="18"/>
          <w:szCs w:val="18"/>
          <w:color w:val="auto"/>
        </w:rPr>
        <w:t>reference</w:t>
        <w:tab/>
        <w:t>to</w:t>
        <w:tab/>
        <w:t>Exhibit</w:t>
        <w:tab/>
        <w:t>3.1</w:t>
        <w:tab/>
        <w:t>to</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Company’s Current Report on Form</w:t>
      </w:r>
    </w:p>
    <w:p>
      <w:pPr>
        <w:spacing w:after="0" w:line="32" w:lineRule="exact"/>
        <w:rPr>
          <w:sz w:val="20"/>
          <w:szCs w:val="20"/>
          <w:color w:val="auto"/>
        </w:rPr>
      </w:pPr>
    </w:p>
    <w:p>
      <w:pPr>
        <w:ind w:left="40"/>
        <w:spacing w:after="0"/>
        <w:tabs>
          <w:tab w:leader="none" w:pos="2780" w:val="left"/>
        </w:tabs>
        <w:rPr>
          <w:rFonts w:ascii="Arial" w:cs="Arial" w:eastAsia="Arial" w:hAnsi="Arial"/>
          <w:sz w:val="16"/>
          <w:szCs w:val="16"/>
          <w:color w:val="auto"/>
        </w:rPr>
      </w:pPr>
      <w:r>
        <w:rPr>
          <w:rFonts w:ascii="Arial" w:cs="Arial" w:eastAsia="Arial" w:hAnsi="Arial"/>
          <w:sz w:val="18"/>
          <w:szCs w:val="18"/>
          <w:color w:val="auto"/>
        </w:rPr>
        <w:t>8-K, filed on June 30, 2014).</w:t>
      </w:r>
      <w:r>
        <w:rPr>
          <w:sz w:val="20"/>
          <w:szCs w:val="20"/>
          <w:color w:val="auto"/>
        </w:rPr>
        <w:tab/>
      </w:r>
      <w:hyperlink r:id="rId416">
        <w:r>
          <w:rPr>
            <w:rFonts w:ascii="Arial" w:cs="Arial" w:eastAsia="Arial" w:hAnsi="Arial"/>
            <w:sz w:val="16"/>
            <w:szCs w:val="16"/>
            <w:color w:val="auto"/>
          </w:rPr>
          <w:t>https://www.sec.gov/Archives/edgar/data/923796/000119312514254491/d750635dex31.htm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6749415" cy="72326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6749415" cy="723265"/>
                    </a:xfrm>
                    <a:prstGeom prst="rect">
                      <a:avLst/>
                    </a:prstGeom>
                    <a:noFill/>
                  </pic:spPr>
                </pic:pic>
              </a:graphicData>
            </a:graphic>
          </wp:anchor>
        </w:drawing>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Articles of Merger, effective as of</w:t>
            </w:r>
          </w:p>
        </w:tc>
        <w:tc>
          <w:tcPr>
            <w:tcW w:w="6720" w:type="dxa"/>
            <w:vAlign w:val="bottom"/>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w w:val="99"/>
              </w:rPr>
              <w:t>June  27,  2014  (incorporated  by</w:t>
            </w:r>
          </w:p>
        </w:tc>
        <w:tc>
          <w:tcPr>
            <w:tcW w:w="6720" w:type="dxa"/>
            <w:vAlign w:val="bottom"/>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reference  to  Exhibit  3.2  to  the</w:t>
            </w:r>
          </w:p>
        </w:tc>
        <w:tc>
          <w:tcPr>
            <w:tcW w:w="6720" w:type="dxa"/>
            <w:vAlign w:val="bottom"/>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w w:val="93"/>
              </w:rPr>
              <w:t>Company’s Current Report on Form</w:t>
            </w:r>
          </w:p>
        </w:tc>
        <w:tc>
          <w:tcPr>
            <w:tcW w:w="6720" w:type="dxa"/>
            <w:vAlign w:val="bottom"/>
          </w:tcPr>
          <w:p>
            <w:pPr>
              <w:spacing w:after="0"/>
              <w:rPr>
                <w:sz w:val="18"/>
                <w:szCs w:val="18"/>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8-K, filed on June 30, 2014).</w:t>
            </w:r>
          </w:p>
        </w:tc>
        <w:tc>
          <w:tcPr>
            <w:tcW w:w="6720" w:type="dxa"/>
            <w:vAlign w:val="bottom"/>
          </w:tcPr>
          <w:p>
            <w:pPr>
              <w:ind w:left="60"/>
              <w:spacing w:after="0"/>
              <w:rPr>
                <w:rFonts w:ascii="Arial" w:cs="Arial" w:eastAsia="Arial" w:hAnsi="Arial"/>
                <w:sz w:val="18"/>
                <w:szCs w:val="18"/>
                <w:color w:val="auto"/>
                <w:w w:val="90"/>
              </w:rPr>
            </w:pPr>
            <w:hyperlink r:id="rId418">
              <w:r>
                <w:rPr>
                  <w:rFonts w:ascii="Arial" w:cs="Arial" w:eastAsia="Arial" w:hAnsi="Arial"/>
                  <w:sz w:val="18"/>
                  <w:szCs w:val="18"/>
                  <w:color w:val="auto"/>
                  <w:w w:val="90"/>
                </w:rPr>
                <w:t>https://www.sec.gov/Archives/edgar/data/923796/000119312514254491/d750635dex32.htm</w:t>
              </w:r>
            </w:hyperlink>
          </w:p>
        </w:tc>
      </w:tr>
    </w:tbl>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274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Articles  of  Amendment  to  the</w:t>
            </w:r>
          </w:p>
        </w:tc>
        <w:tc>
          <w:tcPr>
            <w:tcW w:w="60" w:type="dxa"/>
            <w:vAlign w:val="bottom"/>
            <w:tcBorders>
              <w:top w:val="single" w:sz="8" w:color="auto"/>
            </w:tcBorders>
          </w:tcPr>
          <w:p>
            <w:pPr>
              <w:spacing w:after="0"/>
              <w:rPr>
                <w:sz w:val="20"/>
                <w:szCs w:val="20"/>
                <w:color w:val="auto"/>
              </w:rPr>
            </w:pPr>
          </w:p>
        </w:tc>
        <w:tc>
          <w:tcPr>
            <w:tcW w:w="66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tcPr>
          <w:p>
            <w:pPr>
              <w:spacing w:after="0"/>
              <w:rPr>
                <w:sz w:val="20"/>
                <w:szCs w:val="20"/>
                <w:color w:val="auto"/>
              </w:rPr>
            </w:pPr>
          </w:p>
        </w:tc>
      </w:tr>
      <w:tr>
        <w:trPr>
          <w:trHeight w:val="216"/>
        </w:trPr>
        <w:tc>
          <w:tcPr>
            <w:tcW w:w="2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7"/>
              </w:rPr>
              <w:t>Amended and Restated Articles of</w:t>
            </w:r>
          </w:p>
        </w:tc>
        <w:tc>
          <w:tcPr>
            <w:tcW w:w="6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2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Incorporation of The GEO Group,</w:t>
            </w:r>
          </w:p>
        </w:tc>
        <w:tc>
          <w:tcPr>
            <w:tcW w:w="6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2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Inc. (incorporated by reference to</w:t>
            </w:r>
          </w:p>
        </w:tc>
        <w:tc>
          <w:tcPr>
            <w:tcW w:w="6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2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Exhibit  3.1  to  the  Company’s</w:t>
            </w:r>
          </w:p>
        </w:tc>
        <w:tc>
          <w:tcPr>
            <w:tcW w:w="6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2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Current Report on Form 8-K, filed</w:t>
            </w:r>
          </w:p>
        </w:tc>
        <w:tc>
          <w:tcPr>
            <w:tcW w:w="6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190"/>
        </w:trPr>
        <w:tc>
          <w:tcPr>
            <w:tcW w:w="1500" w:type="dxa"/>
            <w:vAlign w:val="bottom"/>
            <w:tcBorders>
              <w:left w:val="single" w:sz="8" w:color="auto"/>
            </w:tcBorders>
          </w:tcPr>
          <w:p>
            <w:pPr>
              <w:ind w:left="40"/>
              <w:spacing w:after="0" w:line="189" w:lineRule="exact"/>
              <w:rPr>
                <w:sz w:val="20"/>
                <w:szCs w:val="20"/>
                <w:color w:val="auto"/>
              </w:rPr>
            </w:pPr>
            <w:r>
              <w:rPr>
                <w:rFonts w:ascii="Arial" w:cs="Arial" w:eastAsia="Arial" w:hAnsi="Arial"/>
                <w:sz w:val="18"/>
                <w:szCs w:val="18"/>
                <w:color w:val="auto"/>
                <w:w w:val="97"/>
              </w:rPr>
              <w:t>on April 26, 2017).</w:t>
            </w:r>
          </w:p>
        </w:tc>
        <w:tc>
          <w:tcPr>
            <w:tcW w:w="12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820" w:type="dxa"/>
            <w:vAlign w:val="bottom"/>
            <w:tcBorders>
              <w:right w:val="single" w:sz="8" w:color="auto"/>
            </w:tcBorders>
            <w:gridSpan w:val="3"/>
          </w:tcPr>
          <w:p>
            <w:pPr>
              <w:spacing w:after="0" w:line="189" w:lineRule="exact"/>
              <w:rPr>
                <w:rFonts w:ascii="Arial" w:cs="Arial" w:eastAsia="Arial" w:hAnsi="Arial"/>
                <w:sz w:val="18"/>
                <w:szCs w:val="18"/>
                <w:color w:val="auto"/>
              </w:rPr>
            </w:pPr>
            <w:hyperlink r:id="rId419">
              <w:r>
                <w:rPr>
                  <w:rFonts w:ascii="Arial" w:cs="Arial" w:eastAsia="Arial" w:hAnsi="Arial"/>
                  <w:sz w:val="18"/>
                  <w:szCs w:val="18"/>
                  <w:color w:val="auto"/>
                </w:rPr>
                <w:t>https://www.sec.gov/Archives/edgar/data/923796/000119312517137344/d384798dex31.htm</w:t>
              </w:r>
            </w:hyperlink>
          </w:p>
        </w:tc>
      </w:tr>
      <w:tr>
        <w:trPr>
          <w:trHeight w:val="31"/>
        </w:trPr>
        <w:tc>
          <w:tcPr>
            <w:tcW w:w="1500" w:type="dxa"/>
            <w:vAlign w:val="bottom"/>
            <w:tcBorders>
              <w:left w:val="single" w:sz="8" w:color="auto"/>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40" w:type="dxa"/>
            <w:vAlign w:val="bottom"/>
            <w:tcBorders>
              <w:top w:val="single" w:sz="8" w:color="0000EE"/>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r>
      <w:tr>
        <w:trPr>
          <w:trHeight w:val="162"/>
        </w:trPr>
        <w:tc>
          <w:tcPr>
            <w:tcW w:w="15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spacing w:after="0"/>
              <w:rPr>
                <w:sz w:val="14"/>
                <w:szCs w:val="14"/>
                <w:color w:val="auto"/>
              </w:rPr>
            </w:pPr>
          </w:p>
        </w:tc>
        <w:tc>
          <w:tcPr>
            <w:tcW w:w="6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92"/>
        </w:trPr>
        <w:tc>
          <w:tcPr>
            <w:tcW w:w="1500" w:type="dxa"/>
            <w:vAlign w:val="bottom"/>
            <w:tcBorders>
              <w:left w:val="single" w:sz="8" w:color="auto"/>
            </w:tcBorders>
          </w:tcPr>
          <w:p>
            <w:pPr>
              <w:ind w:left="40"/>
              <w:spacing w:after="0" w:line="192" w:lineRule="exact"/>
              <w:rPr>
                <w:sz w:val="20"/>
                <w:szCs w:val="20"/>
                <w:color w:val="auto"/>
              </w:rPr>
            </w:pPr>
            <w:r>
              <w:rPr>
                <w:rFonts w:ascii="Arial" w:cs="Arial" w:eastAsia="Arial" w:hAnsi="Arial"/>
                <w:sz w:val="18"/>
                <w:szCs w:val="18"/>
                <w:color w:val="auto"/>
              </w:rPr>
              <w:t>Third   Amended</w:t>
            </w:r>
          </w:p>
        </w:tc>
        <w:tc>
          <w:tcPr>
            <w:tcW w:w="1240" w:type="dxa"/>
            <w:vAlign w:val="bottom"/>
            <w:tcBorders>
              <w:right w:val="single" w:sz="8" w:color="auto"/>
            </w:tcBorders>
          </w:tcPr>
          <w:p>
            <w:pPr>
              <w:ind w:left="80"/>
              <w:spacing w:after="0" w:line="192" w:lineRule="exact"/>
              <w:rPr>
                <w:sz w:val="20"/>
                <w:szCs w:val="20"/>
                <w:color w:val="auto"/>
              </w:rPr>
            </w:pPr>
            <w:r>
              <w:rPr>
                <w:rFonts w:ascii="Arial" w:cs="Arial" w:eastAsia="Arial" w:hAnsi="Arial"/>
                <w:sz w:val="18"/>
                <w:szCs w:val="18"/>
                <w:color w:val="auto"/>
                <w:w w:val="95"/>
              </w:rPr>
              <w:t>and   Restated</w:t>
            </w:r>
          </w:p>
        </w:tc>
        <w:tc>
          <w:tcPr>
            <w:tcW w:w="6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r>
      <w:tr>
        <w:trPr>
          <w:trHeight w:val="216"/>
        </w:trPr>
        <w:tc>
          <w:tcPr>
            <w:tcW w:w="2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Bylaws of The GEO Group, Inc.</w:t>
            </w:r>
          </w:p>
        </w:tc>
        <w:tc>
          <w:tcPr>
            <w:tcW w:w="6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15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(incorporated   by</w:t>
            </w:r>
          </w:p>
        </w:tc>
        <w:tc>
          <w:tcPr>
            <w:tcW w:w="12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9"/>
              </w:rPr>
              <w:t>reference   to</w:t>
            </w:r>
          </w:p>
        </w:tc>
        <w:tc>
          <w:tcPr>
            <w:tcW w:w="6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2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Exhibit  3.1  to  the  Company’s</w:t>
            </w:r>
          </w:p>
        </w:tc>
        <w:tc>
          <w:tcPr>
            <w:tcW w:w="6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2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Current Report on Form 8-K, filed</w:t>
            </w:r>
          </w:p>
        </w:tc>
        <w:tc>
          <w:tcPr>
            <w:tcW w:w="6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190"/>
        </w:trPr>
        <w:tc>
          <w:tcPr>
            <w:tcW w:w="1500" w:type="dxa"/>
            <w:vAlign w:val="bottom"/>
            <w:tcBorders>
              <w:left w:val="single" w:sz="8" w:color="auto"/>
            </w:tcBorders>
          </w:tcPr>
          <w:p>
            <w:pPr>
              <w:ind w:left="40"/>
              <w:spacing w:after="0" w:line="189" w:lineRule="exact"/>
              <w:rPr>
                <w:sz w:val="20"/>
                <w:szCs w:val="20"/>
                <w:color w:val="auto"/>
              </w:rPr>
            </w:pPr>
            <w:r>
              <w:rPr>
                <w:rFonts w:ascii="Arial" w:cs="Arial" w:eastAsia="Arial" w:hAnsi="Arial"/>
                <w:sz w:val="18"/>
                <w:szCs w:val="18"/>
                <w:color w:val="auto"/>
                <w:w w:val="95"/>
              </w:rPr>
              <w:t>on June 21, 2021).</w:t>
            </w:r>
          </w:p>
        </w:tc>
        <w:tc>
          <w:tcPr>
            <w:tcW w:w="12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820" w:type="dxa"/>
            <w:vAlign w:val="bottom"/>
            <w:tcBorders>
              <w:right w:val="single" w:sz="8" w:color="auto"/>
            </w:tcBorders>
            <w:gridSpan w:val="3"/>
          </w:tcPr>
          <w:p>
            <w:pPr>
              <w:spacing w:after="0" w:line="189" w:lineRule="exact"/>
              <w:rPr>
                <w:rFonts w:ascii="Arial" w:cs="Arial" w:eastAsia="Arial" w:hAnsi="Arial"/>
                <w:sz w:val="18"/>
                <w:szCs w:val="18"/>
                <w:color w:val="auto"/>
              </w:rPr>
            </w:pPr>
            <w:hyperlink r:id="rId420">
              <w:r>
                <w:rPr>
                  <w:rFonts w:ascii="Arial" w:cs="Arial" w:eastAsia="Arial" w:hAnsi="Arial"/>
                  <w:sz w:val="18"/>
                  <w:szCs w:val="18"/>
                  <w:color w:val="auto"/>
                </w:rPr>
                <w:t>https://www.sec.gov/Archives/edgar/data/0000923796/000119312521195250/d192125dex31.htm</w:t>
              </w:r>
            </w:hyperlink>
          </w:p>
        </w:tc>
      </w:tr>
      <w:tr>
        <w:trPr>
          <w:trHeight w:val="31"/>
        </w:trPr>
        <w:tc>
          <w:tcPr>
            <w:tcW w:w="1500" w:type="dxa"/>
            <w:vAlign w:val="bottom"/>
            <w:tcBorders>
              <w:left w:val="single" w:sz="8" w:color="auto"/>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4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r>
    </w:tbl>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2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Amendment to Third Amended and</w:t>
            </w:r>
          </w:p>
        </w:tc>
        <w:tc>
          <w:tcPr>
            <w:tcW w:w="40" w:type="dxa"/>
            <w:vAlign w:val="bottom"/>
            <w:tcBorders>
              <w:top w:val="single" w:sz="8" w:color="auto"/>
            </w:tcBorders>
          </w:tcPr>
          <w:p>
            <w:pPr>
              <w:spacing w:after="0"/>
              <w:rPr>
                <w:sz w:val="20"/>
                <w:szCs w:val="20"/>
                <w:color w:val="auto"/>
              </w:rPr>
            </w:pPr>
          </w:p>
        </w:tc>
        <w:tc>
          <w:tcPr>
            <w:tcW w:w="700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tcPr>
          <w:p>
            <w:pPr>
              <w:spacing w:after="0"/>
              <w:rPr>
                <w:sz w:val="20"/>
                <w:szCs w:val="20"/>
                <w:color w:val="auto"/>
              </w:rPr>
            </w:pPr>
          </w:p>
        </w:tc>
      </w:tr>
      <w:tr>
        <w:trPr>
          <w:trHeight w:val="216"/>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Restated Bylaws, effective January</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21, 2022 (incorporated by reference</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 Exhibit 3.1 to the Company’s</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Current Report on Form 8-K filed</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190"/>
        </w:trPr>
        <w:tc>
          <w:tcPr>
            <w:tcW w:w="2760" w:type="dxa"/>
            <w:vAlign w:val="bottom"/>
            <w:tcBorders>
              <w:left w:val="single" w:sz="8" w:color="auto"/>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on January 27, 2022).</w:t>
            </w:r>
          </w:p>
        </w:tc>
        <w:tc>
          <w:tcPr>
            <w:tcW w:w="40" w:type="dxa"/>
            <w:vAlign w:val="bottom"/>
          </w:tcPr>
          <w:p>
            <w:pPr>
              <w:spacing w:after="0"/>
              <w:rPr>
                <w:sz w:val="16"/>
                <w:szCs w:val="16"/>
                <w:color w:val="auto"/>
              </w:rPr>
            </w:pPr>
          </w:p>
        </w:tc>
        <w:tc>
          <w:tcPr>
            <w:tcW w:w="7820" w:type="dxa"/>
            <w:vAlign w:val="bottom"/>
            <w:tcBorders>
              <w:right w:val="single" w:sz="8" w:color="auto"/>
            </w:tcBorders>
            <w:gridSpan w:val="2"/>
          </w:tcPr>
          <w:p>
            <w:pPr>
              <w:spacing w:after="0" w:line="189" w:lineRule="exact"/>
              <w:rPr>
                <w:rFonts w:ascii="Arial" w:cs="Arial" w:eastAsia="Arial" w:hAnsi="Arial"/>
                <w:sz w:val="18"/>
                <w:szCs w:val="18"/>
                <w:color w:val="auto"/>
              </w:rPr>
            </w:pPr>
            <w:hyperlink r:id="rId421">
              <w:r>
                <w:rPr>
                  <w:rFonts w:ascii="Arial" w:cs="Arial" w:eastAsia="Arial" w:hAnsi="Arial"/>
                  <w:sz w:val="18"/>
                  <w:szCs w:val="18"/>
                  <w:color w:val="auto"/>
                </w:rPr>
                <w:t>https://www.sec.gov/Archives/edgar/data/0000923796/000119312522019826/d305099dex31.htm</w:t>
              </w:r>
            </w:hyperlink>
          </w:p>
        </w:tc>
      </w:tr>
      <w:tr>
        <w:trPr>
          <w:trHeight w:val="31"/>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0" w:type="dxa"/>
            <w:vAlign w:val="bottom"/>
            <w:tcBorders>
              <w:top w:val="single" w:sz="8" w:color="0000EE"/>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r>
      <w:tr>
        <w:trPr>
          <w:trHeight w:val="145"/>
        </w:trPr>
        <w:tc>
          <w:tcPr>
            <w:tcW w:w="27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0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r>
      <w:tr>
        <w:trPr>
          <w:trHeight w:val="208"/>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Amendment to Third Amended and</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Restated Bylaws, effective February</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14, 2022 (incorporated by reference</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 Exhibit 3.1 to the Company’s</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190"/>
        </w:trPr>
        <w:tc>
          <w:tcPr>
            <w:tcW w:w="2760" w:type="dxa"/>
            <w:vAlign w:val="bottom"/>
            <w:tcBorders>
              <w:left w:val="single" w:sz="8" w:color="auto"/>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Current Report on</w:t>
            </w:r>
          </w:p>
        </w:tc>
        <w:tc>
          <w:tcPr>
            <w:tcW w:w="40" w:type="dxa"/>
            <w:vAlign w:val="bottom"/>
          </w:tcPr>
          <w:p>
            <w:pPr>
              <w:spacing w:after="0"/>
              <w:rPr>
                <w:sz w:val="16"/>
                <w:szCs w:val="16"/>
                <w:color w:val="auto"/>
              </w:rPr>
            </w:pPr>
          </w:p>
        </w:tc>
        <w:tc>
          <w:tcPr>
            <w:tcW w:w="7820" w:type="dxa"/>
            <w:vAlign w:val="bottom"/>
            <w:tcBorders>
              <w:right w:val="single" w:sz="8" w:color="auto"/>
            </w:tcBorders>
            <w:gridSpan w:val="2"/>
          </w:tcPr>
          <w:p>
            <w:pPr>
              <w:spacing w:after="0" w:line="189" w:lineRule="exact"/>
              <w:rPr>
                <w:rFonts w:ascii="Arial" w:cs="Arial" w:eastAsia="Arial" w:hAnsi="Arial"/>
                <w:sz w:val="18"/>
                <w:szCs w:val="18"/>
                <w:color w:val="auto"/>
              </w:rPr>
            </w:pPr>
            <w:hyperlink r:id="rId422">
              <w:r>
                <w:rPr>
                  <w:rFonts w:ascii="Arial" w:cs="Arial" w:eastAsia="Arial" w:hAnsi="Arial"/>
                  <w:sz w:val="18"/>
                  <w:szCs w:val="18"/>
                  <w:color w:val="auto"/>
                </w:rPr>
                <w:t>https://www.sec.gov/Archives/edgar/data/0000923796/000119312522045923/d106900dex31.htm</w:t>
              </w:r>
            </w:hyperlink>
          </w:p>
        </w:tc>
      </w:tr>
      <w:tr>
        <w:trPr>
          <w:trHeight w:val="34"/>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0" w:type="dxa"/>
            <w:vAlign w:val="bottom"/>
            <w:tcBorders>
              <w:top w:val="single" w:sz="8" w:color="0000EE"/>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r>
      <w:tr>
        <w:trPr>
          <w:trHeight w:val="425"/>
        </w:trPr>
        <w:tc>
          <w:tcPr>
            <w:tcW w:w="2760" w:type="dxa"/>
            <w:vAlign w:val="bottom"/>
          </w:tcPr>
          <w:p>
            <w:pPr>
              <w:spacing w:after="0"/>
              <w:rPr>
                <w:sz w:val="24"/>
                <w:szCs w:val="24"/>
                <w:color w:val="auto"/>
              </w:rPr>
            </w:pPr>
          </w:p>
        </w:tc>
        <w:tc>
          <w:tcPr>
            <w:tcW w:w="7040" w:type="dxa"/>
            <w:vAlign w:val="bottom"/>
            <w:gridSpan w:val="2"/>
          </w:tcPr>
          <w:p>
            <w:pPr>
              <w:jc w:val="right"/>
              <w:ind w:right="4570"/>
              <w:spacing w:after="0"/>
              <w:rPr>
                <w:sz w:val="20"/>
                <w:szCs w:val="20"/>
                <w:color w:val="auto"/>
              </w:rPr>
            </w:pPr>
            <w:r>
              <w:rPr>
                <w:rFonts w:ascii="Arial" w:cs="Arial" w:eastAsia="Arial" w:hAnsi="Arial"/>
                <w:sz w:val="18"/>
                <w:szCs w:val="18"/>
                <w:color w:val="auto"/>
              </w:rPr>
              <w:t>139</w:t>
            </w:r>
          </w:p>
        </w:tc>
        <w:tc>
          <w:tcPr>
            <w:tcW w:w="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55880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40" w:space="280"/>
            <w:col w:w="10620"/>
          </w:cols>
          <w:pgMar w:left="320" w:top="553" w:right="339" w:bottom="1440" w:gutter="0" w:footer="0" w:header="0"/>
          <w:type w:val="continuous"/>
        </w:sectPr>
      </w:pPr>
    </w:p>
    <w:bookmarkStart w:id="140" w:name="page141"/>
    <w:bookmarkEnd w:id="140"/>
    <w:p>
      <w:pPr>
        <w:ind w:left="5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591185</wp:posOffset>
            </wp:positionH>
            <wp:positionV relativeFrom="page">
              <wp:posOffset>360680</wp:posOffset>
            </wp:positionV>
            <wp:extent cx="6749415" cy="3124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4">
                      <a:extLst>
                        <a:ext uri="{28A0092B-C50C-407E-A947-70E740481C1C}"/>
                      </a:extLst>
                    </a:blip>
                    <a:srcRect/>
                    <a:stretch>
                      <a:fillRect/>
                    </a:stretch>
                  </pic:blipFill>
                  <pic:spPr bwMode="auto">
                    <a:xfrm>
                      <a:off x="0" y="0"/>
                      <a:ext cx="6749415" cy="312420"/>
                    </a:xfrm>
                    <a:prstGeom prst="rect">
                      <a:avLst/>
                    </a:prstGeom>
                    <a:noFill/>
                  </pic:spPr>
                </pic:pic>
              </a:graphicData>
            </a:graphic>
          </wp:anchor>
        </w:drawing>
        <w:t>Form  8-K  filed  on  February  18,</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114935</wp:posOffset>
            </wp:positionV>
            <wp:extent cx="6749415" cy="9607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5">
                      <a:extLst>
                        <a:ext uri="{28A0092B-C50C-407E-A947-70E740481C1C}"/>
                      </a:extLst>
                    </a:blip>
                    <a:srcRect/>
                    <a:stretch>
                      <a:fillRect/>
                    </a:stretch>
                  </pic:blipFill>
                  <pic:spPr bwMode="auto">
                    <a:xfrm>
                      <a:off x="0" y="0"/>
                      <a:ext cx="6749415" cy="960755"/>
                    </a:xfrm>
                    <a:prstGeom prst="rect">
                      <a:avLst/>
                    </a:prstGeom>
                    <a:noFill/>
                  </pic:spPr>
                </pic:pic>
              </a:graphicData>
            </a:graphic>
          </wp:anchor>
        </w:drawing>
      </w:r>
    </w:p>
    <w:p>
      <w:pPr>
        <w:spacing w:after="0" w:line="16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Amendment to Third Amended and</w:t>
      </w:r>
    </w:p>
    <w:p>
      <w:pPr>
        <w:spacing w:after="0" w:line="3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Restated Bylaws, effective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December 27, 2022 (incorporated</w:t>
      </w:r>
    </w:p>
    <w:p>
      <w:pPr>
        <w:spacing w:after="0" w:line="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by reference to Exhibit 3.1 to the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Company's Current Report on Form</w:t>
      </w:r>
    </w:p>
    <w:p>
      <w:pPr>
        <w:spacing w:after="0" w:line="32" w:lineRule="exact"/>
        <w:rPr>
          <w:sz w:val="20"/>
          <w:szCs w:val="20"/>
          <w:color w:val="auto"/>
        </w:rPr>
      </w:pPr>
    </w:p>
    <w:p>
      <w:pPr>
        <w:ind w:left="540"/>
        <w:spacing w:after="0"/>
        <w:tabs>
          <w:tab w:leader="none" w:pos="3280" w:val="left"/>
        </w:tabs>
        <w:rPr>
          <w:rFonts w:ascii="Arial" w:cs="Arial" w:eastAsia="Arial" w:hAnsi="Arial"/>
          <w:sz w:val="16"/>
          <w:szCs w:val="16"/>
          <w:u w:val="single" w:color="auto"/>
          <w:color w:val="0000FF"/>
        </w:rPr>
      </w:pPr>
      <w:r>
        <w:rPr>
          <w:rFonts w:ascii="Arial" w:cs="Arial" w:eastAsia="Arial" w:hAnsi="Arial"/>
          <w:sz w:val="18"/>
          <w:szCs w:val="18"/>
          <w:color w:val="auto"/>
        </w:rPr>
        <w:t>8-K, filed on December 28, 2022).</w:t>
      </w:r>
      <w:r>
        <w:rPr>
          <w:sz w:val="20"/>
          <w:szCs w:val="20"/>
          <w:color w:val="auto"/>
        </w:rPr>
        <w:tab/>
      </w:r>
      <w:hyperlink r:id="rId426">
        <w:r>
          <w:rPr>
            <w:rFonts w:ascii="Arial" w:cs="Arial" w:eastAsia="Arial" w:hAnsi="Arial"/>
            <w:sz w:val="16"/>
            <w:szCs w:val="16"/>
            <w:u w:val="single" w:color="auto"/>
            <w:color w:val="0000FF"/>
          </w:rPr>
          <w:t>https://www.sec.gov/Archives/edgar/data/923796/000119312522313783/d398856dex31.htm</w:t>
        </w:r>
      </w:hyperlink>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2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w w:val="79"/>
              </w:rPr>
              <w:t>4.1</w:t>
            </w:r>
          </w:p>
        </w:tc>
        <w:tc>
          <w:tcPr>
            <w:tcW w:w="272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w w:val="89"/>
              </w:rPr>
              <w:t>Indenture, dated as of September 25,</w:t>
            </w:r>
          </w:p>
        </w:tc>
        <w:tc>
          <w:tcPr>
            <w:tcW w:w="60" w:type="dxa"/>
            <w:vAlign w:val="bottom"/>
            <w:tcBorders>
              <w:top w:val="single" w:sz="8" w:color="auto"/>
            </w:tcBorders>
          </w:tcPr>
          <w:p>
            <w:pPr>
              <w:spacing w:after="0"/>
              <w:rPr>
                <w:sz w:val="20"/>
                <w:szCs w:val="20"/>
                <w:color w:val="auto"/>
              </w:rPr>
            </w:pPr>
          </w:p>
        </w:tc>
        <w:tc>
          <w:tcPr>
            <w:tcW w:w="6640" w:type="dxa"/>
            <w:vAlign w:val="bottom"/>
            <w:tcBorders>
              <w:top w:val="single" w:sz="8" w:color="auto"/>
            </w:tcBorders>
          </w:tcPr>
          <w:p>
            <w:pPr>
              <w:spacing w:after="0"/>
              <w:rPr>
                <w:sz w:val="20"/>
                <w:szCs w:val="20"/>
                <w:color w:val="auto"/>
              </w:rPr>
            </w:pPr>
          </w:p>
        </w:tc>
        <w:tc>
          <w:tcPr>
            <w:tcW w:w="1180" w:type="dxa"/>
            <w:vAlign w:val="bottom"/>
            <w:tcBorders>
              <w:top w:val="single" w:sz="8" w:color="auto"/>
              <w:right w:val="single" w:sz="8" w:color="auto"/>
            </w:tcBorders>
          </w:tcPr>
          <w:p>
            <w:pPr>
              <w:spacing w:after="0"/>
              <w:rPr>
                <w:sz w:val="20"/>
                <w:szCs w:val="20"/>
                <w:color w:val="auto"/>
              </w:rPr>
            </w:pPr>
          </w:p>
        </w:tc>
      </w:tr>
      <w:tr>
        <w:trPr>
          <w:trHeight w:val="216"/>
        </w:trPr>
        <w:tc>
          <w:tcPr>
            <w:tcW w:w="52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2014, by and between GEO and</w:t>
            </w:r>
          </w:p>
        </w:tc>
        <w:tc>
          <w:tcPr>
            <w:tcW w:w="6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16"/>
        </w:trPr>
        <w:tc>
          <w:tcPr>
            <w:tcW w:w="520" w:type="dxa"/>
            <w:vAlign w:val="bottom"/>
            <w:tcBorders>
              <w:right w:val="single" w:sz="8" w:color="auto"/>
            </w:tcBorders>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Wells   Fargo</w:t>
            </w:r>
          </w:p>
        </w:tc>
        <w:tc>
          <w:tcPr>
            <w:tcW w:w="760" w:type="dxa"/>
            <w:vAlign w:val="bottom"/>
          </w:tcPr>
          <w:p>
            <w:pPr>
              <w:ind w:left="200"/>
              <w:spacing w:after="0"/>
              <w:rPr>
                <w:sz w:val="20"/>
                <w:szCs w:val="20"/>
                <w:color w:val="auto"/>
              </w:rPr>
            </w:pPr>
            <w:r>
              <w:rPr>
                <w:rFonts w:ascii="Arial" w:cs="Arial" w:eastAsia="Arial" w:hAnsi="Arial"/>
                <w:sz w:val="18"/>
                <w:szCs w:val="18"/>
                <w:color w:val="auto"/>
              </w:rPr>
              <w:t>Bank,</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National</w:t>
            </w:r>
          </w:p>
        </w:tc>
        <w:tc>
          <w:tcPr>
            <w:tcW w:w="6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16"/>
        </w:trPr>
        <w:tc>
          <w:tcPr>
            <w:tcW w:w="520" w:type="dxa"/>
            <w:vAlign w:val="bottom"/>
            <w:tcBorders>
              <w:right w:val="single" w:sz="8" w:color="auto"/>
            </w:tcBorders>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Association,</w:t>
            </w:r>
          </w:p>
        </w:tc>
        <w:tc>
          <w:tcPr>
            <w:tcW w:w="760" w:type="dxa"/>
            <w:vAlign w:val="bottom"/>
          </w:tcPr>
          <w:p>
            <w:pPr>
              <w:ind w:left="300"/>
              <w:spacing w:after="0"/>
              <w:rPr>
                <w:sz w:val="20"/>
                <w:szCs w:val="20"/>
                <w:color w:val="auto"/>
              </w:rPr>
            </w:pPr>
            <w:r>
              <w:rPr>
                <w:rFonts w:ascii="Arial" w:cs="Arial" w:eastAsia="Arial" w:hAnsi="Arial"/>
                <w:sz w:val="18"/>
                <w:szCs w:val="18"/>
                <w:color w:val="auto"/>
              </w:rPr>
              <w:t>as</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Trustee</w:t>
            </w:r>
          </w:p>
        </w:tc>
        <w:tc>
          <w:tcPr>
            <w:tcW w:w="6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16"/>
        </w:trPr>
        <w:tc>
          <w:tcPr>
            <w:tcW w:w="520" w:type="dxa"/>
            <w:vAlign w:val="bottom"/>
            <w:tcBorders>
              <w:right w:val="single" w:sz="8" w:color="auto"/>
            </w:tcBorders>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(incorporated</w:t>
            </w:r>
          </w:p>
        </w:tc>
        <w:tc>
          <w:tcPr>
            <w:tcW w:w="15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by   reference   to</w:t>
            </w:r>
          </w:p>
        </w:tc>
        <w:tc>
          <w:tcPr>
            <w:tcW w:w="6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16"/>
        </w:trPr>
        <w:tc>
          <w:tcPr>
            <w:tcW w:w="52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Exhibit  4.1  to  the  Company’s</w:t>
            </w:r>
          </w:p>
        </w:tc>
        <w:tc>
          <w:tcPr>
            <w:tcW w:w="6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16"/>
        </w:trPr>
        <w:tc>
          <w:tcPr>
            <w:tcW w:w="52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9"/>
              </w:rPr>
              <w:t>Current Report on Form 8-K, filed</w:t>
            </w:r>
          </w:p>
        </w:tc>
        <w:tc>
          <w:tcPr>
            <w:tcW w:w="6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190"/>
        </w:trPr>
        <w:tc>
          <w:tcPr>
            <w:tcW w:w="520" w:type="dxa"/>
            <w:vAlign w:val="bottom"/>
            <w:tcBorders>
              <w:right w:val="single" w:sz="8" w:color="auto"/>
            </w:tcBorders>
          </w:tcPr>
          <w:p>
            <w:pPr>
              <w:spacing w:after="0"/>
              <w:rPr>
                <w:sz w:val="16"/>
                <w:szCs w:val="16"/>
                <w:color w:val="auto"/>
              </w:rPr>
            </w:pPr>
          </w:p>
        </w:tc>
        <w:tc>
          <w:tcPr>
            <w:tcW w:w="19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on October 1, 2014).</w:t>
            </w:r>
          </w:p>
        </w:tc>
        <w:tc>
          <w:tcPr>
            <w:tcW w:w="8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820" w:type="dxa"/>
            <w:vAlign w:val="bottom"/>
            <w:tcBorders>
              <w:right w:val="single" w:sz="8" w:color="auto"/>
            </w:tcBorders>
            <w:gridSpan w:val="2"/>
          </w:tcPr>
          <w:p>
            <w:pPr>
              <w:spacing w:after="0" w:line="189" w:lineRule="exact"/>
              <w:rPr>
                <w:rFonts w:ascii="Arial" w:cs="Arial" w:eastAsia="Arial" w:hAnsi="Arial"/>
                <w:sz w:val="18"/>
                <w:szCs w:val="18"/>
                <w:color w:val="auto"/>
              </w:rPr>
            </w:pPr>
            <w:hyperlink r:id="rId427">
              <w:r>
                <w:rPr>
                  <w:rFonts w:ascii="Arial" w:cs="Arial" w:eastAsia="Arial" w:hAnsi="Arial"/>
                  <w:sz w:val="18"/>
                  <w:szCs w:val="18"/>
                  <w:color w:val="auto"/>
                </w:rPr>
                <w:t>https://www.sec.gov/Archives/edgar/data/923796/000119312514360857/d795633dex41.htm</w:t>
              </w:r>
            </w:hyperlink>
          </w:p>
        </w:tc>
      </w:tr>
      <w:tr>
        <w:trPr>
          <w:trHeight w:val="31"/>
        </w:trPr>
        <w:tc>
          <w:tcPr>
            <w:tcW w:w="520" w:type="dxa"/>
            <w:vAlign w:val="bottom"/>
            <w:tcBorders>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40" w:type="dxa"/>
            <w:vAlign w:val="bottom"/>
            <w:tcBorders>
              <w:top w:val="single" w:sz="8" w:color="0000EE"/>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167005</wp:posOffset>
            </wp:positionV>
            <wp:extent cx="6749415" cy="140843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8">
                      <a:extLst>
                        <a:ext uri="{28A0092B-C50C-407E-A947-70E740481C1C}"/>
                      </a:extLst>
                    </a:blip>
                    <a:srcRect/>
                    <a:stretch>
                      <a:fillRect/>
                    </a:stretch>
                  </pic:blipFill>
                  <pic:spPr bwMode="auto">
                    <a:xfrm>
                      <a:off x="0" y="0"/>
                      <a:ext cx="6749415" cy="1408430"/>
                    </a:xfrm>
                    <a:prstGeom prst="rect">
                      <a:avLst/>
                    </a:prstGeom>
                    <a:noFill/>
                  </pic:spPr>
                </pic:pic>
              </a:graphicData>
            </a:graphic>
          </wp:anchor>
        </w:drawing>
      </w:r>
    </w:p>
    <w:p>
      <w:pPr>
        <w:sectPr>
          <w:pgSz w:w="11900" w:h="16838" w:orient="portrait"/>
          <w:cols w:equalWidth="0" w:num="1">
            <w:col w:w="11120"/>
          </w:cols>
          <w:pgMar w:left="440" w:top="584" w:right="339" w:bottom="1440" w:gutter="0" w:footer="0" w:header="0"/>
        </w:sectPr>
      </w:pPr>
    </w:p>
    <w:p>
      <w:pPr>
        <w:spacing w:after="0" w:line="266" w:lineRule="exact"/>
        <w:rPr>
          <w:sz w:val="20"/>
          <w:szCs w:val="20"/>
          <w:color w:val="auto"/>
        </w:rPr>
      </w:pPr>
    </w:p>
    <w:p>
      <w:pPr>
        <w:jc w:val="both"/>
        <w:ind w:left="540" w:hanging="556"/>
        <w:spacing w:after="0" w:line="288" w:lineRule="auto"/>
        <w:tabs>
          <w:tab w:leader="none" w:pos="5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First Supplemental Indenture, dated as of September 25, 2014, by and among GEO, certain subsidiary guarantors and Wells Fargo Bank, National Association, as Trustee with respect to the 5.875% Senior Notes due 2024 (incorporated by reference to Exhibit 4.2 to the Company’s Current Report on Form 8-K, filed on October 1, 2014).</w:t>
      </w:r>
    </w:p>
    <w:p>
      <w:pPr>
        <w:spacing w:after="0" w:line="1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Form of 5.875% Senior Note due</w:t>
      </w:r>
    </w:p>
    <w:p>
      <w:pPr>
        <w:spacing w:after="0" w:line="3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2024 (included in Exhibit 4.5).</w:t>
      </w:r>
    </w:p>
    <w:p>
      <w:pPr>
        <w:spacing w:after="0" w:line="183" w:lineRule="exact"/>
        <w:rPr>
          <w:sz w:val="20"/>
          <w:szCs w:val="20"/>
          <w:color w:val="auto"/>
        </w:rPr>
      </w:pPr>
    </w:p>
    <w:p>
      <w:pPr>
        <w:jc w:val="both"/>
        <w:ind w:left="540" w:right="20" w:hanging="556"/>
        <w:spacing w:after="0" w:line="269" w:lineRule="auto"/>
        <w:tabs>
          <w:tab w:leader="none" w:pos="5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Second Supplemental Indenture, dated as of April 18, 2016, by and among The GEO Group, Inc., the subsidiary guarantors named therein and Wells Fargo Bank, National Association, as Trustee with respect to the 6.00% Senior Notes due 2026 (incorporated by reference to Exhibit 4.1 to the Company’s Current Report on Form 8-K, filed on April 18, 2016).</w:t>
      </w:r>
    </w:p>
    <w:p>
      <w:pPr>
        <w:spacing w:after="0" w:line="16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Form of 6.00% Senior Notes due</w:t>
      </w:r>
    </w:p>
    <w:p>
      <w:pPr>
        <w:spacing w:after="0" w:line="3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2026 (included in Exhibit 4.7).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rFonts w:ascii="Arial" w:cs="Arial" w:eastAsia="Arial" w:hAnsi="Arial"/>
          <w:sz w:val="16"/>
          <w:szCs w:val="16"/>
          <w:color w:val="auto"/>
        </w:rPr>
      </w:pPr>
      <w:hyperlink r:id="rId429">
        <w:r>
          <w:rPr>
            <w:rFonts w:ascii="Arial" w:cs="Arial" w:eastAsia="Arial" w:hAnsi="Arial"/>
            <w:sz w:val="16"/>
            <w:szCs w:val="16"/>
            <w:color w:val="auto"/>
          </w:rPr>
          <w:t>https://www.sec.gov/Archives/edgar/data/923796/000119312514360857/d795633dex42.htm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-1783080</wp:posOffset>
            </wp:positionH>
            <wp:positionV relativeFrom="paragraph">
              <wp:posOffset>138430</wp:posOffset>
            </wp:positionV>
            <wp:extent cx="6749415" cy="3124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0">
                      <a:extLst>
                        <a:ext uri="{28A0092B-C50C-407E-A947-70E740481C1C}"/>
                      </a:extLst>
                    </a:blip>
                    <a:srcRect/>
                    <a:stretch>
                      <a:fillRect/>
                    </a:stretch>
                  </pic:blipFill>
                  <pic:spPr bwMode="auto">
                    <a:xfrm>
                      <a:off x="0" y="0"/>
                      <a:ext cx="6749415" cy="31242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rFonts w:ascii="Arial" w:cs="Arial" w:eastAsia="Arial" w:hAnsi="Arial"/>
          <w:sz w:val="16"/>
          <w:szCs w:val="16"/>
          <w:color w:val="auto"/>
        </w:rPr>
      </w:pPr>
      <w:hyperlink r:id="rId429">
        <w:r>
          <w:rPr>
            <w:rFonts w:ascii="Arial" w:cs="Arial" w:eastAsia="Arial" w:hAnsi="Arial"/>
            <w:sz w:val="16"/>
            <w:szCs w:val="16"/>
            <w:color w:val="auto"/>
          </w:rPr>
          <w:t>https://www.sec.gov/Archives/edgar/data/923796/000119312514360857/d795633dex42.htm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-1783080</wp:posOffset>
            </wp:positionH>
            <wp:positionV relativeFrom="paragraph">
              <wp:posOffset>138430</wp:posOffset>
            </wp:positionV>
            <wp:extent cx="6749415" cy="1545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1">
                      <a:extLst>
                        <a:ext uri="{28A0092B-C50C-407E-A947-70E740481C1C}"/>
                      </a:extLst>
                    </a:blip>
                    <a:srcRect/>
                    <a:stretch>
                      <a:fillRect/>
                    </a:stretch>
                  </pic:blipFill>
                  <pic:spPr bwMode="auto">
                    <a:xfrm>
                      <a:off x="0" y="0"/>
                      <a:ext cx="6749415" cy="154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rFonts w:ascii="Arial" w:cs="Arial" w:eastAsia="Arial" w:hAnsi="Arial"/>
          <w:sz w:val="16"/>
          <w:szCs w:val="16"/>
          <w:color w:val="auto"/>
        </w:rPr>
      </w:pPr>
      <w:hyperlink r:id="rId432">
        <w:r>
          <w:rPr>
            <w:rFonts w:ascii="Arial" w:cs="Arial" w:eastAsia="Arial" w:hAnsi="Arial"/>
            <w:sz w:val="16"/>
            <w:szCs w:val="16"/>
            <w:color w:val="auto"/>
          </w:rPr>
          <w:t>https://www.sec.gov/Archives/edgar/data/923796/000119312516545008/d172173dex41.htm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-1783080</wp:posOffset>
            </wp:positionH>
            <wp:positionV relativeFrom="paragraph">
              <wp:posOffset>138430</wp:posOffset>
            </wp:positionV>
            <wp:extent cx="6749415" cy="3124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3">
                      <a:extLst>
                        <a:ext uri="{28A0092B-C50C-407E-A947-70E740481C1C}"/>
                      </a:extLst>
                    </a:blip>
                    <a:srcRect/>
                    <a:stretch>
                      <a:fillRect/>
                    </a:stretch>
                  </pic:blipFill>
                  <pic:spPr bwMode="auto">
                    <a:xfrm>
                      <a:off x="0" y="0"/>
                      <a:ext cx="6749415" cy="31242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rFonts w:ascii="Arial" w:cs="Arial" w:eastAsia="Arial" w:hAnsi="Arial"/>
          <w:sz w:val="16"/>
          <w:szCs w:val="16"/>
          <w:color w:val="auto"/>
        </w:rPr>
      </w:pPr>
      <w:hyperlink r:id="rId432">
        <w:r>
          <w:rPr>
            <w:rFonts w:ascii="Arial" w:cs="Arial" w:eastAsia="Arial" w:hAnsi="Arial"/>
            <w:sz w:val="16"/>
            <w:szCs w:val="16"/>
            <w:color w:val="auto"/>
          </w:rPr>
          <w:t>https://www.sec.gov/Archives/edgar/data/923796/000119312516545008/d172173dex41.htm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-1783080</wp:posOffset>
            </wp:positionH>
            <wp:positionV relativeFrom="paragraph">
              <wp:posOffset>232410</wp:posOffset>
            </wp:positionV>
            <wp:extent cx="6749415" cy="86042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4">
                      <a:extLst>
                        <a:ext uri="{28A0092B-C50C-407E-A947-70E740481C1C}"/>
                      </a:extLst>
                    </a:blip>
                    <a:srcRect/>
                    <a:stretch>
                      <a:fillRect/>
                    </a:stretch>
                  </pic:blipFill>
                  <pic:spPr bwMode="auto">
                    <a:xfrm>
                      <a:off x="0" y="0"/>
                      <a:ext cx="6749415" cy="860425"/>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3200" w:space="100"/>
            <w:col w:w="7820"/>
          </w:cols>
          <w:pgMar w:left="440" w:top="584" w:right="339" w:bottom="1440" w:gutter="0" w:footer="0" w:header="0"/>
          <w:type w:val="continuous"/>
        </w:sectPr>
      </w:pPr>
    </w:p>
    <w:p>
      <w:pPr>
        <w:spacing w:after="0" w:line="131" w:lineRule="exact"/>
        <w:rPr>
          <w:sz w:val="20"/>
          <w:szCs w:val="20"/>
          <w:color w:val="auto"/>
        </w:rPr>
      </w:pPr>
    </w:p>
    <w:p>
      <w:pPr>
        <w:jc w:val="both"/>
        <w:ind w:left="520" w:hanging="529"/>
        <w:spacing w:after="0" w:line="293" w:lineRule="auto"/>
        <w:tabs>
          <w:tab w:leader="none" w:pos="5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Indenture, dated as of February 24, 2021, by and among GEO Corrections Holdings, Inc., as issuer, The GEO Group, Inc. and the other guarantors named therein, as guarantors, and the Trustee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rFonts w:ascii="Arial" w:cs="Arial" w:eastAsia="Arial" w:hAnsi="Arial"/>
          <w:sz w:val="16"/>
          <w:szCs w:val="16"/>
          <w:color w:val="auto"/>
        </w:rPr>
      </w:pPr>
      <w:hyperlink r:id="rId435">
        <w:r>
          <w:rPr>
            <w:rFonts w:ascii="Arial" w:cs="Arial" w:eastAsia="Arial" w:hAnsi="Arial"/>
            <w:sz w:val="16"/>
            <w:szCs w:val="16"/>
            <w:color w:val="auto"/>
          </w:rPr>
          <w:t>https://www.sec.gov/Archives/edgar/data/0000923796/000119312521065641/d85561dex41.htm</w:t>
        </w:r>
      </w:hyperlink>
    </w:p>
    <w:p>
      <w:pPr>
        <w:spacing w:after="0" w:line="274"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70485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220" w:space="40"/>
            <w:col w:w="7860"/>
          </w:cols>
          <w:pgMar w:left="440" w:top="584" w:right="339" w:bottom="1440" w:gutter="0" w:footer="0" w:header="0"/>
          <w:type w:val="continuous"/>
        </w:sectPr>
      </w:pPr>
    </w:p>
    <w:bookmarkStart w:id="141" w:name="page142"/>
    <w:bookmarkEnd w:id="141"/>
    <w:tbl>
      <w:tblPr>
        <w:tblLayout w:type="fixed"/>
        <w:tblInd w:w="0" w:type="dxa"/>
        <w:tblCellMar>
          <w:top w:w="0" w:type="dxa"/>
          <w:left w:w="0" w:type="dxa"/>
          <w:bottom w:w="0" w:type="dxa"/>
          <w:right w:w="0" w:type="dxa"/>
        </w:tblCellMar>
      </w:tblPr>
      <w:tr>
        <w:trPr>
          <w:trHeight w:val="232"/>
        </w:trPr>
        <w:tc>
          <w:tcPr>
            <w:tcW w:w="600" w:type="dxa"/>
            <w:vAlign w:val="bottom"/>
          </w:tcPr>
          <w:p>
            <w:pPr>
              <w:spacing w:after="0"/>
              <w:rPr>
                <w:sz w:val="20"/>
                <w:szCs w:val="20"/>
                <w:color w:val="auto"/>
              </w:rPr>
            </w:pPr>
          </w:p>
        </w:tc>
        <w:tc>
          <w:tcPr>
            <w:tcW w:w="280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(portions of this exhibit have been</w:t>
            </w:r>
          </w:p>
        </w:tc>
        <w:tc>
          <w:tcPr>
            <w:tcW w:w="20" w:type="dxa"/>
            <w:vAlign w:val="bottom"/>
            <w:tcBorders>
              <w:top w:val="single" w:sz="8" w:color="auto"/>
            </w:tcBorders>
          </w:tcPr>
          <w:p>
            <w:pPr>
              <w:spacing w:after="0"/>
              <w:rPr>
                <w:sz w:val="20"/>
                <w:szCs w:val="20"/>
                <w:color w:val="auto"/>
              </w:rPr>
            </w:pPr>
          </w:p>
        </w:tc>
        <w:tc>
          <w:tcPr>
            <w:tcW w:w="66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0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8"/>
              </w:rPr>
              <w:t>omitted) (incorporated by</w:t>
            </w:r>
          </w:p>
        </w:tc>
        <w:tc>
          <w:tcPr>
            <w:tcW w:w="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reference</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to  Exhibit  4.1  to  the  Company's</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Current Report on Form 8-K, filed</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20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on March 2, 2021).</w:t>
            </w:r>
          </w:p>
        </w:tc>
        <w:tc>
          <w:tcPr>
            <w:tcW w:w="7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00" w:type="dxa"/>
            <w:vAlign w:val="bottom"/>
            <w:vMerge w:val="restart"/>
          </w:tcPr>
          <w:p>
            <w:pPr>
              <w:ind w:left="120"/>
              <w:spacing w:after="0"/>
              <w:rPr>
                <w:sz w:val="20"/>
                <w:szCs w:val="20"/>
                <w:color w:val="auto"/>
              </w:rPr>
            </w:pPr>
            <w:r>
              <w:rPr>
                <w:rFonts w:ascii="Arial" w:cs="Arial" w:eastAsia="Arial" w:hAnsi="Arial"/>
                <w:sz w:val="18"/>
                <w:szCs w:val="18"/>
                <w:color w:val="auto"/>
              </w:rPr>
              <w:t>4.7</w:t>
            </w:r>
          </w:p>
        </w:tc>
        <w:tc>
          <w:tcPr>
            <w:tcW w:w="28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600" w:type="dxa"/>
            <w:vAlign w:val="bottom"/>
            <w:vMerge w:val="continue"/>
          </w:tcPr>
          <w:p>
            <w:pPr>
              <w:spacing w:after="0"/>
              <w:rPr>
                <w:sz w:val="12"/>
                <w:szCs w:val="12"/>
                <w:color w:val="auto"/>
              </w:rPr>
            </w:pPr>
          </w:p>
        </w:tc>
        <w:tc>
          <w:tcPr>
            <w:tcW w:w="2800" w:type="dxa"/>
            <w:vAlign w:val="bottom"/>
            <w:tcBorders>
              <w:bottom w:val="single" w:sz="8" w:color="auto"/>
            </w:tcBorders>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00" w:type="dxa"/>
            <w:vAlign w:val="bottom"/>
            <w:vMerge w:val="continue"/>
          </w:tcPr>
          <w:p>
            <w:pPr>
              <w:spacing w:after="0"/>
              <w:rPr>
                <w:sz w:val="18"/>
                <w:szCs w:val="18"/>
                <w:color w:val="auto"/>
              </w:rPr>
            </w:pPr>
          </w:p>
        </w:tc>
        <w:tc>
          <w:tcPr>
            <w:tcW w:w="28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Form of 6.5% Exchangeable Senior</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Notes due 2026 (included in Exhibit</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00" w:type="dxa"/>
            <w:vAlign w:val="bottom"/>
          </w:tcPr>
          <w:p>
            <w:pPr>
              <w:spacing w:after="0"/>
              <w:rPr>
                <w:sz w:val="16"/>
                <w:szCs w:val="16"/>
                <w:color w:val="auto"/>
              </w:rPr>
            </w:pPr>
          </w:p>
        </w:tc>
        <w:tc>
          <w:tcPr>
            <w:tcW w:w="2040" w:type="dxa"/>
            <w:vAlign w:val="bottom"/>
          </w:tcPr>
          <w:p>
            <w:pPr>
              <w:ind w:left="60"/>
              <w:spacing w:after="0" w:line="189" w:lineRule="exact"/>
              <w:rPr>
                <w:sz w:val="20"/>
                <w:szCs w:val="20"/>
                <w:color w:val="auto"/>
              </w:rPr>
            </w:pPr>
            <w:r>
              <w:rPr>
                <w:rFonts w:ascii="Arial" w:cs="Arial" w:eastAsia="Arial" w:hAnsi="Arial"/>
                <w:sz w:val="18"/>
                <w:szCs w:val="18"/>
                <w:color w:val="auto"/>
              </w:rPr>
              <w:t>4.9).</w:t>
            </w:r>
          </w:p>
        </w:tc>
        <w:tc>
          <w:tcPr>
            <w:tcW w:w="7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820" w:type="dxa"/>
            <w:vAlign w:val="bottom"/>
            <w:tcBorders>
              <w:right w:val="single" w:sz="8" w:color="auto"/>
            </w:tcBorders>
            <w:gridSpan w:val="3"/>
          </w:tcPr>
          <w:p>
            <w:pPr>
              <w:spacing w:after="0" w:line="189" w:lineRule="exact"/>
              <w:rPr>
                <w:rFonts w:ascii="Arial" w:cs="Arial" w:eastAsia="Arial" w:hAnsi="Arial"/>
                <w:sz w:val="18"/>
                <w:szCs w:val="18"/>
                <w:color w:val="auto"/>
              </w:rPr>
            </w:pPr>
            <w:hyperlink r:id="rId435">
              <w:r>
                <w:rPr>
                  <w:rFonts w:ascii="Arial" w:cs="Arial" w:eastAsia="Arial" w:hAnsi="Arial"/>
                  <w:sz w:val="18"/>
                  <w:szCs w:val="18"/>
                  <w:color w:val="auto"/>
                </w:rPr>
                <w:t>https://www.sec.gov/Archives/edgar/data/0000923796/000119312521065641/d85561dex41.htm</w:t>
              </w:r>
            </w:hyperlink>
          </w:p>
        </w:tc>
        <w:tc>
          <w:tcPr>
            <w:tcW w:w="0" w:type="dxa"/>
            <w:vAlign w:val="bottom"/>
          </w:tcPr>
          <w:p>
            <w:pPr>
              <w:spacing w:after="0"/>
              <w:rPr>
                <w:sz w:val="1"/>
                <w:szCs w:val="1"/>
                <w:color w:val="auto"/>
              </w:rPr>
            </w:pPr>
          </w:p>
        </w:tc>
      </w:tr>
      <w:tr>
        <w:trPr>
          <w:trHeight w:val="34"/>
        </w:trPr>
        <w:tc>
          <w:tcPr>
            <w:tcW w:w="600" w:type="dxa"/>
            <w:vAlign w:val="bottom"/>
            <w:vMerge w:val="restart"/>
          </w:tcPr>
          <w:p>
            <w:pPr>
              <w:ind w:left="120"/>
              <w:spacing w:after="0"/>
              <w:rPr>
                <w:sz w:val="20"/>
                <w:szCs w:val="20"/>
                <w:color w:val="auto"/>
              </w:rPr>
            </w:pPr>
            <w:r>
              <w:rPr>
                <w:rFonts w:ascii="Arial" w:cs="Arial" w:eastAsia="Arial" w:hAnsi="Arial"/>
                <w:sz w:val="18"/>
                <w:szCs w:val="18"/>
                <w:color w:val="auto"/>
              </w:rPr>
              <w:t>4.8</w:t>
            </w:r>
          </w:p>
        </w:tc>
        <w:tc>
          <w:tcPr>
            <w:tcW w:w="20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4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00" w:type="dxa"/>
            <w:vAlign w:val="bottom"/>
            <w:vMerge w:val="continue"/>
          </w:tcPr>
          <w:p>
            <w:pPr>
              <w:spacing w:after="0"/>
              <w:rPr>
                <w:sz w:val="12"/>
                <w:szCs w:val="12"/>
                <w:color w:val="auto"/>
              </w:rPr>
            </w:pPr>
          </w:p>
        </w:tc>
        <w:tc>
          <w:tcPr>
            <w:tcW w:w="2800" w:type="dxa"/>
            <w:vAlign w:val="bottom"/>
            <w:tcBorders>
              <w:bottom w:val="single" w:sz="8" w:color="auto"/>
              <w:right w:val="single" w:sz="8" w:color="auto"/>
            </w:tcBorders>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00" w:type="dxa"/>
            <w:vAlign w:val="bottom"/>
            <w:vMerge w:val="continue"/>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Indenture, dated as of August 19,</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6"/>
              </w:rPr>
              <w:t>2022, among The GEO Group, Inc.,</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4"/>
              </w:rPr>
              <w:t>the  guarantors  named  therein  and</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8"/>
              </w:rPr>
              <w:t>Ankura  Trust  Company,  LLC,  as</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6"/>
              </w:rPr>
              <w:t>trustee  and  second  lien  collateral</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trustee,  relating  to  the  10.500%</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7"/>
              </w:rPr>
              <w:t>Senior Second Lien Secured Notes</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4"/>
              </w:rPr>
              <w:t>due 2028 (incorporated by reference</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to  Exhibit  4.1  to  the  Company's</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5"/>
              </w:rPr>
              <w:t>Current Report on Form 8-K filed on</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0" w:type="dxa"/>
            <w:vAlign w:val="bottom"/>
          </w:tcPr>
          <w:p>
            <w:pPr>
              <w:spacing w:after="0"/>
              <w:rPr>
                <w:sz w:val="19"/>
                <w:szCs w:val="19"/>
                <w:color w:val="auto"/>
              </w:rPr>
            </w:pPr>
          </w:p>
        </w:tc>
        <w:tc>
          <w:tcPr>
            <w:tcW w:w="2040" w:type="dxa"/>
            <w:vAlign w:val="bottom"/>
          </w:tcPr>
          <w:p>
            <w:pPr>
              <w:ind w:left="20"/>
              <w:spacing w:after="0" w:line="224" w:lineRule="exact"/>
              <w:rPr>
                <w:sz w:val="20"/>
                <w:szCs w:val="20"/>
                <w:color w:val="auto"/>
              </w:rPr>
            </w:pPr>
            <w:r>
              <w:rPr>
                <w:rFonts w:ascii="Arial" w:cs="Arial" w:eastAsia="Arial" w:hAnsi="Arial"/>
                <w:sz w:val="18"/>
                <w:szCs w:val="18"/>
                <w:color w:val="auto"/>
              </w:rPr>
              <w:t>August 25, 2022)</w:t>
            </w:r>
            <w:r>
              <w:rPr>
                <w:rFonts w:ascii="Arial" w:cs="Arial" w:eastAsia="Arial" w:hAnsi="Arial"/>
                <w:sz w:val="21"/>
                <w:szCs w:val="21"/>
                <w:color w:val="auto"/>
              </w:rPr>
              <w:t>.</w:t>
            </w:r>
          </w:p>
        </w:tc>
        <w:tc>
          <w:tcPr>
            <w:tcW w:w="7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20" w:type="dxa"/>
            <w:vAlign w:val="bottom"/>
            <w:tcBorders>
              <w:right w:val="single" w:sz="8" w:color="auto"/>
            </w:tcBorders>
            <w:gridSpan w:val="3"/>
          </w:tcPr>
          <w:p>
            <w:pPr>
              <w:spacing w:after="0"/>
              <w:rPr>
                <w:rFonts w:ascii="Arial" w:cs="Arial" w:eastAsia="Arial" w:hAnsi="Arial"/>
                <w:sz w:val="18"/>
                <w:szCs w:val="18"/>
                <w:color w:val="0000FF"/>
              </w:rPr>
            </w:pPr>
            <w:hyperlink r:id="rId437">
              <w:r>
                <w:rPr>
                  <w:rFonts w:ascii="Arial" w:cs="Arial" w:eastAsia="Arial" w:hAnsi="Arial"/>
                  <w:sz w:val="18"/>
                  <w:szCs w:val="18"/>
                  <w:color w:val="0000FF"/>
                </w:rPr>
                <w:t>https://www.sec.gov/Archives/edgar/data/923796/000119312522230195/d392591dex41.htm</w:t>
              </w:r>
            </w:hyperlink>
          </w:p>
        </w:tc>
        <w:tc>
          <w:tcPr>
            <w:tcW w:w="0" w:type="dxa"/>
            <w:vAlign w:val="bottom"/>
          </w:tcPr>
          <w:p>
            <w:pPr>
              <w:spacing w:after="0"/>
              <w:rPr>
                <w:sz w:val="1"/>
                <w:szCs w:val="1"/>
                <w:color w:val="auto"/>
              </w:rPr>
            </w:pPr>
          </w:p>
        </w:tc>
      </w:tr>
      <w:tr>
        <w:trPr>
          <w:trHeight w:val="34"/>
        </w:trPr>
        <w:tc>
          <w:tcPr>
            <w:tcW w:w="600" w:type="dxa"/>
            <w:vAlign w:val="bottom"/>
            <w:vMerge w:val="restart"/>
          </w:tcPr>
          <w:p>
            <w:pPr>
              <w:ind w:left="120"/>
              <w:spacing w:after="0"/>
              <w:rPr>
                <w:sz w:val="20"/>
                <w:szCs w:val="20"/>
                <w:color w:val="auto"/>
              </w:rPr>
            </w:pPr>
            <w:r>
              <w:rPr>
                <w:rFonts w:ascii="Arial" w:cs="Arial" w:eastAsia="Arial" w:hAnsi="Arial"/>
                <w:sz w:val="18"/>
                <w:szCs w:val="18"/>
                <w:color w:val="auto"/>
              </w:rPr>
              <w:t>4.9</w:t>
            </w:r>
          </w:p>
        </w:tc>
        <w:tc>
          <w:tcPr>
            <w:tcW w:w="20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40" w:type="dxa"/>
            <w:vAlign w:val="bottom"/>
            <w:tcBorders>
              <w:top w:val="single" w:sz="8" w:color="0000FF"/>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00" w:type="dxa"/>
            <w:vAlign w:val="bottom"/>
            <w:vMerge w:val="continue"/>
          </w:tcPr>
          <w:p>
            <w:pPr>
              <w:spacing w:after="0"/>
              <w:rPr>
                <w:sz w:val="12"/>
                <w:szCs w:val="12"/>
                <w:color w:val="auto"/>
              </w:rPr>
            </w:pPr>
          </w:p>
        </w:tc>
        <w:tc>
          <w:tcPr>
            <w:tcW w:w="2800" w:type="dxa"/>
            <w:vAlign w:val="bottom"/>
            <w:tcBorders>
              <w:bottom w:val="single" w:sz="8" w:color="auto"/>
              <w:right w:val="single" w:sz="8" w:color="auto"/>
            </w:tcBorders>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00" w:type="dxa"/>
            <w:vAlign w:val="bottom"/>
            <w:vMerge w:val="continue"/>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Form of 10.500% Senior Second</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Lien Secured Notes due 2028</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00" w:type="dxa"/>
            <w:vAlign w:val="bottom"/>
          </w:tcPr>
          <w:p>
            <w:pPr>
              <w:spacing w:after="0"/>
              <w:rPr>
                <w:sz w:val="16"/>
                <w:szCs w:val="16"/>
                <w:color w:val="auto"/>
              </w:rPr>
            </w:pPr>
          </w:p>
        </w:tc>
        <w:tc>
          <w:tcPr>
            <w:tcW w:w="2040" w:type="dxa"/>
            <w:vAlign w:val="bottom"/>
          </w:tcPr>
          <w:p>
            <w:pPr>
              <w:ind w:left="20"/>
              <w:spacing w:after="0" w:line="189" w:lineRule="exact"/>
              <w:rPr>
                <w:sz w:val="20"/>
                <w:szCs w:val="20"/>
                <w:color w:val="auto"/>
              </w:rPr>
            </w:pPr>
            <w:r>
              <w:rPr>
                <w:rFonts w:ascii="Arial" w:cs="Arial" w:eastAsia="Arial" w:hAnsi="Arial"/>
                <w:sz w:val="18"/>
                <w:szCs w:val="18"/>
                <w:color w:val="auto"/>
              </w:rPr>
              <w:t>(included in Exhibit 4.8).</w:t>
            </w:r>
          </w:p>
        </w:tc>
        <w:tc>
          <w:tcPr>
            <w:tcW w:w="7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820" w:type="dxa"/>
            <w:vAlign w:val="bottom"/>
            <w:tcBorders>
              <w:right w:val="single" w:sz="8" w:color="auto"/>
            </w:tcBorders>
            <w:gridSpan w:val="3"/>
          </w:tcPr>
          <w:p>
            <w:pPr>
              <w:spacing w:after="0" w:line="189" w:lineRule="exact"/>
              <w:rPr>
                <w:rFonts w:ascii="Arial" w:cs="Arial" w:eastAsia="Arial" w:hAnsi="Arial"/>
                <w:sz w:val="18"/>
                <w:szCs w:val="18"/>
                <w:color w:val="0000FF"/>
              </w:rPr>
            </w:pPr>
            <w:hyperlink r:id="rId437">
              <w:r>
                <w:rPr>
                  <w:rFonts w:ascii="Arial" w:cs="Arial" w:eastAsia="Arial" w:hAnsi="Arial"/>
                  <w:sz w:val="18"/>
                  <w:szCs w:val="18"/>
                  <w:color w:val="0000FF"/>
                </w:rPr>
                <w:t>https://www.sec.gov/Archives/edgar/data/923796/000119312522230195/d392591dex41.htm</w:t>
              </w:r>
            </w:hyperlink>
          </w:p>
        </w:tc>
        <w:tc>
          <w:tcPr>
            <w:tcW w:w="0" w:type="dxa"/>
            <w:vAlign w:val="bottom"/>
          </w:tcPr>
          <w:p>
            <w:pPr>
              <w:spacing w:after="0"/>
              <w:rPr>
                <w:sz w:val="1"/>
                <w:szCs w:val="1"/>
                <w:color w:val="auto"/>
              </w:rPr>
            </w:pPr>
          </w:p>
        </w:tc>
      </w:tr>
      <w:tr>
        <w:trPr>
          <w:trHeight w:val="34"/>
        </w:trPr>
        <w:tc>
          <w:tcPr>
            <w:tcW w:w="600" w:type="dxa"/>
            <w:vAlign w:val="bottom"/>
            <w:vMerge w:val="restart"/>
          </w:tcPr>
          <w:p>
            <w:pPr>
              <w:ind w:left="120"/>
              <w:spacing w:after="0"/>
              <w:rPr>
                <w:sz w:val="20"/>
                <w:szCs w:val="20"/>
                <w:color w:val="auto"/>
              </w:rPr>
            </w:pPr>
            <w:r>
              <w:rPr>
                <w:rFonts w:ascii="Arial" w:cs="Arial" w:eastAsia="Arial" w:hAnsi="Arial"/>
                <w:sz w:val="18"/>
                <w:szCs w:val="18"/>
                <w:color w:val="auto"/>
              </w:rPr>
              <w:t>4.10</w:t>
            </w:r>
          </w:p>
        </w:tc>
        <w:tc>
          <w:tcPr>
            <w:tcW w:w="20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40" w:type="dxa"/>
            <w:vAlign w:val="bottom"/>
            <w:tcBorders>
              <w:top w:val="single" w:sz="8" w:color="0000FF"/>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00" w:type="dxa"/>
            <w:vAlign w:val="bottom"/>
            <w:vMerge w:val="continue"/>
          </w:tcPr>
          <w:p>
            <w:pPr>
              <w:spacing w:after="0"/>
              <w:rPr>
                <w:sz w:val="12"/>
                <w:szCs w:val="12"/>
                <w:color w:val="auto"/>
              </w:rPr>
            </w:pPr>
          </w:p>
        </w:tc>
        <w:tc>
          <w:tcPr>
            <w:tcW w:w="2800" w:type="dxa"/>
            <w:vAlign w:val="bottom"/>
            <w:tcBorders>
              <w:bottom w:val="single" w:sz="8" w:color="auto"/>
              <w:right w:val="single" w:sz="8" w:color="auto"/>
            </w:tcBorders>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00" w:type="dxa"/>
            <w:vAlign w:val="bottom"/>
            <w:vMerge w:val="continue"/>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Indenture, dated as of August 19,</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6"/>
              </w:rPr>
              <w:t>2022, among The GEO Group, Inc.,</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the guarantors named therein and</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Ankura Trust Company, LLC, as</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trustee and second lien collateral</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2"/>
              </w:rPr>
              <w:t>trustee, relating to the 9.500% Senior</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0"/>
              </w:rPr>
              <w:t>Second Lien Secured Notes due 2028</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4"/>
              </w:rPr>
              <w:t>(incorporated by reference to Exhibit</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3"/>
              </w:rPr>
              <w:t>4.3 to the Company's Current Report</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on Form 8-K filed on August 25,</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00" w:type="dxa"/>
            <w:vAlign w:val="bottom"/>
          </w:tcPr>
          <w:p>
            <w:pPr>
              <w:spacing w:after="0"/>
              <w:rPr>
                <w:sz w:val="16"/>
                <w:szCs w:val="16"/>
                <w:color w:val="auto"/>
              </w:rPr>
            </w:pPr>
          </w:p>
        </w:tc>
        <w:tc>
          <w:tcPr>
            <w:tcW w:w="2040" w:type="dxa"/>
            <w:vAlign w:val="bottom"/>
          </w:tcPr>
          <w:p>
            <w:pPr>
              <w:ind w:left="20"/>
              <w:spacing w:after="0" w:line="189" w:lineRule="exact"/>
              <w:rPr>
                <w:sz w:val="20"/>
                <w:szCs w:val="20"/>
                <w:color w:val="auto"/>
              </w:rPr>
            </w:pPr>
            <w:r>
              <w:rPr>
                <w:rFonts w:ascii="Arial" w:cs="Arial" w:eastAsia="Arial" w:hAnsi="Arial"/>
                <w:sz w:val="18"/>
                <w:szCs w:val="18"/>
                <w:color w:val="auto"/>
              </w:rPr>
              <w:t>2022).</w:t>
            </w:r>
          </w:p>
        </w:tc>
        <w:tc>
          <w:tcPr>
            <w:tcW w:w="7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820" w:type="dxa"/>
            <w:vAlign w:val="bottom"/>
            <w:tcBorders>
              <w:right w:val="single" w:sz="8" w:color="auto"/>
            </w:tcBorders>
            <w:gridSpan w:val="3"/>
          </w:tcPr>
          <w:p>
            <w:pPr>
              <w:spacing w:after="0" w:line="189" w:lineRule="exact"/>
              <w:rPr>
                <w:rFonts w:ascii="Arial" w:cs="Arial" w:eastAsia="Arial" w:hAnsi="Arial"/>
                <w:sz w:val="18"/>
                <w:szCs w:val="18"/>
                <w:color w:val="0000FF"/>
              </w:rPr>
            </w:pPr>
            <w:hyperlink r:id="rId438">
              <w:r>
                <w:rPr>
                  <w:rFonts w:ascii="Arial" w:cs="Arial" w:eastAsia="Arial" w:hAnsi="Arial"/>
                  <w:sz w:val="18"/>
                  <w:szCs w:val="18"/>
                  <w:color w:val="0000FF"/>
                </w:rPr>
                <w:t>https://www.sec.gov/Archives/edgar/data/923796/000119312522230195/d392591dex43.htm</w:t>
              </w:r>
            </w:hyperlink>
          </w:p>
        </w:tc>
        <w:tc>
          <w:tcPr>
            <w:tcW w:w="0" w:type="dxa"/>
            <w:vAlign w:val="bottom"/>
          </w:tcPr>
          <w:p>
            <w:pPr>
              <w:spacing w:after="0"/>
              <w:rPr>
                <w:sz w:val="1"/>
                <w:szCs w:val="1"/>
                <w:color w:val="auto"/>
              </w:rPr>
            </w:pPr>
          </w:p>
        </w:tc>
      </w:tr>
      <w:tr>
        <w:trPr>
          <w:trHeight w:val="34"/>
        </w:trPr>
        <w:tc>
          <w:tcPr>
            <w:tcW w:w="600" w:type="dxa"/>
            <w:vAlign w:val="bottom"/>
            <w:vMerge w:val="restart"/>
          </w:tcPr>
          <w:p>
            <w:pPr>
              <w:ind w:left="120"/>
              <w:spacing w:after="0"/>
              <w:rPr>
                <w:sz w:val="20"/>
                <w:szCs w:val="20"/>
                <w:color w:val="auto"/>
              </w:rPr>
            </w:pPr>
            <w:r>
              <w:rPr>
                <w:rFonts w:ascii="Arial" w:cs="Arial" w:eastAsia="Arial" w:hAnsi="Arial"/>
                <w:sz w:val="18"/>
                <w:szCs w:val="18"/>
                <w:color w:val="auto"/>
              </w:rPr>
              <w:t>4.11</w:t>
            </w:r>
          </w:p>
        </w:tc>
        <w:tc>
          <w:tcPr>
            <w:tcW w:w="20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40" w:type="dxa"/>
            <w:vAlign w:val="bottom"/>
            <w:tcBorders>
              <w:top w:val="single" w:sz="8" w:color="0000FF"/>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00" w:type="dxa"/>
            <w:vAlign w:val="bottom"/>
            <w:vMerge w:val="continue"/>
          </w:tcPr>
          <w:p>
            <w:pPr>
              <w:spacing w:after="0"/>
              <w:rPr>
                <w:sz w:val="12"/>
                <w:szCs w:val="12"/>
                <w:color w:val="auto"/>
              </w:rPr>
            </w:pPr>
          </w:p>
        </w:tc>
        <w:tc>
          <w:tcPr>
            <w:tcW w:w="2800" w:type="dxa"/>
            <w:vAlign w:val="bottom"/>
            <w:tcBorders>
              <w:bottom w:val="single" w:sz="8" w:color="auto"/>
              <w:right w:val="single" w:sz="8" w:color="auto"/>
            </w:tcBorders>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00" w:type="dxa"/>
            <w:vAlign w:val="bottom"/>
            <w:vMerge w:val="continue"/>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4"/>
              </w:rPr>
              <w:t>Form of 9.500% Senior Second Lien</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2"/>
              </w:rPr>
              <w:t>Secured Notes due 2028 (included in</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00" w:type="dxa"/>
            <w:vAlign w:val="bottom"/>
          </w:tcPr>
          <w:p>
            <w:pPr>
              <w:spacing w:after="0"/>
              <w:rPr>
                <w:sz w:val="16"/>
                <w:szCs w:val="16"/>
                <w:color w:val="auto"/>
              </w:rPr>
            </w:pPr>
          </w:p>
        </w:tc>
        <w:tc>
          <w:tcPr>
            <w:tcW w:w="2040" w:type="dxa"/>
            <w:vAlign w:val="bottom"/>
          </w:tcPr>
          <w:p>
            <w:pPr>
              <w:ind w:left="20"/>
              <w:spacing w:after="0" w:line="189" w:lineRule="exact"/>
              <w:rPr>
                <w:sz w:val="20"/>
                <w:szCs w:val="20"/>
                <w:color w:val="auto"/>
              </w:rPr>
            </w:pPr>
            <w:r>
              <w:rPr>
                <w:rFonts w:ascii="Arial" w:cs="Arial" w:eastAsia="Arial" w:hAnsi="Arial"/>
                <w:sz w:val="18"/>
                <w:szCs w:val="18"/>
                <w:color w:val="auto"/>
              </w:rPr>
              <w:t>Exhibit 4.10).</w:t>
            </w:r>
          </w:p>
        </w:tc>
        <w:tc>
          <w:tcPr>
            <w:tcW w:w="7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820" w:type="dxa"/>
            <w:vAlign w:val="bottom"/>
            <w:tcBorders>
              <w:right w:val="single" w:sz="8" w:color="auto"/>
            </w:tcBorders>
            <w:gridSpan w:val="3"/>
          </w:tcPr>
          <w:p>
            <w:pPr>
              <w:spacing w:after="0" w:line="189" w:lineRule="exact"/>
              <w:rPr>
                <w:rFonts w:ascii="Arial" w:cs="Arial" w:eastAsia="Arial" w:hAnsi="Arial"/>
                <w:sz w:val="18"/>
                <w:szCs w:val="18"/>
                <w:color w:val="0000FF"/>
              </w:rPr>
            </w:pPr>
            <w:hyperlink r:id="rId438">
              <w:r>
                <w:rPr>
                  <w:rFonts w:ascii="Arial" w:cs="Arial" w:eastAsia="Arial" w:hAnsi="Arial"/>
                  <w:sz w:val="18"/>
                  <w:szCs w:val="18"/>
                  <w:color w:val="0000FF"/>
                </w:rPr>
                <w:t>https://www.sec.gov/Archives/edgar/data/923796/000119312522230195/d392591dex43.htm</w:t>
              </w:r>
            </w:hyperlink>
          </w:p>
        </w:tc>
        <w:tc>
          <w:tcPr>
            <w:tcW w:w="0" w:type="dxa"/>
            <w:vAlign w:val="bottom"/>
          </w:tcPr>
          <w:p>
            <w:pPr>
              <w:spacing w:after="0"/>
              <w:rPr>
                <w:sz w:val="1"/>
                <w:szCs w:val="1"/>
                <w:color w:val="auto"/>
              </w:rPr>
            </w:pPr>
          </w:p>
        </w:tc>
      </w:tr>
      <w:tr>
        <w:trPr>
          <w:trHeight w:val="34"/>
        </w:trPr>
        <w:tc>
          <w:tcPr>
            <w:tcW w:w="600" w:type="dxa"/>
            <w:vAlign w:val="bottom"/>
            <w:vMerge w:val="restart"/>
          </w:tcPr>
          <w:p>
            <w:pPr>
              <w:ind w:left="120"/>
              <w:spacing w:after="0"/>
              <w:rPr>
                <w:sz w:val="20"/>
                <w:szCs w:val="20"/>
                <w:color w:val="auto"/>
              </w:rPr>
            </w:pPr>
            <w:r>
              <w:rPr>
                <w:rFonts w:ascii="Arial" w:cs="Arial" w:eastAsia="Arial" w:hAnsi="Arial"/>
                <w:sz w:val="18"/>
                <w:szCs w:val="18"/>
                <w:color w:val="auto"/>
              </w:rPr>
              <w:t>4.12</w:t>
            </w:r>
          </w:p>
        </w:tc>
        <w:tc>
          <w:tcPr>
            <w:tcW w:w="20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40" w:type="dxa"/>
            <w:vAlign w:val="bottom"/>
            <w:tcBorders>
              <w:top w:val="single" w:sz="8" w:color="0000FF"/>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00" w:type="dxa"/>
            <w:vAlign w:val="bottom"/>
            <w:vMerge w:val="continue"/>
          </w:tcPr>
          <w:p>
            <w:pPr>
              <w:spacing w:after="0"/>
              <w:rPr>
                <w:sz w:val="12"/>
                <w:szCs w:val="12"/>
                <w:color w:val="auto"/>
              </w:rPr>
            </w:pPr>
          </w:p>
        </w:tc>
        <w:tc>
          <w:tcPr>
            <w:tcW w:w="2800" w:type="dxa"/>
            <w:vAlign w:val="bottom"/>
            <w:tcBorders>
              <w:bottom w:val="single" w:sz="8" w:color="auto"/>
              <w:right w:val="single" w:sz="8" w:color="auto"/>
            </w:tcBorders>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00" w:type="dxa"/>
            <w:vAlign w:val="bottom"/>
            <w:vMerge w:val="continue"/>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4"/>
              </w:rPr>
              <w:t>Supplemental Indenture, dated as of</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8"/>
              </w:rPr>
              <w:t>August 19, 2022, among The GEO</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Group, Inc., the guarantors named</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1"/>
              </w:rPr>
              <w:t>therein and Regions Bank (successor</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to Wells Fargo Bank, National</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Association), as trustee, to the</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1"/>
              </w:rPr>
              <w:t>Indenture, dated as of September 24,</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7"/>
              </w:rPr>
              <w:t>2014, among The GEO Group, Inc.</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and Regions Bank (successor to</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w w:val="91"/>
              </w:rPr>
              <w:t>Wells Fargo Bank, National</w:t>
            </w:r>
          </w:p>
        </w:tc>
        <w:tc>
          <w:tcPr>
            <w:tcW w:w="7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Association), as trustee, relating to</w:t>
            </w:r>
          </w:p>
        </w:tc>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00" w:type="dxa"/>
            <w:vAlign w:val="bottom"/>
          </w:tcPr>
          <w:p>
            <w:pPr>
              <w:spacing w:after="0"/>
              <w:rPr>
                <w:sz w:val="16"/>
                <w:szCs w:val="16"/>
                <w:color w:val="auto"/>
              </w:rPr>
            </w:pPr>
          </w:p>
        </w:tc>
        <w:tc>
          <w:tcPr>
            <w:tcW w:w="2040" w:type="dxa"/>
            <w:vAlign w:val="bottom"/>
          </w:tcPr>
          <w:p>
            <w:pPr>
              <w:ind w:left="20"/>
              <w:spacing w:after="0" w:line="189" w:lineRule="exact"/>
              <w:rPr>
                <w:sz w:val="20"/>
                <w:szCs w:val="20"/>
                <w:color w:val="auto"/>
              </w:rPr>
            </w:pPr>
            <w:r>
              <w:rPr>
                <w:rFonts w:ascii="Arial" w:cs="Arial" w:eastAsia="Arial" w:hAnsi="Arial"/>
                <w:sz w:val="18"/>
                <w:szCs w:val="18"/>
                <w:color w:val="auto"/>
              </w:rPr>
              <w:t>the 5.875%</w:t>
            </w:r>
          </w:p>
        </w:tc>
        <w:tc>
          <w:tcPr>
            <w:tcW w:w="7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820" w:type="dxa"/>
            <w:vAlign w:val="bottom"/>
            <w:tcBorders>
              <w:right w:val="single" w:sz="8" w:color="auto"/>
            </w:tcBorders>
            <w:gridSpan w:val="3"/>
          </w:tcPr>
          <w:p>
            <w:pPr>
              <w:spacing w:after="0" w:line="189" w:lineRule="exact"/>
              <w:rPr>
                <w:rFonts w:ascii="Arial" w:cs="Arial" w:eastAsia="Arial" w:hAnsi="Arial"/>
                <w:sz w:val="18"/>
                <w:szCs w:val="18"/>
                <w:color w:val="0000FF"/>
              </w:rPr>
            </w:pPr>
            <w:hyperlink r:id="rId439">
              <w:r>
                <w:rPr>
                  <w:rFonts w:ascii="Arial" w:cs="Arial" w:eastAsia="Arial" w:hAnsi="Arial"/>
                  <w:sz w:val="18"/>
                  <w:szCs w:val="18"/>
                  <w:color w:val="0000FF"/>
                </w:rPr>
                <w:t>https://www.sec.gov/Archives/edgar/data/923796/000119312522230195/d392591dex46.htm</w:t>
              </w:r>
            </w:hyperlink>
          </w:p>
        </w:tc>
        <w:tc>
          <w:tcPr>
            <w:tcW w:w="0" w:type="dxa"/>
            <w:vAlign w:val="bottom"/>
          </w:tcPr>
          <w:p>
            <w:pPr>
              <w:spacing w:after="0"/>
              <w:rPr>
                <w:sz w:val="1"/>
                <w:szCs w:val="1"/>
                <w:color w:val="auto"/>
              </w:rPr>
            </w:pPr>
          </w:p>
        </w:tc>
      </w:tr>
      <w:tr>
        <w:trPr>
          <w:trHeight w:val="34"/>
        </w:trPr>
        <w:tc>
          <w:tcPr>
            <w:tcW w:w="6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40" w:type="dxa"/>
            <w:vAlign w:val="bottom"/>
            <w:tcBorders>
              <w:top w:val="single" w:sz="8" w:color="0000FF"/>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6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420" w:type="dxa"/>
            <w:vAlign w:val="bottom"/>
            <w:gridSpan w:val="3"/>
          </w:tcPr>
          <w:p>
            <w:pPr>
              <w:jc w:val="right"/>
              <w:ind w:right="4210"/>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6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42" w:name="page143"/>
    <w:bookmarkEnd w:id="142"/>
    <w:tbl>
      <w:tblPr>
        <w:tblLayout w:type="fixed"/>
        <w:tblInd w:w="120" w:type="dxa"/>
        <w:tblCellMar>
          <w:top w:w="0" w:type="dxa"/>
          <w:left w:w="0" w:type="dxa"/>
          <w:bottom w:w="0" w:type="dxa"/>
          <w:right w:w="0" w:type="dxa"/>
        </w:tblCellMar>
      </w:tblPr>
      <w:tr>
        <w:trPr>
          <w:trHeight w:val="228"/>
        </w:trPr>
        <w:tc>
          <w:tcPr>
            <w:tcW w:w="500" w:type="dxa"/>
            <w:vAlign w:val="bottom"/>
            <w:tcBorders>
              <w:right w:val="single" w:sz="8" w:color="auto"/>
            </w:tcBorders>
          </w:tcPr>
          <w:p>
            <w:pPr>
              <w:spacing w:after="0"/>
              <w:rPr>
                <w:sz w:val="19"/>
                <w:szCs w:val="19"/>
                <w:color w:val="auto"/>
              </w:rPr>
            </w:pPr>
          </w:p>
        </w:tc>
        <w:tc>
          <w:tcPr>
            <w:tcW w:w="2760" w:type="dxa"/>
            <w:vAlign w:val="bottom"/>
            <w:tcBorders>
              <w:top w:val="single" w:sz="8" w:color="auto"/>
              <w:right w:val="single" w:sz="8" w:color="auto"/>
            </w:tcBorders>
            <w:gridSpan w:val="6"/>
          </w:tcPr>
          <w:p>
            <w:pPr>
              <w:spacing w:after="0"/>
              <w:rPr>
                <w:sz w:val="20"/>
                <w:szCs w:val="20"/>
                <w:color w:val="auto"/>
              </w:rPr>
            </w:pPr>
            <w:r>
              <w:rPr>
                <w:rFonts w:ascii="Arial" w:cs="Arial" w:eastAsia="Arial" w:hAnsi="Arial"/>
                <w:sz w:val="18"/>
                <w:szCs w:val="18"/>
                <w:color w:val="auto"/>
                <w:w w:val="92"/>
              </w:rPr>
              <w:t>Senior Notes due 2024 (incorporated</w:t>
            </w:r>
          </w:p>
        </w:tc>
        <w:tc>
          <w:tcPr>
            <w:tcW w:w="40" w:type="dxa"/>
            <w:vAlign w:val="bottom"/>
            <w:tcBorders>
              <w:top w:val="single" w:sz="8" w:color="auto"/>
            </w:tcBorders>
          </w:tcPr>
          <w:p>
            <w:pPr>
              <w:spacing w:after="0"/>
              <w:rPr>
                <w:sz w:val="19"/>
                <w:szCs w:val="19"/>
                <w:color w:val="auto"/>
              </w:rPr>
            </w:pPr>
          </w:p>
        </w:tc>
        <w:tc>
          <w:tcPr>
            <w:tcW w:w="65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Borders>
              <w:right w:val="single" w:sz="8" w:color="auto"/>
            </w:tcBorders>
          </w:tcPr>
          <w:p>
            <w:pPr>
              <w:spacing w:after="0"/>
              <w:rPr>
                <w:sz w:val="18"/>
                <w:szCs w:val="18"/>
                <w:color w:val="auto"/>
              </w:rPr>
            </w:pPr>
          </w:p>
        </w:tc>
        <w:tc>
          <w:tcPr>
            <w:tcW w:w="2500" w:type="dxa"/>
            <w:vAlign w:val="bottom"/>
            <w:gridSpan w:val="5"/>
          </w:tcPr>
          <w:p>
            <w:pPr>
              <w:spacing w:after="0"/>
              <w:rPr>
                <w:sz w:val="20"/>
                <w:szCs w:val="20"/>
                <w:color w:val="auto"/>
              </w:rPr>
            </w:pPr>
            <w:r>
              <w:rPr>
                <w:rFonts w:ascii="Arial" w:cs="Arial" w:eastAsia="Arial" w:hAnsi="Arial"/>
                <w:sz w:val="18"/>
                <w:szCs w:val="18"/>
                <w:color w:val="auto"/>
                <w:w w:val="95"/>
              </w:rPr>
              <w:t>by reference to Exhibit 4.6 to the</w:t>
            </w: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5"/>
              </w:rPr>
              <w:t>Company's Current Report on Form</w:t>
            </w:r>
          </w:p>
        </w:tc>
        <w:tc>
          <w:tcPr>
            <w:tcW w:w="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0" w:type="dxa"/>
            <w:vAlign w:val="bottom"/>
            <w:tcBorders>
              <w:right w:val="single" w:sz="8" w:color="auto"/>
            </w:tcBorders>
          </w:tcPr>
          <w:p>
            <w:pPr>
              <w:spacing w:after="0"/>
              <w:rPr>
                <w:sz w:val="20"/>
                <w:szCs w:val="20"/>
                <w:color w:val="auto"/>
              </w:rPr>
            </w:pPr>
          </w:p>
        </w:tc>
        <w:tc>
          <w:tcPr>
            <w:tcW w:w="25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8-K filed on August 25, 2022).</w:t>
            </w:r>
          </w:p>
        </w:tc>
        <w:tc>
          <w:tcPr>
            <w:tcW w:w="26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50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4.13</w:t>
            </w: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spacing w:after="0"/>
              <w:rPr>
                <w:sz w:val="12"/>
                <w:szCs w:val="12"/>
                <w:color w:val="auto"/>
              </w:rPr>
            </w:pPr>
          </w:p>
        </w:tc>
        <w:tc>
          <w:tcPr>
            <w:tcW w:w="760" w:type="dxa"/>
            <w:vAlign w:val="bottom"/>
            <w:tcBorders>
              <w:bottom w:val="single" w:sz="8" w:color="auto"/>
              <w:right w:val="single" w:sz="8" w:color="auto"/>
            </w:tcBorders>
            <w:gridSpan w:val="2"/>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5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500" w:type="dxa"/>
            <w:vAlign w:val="bottom"/>
            <w:tcBorders>
              <w:right w:val="single" w:sz="8" w:color="auto"/>
            </w:tcBorders>
            <w:vMerge w:val="continue"/>
          </w:tcPr>
          <w:p>
            <w:pPr>
              <w:spacing w:after="0"/>
              <w:rPr>
                <w:sz w:val="18"/>
                <w:szCs w:val="18"/>
                <w:color w:val="auto"/>
              </w:rPr>
            </w:pPr>
          </w:p>
        </w:tc>
        <w:tc>
          <w:tcPr>
            <w:tcW w:w="276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3"/>
              </w:rPr>
              <w:t>Supplemental Indenture, dated as of</w:t>
            </w:r>
          </w:p>
        </w:tc>
        <w:tc>
          <w:tcPr>
            <w:tcW w:w="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8"/>
              </w:rPr>
              <w:t>August 19, 2022, among The GEO</w:t>
            </w:r>
          </w:p>
        </w:tc>
        <w:tc>
          <w:tcPr>
            <w:tcW w:w="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right w:val="single" w:sz="8" w:color="auto"/>
            </w:tcBorders>
          </w:tcPr>
          <w:p>
            <w:pPr>
              <w:spacing w:after="0"/>
              <w:rPr>
                <w:sz w:val="18"/>
                <w:szCs w:val="18"/>
                <w:color w:val="auto"/>
              </w:rPr>
            </w:pPr>
          </w:p>
        </w:tc>
        <w:tc>
          <w:tcPr>
            <w:tcW w:w="2500" w:type="dxa"/>
            <w:vAlign w:val="bottom"/>
            <w:gridSpan w:val="5"/>
          </w:tcPr>
          <w:p>
            <w:pPr>
              <w:spacing w:after="0"/>
              <w:rPr>
                <w:sz w:val="20"/>
                <w:szCs w:val="20"/>
                <w:color w:val="auto"/>
              </w:rPr>
            </w:pPr>
            <w:r>
              <w:rPr>
                <w:rFonts w:ascii="Arial" w:cs="Arial" w:eastAsia="Arial" w:hAnsi="Arial"/>
                <w:sz w:val="18"/>
                <w:szCs w:val="18"/>
                <w:color w:val="auto"/>
                <w:w w:val="90"/>
              </w:rPr>
              <w:t>Group, Inc., the guarantors named</w:t>
            </w: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0"/>
              </w:rPr>
              <w:t>therein and Regions Bank (successor</w:t>
            </w:r>
          </w:p>
        </w:tc>
        <w:tc>
          <w:tcPr>
            <w:tcW w:w="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right w:val="single" w:sz="8" w:color="auto"/>
            </w:tcBorders>
          </w:tcPr>
          <w:p>
            <w:pPr>
              <w:spacing w:after="0"/>
              <w:rPr>
                <w:sz w:val="18"/>
                <w:szCs w:val="18"/>
                <w:color w:val="auto"/>
              </w:rPr>
            </w:pPr>
          </w:p>
        </w:tc>
        <w:tc>
          <w:tcPr>
            <w:tcW w:w="2500" w:type="dxa"/>
            <w:vAlign w:val="bottom"/>
            <w:gridSpan w:val="5"/>
          </w:tcPr>
          <w:p>
            <w:pPr>
              <w:spacing w:after="0"/>
              <w:rPr>
                <w:sz w:val="20"/>
                <w:szCs w:val="20"/>
                <w:color w:val="auto"/>
              </w:rPr>
            </w:pPr>
            <w:r>
              <w:rPr>
                <w:rFonts w:ascii="Arial" w:cs="Arial" w:eastAsia="Arial" w:hAnsi="Arial"/>
                <w:sz w:val="18"/>
                <w:szCs w:val="18"/>
                <w:color w:val="auto"/>
              </w:rPr>
              <w:t>to Wells Fargo Bank, National</w:t>
            </w: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right w:val="single" w:sz="8" w:color="auto"/>
            </w:tcBorders>
          </w:tcPr>
          <w:p>
            <w:pPr>
              <w:spacing w:after="0"/>
              <w:rPr>
                <w:sz w:val="18"/>
                <w:szCs w:val="18"/>
                <w:color w:val="auto"/>
              </w:rPr>
            </w:pPr>
          </w:p>
        </w:tc>
        <w:tc>
          <w:tcPr>
            <w:tcW w:w="2500" w:type="dxa"/>
            <w:vAlign w:val="bottom"/>
            <w:gridSpan w:val="5"/>
          </w:tcPr>
          <w:p>
            <w:pPr>
              <w:spacing w:after="0"/>
              <w:rPr>
                <w:sz w:val="20"/>
                <w:szCs w:val="20"/>
                <w:color w:val="auto"/>
              </w:rPr>
            </w:pPr>
            <w:r>
              <w:rPr>
                <w:rFonts w:ascii="Arial" w:cs="Arial" w:eastAsia="Arial" w:hAnsi="Arial"/>
                <w:sz w:val="18"/>
                <w:szCs w:val="18"/>
                <w:color w:val="auto"/>
              </w:rPr>
              <w:t>Association), as trustee, to the</w:t>
            </w: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1"/>
              </w:rPr>
              <w:t>Indenture, dated as of September 24,</w:t>
            </w:r>
          </w:p>
        </w:tc>
        <w:tc>
          <w:tcPr>
            <w:tcW w:w="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7"/>
              </w:rPr>
              <w:t>2014, among The GEO Group, Inc.</w:t>
            </w:r>
          </w:p>
        </w:tc>
        <w:tc>
          <w:tcPr>
            <w:tcW w:w="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right w:val="single" w:sz="8" w:color="auto"/>
            </w:tcBorders>
          </w:tcPr>
          <w:p>
            <w:pPr>
              <w:spacing w:after="0"/>
              <w:rPr>
                <w:sz w:val="18"/>
                <w:szCs w:val="18"/>
                <w:color w:val="auto"/>
              </w:rPr>
            </w:pPr>
          </w:p>
        </w:tc>
        <w:tc>
          <w:tcPr>
            <w:tcW w:w="2500" w:type="dxa"/>
            <w:vAlign w:val="bottom"/>
            <w:gridSpan w:val="5"/>
          </w:tcPr>
          <w:p>
            <w:pPr>
              <w:spacing w:after="0"/>
              <w:rPr>
                <w:sz w:val="20"/>
                <w:szCs w:val="20"/>
                <w:color w:val="auto"/>
              </w:rPr>
            </w:pPr>
            <w:r>
              <w:rPr>
                <w:rFonts w:ascii="Arial" w:cs="Arial" w:eastAsia="Arial" w:hAnsi="Arial"/>
                <w:sz w:val="18"/>
                <w:szCs w:val="18"/>
                <w:color w:val="auto"/>
                <w:w w:val="95"/>
              </w:rPr>
              <w:t>and Regions Bank (successor to</w:t>
            </w: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right w:val="single" w:sz="8" w:color="auto"/>
            </w:tcBorders>
          </w:tcPr>
          <w:p>
            <w:pPr>
              <w:spacing w:after="0"/>
              <w:rPr>
                <w:sz w:val="18"/>
                <w:szCs w:val="18"/>
                <w:color w:val="auto"/>
              </w:rPr>
            </w:pPr>
          </w:p>
        </w:tc>
        <w:tc>
          <w:tcPr>
            <w:tcW w:w="2500" w:type="dxa"/>
            <w:vAlign w:val="bottom"/>
            <w:gridSpan w:val="5"/>
          </w:tcPr>
          <w:p>
            <w:pPr>
              <w:spacing w:after="0"/>
              <w:rPr>
                <w:sz w:val="20"/>
                <w:szCs w:val="20"/>
                <w:color w:val="auto"/>
              </w:rPr>
            </w:pPr>
            <w:r>
              <w:rPr>
                <w:rFonts w:ascii="Arial" w:cs="Arial" w:eastAsia="Arial" w:hAnsi="Arial"/>
                <w:sz w:val="18"/>
                <w:szCs w:val="18"/>
                <w:color w:val="auto"/>
              </w:rPr>
              <w:t>Wells Fargo Bank, National</w:t>
            </w: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right w:val="single" w:sz="8" w:color="auto"/>
            </w:tcBorders>
          </w:tcPr>
          <w:p>
            <w:pPr>
              <w:spacing w:after="0"/>
              <w:rPr>
                <w:sz w:val="18"/>
                <w:szCs w:val="18"/>
                <w:color w:val="auto"/>
              </w:rPr>
            </w:pPr>
          </w:p>
        </w:tc>
        <w:tc>
          <w:tcPr>
            <w:tcW w:w="2500" w:type="dxa"/>
            <w:vAlign w:val="bottom"/>
            <w:gridSpan w:val="5"/>
          </w:tcPr>
          <w:p>
            <w:pPr>
              <w:spacing w:after="0"/>
              <w:rPr>
                <w:sz w:val="20"/>
                <w:szCs w:val="20"/>
                <w:color w:val="auto"/>
              </w:rPr>
            </w:pPr>
            <w:r>
              <w:rPr>
                <w:rFonts w:ascii="Arial" w:cs="Arial" w:eastAsia="Arial" w:hAnsi="Arial"/>
                <w:sz w:val="18"/>
                <w:szCs w:val="18"/>
                <w:color w:val="auto"/>
                <w:w w:val="89"/>
              </w:rPr>
              <w:t>Association), as trustee, relating to</w:t>
            </w: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7"/>
              </w:rPr>
              <w:t>the 6.000% Senior Notes due 2026</w:t>
            </w:r>
          </w:p>
        </w:tc>
        <w:tc>
          <w:tcPr>
            <w:tcW w:w="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3"/>
              </w:rPr>
              <w:t>(incorporated by reference to Exhibit</w:t>
            </w:r>
          </w:p>
        </w:tc>
        <w:tc>
          <w:tcPr>
            <w:tcW w:w="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2"/>
              </w:rPr>
              <w:t>4.7 to the Company's Current Report</w:t>
            </w:r>
          </w:p>
        </w:tc>
        <w:tc>
          <w:tcPr>
            <w:tcW w:w="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right w:val="single" w:sz="8" w:color="auto"/>
            </w:tcBorders>
          </w:tcPr>
          <w:p>
            <w:pPr>
              <w:spacing w:after="0"/>
              <w:rPr>
                <w:sz w:val="18"/>
                <w:szCs w:val="18"/>
                <w:color w:val="auto"/>
              </w:rPr>
            </w:pPr>
          </w:p>
        </w:tc>
        <w:tc>
          <w:tcPr>
            <w:tcW w:w="2500" w:type="dxa"/>
            <w:vAlign w:val="bottom"/>
            <w:gridSpan w:val="5"/>
          </w:tcPr>
          <w:p>
            <w:pPr>
              <w:spacing w:after="0"/>
              <w:rPr>
                <w:sz w:val="20"/>
                <w:szCs w:val="20"/>
                <w:color w:val="auto"/>
              </w:rPr>
            </w:pPr>
            <w:r>
              <w:rPr>
                <w:rFonts w:ascii="Arial" w:cs="Arial" w:eastAsia="Arial" w:hAnsi="Arial"/>
                <w:sz w:val="18"/>
                <w:szCs w:val="18"/>
                <w:color w:val="auto"/>
                <w:w w:val="97"/>
              </w:rPr>
              <w:t>on Form 8-K filed on August 25,</w:t>
            </w: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00" w:type="dxa"/>
            <w:vAlign w:val="bottom"/>
            <w:tcBorders>
              <w:right w:val="single" w:sz="8" w:color="auto"/>
            </w:tcBorders>
          </w:tcPr>
          <w:p>
            <w:pPr>
              <w:spacing w:after="0"/>
              <w:rPr>
                <w:sz w:val="16"/>
                <w:szCs w:val="16"/>
                <w:color w:val="auto"/>
              </w:rPr>
            </w:pPr>
          </w:p>
        </w:tc>
        <w:tc>
          <w:tcPr>
            <w:tcW w:w="840" w:type="dxa"/>
            <w:vAlign w:val="bottom"/>
            <w:gridSpan w:val="2"/>
          </w:tcPr>
          <w:p>
            <w:pPr>
              <w:spacing w:after="0" w:line="189" w:lineRule="exact"/>
              <w:rPr>
                <w:sz w:val="20"/>
                <w:szCs w:val="20"/>
                <w:color w:val="auto"/>
              </w:rPr>
            </w:pPr>
            <w:r>
              <w:rPr>
                <w:rFonts w:ascii="Arial" w:cs="Arial" w:eastAsia="Arial" w:hAnsi="Arial"/>
                <w:sz w:val="18"/>
                <w:szCs w:val="18"/>
                <w:color w:val="auto"/>
              </w:rPr>
              <w:t>2022).</w:t>
            </w: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7860" w:type="dxa"/>
            <w:vAlign w:val="bottom"/>
            <w:tcBorders>
              <w:right w:val="single" w:sz="8" w:color="auto"/>
            </w:tcBorders>
            <w:gridSpan w:val="4"/>
          </w:tcPr>
          <w:p>
            <w:pPr>
              <w:jc w:val="center"/>
              <w:ind w:right="1200"/>
              <w:spacing w:after="0" w:line="189" w:lineRule="exact"/>
              <w:rPr>
                <w:rFonts w:ascii="Arial" w:cs="Arial" w:eastAsia="Arial" w:hAnsi="Arial"/>
                <w:sz w:val="18"/>
                <w:szCs w:val="18"/>
                <w:color w:val="0000FF"/>
                <w:w w:val="90"/>
              </w:rPr>
            </w:pPr>
            <w:hyperlink r:id="rId442">
              <w:r>
                <w:rPr>
                  <w:rFonts w:ascii="Arial" w:cs="Arial" w:eastAsia="Arial" w:hAnsi="Arial"/>
                  <w:sz w:val="18"/>
                  <w:szCs w:val="18"/>
                  <w:color w:val="0000FF"/>
                  <w:w w:val="90"/>
                </w:rPr>
                <w:t>https://www.sec.gov/Archives/edgar/data/923796/000119312522230195/d392591dex47.htm</w:t>
              </w:r>
            </w:hyperlink>
          </w:p>
        </w:tc>
        <w:tc>
          <w:tcPr>
            <w:tcW w:w="0" w:type="dxa"/>
            <w:vAlign w:val="bottom"/>
          </w:tcPr>
          <w:p>
            <w:pPr>
              <w:spacing w:after="0"/>
              <w:rPr>
                <w:sz w:val="1"/>
                <w:szCs w:val="1"/>
                <w:color w:val="auto"/>
              </w:rPr>
            </w:pPr>
          </w:p>
        </w:tc>
      </w:tr>
      <w:tr>
        <w:trPr>
          <w:trHeight w:val="34"/>
        </w:trPr>
        <w:tc>
          <w:tcPr>
            <w:tcW w:w="50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4.14</w:t>
            </w: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65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00" w:type="dxa"/>
            <w:vAlign w:val="bottom"/>
            <w:tcBorders>
              <w:right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0" w:type="dxa"/>
            <w:vAlign w:val="bottom"/>
            <w:tcBorders>
              <w:right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2460" w:type="dxa"/>
            <w:vAlign w:val="bottom"/>
            <w:gridSpan w:val="4"/>
          </w:tcPr>
          <w:p>
            <w:pPr>
              <w:spacing w:after="0" w:line="182" w:lineRule="exact"/>
              <w:rPr>
                <w:sz w:val="20"/>
                <w:szCs w:val="20"/>
                <w:color w:val="auto"/>
              </w:rPr>
            </w:pPr>
            <w:r>
              <w:rPr>
                <w:rFonts w:ascii="Arial" w:cs="Arial" w:eastAsia="Arial" w:hAnsi="Arial"/>
                <w:sz w:val="18"/>
                <w:szCs w:val="18"/>
                <w:color w:val="0000FF"/>
              </w:rPr>
              <w:t>Description of Registrant's</w:t>
            </w:r>
          </w:p>
        </w:tc>
        <w:tc>
          <w:tcPr>
            <w:tcW w:w="2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Borders>
              <w:top w:val="single" w:sz="8" w:color="0000FF"/>
            </w:tcBorders>
            <w:gridSpan w:val="2"/>
          </w:tcPr>
          <w:p>
            <w:pPr>
              <w:spacing w:after="0" w:line="195" w:lineRule="exact"/>
              <w:rPr>
                <w:sz w:val="20"/>
                <w:szCs w:val="20"/>
                <w:color w:val="auto"/>
              </w:rPr>
            </w:pPr>
            <w:r>
              <w:rPr>
                <w:rFonts w:ascii="Arial" w:cs="Arial" w:eastAsia="Arial" w:hAnsi="Arial"/>
                <w:sz w:val="18"/>
                <w:szCs w:val="18"/>
                <w:color w:val="0000FF"/>
                <w:w w:val="95"/>
              </w:rPr>
              <w:t>Securities*</w:t>
            </w:r>
          </w:p>
        </w:tc>
        <w:tc>
          <w:tcPr>
            <w:tcW w:w="1120" w:type="dxa"/>
            <w:vAlign w:val="bottom"/>
            <w:tcBorders>
              <w:top w:val="single" w:sz="8" w:color="0000FF"/>
            </w:tcBorders>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500" w:type="dxa"/>
            <w:vAlign w:val="bottom"/>
            <w:tcBorders>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7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5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w w:val="79"/>
              </w:rPr>
              <w:t>4.15</w:t>
            </w:r>
          </w:p>
        </w:tc>
        <w:tc>
          <w:tcPr>
            <w:tcW w:w="40" w:type="dxa"/>
            <w:vAlign w:val="bottom"/>
            <w:tcBorders>
              <w:top w:val="single" w:sz="8" w:color="auto"/>
            </w:tcBorders>
          </w:tcPr>
          <w:p>
            <w:pPr>
              <w:spacing w:after="0"/>
              <w:rPr>
                <w:sz w:val="18"/>
                <w:szCs w:val="18"/>
                <w:color w:val="auto"/>
              </w:rPr>
            </w:pPr>
          </w:p>
        </w:tc>
        <w:tc>
          <w:tcPr>
            <w:tcW w:w="2720" w:type="dxa"/>
            <w:vAlign w:val="bottom"/>
            <w:tcBorders>
              <w:top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w w:val="99"/>
              </w:rPr>
              <w:t>Form of Indenture for Senior Debt</w:t>
            </w:r>
          </w:p>
        </w:tc>
        <w:tc>
          <w:tcPr>
            <w:tcW w:w="40" w:type="dxa"/>
            <w:vAlign w:val="bottom"/>
            <w:tcBorders>
              <w:top w:val="single" w:sz="8" w:color="auto"/>
            </w:tcBorders>
          </w:tcPr>
          <w:p>
            <w:pPr>
              <w:spacing w:after="0"/>
              <w:rPr>
                <w:sz w:val="18"/>
                <w:szCs w:val="18"/>
                <w:color w:val="auto"/>
              </w:rPr>
            </w:pPr>
          </w:p>
        </w:tc>
        <w:tc>
          <w:tcPr>
            <w:tcW w:w="65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Securities</w:t>
            </w:r>
          </w:p>
        </w:tc>
        <w:tc>
          <w:tcPr>
            <w:tcW w:w="1620" w:type="dxa"/>
            <w:vAlign w:val="bottom"/>
            <w:gridSpan w:val="2"/>
          </w:tcPr>
          <w:p>
            <w:pPr>
              <w:ind w:left="260"/>
              <w:spacing w:after="0"/>
              <w:rPr>
                <w:sz w:val="20"/>
                <w:szCs w:val="20"/>
                <w:color w:val="auto"/>
              </w:rPr>
            </w:pPr>
            <w:r>
              <w:rPr>
                <w:rFonts w:ascii="Arial" w:cs="Arial" w:eastAsia="Arial" w:hAnsi="Arial"/>
                <w:sz w:val="18"/>
                <w:szCs w:val="18"/>
                <w:color w:val="auto"/>
              </w:rPr>
              <w:t>(incorporated</w:t>
            </w:r>
          </w:p>
        </w:tc>
        <w:tc>
          <w:tcPr>
            <w:tcW w:w="2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7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reference  to  Exhibit  4.1  to  the</w:t>
            </w:r>
          </w:p>
        </w:tc>
        <w:tc>
          <w:tcPr>
            <w:tcW w:w="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7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1"/>
              </w:rPr>
              <w:t>Company's registration statement on</w:t>
            </w:r>
          </w:p>
        </w:tc>
        <w:tc>
          <w:tcPr>
            <w:tcW w:w="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7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6"/>
              </w:rPr>
              <w:t>Form S-3ASR, filed on October 30,</w:t>
            </w:r>
          </w:p>
        </w:tc>
        <w:tc>
          <w:tcPr>
            <w:tcW w:w="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00" w:type="dxa"/>
            <w:vAlign w:val="bottom"/>
            <w:tcBorders>
              <w:right w:val="single" w:sz="8" w:color="auto"/>
            </w:tcBorders>
          </w:tcPr>
          <w:p>
            <w:pPr>
              <w:spacing w:after="0"/>
              <w:rPr>
                <w:sz w:val="16"/>
                <w:szCs w:val="16"/>
                <w:color w:val="auto"/>
              </w:rPr>
            </w:pPr>
          </w:p>
        </w:tc>
        <w:tc>
          <w:tcPr>
            <w:tcW w:w="840" w:type="dxa"/>
            <w:vAlign w:val="bottom"/>
            <w:gridSpan w:val="2"/>
          </w:tcPr>
          <w:p>
            <w:pPr>
              <w:ind w:left="40"/>
              <w:spacing w:after="0" w:line="189" w:lineRule="exact"/>
              <w:rPr>
                <w:sz w:val="20"/>
                <w:szCs w:val="20"/>
                <w:color w:val="auto"/>
              </w:rPr>
            </w:pPr>
            <w:r>
              <w:rPr>
                <w:rFonts w:ascii="Arial" w:cs="Arial" w:eastAsia="Arial" w:hAnsi="Arial"/>
                <w:sz w:val="18"/>
                <w:szCs w:val="18"/>
                <w:color w:val="auto"/>
              </w:rPr>
              <w:t>2020).</w:t>
            </w: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20" w:type="dxa"/>
            <w:vAlign w:val="bottom"/>
            <w:gridSpan w:val="3"/>
          </w:tcPr>
          <w:p>
            <w:pPr>
              <w:jc w:val="center"/>
              <w:ind w:right="1240"/>
              <w:spacing w:after="0" w:line="189" w:lineRule="exact"/>
              <w:rPr>
                <w:rFonts w:ascii="Arial" w:cs="Arial" w:eastAsia="Arial" w:hAnsi="Arial"/>
                <w:sz w:val="18"/>
                <w:szCs w:val="18"/>
                <w:color w:val="auto"/>
                <w:w w:val="90"/>
              </w:rPr>
            </w:pPr>
            <w:hyperlink r:id="rId443">
              <w:r>
                <w:rPr>
                  <w:rFonts w:ascii="Arial" w:cs="Arial" w:eastAsia="Arial" w:hAnsi="Arial"/>
                  <w:sz w:val="18"/>
                  <w:szCs w:val="18"/>
                  <w:color w:val="auto"/>
                  <w:w w:val="90"/>
                </w:rPr>
                <w:t>https://www.sec.gov/Archives/edgar/data/914670/000119312520282734/d12605dex41.htm</w:t>
              </w:r>
            </w:hyperlink>
          </w:p>
        </w:tc>
        <w:tc>
          <w:tcPr>
            <w:tcW w:w="0" w:type="dxa"/>
            <w:vAlign w:val="bottom"/>
          </w:tcPr>
          <w:p>
            <w:pPr>
              <w:spacing w:after="0"/>
              <w:rPr>
                <w:sz w:val="1"/>
                <w:szCs w:val="1"/>
                <w:color w:val="auto"/>
              </w:rPr>
            </w:pPr>
          </w:p>
        </w:tc>
      </w:tr>
      <w:tr>
        <w:trPr>
          <w:trHeight w:val="34"/>
        </w:trPr>
        <w:tc>
          <w:tcPr>
            <w:tcW w:w="500" w:type="dxa"/>
            <w:vAlign w:val="bottom"/>
            <w:tcBorders>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580" w:type="dxa"/>
            <w:vAlign w:val="bottom"/>
            <w:tcBorders>
              <w:top w:val="single" w:sz="8" w:color="0000EE"/>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-855345</wp:posOffset>
            </wp:positionV>
            <wp:extent cx="6755765" cy="180657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4">
                      <a:extLst>
                        <a:ext uri="{28A0092B-C50C-407E-A947-70E740481C1C}"/>
                      </a:extLst>
                    </a:blip>
                    <a:srcRect/>
                    <a:stretch>
                      <a:fillRect/>
                    </a:stretch>
                  </pic:blipFill>
                  <pic:spPr bwMode="auto">
                    <a:xfrm>
                      <a:off x="0" y="0"/>
                      <a:ext cx="6755765" cy="1806575"/>
                    </a:xfrm>
                    <a:prstGeom prst="rect">
                      <a:avLst/>
                    </a:prstGeom>
                    <a:noFill/>
                  </pic:spPr>
                </pic:pic>
              </a:graphicData>
            </a:graphic>
          </wp:anchor>
        </w:drawing>
      </w:r>
    </w:p>
    <w:p>
      <w:pPr>
        <w:spacing w:after="0" w:line="14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7"/>
          <w:szCs w:val="17"/>
          <w:color w:val="auto"/>
        </w:rPr>
        <w:t>Form of Indenture for Subordinated</w:t>
      </w:r>
    </w:p>
    <w:p>
      <w:pPr>
        <w:spacing w:after="0" w:line="23" w:lineRule="exact"/>
        <w:rPr>
          <w:sz w:val="20"/>
          <w:szCs w:val="20"/>
          <w:color w:val="auto"/>
        </w:rPr>
      </w:pPr>
    </w:p>
    <w:p>
      <w:pPr>
        <w:ind w:left="660"/>
        <w:spacing w:after="0"/>
        <w:tabs>
          <w:tab w:leader="none" w:pos="1140" w:val="left"/>
          <w:tab w:leader="none" w:pos="1980" w:val="left"/>
          <w:tab w:leader="none" w:pos="3100" w:val="left"/>
        </w:tabs>
        <w:rPr>
          <w:sz w:val="20"/>
          <w:szCs w:val="20"/>
          <w:color w:val="auto"/>
        </w:rPr>
      </w:pPr>
      <w:r>
        <w:rPr>
          <w:rFonts w:ascii="Arial" w:cs="Arial" w:eastAsia="Arial" w:hAnsi="Arial"/>
          <w:sz w:val="18"/>
          <w:szCs w:val="18"/>
          <w:color w:val="auto"/>
        </w:rPr>
        <w:t>Debt</w:t>
        <w:tab/>
        <w:t>Securities</w:t>
        <w:tab/>
        <w:t>(incorporated</w:t>
      </w:r>
      <w:r>
        <w:rPr>
          <w:sz w:val="20"/>
          <w:szCs w:val="20"/>
          <w:color w:val="auto"/>
        </w:rPr>
        <w:tab/>
      </w:r>
      <w:r>
        <w:rPr>
          <w:rFonts w:ascii="Arial" w:cs="Arial" w:eastAsia="Arial" w:hAnsi="Arial"/>
          <w:sz w:val="17"/>
          <w:szCs w:val="17"/>
          <w:color w:val="auto"/>
        </w:rPr>
        <w:t>by</w:t>
      </w:r>
    </w:p>
    <w:p>
      <w:pPr>
        <w:spacing w:after="0" w:line="9" w:lineRule="exact"/>
        <w:rPr>
          <w:sz w:val="20"/>
          <w:szCs w:val="20"/>
          <w:color w:val="auto"/>
        </w:rPr>
      </w:pPr>
    </w:p>
    <w:p>
      <w:pPr>
        <w:ind w:left="660"/>
        <w:spacing w:after="0"/>
        <w:tabs>
          <w:tab w:leader="none" w:pos="1440" w:val="left"/>
          <w:tab w:leader="none" w:pos="1740" w:val="left"/>
          <w:tab w:leader="none" w:pos="2400" w:val="left"/>
          <w:tab w:leader="none" w:pos="2780" w:val="left"/>
          <w:tab w:leader="none" w:pos="3060" w:val="left"/>
        </w:tabs>
        <w:rPr>
          <w:sz w:val="20"/>
          <w:szCs w:val="20"/>
          <w:color w:val="auto"/>
        </w:rPr>
      </w:pPr>
      <w:r>
        <w:rPr>
          <w:rFonts w:ascii="Arial" w:cs="Arial" w:eastAsia="Arial" w:hAnsi="Arial"/>
          <w:sz w:val="18"/>
          <w:szCs w:val="18"/>
          <w:color w:val="auto"/>
        </w:rPr>
        <w:t>reference</w:t>
        <w:tab/>
        <w:t>to</w:t>
        <w:tab/>
        <w:t>Exhibit</w:t>
        <w:tab/>
        <w:t>4.2</w:t>
        <w:tab/>
        <w:t>to</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Company's registration statement on</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Form S-3ASR, filed on October 30,</w:t>
      </w:r>
    </w:p>
    <w:p>
      <w:pPr>
        <w:spacing w:after="0" w:line="20" w:lineRule="exact"/>
        <w:rPr>
          <w:sz w:val="20"/>
          <w:szCs w:val="20"/>
          <w:color w:val="auto"/>
        </w:rPr>
      </w:pPr>
    </w:p>
    <w:p>
      <w:pPr>
        <w:ind w:left="660"/>
        <w:spacing w:after="0"/>
        <w:tabs>
          <w:tab w:leader="none" w:pos="3400" w:val="left"/>
        </w:tabs>
        <w:rPr>
          <w:rFonts w:ascii="Arial" w:cs="Arial" w:eastAsia="Arial" w:hAnsi="Arial"/>
          <w:sz w:val="16"/>
          <w:szCs w:val="16"/>
          <w:color w:val="auto"/>
        </w:rPr>
      </w:pPr>
      <w:r>
        <w:rPr>
          <w:rFonts w:ascii="Arial" w:cs="Arial" w:eastAsia="Arial" w:hAnsi="Arial"/>
          <w:sz w:val="18"/>
          <w:szCs w:val="18"/>
          <w:color w:val="auto"/>
        </w:rPr>
        <w:t>2020).</w:t>
      </w:r>
      <w:r>
        <w:rPr>
          <w:sz w:val="20"/>
          <w:szCs w:val="20"/>
          <w:color w:val="auto"/>
        </w:rPr>
        <w:tab/>
      </w:r>
      <w:hyperlink r:id="rId445">
        <w:r>
          <w:rPr>
            <w:rFonts w:ascii="Arial" w:cs="Arial" w:eastAsia="Arial" w:hAnsi="Arial"/>
            <w:sz w:val="16"/>
            <w:szCs w:val="16"/>
            <w:color w:val="auto"/>
          </w:rPr>
          <w:t>https://www.sec.gov/Archives/edgar/data/914670/000119312520282734/d12605dex42.htm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104140</wp:posOffset>
            </wp:positionV>
            <wp:extent cx="6762115" cy="10185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6">
                      <a:extLst>
                        <a:ext uri="{28A0092B-C50C-407E-A947-70E740481C1C}"/>
                      </a:extLst>
                    </a:blip>
                    <a:srcRect/>
                    <a:stretch>
                      <a:fillRect/>
                    </a:stretch>
                  </pic:blipFill>
                  <pic:spPr bwMode="auto">
                    <a:xfrm>
                      <a:off x="0" y="0"/>
                      <a:ext cx="6762115" cy="1018540"/>
                    </a:xfrm>
                    <a:prstGeom prst="rect">
                      <a:avLst/>
                    </a:prstGeom>
                    <a:noFill/>
                  </pic:spPr>
                </pic:pic>
              </a:graphicData>
            </a:graphic>
          </wp:anchor>
        </w:drawing>
      </w:r>
    </w:p>
    <w:p>
      <w:pPr>
        <w:spacing w:after="0" w:line="163"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Indemnification Agreement</w:t>
      </w:r>
    </w:p>
    <w:p>
      <w:pPr>
        <w:spacing w:after="0" w:line="37" w:lineRule="exact"/>
        <w:rPr>
          <w:sz w:val="20"/>
          <w:szCs w:val="20"/>
          <w:color w:val="auto"/>
        </w:rPr>
      </w:pPr>
    </w:p>
    <w:p>
      <w:pPr>
        <w:ind w:left="660"/>
        <w:spacing w:after="0"/>
        <w:tabs>
          <w:tab w:leader="none" w:pos="1420" w:val="left"/>
          <w:tab w:leader="none" w:pos="1820" w:val="left"/>
          <w:tab w:leader="none" w:pos="2680" w:val="left"/>
          <w:tab w:leader="none" w:pos="3120" w:val="left"/>
        </w:tabs>
        <w:rPr>
          <w:sz w:val="20"/>
          <w:szCs w:val="20"/>
          <w:color w:val="auto"/>
        </w:rPr>
      </w:pPr>
      <w:r>
        <w:rPr>
          <w:rFonts w:ascii="Arial" w:cs="Arial" w:eastAsia="Arial" w:hAnsi="Arial"/>
          <w:sz w:val="18"/>
          <w:szCs w:val="18"/>
          <w:color w:val="auto"/>
        </w:rPr>
        <w:t>between</w:t>
        <w:tab/>
        <w:t>the</w:t>
        <w:tab/>
        <w:t>Company</w:t>
        <w:tab/>
        <w:t>and</w:t>
      </w:r>
      <w:r>
        <w:rPr>
          <w:sz w:val="20"/>
          <w:szCs w:val="20"/>
          <w:color w:val="auto"/>
        </w:rPr>
        <w:tab/>
      </w:r>
      <w:r>
        <w:rPr>
          <w:rFonts w:ascii="Arial" w:cs="Arial" w:eastAsia="Arial" w:hAnsi="Arial"/>
          <w:sz w:val="16"/>
          <w:szCs w:val="16"/>
          <w:color w:val="auto"/>
        </w:rPr>
        <w:t>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Officers and Directors (incorporated</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herein by reference to Exhibit 10.3</w:t>
      </w:r>
    </w:p>
    <w:p>
      <w:pPr>
        <w:spacing w:after="0" w:line="20" w:lineRule="exact"/>
        <w:rPr>
          <w:sz w:val="20"/>
          <w:szCs w:val="20"/>
          <w:color w:val="auto"/>
        </w:rPr>
      </w:pPr>
    </w:p>
    <w:p>
      <w:pPr>
        <w:ind w:left="660"/>
        <w:spacing w:after="0"/>
        <w:tabs>
          <w:tab w:leader="none" w:pos="1000" w:val="left"/>
          <w:tab w:leader="none" w:pos="1440" w:val="left"/>
          <w:tab w:leader="none" w:pos="2460" w:val="left"/>
        </w:tabs>
        <w:rPr>
          <w:sz w:val="20"/>
          <w:szCs w:val="20"/>
          <w:color w:val="auto"/>
        </w:rPr>
      </w:pPr>
      <w:r>
        <w:rPr>
          <w:rFonts w:ascii="Arial" w:cs="Arial" w:eastAsia="Arial" w:hAnsi="Arial"/>
          <w:sz w:val="18"/>
          <w:szCs w:val="18"/>
          <w:color w:val="auto"/>
        </w:rPr>
        <w:t>to</w:t>
        <w:tab/>
        <w:t>the</w:t>
        <w:tab/>
        <w:t>Company’s</w:t>
      </w:r>
      <w:r>
        <w:rPr>
          <w:sz w:val="20"/>
          <w:szCs w:val="20"/>
          <w:color w:val="auto"/>
        </w:rPr>
        <w:tab/>
      </w:r>
      <w:r>
        <w:rPr>
          <w:rFonts w:ascii="Arial" w:cs="Arial" w:eastAsia="Arial" w:hAnsi="Arial"/>
          <w:sz w:val="16"/>
          <w:szCs w:val="16"/>
          <w:color w:val="auto"/>
        </w:rPr>
        <w:t>registration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statement  on  Form  S-1,  filed  on</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May 24, 1994) (P)</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4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10.2</w:t>
            </w:r>
          </w:p>
        </w:tc>
        <w:tc>
          <w:tcPr>
            <w:tcW w:w="1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The  GEO</w:t>
            </w: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Group,</w:t>
            </w:r>
          </w:p>
        </w:tc>
        <w:tc>
          <w:tcPr>
            <w:tcW w:w="5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Inc.</w:t>
            </w:r>
          </w:p>
        </w:tc>
        <w:tc>
          <w:tcPr>
            <w:tcW w:w="6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Senior</w:t>
            </w:r>
          </w:p>
        </w:tc>
        <w:tc>
          <w:tcPr>
            <w:tcW w:w="60" w:type="dxa"/>
            <w:vAlign w:val="bottom"/>
            <w:tcBorders>
              <w:top w:val="single" w:sz="8" w:color="auto"/>
            </w:tcBorders>
          </w:tcPr>
          <w:p>
            <w:pPr>
              <w:spacing w:after="0"/>
              <w:rPr>
                <w:sz w:val="20"/>
                <w:szCs w:val="20"/>
                <w:color w:val="auto"/>
              </w:rPr>
            </w:pPr>
          </w:p>
        </w:tc>
        <w:tc>
          <w:tcPr>
            <w:tcW w:w="6740" w:type="dxa"/>
            <w:vAlign w:val="bottom"/>
            <w:tcBorders>
              <w:top w:val="single" w:sz="8" w:color="auto"/>
            </w:tcBorders>
          </w:tcPr>
          <w:p>
            <w:pPr>
              <w:spacing w:after="0"/>
              <w:rPr>
                <w:sz w:val="20"/>
                <w:szCs w:val="20"/>
                <w:color w:val="auto"/>
              </w:rPr>
            </w:pPr>
          </w:p>
        </w:tc>
        <w:tc>
          <w:tcPr>
            <w:tcW w:w="1080" w:type="dxa"/>
            <w:vAlign w:val="bottom"/>
            <w:tcBorders>
              <w:top w:val="single" w:sz="8" w:color="auto"/>
              <w:right w:val="single" w:sz="8" w:color="auto"/>
            </w:tcBorders>
          </w:tcPr>
          <w:p>
            <w:pPr>
              <w:spacing w:after="0"/>
              <w:rPr>
                <w:sz w:val="20"/>
                <w:szCs w:val="20"/>
                <w:color w:val="auto"/>
              </w:rPr>
            </w:pPr>
          </w:p>
        </w:tc>
      </w:tr>
      <w:tr>
        <w:trPr>
          <w:trHeight w:val="216"/>
        </w:trPr>
        <w:tc>
          <w:tcPr>
            <w:tcW w:w="640" w:type="dxa"/>
            <w:vAlign w:val="bottom"/>
            <w:tcBorders>
              <w:right w:val="single" w:sz="8" w:color="auto"/>
            </w:tcBorders>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w w:val="93"/>
              </w:rPr>
              <w:t>Management</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95"/>
              </w:rPr>
              <w:t>Performance</w:t>
            </w: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Award</w:t>
            </w:r>
          </w:p>
        </w:tc>
        <w:tc>
          <w:tcPr>
            <w:tcW w:w="6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r>
      <w:tr>
        <w:trPr>
          <w:trHeight w:val="216"/>
        </w:trPr>
        <w:tc>
          <w:tcPr>
            <w:tcW w:w="64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w w:val="95"/>
              </w:rPr>
              <w:t>Plan,  as  Amended  and  Restated</w:t>
            </w:r>
          </w:p>
        </w:tc>
        <w:tc>
          <w:tcPr>
            <w:tcW w:w="6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r>
      <w:tr>
        <w:trPr>
          <w:trHeight w:val="216"/>
        </w:trPr>
        <w:tc>
          <w:tcPr>
            <w:tcW w:w="640" w:type="dxa"/>
            <w:vAlign w:val="bottom"/>
            <w:tcBorders>
              <w:right w:val="single" w:sz="8" w:color="auto"/>
            </w:tcBorders>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w w:val="92"/>
              </w:rPr>
              <w:t>(incorporated</w:t>
            </w: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by</w:t>
            </w:r>
          </w:p>
        </w:tc>
        <w:tc>
          <w:tcPr>
            <w:tcW w:w="11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w w:val="98"/>
              </w:rPr>
              <w:t>reference   to</w:t>
            </w:r>
          </w:p>
        </w:tc>
        <w:tc>
          <w:tcPr>
            <w:tcW w:w="6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r>
      <w:tr>
        <w:trPr>
          <w:trHeight w:val="216"/>
        </w:trPr>
        <w:tc>
          <w:tcPr>
            <w:tcW w:w="64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Exhibit  10.3  to  the  Company's</w:t>
            </w:r>
          </w:p>
        </w:tc>
        <w:tc>
          <w:tcPr>
            <w:tcW w:w="6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r>
      <w:tr>
        <w:trPr>
          <w:trHeight w:val="216"/>
        </w:trPr>
        <w:tc>
          <w:tcPr>
            <w:tcW w:w="64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w w:val="97"/>
              </w:rPr>
              <w:t>Annual Report on Form 10-K, filed</w:t>
            </w:r>
          </w:p>
        </w:tc>
        <w:tc>
          <w:tcPr>
            <w:tcW w:w="6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r>
      <w:tr>
        <w:trPr>
          <w:trHeight w:val="190"/>
        </w:trPr>
        <w:tc>
          <w:tcPr>
            <w:tcW w:w="640" w:type="dxa"/>
            <w:vAlign w:val="bottom"/>
            <w:tcBorders>
              <w:right w:val="single" w:sz="8" w:color="auto"/>
            </w:tcBorders>
          </w:tcPr>
          <w:p>
            <w:pPr>
              <w:spacing w:after="0"/>
              <w:rPr>
                <w:sz w:val="16"/>
                <w:szCs w:val="16"/>
                <w:color w:val="auto"/>
              </w:rPr>
            </w:pPr>
          </w:p>
        </w:tc>
        <w:tc>
          <w:tcPr>
            <w:tcW w:w="21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on February 26, 2019) †</w:t>
            </w:r>
          </w:p>
        </w:tc>
        <w:tc>
          <w:tcPr>
            <w:tcW w:w="6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820" w:type="dxa"/>
            <w:vAlign w:val="bottom"/>
            <w:tcBorders>
              <w:right w:val="single" w:sz="8" w:color="auto"/>
            </w:tcBorders>
            <w:gridSpan w:val="2"/>
          </w:tcPr>
          <w:p>
            <w:pPr>
              <w:spacing w:after="0" w:line="189" w:lineRule="exact"/>
              <w:rPr>
                <w:rFonts w:ascii="Arial" w:cs="Arial" w:eastAsia="Arial" w:hAnsi="Arial"/>
                <w:sz w:val="18"/>
                <w:szCs w:val="18"/>
                <w:color w:val="auto"/>
              </w:rPr>
            </w:pPr>
            <w:hyperlink r:id="rId447">
              <w:r>
                <w:rPr>
                  <w:rFonts w:ascii="Arial" w:cs="Arial" w:eastAsia="Arial" w:hAnsi="Arial"/>
                  <w:sz w:val="18"/>
                  <w:szCs w:val="18"/>
                  <w:color w:val="auto"/>
                </w:rPr>
                <w:t>https://www.sec.gov/Archives/edgar/data/923796/000119312519050054/d663410dex103.htm</w:t>
              </w:r>
            </w:hyperlink>
          </w:p>
        </w:tc>
      </w:tr>
      <w:tr>
        <w:trPr>
          <w:trHeight w:val="31"/>
        </w:trPr>
        <w:tc>
          <w:tcPr>
            <w:tcW w:w="640" w:type="dxa"/>
            <w:vAlign w:val="bottom"/>
            <w:tcBorders>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740" w:type="dxa"/>
            <w:vAlign w:val="bottom"/>
            <w:tcBorders>
              <w:top w:val="single" w:sz="8" w:color="0000EE"/>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r>
      <w:tr>
        <w:trPr>
          <w:trHeight w:val="577"/>
        </w:trPr>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0" w:type="dxa"/>
            <w:vAlign w:val="bottom"/>
            <w:gridSpan w:val="3"/>
          </w:tcPr>
          <w:p>
            <w:pPr>
              <w:jc w:val="right"/>
              <w:ind w:right="4310"/>
              <w:spacing w:after="0"/>
              <w:rPr>
                <w:sz w:val="20"/>
                <w:szCs w:val="20"/>
                <w:color w:val="auto"/>
              </w:rPr>
            </w:pPr>
            <w:r>
              <w:rPr>
                <w:rFonts w:ascii="Arial" w:cs="Arial" w:eastAsia="Arial" w:hAnsi="Arial"/>
                <w:sz w:val="18"/>
                <w:szCs w:val="18"/>
                <w:color w:val="auto"/>
              </w:rPr>
              <w:t>142</w:t>
            </w:r>
          </w:p>
        </w:tc>
        <w:tc>
          <w:tcPr>
            <w:tcW w:w="1080" w:type="dxa"/>
            <w:vAlign w:val="bottom"/>
          </w:tcPr>
          <w:p>
            <w:pPr>
              <w:spacing w:after="0"/>
              <w:rPr>
                <w:sz w:val="24"/>
                <w:szCs w:val="24"/>
                <w:color w:val="auto"/>
              </w:rPr>
            </w:pPr>
          </w:p>
        </w:tc>
      </w:tr>
      <w:tr>
        <w:trPr>
          <w:trHeight w:val="115"/>
        </w:trPr>
        <w:tc>
          <w:tcPr>
            <w:tcW w:w="6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7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06"/>
        </w:trPr>
        <w:tc>
          <w:tcPr>
            <w:tcW w:w="620" w:type="dxa"/>
            <w:vAlign w:val="bottom"/>
          </w:tcPr>
          <w:p>
            <w:pPr>
              <w:ind w:left="120"/>
              <w:spacing w:after="0" w:line="206" w:lineRule="exact"/>
              <w:rPr>
                <w:sz w:val="20"/>
                <w:szCs w:val="20"/>
                <w:color w:val="auto"/>
              </w:rPr>
            </w:pPr>
            <w:r>
              <w:rPr>
                <w:rFonts w:ascii="Arial" w:cs="Arial" w:eastAsia="Arial" w:hAnsi="Arial"/>
                <w:sz w:val="18"/>
                <w:szCs w:val="18"/>
                <w:color w:val="auto"/>
              </w:rPr>
              <w:t>10.3</w:t>
            </w:r>
          </w:p>
        </w:tc>
        <w:tc>
          <w:tcPr>
            <w:tcW w:w="40" w:type="dxa"/>
            <w:vAlign w:val="bottom"/>
            <w:tcBorders>
              <w:top w:val="single" w:sz="8" w:color="auto"/>
              <w:left w:val="single" w:sz="8" w:color="auto"/>
            </w:tcBorders>
          </w:tcPr>
          <w:p>
            <w:pPr>
              <w:spacing w:after="0"/>
              <w:rPr>
                <w:sz w:val="17"/>
                <w:szCs w:val="17"/>
                <w:color w:val="auto"/>
              </w:rPr>
            </w:pPr>
          </w:p>
        </w:tc>
        <w:tc>
          <w:tcPr>
            <w:tcW w:w="2640" w:type="dxa"/>
            <w:vAlign w:val="bottom"/>
            <w:tcBorders>
              <w:top w:val="single" w:sz="8" w:color="auto"/>
              <w:bottom w:val="single" w:sz="8" w:color="0000FF"/>
            </w:tcBorders>
            <w:gridSpan w:val="10"/>
          </w:tcPr>
          <w:p>
            <w:pPr>
              <w:spacing w:after="0" w:line="206" w:lineRule="exact"/>
              <w:rPr>
                <w:sz w:val="20"/>
                <w:szCs w:val="20"/>
                <w:color w:val="auto"/>
              </w:rPr>
            </w:pPr>
            <w:r>
              <w:rPr>
                <w:rFonts w:ascii="Arial" w:cs="Arial" w:eastAsia="Arial" w:hAnsi="Arial"/>
                <w:sz w:val="18"/>
                <w:szCs w:val="18"/>
                <w:color w:val="0000FF"/>
              </w:rPr>
              <w:t>Amendment to The GEO Group,</w:t>
            </w:r>
          </w:p>
        </w:tc>
        <w:tc>
          <w:tcPr>
            <w:tcW w:w="100" w:type="dxa"/>
            <w:vAlign w:val="bottom"/>
            <w:tcBorders>
              <w:top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40" w:type="dxa"/>
            <w:vAlign w:val="bottom"/>
            <w:tcBorders>
              <w:left w:val="single" w:sz="8" w:color="auto"/>
            </w:tcBorders>
          </w:tcPr>
          <w:p>
            <w:pPr>
              <w:spacing w:after="0"/>
              <w:rPr>
                <w:sz w:val="17"/>
                <w:szCs w:val="17"/>
                <w:color w:val="auto"/>
              </w:rPr>
            </w:pPr>
          </w:p>
        </w:tc>
        <w:tc>
          <w:tcPr>
            <w:tcW w:w="420" w:type="dxa"/>
            <w:vAlign w:val="bottom"/>
          </w:tcPr>
          <w:p>
            <w:pPr>
              <w:spacing w:after="0" w:line="195" w:lineRule="exact"/>
              <w:rPr>
                <w:sz w:val="20"/>
                <w:szCs w:val="20"/>
                <w:color w:val="auto"/>
              </w:rPr>
            </w:pPr>
            <w:r>
              <w:rPr>
                <w:rFonts w:ascii="Arial" w:cs="Arial" w:eastAsia="Arial" w:hAnsi="Arial"/>
                <w:sz w:val="18"/>
                <w:szCs w:val="18"/>
                <w:color w:val="0000FF"/>
              </w:rPr>
              <w:t>Inc.</w:t>
            </w:r>
          </w:p>
        </w:tc>
        <w:tc>
          <w:tcPr>
            <w:tcW w:w="180" w:type="dxa"/>
            <w:vAlign w:val="bottom"/>
          </w:tcPr>
          <w:p>
            <w:pPr>
              <w:spacing w:after="0"/>
              <w:rPr>
                <w:sz w:val="17"/>
                <w:szCs w:val="17"/>
                <w:color w:val="auto"/>
              </w:rPr>
            </w:pPr>
          </w:p>
        </w:tc>
        <w:tc>
          <w:tcPr>
            <w:tcW w:w="1000" w:type="dxa"/>
            <w:vAlign w:val="bottom"/>
            <w:gridSpan w:val="3"/>
          </w:tcPr>
          <w:p>
            <w:pPr>
              <w:ind w:left="160"/>
              <w:spacing w:after="0" w:line="195" w:lineRule="exact"/>
              <w:rPr>
                <w:sz w:val="20"/>
                <w:szCs w:val="20"/>
                <w:color w:val="auto"/>
              </w:rPr>
            </w:pPr>
            <w:r>
              <w:rPr>
                <w:rFonts w:ascii="Arial" w:cs="Arial" w:eastAsia="Arial" w:hAnsi="Arial"/>
                <w:sz w:val="18"/>
                <w:szCs w:val="18"/>
                <w:color w:val="0000FF"/>
              </w:rPr>
              <w:t>Senior</w:t>
            </w:r>
          </w:p>
        </w:tc>
        <w:tc>
          <w:tcPr>
            <w:tcW w:w="1140" w:type="dxa"/>
            <w:vAlign w:val="bottom"/>
            <w:tcBorders>
              <w:right w:val="single" w:sz="8" w:color="auto"/>
            </w:tcBorders>
            <w:gridSpan w:val="6"/>
          </w:tcPr>
          <w:p>
            <w:pPr>
              <w:jc w:val="right"/>
              <w:ind w:right="100"/>
              <w:spacing w:after="0" w:line="195" w:lineRule="exact"/>
              <w:rPr>
                <w:sz w:val="20"/>
                <w:szCs w:val="20"/>
                <w:color w:val="auto"/>
              </w:rPr>
            </w:pPr>
            <w:r>
              <w:rPr>
                <w:rFonts w:ascii="Arial" w:cs="Arial" w:eastAsia="Arial" w:hAnsi="Arial"/>
                <w:sz w:val="18"/>
                <w:szCs w:val="18"/>
                <w:color w:val="0000FF"/>
                <w:w w:val="97"/>
              </w:rPr>
              <w:t>Management</w:t>
            </w:r>
          </w:p>
        </w:tc>
        <w:tc>
          <w:tcPr>
            <w:tcW w:w="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40" w:type="dxa"/>
            <w:vAlign w:val="bottom"/>
            <w:tcBorders>
              <w:left w:val="single" w:sz="8" w:color="auto"/>
            </w:tcBorders>
          </w:tcPr>
          <w:p>
            <w:pPr>
              <w:spacing w:after="0"/>
              <w:rPr>
                <w:sz w:val="17"/>
                <w:szCs w:val="17"/>
                <w:color w:val="auto"/>
              </w:rPr>
            </w:pPr>
          </w:p>
        </w:tc>
        <w:tc>
          <w:tcPr>
            <w:tcW w:w="2320" w:type="dxa"/>
            <w:vAlign w:val="bottom"/>
            <w:tcBorders>
              <w:top w:val="single" w:sz="8" w:color="0000FF"/>
            </w:tcBorders>
            <w:gridSpan w:val="9"/>
          </w:tcPr>
          <w:p>
            <w:pPr>
              <w:spacing w:after="0" w:line="195" w:lineRule="exact"/>
              <w:rPr>
                <w:sz w:val="20"/>
                <w:szCs w:val="20"/>
                <w:color w:val="auto"/>
              </w:rPr>
            </w:pPr>
            <w:r>
              <w:rPr>
                <w:rFonts w:ascii="Arial" w:cs="Arial" w:eastAsia="Arial" w:hAnsi="Arial"/>
                <w:sz w:val="18"/>
                <w:szCs w:val="18"/>
                <w:color w:val="0000FF"/>
              </w:rPr>
              <w:t>Performance Award Plan †*</w:t>
            </w:r>
          </w:p>
        </w:tc>
        <w:tc>
          <w:tcPr>
            <w:tcW w:w="320" w:type="dxa"/>
            <w:vAlign w:val="bottom"/>
            <w:tcBorders>
              <w:top w:val="single" w:sz="8" w:color="0000FF"/>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620" w:type="dxa"/>
            <w:vAlign w:val="bottom"/>
            <w:vMerge w:val="restart"/>
          </w:tcPr>
          <w:p>
            <w:pPr>
              <w:ind w:left="120"/>
              <w:spacing w:after="0"/>
              <w:rPr>
                <w:sz w:val="20"/>
                <w:szCs w:val="20"/>
                <w:color w:val="auto"/>
              </w:rPr>
            </w:pPr>
            <w:r>
              <w:rPr>
                <w:rFonts w:ascii="Arial" w:cs="Arial" w:eastAsia="Arial" w:hAnsi="Arial"/>
                <w:sz w:val="18"/>
                <w:szCs w:val="18"/>
                <w:color w:val="auto"/>
              </w:rPr>
              <w:t>10.4</w:t>
            </w:r>
          </w:p>
        </w:tc>
        <w:tc>
          <w:tcPr>
            <w:tcW w:w="40" w:type="dxa"/>
            <w:vAlign w:val="bottom"/>
            <w:tcBorders>
              <w:left w:val="single" w:sz="8" w:color="auto"/>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620" w:type="dxa"/>
            <w:vAlign w:val="bottom"/>
            <w:vMerge w:val="continue"/>
          </w:tcPr>
          <w:p>
            <w:pPr>
              <w:spacing w:after="0"/>
              <w:rPr>
                <w:sz w:val="12"/>
                <w:szCs w:val="12"/>
                <w:color w:val="auto"/>
              </w:rPr>
            </w:pPr>
          </w:p>
        </w:tc>
        <w:tc>
          <w:tcPr>
            <w:tcW w:w="40" w:type="dxa"/>
            <w:vAlign w:val="bottom"/>
            <w:tcBorders>
              <w:left w:val="single" w:sz="8" w:color="auto"/>
              <w:bottom w:val="single" w:sz="8" w:color="auto"/>
            </w:tcBorders>
          </w:tcPr>
          <w:p>
            <w:pPr>
              <w:spacing w:after="0"/>
              <w:rPr>
                <w:sz w:val="12"/>
                <w:szCs w:val="12"/>
                <w:color w:val="auto"/>
              </w:rPr>
            </w:pPr>
          </w:p>
        </w:tc>
        <w:tc>
          <w:tcPr>
            <w:tcW w:w="2040" w:type="dxa"/>
            <w:vAlign w:val="bottom"/>
            <w:tcBorders>
              <w:bottom w:val="single" w:sz="8" w:color="auto"/>
            </w:tcBorders>
            <w:gridSpan w:val="8"/>
          </w:tcPr>
          <w:p>
            <w:pPr>
              <w:spacing w:after="0"/>
              <w:rPr>
                <w:sz w:val="12"/>
                <w:szCs w:val="12"/>
                <w:color w:val="auto"/>
              </w:rPr>
            </w:pPr>
          </w:p>
        </w:tc>
        <w:tc>
          <w:tcPr>
            <w:tcW w:w="60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7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20" w:type="dxa"/>
            <w:vAlign w:val="bottom"/>
            <w:vMerge w:val="continue"/>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w w:val="99"/>
              </w:rPr>
              <w:t>Amended and Restated The GEO</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rPr>
              <w:t>Group,</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Inc.</w:t>
            </w:r>
          </w:p>
        </w:tc>
        <w:tc>
          <w:tcPr>
            <w:tcW w:w="760" w:type="dxa"/>
            <w:vAlign w:val="bottom"/>
            <w:gridSpan w:val="3"/>
          </w:tcPr>
          <w:p>
            <w:pPr>
              <w:ind w:left="200"/>
              <w:spacing w:after="0"/>
              <w:rPr>
                <w:sz w:val="20"/>
                <w:szCs w:val="20"/>
                <w:color w:val="auto"/>
              </w:rPr>
            </w:pPr>
            <w:r>
              <w:rPr>
                <w:rFonts w:ascii="Arial" w:cs="Arial" w:eastAsia="Arial" w:hAnsi="Arial"/>
                <w:sz w:val="18"/>
                <w:szCs w:val="18"/>
                <w:color w:val="auto"/>
              </w:rPr>
              <w:t>Senior</w:t>
            </w:r>
          </w:p>
        </w:tc>
        <w:tc>
          <w:tcPr>
            <w:tcW w:w="100" w:type="dxa"/>
            <w:vAlign w:val="bottom"/>
          </w:tcPr>
          <w:p>
            <w:pPr>
              <w:spacing w:after="0"/>
              <w:rPr>
                <w:sz w:val="18"/>
                <w:szCs w:val="18"/>
                <w:color w:val="auto"/>
              </w:rPr>
            </w:pPr>
          </w:p>
        </w:tc>
        <w:tc>
          <w:tcPr>
            <w:tcW w:w="700" w:type="dxa"/>
            <w:vAlign w:val="bottom"/>
            <w:tcBorders>
              <w:right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Officer</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auto"/>
              </w:rPr>
              <w:t>Retirement</w:t>
            </w:r>
          </w:p>
        </w:tc>
        <w:tc>
          <w:tcPr>
            <w:tcW w:w="2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2"/>
              </w:rPr>
              <w:t>Plan,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effective</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auto"/>
                <w:w w:val="98"/>
              </w:rPr>
              <w:t>December  31,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2008</w:t>
            </w:r>
          </w:p>
        </w:tc>
        <w:tc>
          <w:tcPr>
            <w:tcW w:w="1140" w:type="dxa"/>
            <w:vAlign w:val="bottom"/>
            <w:tcBorders>
              <w:right w:val="single" w:sz="8" w:color="auto"/>
            </w:tcBorders>
            <w:gridSpan w:val="6"/>
          </w:tcPr>
          <w:p>
            <w:pPr>
              <w:jc w:val="right"/>
              <w:ind w:right="100"/>
              <w:spacing w:after="0"/>
              <w:rPr>
                <w:sz w:val="20"/>
                <w:szCs w:val="20"/>
                <w:color w:val="auto"/>
              </w:rPr>
            </w:pPr>
            <w:r>
              <w:rPr>
                <w:rFonts w:ascii="Arial" w:cs="Arial" w:eastAsia="Arial" w:hAnsi="Arial"/>
                <w:sz w:val="18"/>
                <w:szCs w:val="18"/>
                <w:color w:val="auto"/>
                <w:w w:val="96"/>
              </w:rPr>
              <w:t>(incorporated</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rPr>
              <w:t>by reference to Exhibit 10.8 to the</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w w:val="94"/>
              </w:rPr>
              <w:t>Company’s Current Report on Form</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40" w:type="dxa"/>
            <w:vAlign w:val="bottom"/>
            <w:tcBorders>
              <w:left w:val="single" w:sz="8" w:color="auto"/>
            </w:tcBorders>
          </w:tcPr>
          <w:p>
            <w:pPr>
              <w:spacing w:after="0"/>
              <w:rPr>
                <w:sz w:val="16"/>
                <w:szCs w:val="16"/>
                <w:color w:val="auto"/>
              </w:rPr>
            </w:pPr>
          </w:p>
        </w:tc>
        <w:tc>
          <w:tcPr>
            <w:tcW w:w="1780" w:type="dxa"/>
            <w:vAlign w:val="bottom"/>
            <w:gridSpan w:val="6"/>
          </w:tcPr>
          <w:p>
            <w:pPr>
              <w:spacing w:after="0" w:line="189" w:lineRule="exact"/>
              <w:rPr>
                <w:sz w:val="20"/>
                <w:szCs w:val="20"/>
                <w:color w:val="auto"/>
              </w:rPr>
            </w:pPr>
            <w:r>
              <w:rPr>
                <w:rFonts w:ascii="Arial" w:cs="Arial" w:eastAsia="Arial" w:hAnsi="Arial"/>
                <w:sz w:val="18"/>
                <w:szCs w:val="18"/>
                <w:color w:val="auto"/>
                <w:w w:val="96"/>
              </w:rPr>
              <w:t>8-K January 7, 2009) †</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820" w:type="dxa"/>
            <w:vAlign w:val="bottom"/>
            <w:tcBorders>
              <w:right w:val="single" w:sz="8" w:color="auto"/>
            </w:tcBorders>
            <w:gridSpan w:val="5"/>
          </w:tcPr>
          <w:p>
            <w:pPr>
              <w:spacing w:after="0" w:line="189" w:lineRule="exact"/>
              <w:rPr>
                <w:rFonts w:ascii="Arial" w:cs="Arial" w:eastAsia="Arial" w:hAnsi="Arial"/>
                <w:sz w:val="18"/>
                <w:szCs w:val="18"/>
                <w:color w:val="auto"/>
              </w:rPr>
            </w:pPr>
            <w:hyperlink r:id="rId450">
              <w:r>
                <w:rPr>
                  <w:rFonts w:ascii="Arial" w:cs="Arial" w:eastAsia="Arial" w:hAnsi="Arial"/>
                  <w:sz w:val="18"/>
                  <w:szCs w:val="18"/>
                  <w:color w:val="auto"/>
                </w:rPr>
                <w:t>https://www.sec.gov/Archives/edgar/data/923796/000095014409000110/g17230exv10w8.htm</w:t>
              </w:r>
            </w:hyperlink>
          </w:p>
        </w:tc>
        <w:tc>
          <w:tcPr>
            <w:tcW w:w="0" w:type="dxa"/>
            <w:vAlign w:val="bottom"/>
          </w:tcPr>
          <w:p>
            <w:pPr>
              <w:spacing w:after="0"/>
              <w:rPr>
                <w:sz w:val="1"/>
                <w:szCs w:val="1"/>
                <w:color w:val="auto"/>
              </w:rPr>
            </w:pPr>
          </w:p>
        </w:tc>
      </w:tr>
      <w:tr>
        <w:trPr>
          <w:trHeight w:val="34"/>
        </w:trPr>
        <w:tc>
          <w:tcPr>
            <w:tcW w:w="620" w:type="dxa"/>
            <w:vAlign w:val="bottom"/>
            <w:vMerge w:val="restart"/>
          </w:tcPr>
          <w:p>
            <w:pPr>
              <w:ind w:left="120"/>
              <w:spacing w:after="0"/>
              <w:rPr>
                <w:sz w:val="20"/>
                <w:szCs w:val="20"/>
                <w:color w:val="auto"/>
              </w:rPr>
            </w:pPr>
            <w:r>
              <w:rPr>
                <w:rFonts w:ascii="Arial" w:cs="Arial" w:eastAsia="Arial" w:hAnsi="Arial"/>
                <w:sz w:val="18"/>
                <w:szCs w:val="18"/>
                <w:color w:val="auto"/>
              </w:rPr>
              <w:t>10.5</w:t>
            </w:r>
          </w:p>
        </w:tc>
        <w:tc>
          <w:tcPr>
            <w:tcW w:w="4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780" w:type="dxa"/>
            <w:vAlign w:val="bottom"/>
            <w:tcBorders>
              <w:top w:val="single" w:sz="8" w:color="0000EE"/>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20" w:type="dxa"/>
            <w:vAlign w:val="bottom"/>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spacing w:after="0"/>
              <w:rPr>
                <w:sz w:val="13"/>
                <w:szCs w:val="13"/>
                <w:color w:val="auto"/>
              </w:rPr>
            </w:pPr>
          </w:p>
        </w:tc>
        <w:tc>
          <w:tcPr>
            <w:tcW w:w="1000" w:type="dxa"/>
            <w:vAlign w:val="bottom"/>
            <w:tcBorders>
              <w:bottom w:val="single" w:sz="8" w:color="auto"/>
            </w:tcBorders>
            <w:gridSpan w:val="3"/>
          </w:tcPr>
          <w:p>
            <w:pPr>
              <w:spacing w:after="0"/>
              <w:rPr>
                <w:sz w:val="13"/>
                <w:szCs w:val="13"/>
                <w:color w:val="auto"/>
              </w:rPr>
            </w:pPr>
          </w:p>
        </w:tc>
        <w:tc>
          <w:tcPr>
            <w:tcW w:w="440" w:type="dxa"/>
            <w:vAlign w:val="bottom"/>
            <w:tcBorders>
              <w:bottom w:val="single" w:sz="8" w:color="auto"/>
            </w:tcBorders>
            <w:gridSpan w:val="3"/>
          </w:tcPr>
          <w:p>
            <w:pPr>
              <w:spacing w:after="0"/>
              <w:rPr>
                <w:sz w:val="13"/>
                <w:szCs w:val="13"/>
                <w:color w:val="auto"/>
              </w:rPr>
            </w:pPr>
          </w:p>
        </w:tc>
        <w:tc>
          <w:tcPr>
            <w:tcW w:w="600" w:type="dxa"/>
            <w:vAlign w:val="bottom"/>
            <w:tcBorders>
              <w:bottom w:val="single" w:sz="8" w:color="auto"/>
            </w:tcBorders>
            <w:gridSpan w:val="2"/>
          </w:tcPr>
          <w:p>
            <w:pPr>
              <w:spacing w:after="0"/>
              <w:rPr>
                <w:sz w:val="13"/>
                <w:szCs w:val="13"/>
                <w:color w:val="auto"/>
              </w:rPr>
            </w:pPr>
          </w:p>
        </w:tc>
        <w:tc>
          <w:tcPr>
            <w:tcW w:w="120" w:type="dxa"/>
            <w:vAlign w:val="bottom"/>
            <w:tcBorders>
              <w:bottom w:val="single" w:sz="8" w:color="auto"/>
            </w:tcBorders>
            <w:gridSpan w:val="2"/>
          </w:tcPr>
          <w:p>
            <w:pPr>
              <w:spacing w:after="0"/>
              <w:rPr>
                <w:sz w:val="13"/>
                <w:szCs w:val="13"/>
                <w:color w:val="auto"/>
              </w:rPr>
            </w:pPr>
          </w:p>
        </w:tc>
        <w:tc>
          <w:tcPr>
            <w:tcW w:w="67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20" w:type="dxa"/>
            <w:vAlign w:val="bottom"/>
            <w:vMerge w:val="continue"/>
          </w:tcPr>
          <w:p>
            <w:pPr>
              <w:spacing w:after="0"/>
              <w:rPr>
                <w:sz w:val="16"/>
                <w:szCs w:val="16"/>
                <w:color w:val="auto"/>
              </w:rPr>
            </w:pPr>
          </w:p>
        </w:tc>
        <w:tc>
          <w:tcPr>
            <w:tcW w:w="40" w:type="dxa"/>
            <w:vAlign w:val="bottom"/>
            <w:tcBorders>
              <w:left w:val="single" w:sz="8" w:color="auto"/>
            </w:tcBorders>
          </w:tcPr>
          <w:p>
            <w:pPr>
              <w:spacing w:after="0"/>
              <w:rPr>
                <w:sz w:val="16"/>
                <w:szCs w:val="16"/>
                <w:color w:val="auto"/>
              </w:rPr>
            </w:pPr>
          </w:p>
        </w:tc>
        <w:tc>
          <w:tcPr>
            <w:tcW w:w="600" w:type="dxa"/>
            <w:vAlign w:val="bottom"/>
            <w:gridSpan w:val="2"/>
          </w:tcPr>
          <w:p>
            <w:pPr>
              <w:spacing w:after="0" w:line="192" w:lineRule="exact"/>
              <w:rPr>
                <w:sz w:val="20"/>
                <w:szCs w:val="20"/>
                <w:color w:val="auto"/>
              </w:rPr>
            </w:pPr>
            <w:r>
              <w:rPr>
                <w:rFonts w:ascii="Arial" w:cs="Arial" w:eastAsia="Arial" w:hAnsi="Arial"/>
                <w:sz w:val="18"/>
                <w:szCs w:val="18"/>
                <w:color w:val="auto"/>
              </w:rPr>
              <w:t>Senior</w:t>
            </w:r>
          </w:p>
        </w:tc>
        <w:tc>
          <w:tcPr>
            <w:tcW w:w="1000" w:type="dxa"/>
            <w:vAlign w:val="bottom"/>
            <w:gridSpan w:val="3"/>
          </w:tcPr>
          <w:p>
            <w:pPr>
              <w:jc w:val="center"/>
              <w:spacing w:after="0" w:line="192" w:lineRule="exact"/>
              <w:rPr>
                <w:sz w:val="20"/>
                <w:szCs w:val="20"/>
                <w:color w:val="auto"/>
              </w:rPr>
            </w:pPr>
            <w:r>
              <w:rPr>
                <w:rFonts w:ascii="Arial" w:cs="Arial" w:eastAsia="Arial" w:hAnsi="Arial"/>
                <w:sz w:val="18"/>
                <w:szCs w:val="18"/>
                <w:color w:val="auto"/>
                <w:w w:val="98"/>
              </w:rPr>
              <w:t>Officer</w:t>
            </w:r>
          </w:p>
        </w:tc>
        <w:tc>
          <w:tcPr>
            <w:tcW w:w="1140" w:type="dxa"/>
            <w:vAlign w:val="bottom"/>
            <w:tcBorders>
              <w:right w:val="single" w:sz="8" w:color="auto"/>
            </w:tcBorders>
            <w:gridSpan w:val="6"/>
          </w:tcPr>
          <w:p>
            <w:pPr>
              <w:jc w:val="right"/>
              <w:ind w:right="100"/>
              <w:spacing w:after="0" w:line="192" w:lineRule="exact"/>
              <w:rPr>
                <w:sz w:val="20"/>
                <w:szCs w:val="20"/>
                <w:color w:val="auto"/>
              </w:rPr>
            </w:pPr>
            <w:r>
              <w:rPr>
                <w:rFonts w:ascii="Arial" w:cs="Arial" w:eastAsia="Arial" w:hAnsi="Arial"/>
                <w:sz w:val="18"/>
                <w:szCs w:val="18"/>
                <w:color w:val="auto"/>
              </w:rPr>
              <w:t>Employment</w:t>
            </w:r>
          </w:p>
        </w:tc>
        <w:tc>
          <w:tcPr>
            <w:tcW w:w="2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w w:val="98"/>
              </w:rPr>
              <w:t>Agreement, dated August 3, 2009,</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w w:val="98"/>
              </w:rPr>
              <w:t>by and between the Company and</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95"/>
              </w:rPr>
              <w:t>Brian</w:t>
            </w:r>
          </w:p>
        </w:tc>
        <w:tc>
          <w:tcPr>
            <w:tcW w:w="18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Evans</w:t>
            </w:r>
          </w:p>
        </w:tc>
        <w:tc>
          <w:tcPr>
            <w:tcW w:w="1140" w:type="dxa"/>
            <w:vAlign w:val="bottom"/>
            <w:gridSpan w:val="5"/>
          </w:tcPr>
          <w:p>
            <w:pPr>
              <w:jc w:val="center"/>
              <w:spacing w:after="0"/>
              <w:rPr>
                <w:sz w:val="20"/>
                <w:szCs w:val="20"/>
                <w:color w:val="auto"/>
              </w:rPr>
            </w:pPr>
            <w:r>
              <w:rPr>
                <w:rFonts w:ascii="Arial" w:cs="Arial" w:eastAsia="Arial" w:hAnsi="Arial"/>
                <w:sz w:val="18"/>
                <w:szCs w:val="18"/>
                <w:color w:val="auto"/>
                <w:w w:val="90"/>
              </w:rPr>
              <w:t>(incorporated</w:t>
            </w:r>
          </w:p>
        </w:tc>
        <w:tc>
          <w:tcPr>
            <w:tcW w:w="4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w w:val="99"/>
              </w:rPr>
              <w:t>reference  to  Exhibit  10.1  to  the</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auto"/>
              </w:rPr>
              <w:t>Company’s</w:t>
            </w:r>
          </w:p>
        </w:tc>
        <w:tc>
          <w:tcPr>
            <w:tcW w:w="840" w:type="dxa"/>
            <w:vAlign w:val="bottom"/>
            <w:gridSpan w:val="3"/>
          </w:tcPr>
          <w:p>
            <w:pPr>
              <w:ind w:left="40"/>
              <w:spacing w:after="0"/>
              <w:rPr>
                <w:sz w:val="20"/>
                <w:szCs w:val="20"/>
                <w:color w:val="auto"/>
              </w:rPr>
            </w:pPr>
            <w:r>
              <w:rPr>
                <w:rFonts w:ascii="Arial" w:cs="Arial" w:eastAsia="Arial" w:hAnsi="Arial"/>
                <w:sz w:val="18"/>
                <w:szCs w:val="18"/>
                <w:color w:val="auto"/>
              </w:rPr>
              <w:t>Quarterly</w:t>
            </w:r>
          </w:p>
        </w:tc>
        <w:tc>
          <w:tcPr>
            <w:tcW w:w="540" w:type="dxa"/>
            <w:vAlign w:val="bottom"/>
            <w:gridSpan w:val="3"/>
          </w:tcPr>
          <w:p>
            <w:pPr>
              <w:ind w:left="40"/>
              <w:spacing w:after="0"/>
              <w:rPr>
                <w:sz w:val="20"/>
                <w:szCs w:val="20"/>
                <w:color w:val="auto"/>
              </w:rPr>
            </w:pPr>
            <w:r>
              <w:rPr>
                <w:rFonts w:ascii="Arial" w:cs="Arial" w:eastAsia="Arial" w:hAnsi="Arial"/>
                <w:sz w:val="18"/>
                <w:szCs w:val="18"/>
                <w:color w:val="auto"/>
                <w:w w:val="88"/>
              </w:rPr>
              <w:t>Report</w:t>
            </w:r>
          </w:p>
        </w:tc>
        <w:tc>
          <w:tcPr>
            <w:tcW w:w="4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on</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rPr>
              <w:t>Form  10-Q,  filed  on  August  3,</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40" w:type="dxa"/>
            <w:vAlign w:val="bottom"/>
            <w:tcBorders>
              <w:left w:val="single" w:sz="8" w:color="auto"/>
            </w:tcBorders>
          </w:tcPr>
          <w:p>
            <w:pPr>
              <w:spacing w:after="0"/>
              <w:rPr>
                <w:sz w:val="16"/>
                <w:szCs w:val="16"/>
                <w:color w:val="auto"/>
              </w:rPr>
            </w:pPr>
          </w:p>
        </w:tc>
        <w:tc>
          <w:tcPr>
            <w:tcW w:w="600" w:type="dxa"/>
            <w:vAlign w:val="bottom"/>
            <w:gridSpan w:val="2"/>
          </w:tcPr>
          <w:p>
            <w:pPr>
              <w:spacing w:after="0" w:line="189" w:lineRule="exact"/>
              <w:rPr>
                <w:sz w:val="20"/>
                <w:szCs w:val="20"/>
                <w:color w:val="auto"/>
              </w:rPr>
            </w:pPr>
            <w:r>
              <w:rPr>
                <w:rFonts w:ascii="Arial" w:cs="Arial" w:eastAsia="Arial" w:hAnsi="Arial"/>
                <w:sz w:val="18"/>
                <w:szCs w:val="18"/>
                <w:color w:val="auto"/>
                <w:w w:val="94"/>
              </w:rPr>
              <w:t>2009) †</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820" w:type="dxa"/>
            <w:vAlign w:val="bottom"/>
            <w:tcBorders>
              <w:right w:val="single" w:sz="8" w:color="auto"/>
            </w:tcBorders>
            <w:gridSpan w:val="5"/>
          </w:tcPr>
          <w:p>
            <w:pPr>
              <w:spacing w:after="0" w:line="189" w:lineRule="exact"/>
              <w:rPr>
                <w:rFonts w:ascii="Arial" w:cs="Arial" w:eastAsia="Arial" w:hAnsi="Arial"/>
                <w:sz w:val="18"/>
                <w:szCs w:val="18"/>
                <w:color w:val="auto"/>
              </w:rPr>
            </w:pPr>
            <w:hyperlink r:id="rId451">
              <w:r>
                <w:rPr>
                  <w:rFonts w:ascii="Arial" w:cs="Arial" w:eastAsia="Arial" w:hAnsi="Arial"/>
                  <w:sz w:val="18"/>
                  <w:szCs w:val="18"/>
                  <w:color w:val="auto"/>
                </w:rPr>
                <w:t>https://www.sec.gov/Archives/edgar/data/923796/000095012309028997/g19984exv10w1.htm</w:t>
              </w:r>
            </w:hyperlink>
          </w:p>
        </w:tc>
        <w:tc>
          <w:tcPr>
            <w:tcW w:w="0" w:type="dxa"/>
            <w:vAlign w:val="bottom"/>
          </w:tcPr>
          <w:p>
            <w:pPr>
              <w:spacing w:after="0"/>
              <w:rPr>
                <w:sz w:val="1"/>
                <w:szCs w:val="1"/>
                <w:color w:val="auto"/>
              </w:rPr>
            </w:pPr>
          </w:p>
        </w:tc>
      </w:tr>
      <w:tr>
        <w:trPr>
          <w:trHeight w:val="31"/>
        </w:trPr>
        <w:tc>
          <w:tcPr>
            <w:tcW w:w="620" w:type="dxa"/>
            <w:vAlign w:val="bottom"/>
            <w:vMerge w:val="restart"/>
          </w:tcPr>
          <w:p>
            <w:pPr>
              <w:ind w:left="120"/>
              <w:spacing w:after="0"/>
              <w:rPr>
                <w:sz w:val="20"/>
                <w:szCs w:val="20"/>
                <w:color w:val="auto"/>
              </w:rPr>
            </w:pPr>
            <w:r>
              <w:rPr>
                <w:rFonts w:ascii="Arial" w:cs="Arial" w:eastAsia="Arial" w:hAnsi="Arial"/>
                <w:sz w:val="18"/>
                <w:szCs w:val="18"/>
                <w:color w:val="auto"/>
              </w:rPr>
              <w:t>10.6</w:t>
            </w:r>
          </w:p>
        </w:tc>
        <w:tc>
          <w:tcPr>
            <w:tcW w:w="4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780" w:type="dxa"/>
            <w:vAlign w:val="bottom"/>
            <w:tcBorders>
              <w:top w:val="single" w:sz="8" w:color="0000EE"/>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620" w:type="dxa"/>
            <w:vAlign w:val="bottom"/>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8"/>
          </w:tcPr>
          <w:p>
            <w:pPr>
              <w:spacing w:after="0"/>
              <w:rPr>
                <w:sz w:val="14"/>
                <w:szCs w:val="14"/>
                <w:color w:val="auto"/>
              </w:rPr>
            </w:pPr>
          </w:p>
        </w:tc>
        <w:tc>
          <w:tcPr>
            <w:tcW w:w="600" w:type="dxa"/>
            <w:vAlign w:val="bottom"/>
            <w:tcBorders>
              <w:bottom w:val="single" w:sz="8" w:color="auto"/>
            </w:tcBorders>
            <w:gridSpan w:val="2"/>
          </w:tcPr>
          <w:p>
            <w:pPr>
              <w:spacing w:after="0"/>
              <w:rPr>
                <w:sz w:val="14"/>
                <w:szCs w:val="14"/>
                <w:color w:val="auto"/>
              </w:rPr>
            </w:pPr>
          </w:p>
        </w:tc>
        <w:tc>
          <w:tcPr>
            <w:tcW w:w="120" w:type="dxa"/>
            <w:vAlign w:val="bottom"/>
            <w:tcBorders>
              <w:bottom w:val="single" w:sz="8" w:color="auto"/>
            </w:tcBorders>
            <w:gridSpan w:val="2"/>
          </w:tcPr>
          <w:p>
            <w:pPr>
              <w:spacing w:after="0"/>
              <w:rPr>
                <w:sz w:val="14"/>
                <w:szCs w:val="14"/>
                <w:color w:val="auto"/>
              </w:rPr>
            </w:pPr>
          </w:p>
        </w:tc>
        <w:tc>
          <w:tcPr>
            <w:tcW w:w="6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20" w:type="dxa"/>
            <w:vAlign w:val="bottom"/>
            <w:vMerge w:val="continue"/>
          </w:tcPr>
          <w:p>
            <w:pPr>
              <w:spacing w:after="0"/>
              <w:rPr>
                <w:sz w:val="16"/>
                <w:szCs w:val="16"/>
                <w:color w:val="auto"/>
              </w:rPr>
            </w:pPr>
          </w:p>
        </w:tc>
        <w:tc>
          <w:tcPr>
            <w:tcW w:w="40" w:type="dxa"/>
            <w:vAlign w:val="bottom"/>
            <w:tcBorders>
              <w:left w:val="single" w:sz="8" w:color="auto"/>
            </w:tcBorders>
          </w:tcPr>
          <w:p>
            <w:pPr>
              <w:spacing w:after="0"/>
              <w:rPr>
                <w:sz w:val="16"/>
                <w:szCs w:val="16"/>
                <w:color w:val="auto"/>
              </w:rPr>
            </w:pPr>
          </w:p>
        </w:tc>
        <w:tc>
          <w:tcPr>
            <w:tcW w:w="2740" w:type="dxa"/>
            <w:vAlign w:val="bottom"/>
            <w:tcBorders>
              <w:right w:val="single" w:sz="8" w:color="auto"/>
            </w:tcBorders>
            <w:gridSpan w:val="11"/>
          </w:tcPr>
          <w:p>
            <w:pPr>
              <w:spacing w:after="0" w:line="192" w:lineRule="exact"/>
              <w:rPr>
                <w:sz w:val="20"/>
                <w:szCs w:val="20"/>
                <w:color w:val="auto"/>
              </w:rPr>
            </w:pPr>
            <w:r>
              <w:rPr>
                <w:rFonts w:ascii="Arial" w:cs="Arial" w:eastAsia="Arial" w:hAnsi="Arial"/>
                <w:sz w:val="18"/>
                <w:szCs w:val="18"/>
                <w:color w:val="auto"/>
                <w:w w:val="99"/>
              </w:rPr>
              <w:t>First Amendment to Senior Officer</w:t>
            </w:r>
          </w:p>
        </w:tc>
        <w:tc>
          <w:tcPr>
            <w:tcW w:w="2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auto"/>
                <w:w w:val="91"/>
              </w:rPr>
              <w:t>Employment</w:t>
            </w:r>
          </w:p>
        </w:tc>
        <w:tc>
          <w:tcPr>
            <w:tcW w:w="1000" w:type="dxa"/>
            <w:vAlign w:val="bottom"/>
            <w:gridSpan w:val="4"/>
          </w:tcPr>
          <w:p>
            <w:pPr>
              <w:ind w:left="120"/>
              <w:spacing w:after="0"/>
              <w:rPr>
                <w:sz w:val="20"/>
                <w:szCs w:val="20"/>
                <w:color w:val="auto"/>
              </w:rPr>
            </w:pPr>
            <w:r>
              <w:rPr>
                <w:rFonts w:ascii="Arial" w:cs="Arial" w:eastAsia="Arial" w:hAnsi="Arial"/>
                <w:sz w:val="18"/>
                <w:szCs w:val="18"/>
                <w:color w:val="auto"/>
                <w:w w:val="92"/>
              </w:rPr>
              <w:t>Agreement,</w:t>
            </w:r>
          </w:p>
        </w:tc>
        <w:tc>
          <w:tcPr>
            <w:tcW w:w="800" w:type="dxa"/>
            <w:vAlign w:val="bottom"/>
            <w:tcBorders>
              <w:right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effective</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w w:val="95"/>
              </w:rPr>
              <w:t>March 1, 2011, by and between the</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rPr>
              <w:t>Company  and  Brian  R.  Evans</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auto"/>
              </w:rPr>
              <w:t>(incorporated</w:t>
            </w:r>
          </w:p>
        </w:tc>
        <w:tc>
          <w:tcPr>
            <w:tcW w:w="420" w:type="dxa"/>
            <w:vAlign w:val="bottom"/>
          </w:tcPr>
          <w:p>
            <w:pPr>
              <w:ind w:left="20"/>
              <w:spacing w:after="0"/>
              <w:rPr>
                <w:sz w:val="20"/>
                <w:szCs w:val="20"/>
                <w:color w:val="auto"/>
              </w:rPr>
            </w:pPr>
            <w:r>
              <w:rPr>
                <w:rFonts w:ascii="Arial" w:cs="Arial" w:eastAsia="Arial" w:hAnsi="Arial"/>
                <w:sz w:val="18"/>
                <w:szCs w:val="18"/>
                <w:color w:val="auto"/>
              </w:rPr>
              <w:t>by</w:t>
            </w:r>
          </w:p>
        </w:tc>
        <w:tc>
          <w:tcPr>
            <w:tcW w:w="720" w:type="dxa"/>
            <w:vAlign w:val="bottom"/>
            <w:gridSpan w:val="4"/>
          </w:tcPr>
          <w:p>
            <w:pPr>
              <w:spacing w:after="0"/>
              <w:rPr>
                <w:sz w:val="20"/>
                <w:szCs w:val="20"/>
                <w:color w:val="auto"/>
              </w:rPr>
            </w:pPr>
            <w:r>
              <w:rPr>
                <w:rFonts w:ascii="Arial" w:cs="Arial" w:eastAsia="Arial" w:hAnsi="Arial"/>
                <w:sz w:val="18"/>
                <w:szCs w:val="18"/>
                <w:color w:val="auto"/>
                <w:w w:val="92"/>
              </w:rPr>
              <w:t>reference</w:t>
            </w:r>
          </w:p>
        </w:tc>
        <w:tc>
          <w:tcPr>
            <w:tcW w:w="4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to</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rPr>
              <w:t>Exhibit  10.28  to  the  Company’s</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w w:val="98"/>
              </w:rPr>
              <w:t>Annual Report on Form 10-K, filed</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40" w:type="dxa"/>
            <w:vAlign w:val="bottom"/>
            <w:tcBorders>
              <w:left w:val="single" w:sz="8" w:color="auto"/>
            </w:tcBorders>
          </w:tcPr>
          <w:p>
            <w:pPr>
              <w:spacing w:after="0"/>
              <w:rPr>
                <w:sz w:val="16"/>
                <w:szCs w:val="16"/>
                <w:color w:val="auto"/>
              </w:rPr>
            </w:pPr>
          </w:p>
        </w:tc>
        <w:tc>
          <w:tcPr>
            <w:tcW w:w="1600" w:type="dxa"/>
            <w:vAlign w:val="bottom"/>
            <w:gridSpan w:val="5"/>
          </w:tcPr>
          <w:p>
            <w:pPr>
              <w:spacing w:after="0" w:line="189" w:lineRule="exact"/>
              <w:rPr>
                <w:sz w:val="20"/>
                <w:szCs w:val="20"/>
                <w:color w:val="auto"/>
              </w:rPr>
            </w:pPr>
            <w:r>
              <w:rPr>
                <w:rFonts w:ascii="Arial" w:cs="Arial" w:eastAsia="Arial" w:hAnsi="Arial"/>
                <w:sz w:val="18"/>
                <w:szCs w:val="18"/>
                <w:color w:val="auto"/>
                <w:w w:val="98"/>
              </w:rPr>
              <w:t>on March 2, 2011) †</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820" w:type="dxa"/>
            <w:vAlign w:val="bottom"/>
            <w:tcBorders>
              <w:right w:val="single" w:sz="8" w:color="auto"/>
            </w:tcBorders>
            <w:gridSpan w:val="5"/>
          </w:tcPr>
          <w:p>
            <w:pPr>
              <w:spacing w:after="0" w:line="189" w:lineRule="exact"/>
              <w:rPr>
                <w:rFonts w:ascii="Arial" w:cs="Arial" w:eastAsia="Arial" w:hAnsi="Arial"/>
                <w:sz w:val="18"/>
                <w:szCs w:val="18"/>
                <w:color w:val="auto"/>
              </w:rPr>
            </w:pPr>
            <w:hyperlink r:id="rId452">
              <w:r>
                <w:rPr>
                  <w:rFonts w:ascii="Arial" w:cs="Arial" w:eastAsia="Arial" w:hAnsi="Arial"/>
                  <w:sz w:val="18"/>
                  <w:szCs w:val="18"/>
                  <w:color w:val="auto"/>
                </w:rPr>
                <w:t>https://www.sec.gov/Archives/edgar/data/923796/000095012311020922/g25405exv10w28.htm</w:t>
              </w:r>
            </w:hyperlink>
          </w:p>
        </w:tc>
        <w:tc>
          <w:tcPr>
            <w:tcW w:w="0" w:type="dxa"/>
            <w:vAlign w:val="bottom"/>
          </w:tcPr>
          <w:p>
            <w:pPr>
              <w:spacing w:after="0"/>
              <w:rPr>
                <w:sz w:val="1"/>
                <w:szCs w:val="1"/>
                <w:color w:val="auto"/>
              </w:rPr>
            </w:pPr>
          </w:p>
        </w:tc>
      </w:tr>
      <w:tr>
        <w:trPr>
          <w:trHeight w:val="31"/>
        </w:trPr>
        <w:tc>
          <w:tcPr>
            <w:tcW w:w="620" w:type="dxa"/>
            <w:vAlign w:val="bottom"/>
            <w:vMerge w:val="restart"/>
          </w:tcPr>
          <w:p>
            <w:pPr>
              <w:ind w:left="120"/>
              <w:spacing w:after="0"/>
              <w:rPr>
                <w:sz w:val="20"/>
                <w:szCs w:val="20"/>
                <w:color w:val="auto"/>
              </w:rPr>
            </w:pPr>
            <w:r>
              <w:rPr>
                <w:rFonts w:ascii="Arial" w:cs="Arial" w:eastAsia="Arial" w:hAnsi="Arial"/>
                <w:sz w:val="18"/>
                <w:szCs w:val="18"/>
                <w:color w:val="auto"/>
              </w:rPr>
              <w:t>10.7</w:t>
            </w:r>
          </w:p>
        </w:tc>
        <w:tc>
          <w:tcPr>
            <w:tcW w:w="4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7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620" w:type="dxa"/>
            <w:vAlign w:val="bottom"/>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8"/>
          </w:tcPr>
          <w:p>
            <w:pPr>
              <w:spacing w:after="0"/>
              <w:rPr>
                <w:sz w:val="14"/>
                <w:szCs w:val="14"/>
                <w:color w:val="auto"/>
              </w:rPr>
            </w:pPr>
          </w:p>
        </w:tc>
        <w:tc>
          <w:tcPr>
            <w:tcW w:w="600" w:type="dxa"/>
            <w:vAlign w:val="bottom"/>
            <w:tcBorders>
              <w:bottom w:val="single" w:sz="8" w:color="auto"/>
            </w:tcBorders>
            <w:gridSpan w:val="2"/>
          </w:tcPr>
          <w:p>
            <w:pPr>
              <w:spacing w:after="0"/>
              <w:rPr>
                <w:sz w:val="14"/>
                <w:szCs w:val="14"/>
                <w:color w:val="auto"/>
              </w:rPr>
            </w:pPr>
          </w:p>
        </w:tc>
        <w:tc>
          <w:tcPr>
            <w:tcW w:w="120" w:type="dxa"/>
            <w:vAlign w:val="bottom"/>
            <w:tcBorders>
              <w:bottom w:val="single" w:sz="8" w:color="auto"/>
            </w:tcBorders>
            <w:gridSpan w:val="2"/>
          </w:tcPr>
          <w:p>
            <w:pPr>
              <w:spacing w:after="0"/>
              <w:rPr>
                <w:sz w:val="14"/>
                <w:szCs w:val="14"/>
                <w:color w:val="auto"/>
              </w:rPr>
            </w:pPr>
          </w:p>
        </w:tc>
        <w:tc>
          <w:tcPr>
            <w:tcW w:w="6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20" w:type="dxa"/>
            <w:vAlign w:val="bottom"/>
            <w:vMerge w:val="continue"/>
          </w:tcPr>
          <w:p>
            <w:pPr>
              <w:spacing w:after="0"/>
              <w:rPr>
                <w:sz w:val="16"/>
                <w:szCs w:val="16"/>
                <w:color w:val="auto"/>
              </w:rPr>
            </w:pPr>
          </w:p>
        </w:tc>
        <w:tc>
          <w:tcPr>
            <w:tcW w:w="40" w:type="dxa"/>
            <w:vAlign w:val="bottom"/>
            <w:tcBorders>
              <w:left w:val="single" w:sz="8" w:color="auto"/>
            </w:tcBorders>
          </w:tcPr>
          <w:p>
            <w:pPr>
              <w:spacing w:after="0"/>
              <w:rPr>
                <w:sz w:val="16"/>
                <w:szCs w:val="16"/>
                <w:color w:val="auto"/>
              </w:rPr>
            </w:pPr>
          </w:p>
        </w:tc>
        <w:tc>
          <w:tcPr>
            <w:tcW w:w="2740" w:type="dxa"/>
            <w:vAlign w:val="bottom"/>
            <w:tcBorders>
              <w:right w:val="single" w:sz="8" w:color="auto"/>
            </w:tcBorders>
            <w:gridSpan w:val="11"/>
          </w:tcPr>
          <w:p>
            <w:pPr>
              <w:spacing w:after="0" w:line="192" w:lineRule="exact"/>
              <w:rPr>
                <w:sz w:val="20"/>
                <w:szCs w:val="20"/>
                <w:color w:val="auto"/>
              </w:rPr>
            </w:pPr>
            <w:r>
              <w:rPr>
                <w:rFonts w:ascii="Arial" w:cs="Arial" w:eastAsia="Arial" w:hAnsi="Arial"/>
                <w:sz w:val="18"/>
                <w:szCs w:val="18"/>
                <w:color w:val="auto"/>
                <w:w w:val="99"/>
              </w:rPr>
              <w:t>Amended and Restated The GEO</w:t>
            </w:r>
          </w:p>
        </w:tc>
        <w:tc>
          <w:tcPr>
            <w:tcW w:w="2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rPr>
              <w:t>Group,</w:t>
            </w:r>
          </w:p>
        </w:tc>
        <w:tc>
          <w:tcPr>
            <w:tcW w:w="1180" w:type="dxa"/>
            <w:vAlign w:val="bottom"/>
            <w:gridSpan w:val="4"/>
          </w:tcPr>
          <w:p>
            <w:pPr>
              <w:ind w:left="20"/>
              <w:spacing w:after="0"/>
              <w:rPr>
                <w:sz w:val="20"/>
                <w:szCs w:val="20"/>
                <w:color w:val="auto"/>
              </w:rPr>
            </w:pPr>
            <w:r>
              <w:rPr>
                <w:rFonts w:ascii="Arial" w:cs="Arial" w:eastAsia="Arial" w:hAnsi="Arial"/>
                <w:sz w:val="18"/>
                <w:szCs w:val="18"/>
                <w:color w:val="auto"/>
              </w:rPr>
              <w:t>Inc. Executive</w:t>
            </w:r>
          </w:p>
        </w:tc>
        <w:tc>
          <w:tcPr>
            <w:tcW w:w="960" w:type="dxa"/>
            <w:vAlign w:val="bottom"/>
            <w:tcBorders>
              <w:right w:val="single" w:sz="8" w:color="auto"/>
            </w:tcBorders>
            <w:gridSpan w:val="5"/>
          </w:tcPr>
          <w:p>
            <w:pPr>
              <w:jc w:val="right"/>
              <w:ind w:right="100"/>
              <w:spacing w:after="0"/>
              <w:rPr>
                <w:sz w:val="20"/>
                <w:szCs w:val="20"/>
                <w:color w:val="auto"/>
              </w:rPr>
            </w:pPr>
            <w:r>
              <w:rPr>
                <w:rFonts w:ascii="Arial" w:cs="Arial" w:eastAsia="Arial" w:hAnsi="Arial"/>
                <w:sz w:val="18"/>
                <w:szCs w:val="18"/>
                <w:color w:val="auto"/>
                <w:w w:val="95"/>
              </w:rPr>
              <w:t>Retirement</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w w:val="98"/>
              </w:rPr>
              <w:t>Plan  (effective  January  1,  2008)</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auto"/>
              </w:rPr>
              <w:t>(incorporated</w:t>
            </w:r>
          </w:p>
        </w:tc>
        <w:tc>
          <w:tcPr>
            <w:tcW w:w="420" w:type="dxa"/>
            <w:vAlign w:val="bottom"/>
          </w:tcPr>
          <w:p>
            <w:pPr>
              <w:ind w:left="20"/>
              <w:spacing w:after="0"/>
              <w:rPr>
                <w:sz w:val="20"/>
                <w:szCs w:val="20"/>
                <w:color w:val="auto"/>
              </w:rPr>
            </w:pPr>
            <w:r>
              <w:rPr>
                <w:rFonts w:ascii="Arial" w:cs="Arial" w:eastAsia="Arial" w:hAnsi="Arial"/>
                <w:sz w:val="18"/>
                <w:szCs w:val="18"/>
                <w:color w:val="auto"/>
              </w:rPr>
              <w:t>by</w:t>
            </w:r>
          </w:p>
        </w:tc>
        <w:tc>
          <w:tcPr>
            <w:tcW w:w="720" w:type="dxa"/>
            <w:vAlign w:val="bottom"/>
            <w:gridSpan w:val="4"/>
          </w:tcPr>
          <w:p>
            <w:pPr>
              <w:spacing w:after="0"/>
              <w:rPr>
                <w:sz w:val="20"/>
                <w:szCs w:val="20"/>
                <w:color w:val="auto"/>
              </w:rPr>
            </w:pPr>
            <w:r>
              <w:rPr>
                <w:rFonts w:ascii="Arial" w:cs="Arial" w:eastAsia="Arial" w:hAnsi="Arial"/>
                <w:sz w:val="18"/>
                <w:szCs w:val="18"/>
                <w:color w:val="auto"/>
                <w:w w:val="92"/>
              </w:rPr>
              <w:t>reference</w:t>
            </w:r>
          </w:p>
        </w:tc>
        <w:tc>
          <w:tcPr>
            <w:tcW w:w="4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to</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rPr>
              <w:t>Exhibit  10.36  to  the  Company’s</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w w:val="98"/>
              </w:rPr>
              <w:t>Quarterly  Report  on  Form  10-K,</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40" w:type="dxa"/>
            <w:vAlign w:val="bottom"/>
            <w:tcBorders>
              <w:left w:val="single" w:sz="8" w:color="auto"/>
            </w:tcBorders>
          </w:tcPr>
          <w:p>
            <w:pPr>
              <w:spacing w:after="0"/>
              <w:rPr>
                <w:sz w:val="16"/>
                <w:szCs w:val="16"/>
                <w:color w:val="auto"/>
              </w:rPr>
            </w:pPr>
          </w:p>
        </w:tc>
        <w:tc>
          <w:tcPr>
            <w:tcW w:w="1940" w:type="dxa"/>
            <w:vAlign w:val="bottom"/>
            <w:gridSpan w:val="7"/>
          </w:tcPr>
          <w:p>
            <w:pPr>
              <w:spacing w:after="0" w:line="189" w:lineRule="exact"/>
              <w:rPr>
                <w:sz w:val="20"/>
                <w:szCs w:val="20"/>
                <w:color w:val="auto"/>
              </w:rPr>
            </w:pPr>
            <w:r>
              <w:rPr>
                <w:rFonts w:ascii="Arial" w:cs="Arial" w:eastAsia="Arial" w:hAnsi="Arial"/>
                <w:sz w:val="18"/>
                <w:szCs w:val="18"/>
                <w:color w:val="auto"/>
                <w:w w:val="96"/>
              </w:rPr>
              <w:t>filed on March 1, 2012)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820" w:type="dxa"/>
            <w:vAlign w:val="bottom"/>
            <w:tcBorders>
              <w:right w:val="single" w:sz="8" w:color="auto"/>
            </w:tcBorders>
            <w:gridSpan w:val="5"/>
          </w:tcPr>
          <w:p>
            <w:pPr>
              <w:spacing w:after="0" w:line="189" w:lineRule="exact"/>
              <w:rPr>
                <w:rFonts w:ascii="Arial" w:cs="Arial" w:eastAsia="Arial" w:hAnsi="Arial"/>
                <w:sz w:val="18"/>
                <w:szCs w:val="18"/>
                <w:color w:val="auto"/>
              </w:rPr>
            </w:pPr>
            <w:hyperlink r:id="rId453">
              <w:r>
                <w:rPr>
                  <w:rFonts w:ascii="Arial" w:cs="Arial" w:eastAsia="Arial" w:hAnsi="Arial"/>
                  <w:sz w:val="18"/>
                  <w:szCs w:val="18"/>
                  <w:color w:val="auto"/>
                </w:rPr>
                <w:t>https://www.sec.gov/Archives/edgar/data/923796/000119312512090269/d259590dex1036.htm</w:t>
              </w:r>
            </w:hyperlink>
          </w:p>
        </w:tc>
        <w:tc>
          <w:tcPr>
            <w:tcW w:w="0" w:type="dxa"/>
            <w:vAlign w:val="bottom"/>
          </w:tcPr>
          <w:p>
            <w:pPr>
              <w:spacing w:after="0"/>
              <w:rPr>
                <w:sz w:val="1"/>
                <w:szCs w:val="1"/>
                <w:color w:val="auto"/>
              </w:rPr>
            </w:pPr>
          </w:p>
        </w:tc>
      </w:tr>
      <w:tr>
        <w:trPr>
          <w:trHeight w:val="31"/>
        </w:trPr>
        <w:tc>
          <w:tcPr>
            <w:tcW w:w="620" w:type="dxa"/>
            <w:vAlign w:val="bottom"/>
            <w:vMerge w:val="restart"/>
          </w:tcPr>
          <w:p>
            <w:pPr>
              <w:ind w:left="120"/>
              <w:spacing w:after="0"/>
              <w:rPr>
                <w:sz w:val="20"/>
                <w:szCs w:val="20"/>
                <w:color w:val="auto"/>
              </w:rPr>
            </w:pPr>
            <w:r>
              <w:rPr>
                <w:rFonts w:ascii="Arial" w:cs="Arial" w:eastAsia="Arial" w:hAnsi="Arial"/>
                <w:sz w:val="18"/>
                <w:szCs w:val="18"/>
                <w:color w:val="auto"/>
              </w:rPr>
              <w:t>10.8</w:t>
            </w:r>
          </w:p>
        </w:tc>
        <w:tc>
          <w:tcPr>
            <w:tcW w:w="4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7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620" w:type="dxa"/>
            <w:vAlign w:val="bottom"/>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8"/>
          </w:tcPr>
          <w:p>
            <w:pPr>
              <w:spacing w:after="0"/>
              <w:rPr>
                <w:sz w:val="14"/>
                <w:szCs w:val="14"/>
                <w:color w:val="auto"/>
              </w:rPr>
            </w:pPr>
          </w:p>
        </w:tc>
        <w:tc>
          <w:tcPr>
            <w:tcW w:w="600" w:type="dxa"/>
            <w:vAlign w:val="bottom"/>
            <w:tcBorders>
              <w:bottom w:val="single" w:sz="8" w:color="auto"/>
            </w:tcBorders>
            <w:gridSpan w:val="2"/>
          </w:tcPr>
          <w:p>
            <w:pPr>
              <w:spacing w:after="0"/>
              <w:rPr>
                <w:sz w:val="14"/>
                <w:szCs w:val="14"/>
                <w:color w:val="auto"/>
              </w:rPr>
            </w:pPr>
          </w:p>
        </w:tc>
        <w:tc>
          <w:tcPr>
            <w:tcW w:w="120" w:type="dxa"/>
            <w:vAlign w:val="bottom"/>
            <w:tcBorders>
              <w:bottom w:val="single" w:sz="8" w:color="auto"/>
            </w:tcBorders>
            <w:gridSpan w:val="2"/>
          </w:tcPr>
          <w:p>
            <w:pPr>
              <w:spacing w:after="0"/>
              <w:rPr>
                <w:sz w:val="14"/>
                <w:szCs w:val="14"/>
                <w:color w:val="auto"/>
              </w:rPr>
            </w:pPr>
          </w:p>
        </w:tc>
        <w:tc>
          <w:tcPr>
            <w:tcW w:w="6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20" w:type="dxa"/>
            <w:vAlign w:val="bottom"/>
            <w:vMerge w:val="continue"/>
          </w:tcPr>
          <w:p>
            <w:pPr>
              <w:spacing w:after="0"/>
              <w:rPr>
                <w:sz w:val="16"/>
                <w:szCs w:val="16"/>
                <w:color w:val="auto"/>
              </w:rPr>
            </w:pPr>
          </w:p>
        </w:tc>
        <w:tc>
          <w:tcPr>
            <w:tcW w:w="40" w:type="dxa"/>
            <w:vAlign w:val="bottom"/>
            <w:tcBorders>
              <w:left w:val="single" w:sz="8" w:color="auto"/>
            </w:tcBorders>
          </w:tcPr>
          <w:p>
            <w:pPr>
              <w:spacing w:after="0"/>
              <w:rPr>
                <w:sz w:val="16"/>
                <w:szCs w:val="16"/>
                <w:color w:val="auto"/>
              </w:rPr>
            </w:pPr>
          </w:p>
        </w:tc>
        <w:tc>
          <w:tcPr>
            <w:tcW w:w="2740" w:type="dxa"/>
            <w:vAlign w:val="bottom"/>
            <w:tcBorders>
              <w:right w:val="single" w:sz="8" w:color="auto"/>
            </w:tcBorders>
            <w:gridSpan w:val="11"/>
          </w:tcPr>
          <w:p>
            <w:pPr>
              <w:spacing w:after="0" w:line="192" w:lineRule="exact"/>
              <w:rPr>
                <w:sz w:val="20"/>
                <w:szCs w:val="20"/>
                <w:color w:val="auto"/>
              </w:rPr>
            </w:pPr>
            <w:r>
              <w:rPr>
                <w:rFonts w:ascii="Arial" w:cs="Arial" w:eastAsia="Arial" w:hAnsi="Arial"/>
                <w:sz w:val="18"/>
                <w:szCs w:val="18"/>
                <w:color w:val="auto"/>
              </w:rPr>
              <w:t>Amendment to The GEO Group,</w:t>
            </w:r>
          </w:p>
        </w:tc>
        <w:tc>
          <w:tcPr>
            <w:tcW w:w="2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Inc.</w:t>
            </w:r>
          </w:p>
        </w:tc>
        <w:tc>
          <w:tcPr>
            <w:tcW w:w="760" w:type="dxa"/>
            <w:vAlign w:val="bottom"/>
            <w:gridSpan w:val="3"/>
          </w:tcPr>
          <w:p>
            <w:pPr>
              <w:ind w:left="40"/>
              <w:spacing w:after="0"/>
              <w:rPr>
                <w:sz w:val="20"/>
                <w:szCs w:val="20"/>
                <w:color w:val="auto"/>
              </w:rPr>
            </w:pPr>
            <w:r>
              <w:rPr>
                <w:rFonts w:ascii="Arial" w:cs="Arial" w:eastAsia="Arial" w:hAnsi="Arial"/>
                <w:sz w:val="18"/>
                <w:szCs w:val="18"/>
                <w:color w:val="auto"/>
                <w:w w:val="89"/>
              </w:rPr>
              <w:t>Executive</w:t>
            </w:r>
          </w:p>
        </w:tc>
        <w:tc>
          <w:tcPr>
            <w:tcW w:w="1140" w:type="dxa"/>
            <w:vAlign w:val="bottom"/>
            <w:gridSpan w:val="5"/>
          </w:tcPr>
          <w:p>
            <w:pPr>
              <w:jc w:val="center"/>
              <w:spacing w:after="0"/>
              <w:rPr>
                <w:sz w:val="20"/>
                <w:szCs w:val="20"/>
                <w:color w:val="auto"/>
              </w:rPr>
            </w:pPr>
            <w:r>
              <w:rPr>
                <w:rFonts w:ascii="Arial" w:cs="Arial" w:eastAsia="Arial" w:hAnsi="Arial"/>
                <w:sz w:val="18"/>
                <w:szCs w:val="18"/>
                <w:color w:val="auto"/>
                <w:w w:val="90"/>
              </w:rPr>
              <w:t>Retirement</w:t>
            </w:r>
          </w:p>
        </w:tc>
        <w:tc>
          <w:tcPr>
            <w:tcW w:w="4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83"/>
              </w:rPr>
              <w:t>Plan</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auto"/>
              </w:rPr>
              <w:t>(incorporated</w:t>
            </w:r>
          </w:p>
        </w:tc>
        <w:tc>
          <w:tcPr>
            <w:tcW w:w="420" w:type="dxa"/>
            <w:vAlign w:val="bottom"/>
          </w:tcPr>
          <w:p>
            <w:pPr>
              <w:ind w:left="20"/>
              <w:spacing w:after="0"/>
              <w:rPr>
                <w:sz w:val="20"/>
                <w:szCs w:val="20"/>
                <w:color w:val="auto"/>
              </w:rPr>
            </w:pPr>
            <w:r>
              <w:rPr>
                <w:rFonts w:ascii="Arial" w:cs="Arial" w:eastAsia="Arial" w:hAnsi="Arial"/>
                <w:sz w:val="18"/>
                <w:szCs w:val="18"/>
                <w:color w:val="auto"/>
              </w:rPr>
              <w:t>by</w:t>
            </w:r>
          </w:p>
        </w:tc>
        <w:tc>
          <w:tcPr>
            <w:tcW w:w="720" w:type="dxa"/>
            <w:vAlign w:val="bottom"/>
            <w:gridSpan w:val="4"/>
          </w:tcPr>
          <w:p>
            <w:pPr>
              <w:spacing w:after="0"/>
              <w:rPr>
                <w:sz w:val="20"/>
                <w:szCs w:val="20"/>
                <w:color w:val="auto"/>
              </w:rPr>
            </w:pPr>
            <w:r>
              <w:rPr>
                <w:rFonts w:ascii="Arial" w:cs="Arial" w:eastAsia="Arial" w:hAnsi="Arial"/>
                <w:sz w:val="18"/>
                <w:szCs w:val="18"/>
                <w:color w:val="auto"/>
                <w:w w:val="92"/>
              </w:rPr>
              <w:t>reference</w:t>
            </w:r>
          </w:p>
        </w:tc>
        <w:tc>
          <w:tcPr>
            <w:tcW w:w="4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to</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rPr>
              <w:t>Exhibit  10.37  to  the  Company’s</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w w:val="98"/>
              </w:rPr>
              <w:t>Annual Report on Form 10-K, filed</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40" w:type="dxa"/>
            <w:vAlign w:val="bottom"/>
            <w:tcBorders>
              <w:left w:val="single" w:sz="8" w:color="auto"/>
            </w:tcBorders>
          </w:tcPr>
          <w:p>
            <w:pPr>
              <w:spacing w:after="0"/>
              <w:rPr>
                <w:sz w:val="16"/>
                <w:szCs w:val="16"/>
                <w:color w:val="auto"/>
              </w:rPr>
            </w:pPr>
          </w:p>
        </w:tc>
        <w:tc>
          <w:tcPr>
            <w:tcW w:w="1600" w:type="dxa"/>
            <w:vAlign w:val="bottom"/>
            <w:gridSpan w:val="5"/>
          </w:tcPr>
          <w:p>
            <w:pPr>
              <w:spacing w:after="0" w:line="189" w:lineRule="exact"/>
              <w:rPr>
                <w:sz w:val="20"/>
                <w:szCs w:val="20"/>
                <w:color w:val="auto"/>
              </w:rPr>
            </w:pPr>
            <w:r>
              <w:rPr>
                <w:rFonts w:ascii="Arial" w:cs="Arial" w:eastAsia="Arial" w:hAnsi="Arial"/>
                <w:sz w:val="18"/>
                <w:szCs w:val="18"/>
                <w:color w:val="auto"/>
                <w:w w:val="98"/>
              </w:rPr>
              <w:t>on March 1, 2012) †</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820" w:type="dxa"/>
            <w:vAlign w:val="bottom"/>
            <w:tcBorders>
              <w:right w:val="single" w:sz="8" w:color="auto"/>
            </w:tcBorders>
            <w:gridSpan w:val="5"/>
          </w:tcPr>
          <w:p>
            <w:pPr>
              <w:spacing w:after="0" w:line="189" w:lineRule="exact"/>
              <w:rPr>
                <w:rFonts w:ascii="Arial" w:cs="Arial" w:eastAsia="Arial" w:hAnsi="Arial"/>
                <w:sz w:val="18"/>
                <w:szCs w:val="18"/>
                <w:color w:val="auto"/>
              </w:rPr>
            </w:pPr>
            <w:hyperlink r:id="rId454">
              <w:r>
                <w:rPr>
                  <w:rFonts w:ascii="Arial" w:cs="Arial" w:eastAsia="Arial" w:hAnsi="Arial"/>
                  <w:sz w:val="18"/>
                  <w:szCs w:val="18"/>
                  <w:color w:val="auto"/>
                </w:rPr>
                <w:t>https://www.sec.gov/Archives/edgar/data/923796/000119312512090269/d259590dex1037.htm</w:t>
              </w:r>
            </w:hyperlink>
          </w:p>
        </w:tc>
        <w:tc>
          <w:tcPr>
            <w:tcW w:w="0" w:type="dxa"/>
            <w:vAlign w:val="bottom"/>
          </w:tcPr>
          <w:p>
            <w:pPr>
              <w:spacing w:after="0"/>
              <w:rPr>
                <w:sz w:val="1"/>
                <w:szCs w:val="1"/>
                <w:color w:val="auto"/>
              </w:rPr>
            </w:pPr>
          </w:p>
        </w:tc>
      </w:tr>
      <w:tr>
        <w:trPr>
          <w:trHeight w:val="31"/>
        </w:trPr>
        <w:tc>
          <w:tcPr>
            <w:tcW w:w="620" w:type="dxa"/>
            <w:vAlign w:val="bottom"/>
            <w:vMerge w:val="restart"/>
          </w:tcPr>
          <w:p>
            <w:pPr>
              <w:ind w:left="120"/>
              <w:spacing w:after="0"/>
              <w:rPr>
                <w:sz w:val="20"/>
                <w:szCs w:val="20"/>
                <w:color w:val="auto"/>
              </w:rPr>
            </w:pPr>
            <w:r>
              <w:rPr>
                <w:rFonts w:ascii="Arial" w:cs="Arial" w:eastAsia="Arial" w:hAnsi="Arial"/>
                <w:sz w:val="18"/>
                <w:szCs w:val="18"/>
                <w:color w:val="auto"/>
              </w:rPr>
              <w:t>10.9</w:t>
            </w:r>
          </w:p>
        </w:tc>
        <w:tc>
          <w:tcPr>
            <w:tcW w:w="4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7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620" w:type="dxa"/>
            <w:vAlign w:val="bottom"/>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spacing w:after="0"/>
              <w:rPr>
                <w:sz w:val="14"/>
                <w:szCs w:val="14"/>
                <w:color w:val="auto"/>
              </w:rPr>
            </w:pPr>
          </w:p>
        </w:tc>
        <w:tc>
          <w:tcPr>
            <w:tcW w:w="10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spacing w:after="0"/>
              <w:rPr>
                <w:sz w:val="14"/>
                <w:szCs w:val="14"/>
                <w:color w:val="auto"/>
              </w:rPr>
            </w:pPr>
          </w:p>
        </w:tc>
        <w:tc>
          <w:tcPr>
            <w:tcW w:w="120" w:type="dxa"/>
            <w:vAlign w:val="bottom"/>
            <w:tcBorders>
              <w:bottom w:val="single" w:sz="8" w:color="auto"/>
            </w:tcBorders>
            <w:gridSpan w:val="2"/>
          </w:tcPr>
          <w:p>
            <w:pPr>
              <w:spacing w:after="0"/>
              <w:rPr>
                <w:sz w:val="14"/>
                <w:szCs w:val="14"/>
                <w:color w:val="auto"/>
              </w:rPr>
            </w:pPr>
          </w:p>
        </w:tc>
        <w:tc>
          <w:tcPr>
            <w:tcW w:w="6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20" w:type="dxa"/>
            <w:vAlign w:val="bottom"/>
            <w:vMerge w:val="continue"/>
          </w:tcPr>
          <w:p>
            <w:pPr>
              <w:spacing w:after="0"/>
              <w:rPr>
                <w:sz w:val="17"/>
                <w:szCs w:val="17"/>
                <w:color w:val="auto"/>
              </w:rPr>
            </w:pPr>
          </w:p>
        </w:tc>
        <w:tc>
          <w:tcPr>
            <w:tcW w:w="40" w:type="dxa"/>
            <w:vAlign w:val="bottom"/>
            <w:tcBorders>
              <w:left w:val="single" w:sz="8" w:color="auto"/>
            </w:tcBorders>
          </w:tcPr>
          <w:p>
            <w:pPr>
              <w:spacing w:after="0"/>
              <w:rPr>
                <w:sz w:val="17"/>
                <w:szCs w:val="17"/>
                <w:color w:val="auto"/>
              </w:rPr>
            </w:pPr>
          </w:p>
        </w:tc>
        <w:tc>
          <w:tcPr>
            <w:tcW w:w="420" w:type="dxa"/>
            <w:vAlign w:val="bottom"/>
          </w:tcPr>
          <w:p>
            <w:pPr>
              <w:spacing w:after="0" w:line="202" w:lineRule="exact"/>
              <w:rPr>
                <w:sz w:val="20"/>
                <w:szCs w:val="20"/>
                <w:color w:val="auto"/>
              </w:rPr>
            </w:pPr>
            <w:r>
              <w:rPr>
                <w:rFonts w:ascii="Arial" w:cs="Arial" w:eastAsia="Arial" w:hAnsi="Arial"/>
                <w:sz w:val="18"/>
                <w:szCs w:val="18"/>
                <w:color w:val="auto"/>
              </w:rPr>
              <w:t>The</w:t>
            </w:r>
          </w:p>
        </w:tc>
        <w:tc>
          <w:tcPr>
            <w:tcW w:w="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GEO</w:t>
            </w:r>
          </w:p>
        </w:tc>
        <w:tc>
          <w:tcPr>
            <w:tcW w:w="1000" w:type="dxa"/>
            <w:vAlign w:val="bottom"/>
            <w:gridSpan w:val="4"/>
          </w:tcPr>
          <w:p>
            <w:pPr>
              <w:jc w:val="center"/>
              <w:spacing w:after="0" w:line="202" w:lineRule="exact"/>
              <w:rPr>
                <w:sz w:val="20"/>
                <w:szCs w:val="20"/>
                <w:color w:val="auto"/>
              </w:rPr>
            </w:pPr>
            <w:r>
              <w:rPr>
                <w:rFonts w:ascii="Arial" w:cs="Arial" w:eastAsia="Arial" w:hAnsi="Arial"/>
                <w:sz w:val="18"/>
                <w:szCs w:val="18"/>
                <w:color w:val="auto"/>
                <w:w w:val="97"/>
              </w:rPr>
              <w:t>Group,  Inc.</w:t>
            </w:r>
          </w:p>
        </w:tc>
        <w:tc>
          <w:tcPr>
            <w:tcW w:w="800" w:type="dxa"/>
            <w:vAlign w:val="bottom"/>
            <w:tcBorders>
              <w:right w:val="single" w:sz="8" w:color="auto"/>
            </w:tcBorders>
            <w:gridSpan w:val="4"/>
          </w:tcPr>
          <w:p>
            <w:pPr>
              <w:jc w:val="right"/>
              <w:ind w:right="100"/>
              <w:spacing w:after="0" w:line="202" w:lineRule="exact"/>
              <w:rPr>
                <w:sz w:val="20"/>
                <w:szCs w:val="20"/>
                <w:color w:val="auto"/>
              </w:rPr>
            </w:pPr>
            <w:r>
              <w:rPr>
                <w:rFonts w:ascii="Arial" w:cs="Arial" w:eastAsia="Arial" w:hAnsi="Arial"/>
                <w:sz w:val="18"/>
                <w:szCs w:val="18"/>
                <w:color w:val="auto"/>
                <w:w w:val="97"/>
              </w:rPr>
              <w:t>Deferred</w:t>
            </w:r>
          </w:p>
        </w:tc>
        <w:tc>
          <w:tcPr>
            <w:tcW w:w="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auto"/>
                <w:w w:val="99"/>
              </w:rPr>
              <w:t>Compensation</w:t>
            </w:r>
          </w:p>
        </w:tc>
        <w:tc>
          <w:tcPr>
            <w:tcW w:w="420" w:type="dxa"/>
            <w:vAlign w:val="bottom"/>
          </w:tcPr>
          <w:p>
            <w:pPr>
              <w:spacing w:after="0"/>
              <w:rPr>
                <w:sz w:val="20"/>
                <w:szCs w:val="20"/>
                <w:color w:val="auto"/>
              </w:rPr>
            </w:pPr>
            <w:r>
              <w:rPr>
                <w:rFonts w:ascii="Arial" w:cs="Arial" w:eastAsia="Arial" w:hAnsi="Arial"/>
                <w:sz w:val="18"/>
                <w:szCs w:val="18"/>
                <w:color w:val="auto"/>
              </w:rPr>
              <w:t>Plan</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7"/>
              </w:rPr>
              <w:t>(as</w:t>
            </w:r>
          </w:p>
        </w:tc>
        <w:tc>
          <w:tcPr>
            <w:tcW w:w="800" w:type="dxa"/>
            <w:vAlign w:val="bottom"/>
            <w:tcBorders>
              <w:right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0"/>
              </w:rPr>
              <w:t>amended</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w w:val="96"/>
              </w:rPr>
              <w:t>and  restated  effective  January  1,</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w w:val="95"/>
              </w:rPr>
              <w:t>2008) (incorporated by reference to</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rPr>
              <w:t>Exhibit  10.38  to  the  Company’s</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w w:val="98"/>
              </w:rPr>
              <w:t>Annual Report on Form 10-K, filed</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40" w:type="dxa"/>
            <w:vAlign w:val="bottom"/>
            <w:tcBorders>
              <w:left w:val="single" w:sz="8" w:color="auto"/>
            </w:tcBorders>
          </w:tcPr>
          <w:p>
            <w:pPr>
              <w:spacing w:after="0"/>
              <w:rPr>
                <w:sz w:val="16"/>
                <w:szCs w:val="16"/>
                <w:color w:val="auto"/>
              </w:rPr>
            </w:pPr>
          </w:p>
        </w:tc>
        <w:tc>
          <w:tcPr>
            <w:tcW w:w="1600" w:type="dxa"/>
            <w:vAlign w:val="bottom"/>
            <w:gridSpan w:val="5"/>
          </w:tcPr>
          <w:p>
            <w:pPr>
              <w:spacing w:after="0" w:line="189" w:lineRule="exact"/>
              <w:rPr>
                <w:sz w:val="20"/>
                <w:szCs w:val="20"/>
                <w:color w:val="auto"/>
              </w:rPr>
            </w:pPr>
            <w:r>
              <w:rPr>
                <w:rFonts w:ascii="Arial" w:cs="Arial" w:eastAsia="Arial" w:hAnsi="Arial"/>
                <w:sz w:val="18"/>
                <w:szCs w:val="18"/>
                <w:color w:val="auto"/>
                <w:w w:val="98"/>
              </w:rPr>
              <w:t>on March 1, 2012) †</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820" w:type="dxa"/>
            <w:vAlign w:val="bottom"/>
            <w:tcBorders>
              <w:right w:val="single" w:sz="8" w:color="auto"/>
            </w:tcBorders>
            <w:gridSpan w:val="5"/>
          </w:tcPr>
          <w:p>
            <w:pPr>
              <w:spacing w:after="0" w:line="189" w:lineRule="exact"/>
              <w:rPr>
                <w:rFonts w:ascii="Arial" w:cs="Arial" w:eastAsia="Arial" w:hAnsi="Arial"/>
                <w:sz w:val="18"/>
                <w:szCs w:val="18"/>
                <w:color w:val="auto"/>
              </w:rPr>
            </w:pPr>
            <w:hyperlink r:id="rId455">
              <w:r>
                <w:rPr>
                  <w:rFonts w:ascii="Arial" w:cs="Arial" w:eastAsia="Arial" w:hAnsi="Arial"/>
                  <w:sz w:val="18"/>
                  <w:szCs w:val="18"/>
                  <w:color w:val="auto"/>
                </w:rPr>
                <w:t>https://www.sec.gov/Archives/edgar/data/923796/000119312512090269/d259590dex1038.htm</w:t>
              </w:r>
            </w:hyperlink>
          </w:p>
        </w:tc>
        <w:tc>
          <w:tcPr>
            <w:tcW w:w="0" w:type="dxa"/>
            <w:vAlign w:val="bottom"/>
          </w:tcPr>
          <w:p>
            <w:pPr>
              <w:spacing w:after="0"/>
              <w:rPr>
                <w:sz w:val="1"/>
                <w:szCs w:val="1"/>
                <w:color w:val="auto"/>
              </w:rPr>
            </w:pPr>
          </w:p>
        </w:tc>
      </w:tr>
      <w:tr>
        <w:trPr>
          <w:trHeight w:val="31"/>
        </w:trPr>
        <w:tc>
          <w:tcPr>
            <w:tcW w:w="620" w:type="dxa"/>
            <w:vAlign w:val="bottom"/>
            <w:vMerge w:val="restart"/>
          </w:tcPr>
          <w:p>
            <w:pPr>
              <w:ind w:left="120"/>
              <w:spacing w:after="0"/>
              <w:rPr>
                <w:sz w:val="20"/>
                <w:szCs w:val="20"/>
                <w:color w:val="auto"/>
              </w:rPr>
            </w:pPr>
            <w:r>
              <w:rPr>
                <w:rFonts w:ascii="Arial" w:cs="Arial" w:eastAsia="Arial" w:hAnsi="Arial"/>
                <w:sz w:val="18"/>
                <w:szCs w:val="18"/>
                <w:color w:val="auto"/>
              </w:rPr>
              <w:t>10.10</w:t>
            </w:r>
          </w:p>
        </w:tc>
        <w:tc>
          <w:tcPr>
            <w:tcW w:w="4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7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620" w:type="dxa"/>
            <w:vAlign w:val="bottom"/>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3"/>
          </w:tcPr>
          <w:p>
            <w:pPr>
              <w:spacing w:after="0"/>
              <w:rPr>
                <w:sz w:val="14"/>
                <w:szCs w:val="14"/>
                <w:color w:val="auto"/>
              </w:rPr>
            </w:pPr>
          </w:p>
        </w:tc>
        <w:tc>
          <w:tcPr>
            <w:tcW w:w="600" w:type="dxa"/>
            <w:vAlign w:val="bottom"/>
            <w:tcBorders>
              <w:bottom w:val="single" w:sz="8" w:color="auto"/>
            </w:tcBorders>
            <w:gridSpan w:val="2"/>
          </w:tcPr>
          <w:p>
            <w:pPr>
              <w:spacing w:after="0"/>
              <w:rPr>
                <w:sz w:val="14"/>
                <w:szCs w:val="14"/>
                <w:color w:val="auto"/>
              </w:rPr>
            </w:pPr>
          </w:p>
        </w:tc>
        <w:tc>
          <w:tcPr>
            <w:tcW w:w="120" w:type="dxa"/>
            <w:vAlign w:val="bottom"/>
            <w:tcBorders>
              <w:bottom w:val="single" w:sz="8" w:color="auto"/>
            </w:tcBorders>
            <w:gridSpan w:val="2"/>
          </w:tcPr>
          <w:p>
            <w:pPr>
              <w:spacing w:after="0"/>
              <w:rPr>
                <w:sz w:val="14"/>
                <w:szCs w:val="14"/>
                <w:color w:val="auto"/>
              </w:rPr>
            </w:pPr>
          </w:p>
        </w:tc>
        <w:tc>
          <w:tcPr>
            <w:tcW w:w="6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20" w:type="dxa"/>
            <w:vAlign w:val="bottom"/>
            <w:vMerge w:val="continue"/>
          </w:tcPr>
          <w:p>
            <w:pPr>
              <w:spacing w:after="0"/>
              <w:rPr>
                <w:sz w:val="16"/>
                <w:szCs w:val="16"/>
                <w:color w:val="auto"/>
              </w:rPr>
            </w:pPr>
          </w:p>
        </w:tc>
        <w:tc>
          <w:tcPr>
            <w:tcW w:w="40" w:type="dxa"/>
            <w:vAlign w:val="bottom"/>
            <w:tcBorders>
              <w:left w:val="single" w:sz="8" w:color="auto"/>
            </w:tcBorders>
          </w:tcPr>
          <w:p>
            <w:pPr>
              <w:spacing w:after="0"/>
              <w:rPr>
                <w:sz w:val="16"/>
                <w:szCs w:val="16"/>
                <w:color w:val="auto"/>
              </w:rPr>
            </w:pPr>
          </w:p>
        </w:tc>
        <w:tc>
          <w:tcPr>
            <w:tcW w:w="940" w:type="dxa"/>
            <w:vAlign w:val="bottom"/>
            <w:gridSpan w:val="3"/>
          </w:tcPr>
          <w:p>
            <w:pPr>
              <w:spacing w:after="0" w:line="192" w:lineRule="exact"/>
              <w:rPr>
                <w:sz w:val="20"/>
                <w:szCs w:val="20"/>
                <w:color w:val="auto"/>
              </w:rPr>
            </w:pPr>
            <w:r>
              <w:rPr>
                <w:rFonts w:ascii="Arial" w:cs="Arial" w:eastAsia="Arial" w:hAnsi="Arial"/>
                <w:sz w:val="18"/>
                <w:szCs w:val="18"/>
                <w:color w:val="auto"/>
                <w:w w:val="94"/>
              </w:rPr>
              <w:t>Amendment</w:t>
            </w:r>
          </w:p>
        </w:tc>
        <w:tc>
          <w:tcPr>
            <w:tcW w:w="240" w:type="dxa"/>
            <w:vAlign w:val="bottom"/>
          </w:tcPr>
          <w:p>
            <w:pPr>
              <w:jc w:val="center"/>
              <w:spacing w:after="0" w:line="192" w:lineRule="exact"/>
              <w:rPr>
                <w:sz w:val="20"/>
                <w:szCs w:val="20"/>
                <w:color w:val="auto"/>
              </w:rPr>
            </w:pPr>
            <w:r>
              <w:rPr>
                <w:rFonts w:ascii="Arial" w:cs="Arial" w:eastAsia="Arial" w:hAnsi="Arial"/>
                <w:sz w:val="18"/>
                <w:szCs w:val="18"/>
                <w:color w:val="auto"/>
                <w:w w:val="92"/>
              </w:rPr>
              <w:t>to</w:t>
            </w:r>
          </w:p>
        </w:tc>
        <w:tc>
          <w:tcPr>
            <w:tcW w:w="420" w:type="dxa"/>
            <w:vAlign w:val="bottom"/>
          </w:tcPr>
          <w:p>
            <w:pPr>
              <w:jc w:val="center"/>
              <w:spacing w:after="0" w:line="192" w:lineRule="exact"/>
              <w:rPr>
                <w:sz w:val="20"/>
                <w:szCs w:val="20"/>
                <w:color w:val="auto"/>
              </w:rPr>
            </w:pPr>
            <w:r>
              <w:rPr>
                <w:rFonts w:ascii="Arial" w:cs="Arial" w:eastAsia="Arial" w:hAnsi="Arial"/>
                <w:sz w:val="18"/>
                <w:szCs w:val="18"/>
                <w:color w:val="auto"/>
                <w:w w:val="90"/>
              </w:rPr>
              <w:t>The</w:t>
            </w:r>
          </w:p>
        </w:tc>
        <w:tc>
          <w:tcPr>
            <w:tcW w:w="1140" w:type="dxa"/>
            <w:vAlign w:val="bottom"/>
            <w:tcBorders>
              <w:right w:val="single" w:sz="8" w:color="auto"/>
            </w:tcBorders>
            <w:gridSpan w:val="6"/>
          </w:tcPr>
          <w:p>
            <w:pPr>
              <w:jc w:val="right"/>
              <w:ind w:right="100"/>
              <w:spacing w:after="0" w:line="192" w:lineRule="exact"/>
              <w:rPr>
                <w:sz w:val="20"/>
                <w:szCs w:val="20"/>
                <w:color w:val="auto"/>
              </w:rPr>
            </w:pPr>
            <w:r>
              <w:rPr>
                <w:rFonts w:ascii="Arial" w:cs="Arial" w:eastAsia="Arial" w:hAnsi="Arial"/>
                <w:sz w:val="18"/>
                <w:szCs w:val="18"/>
                <w:color w:val="auto"/>
              </w:rPr>
              <w:t>GEO Group,</w:t>
            </w:r>
          </w:p>
        </w:tc>
        <w:tc>
          <w:tcPr>
            <w:tcW w:w="2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2320" w:type="dxa"/>
            <w:vAlign w:val="bottom"/>
            <w:gridSpan w:val="9"/>
          </w:tcPr>
          <w:p>
            <w:pPr>
              <w:spacing w:after="0"/>
              <w:rPr>
                <w:sz w:val="20"/>
                <w:szCs w:val="20"/>
                <w:color w:val="auto"/>
              </w:rPr>
            </w:pPr>
            <w:r>
              <w:rPr>
                <w:rFonts w:ascii="Arial" w:cs="Arial" w:eastAsia="Arial" w:hAnsi="Arial"/>
                <w:sz w:val="18"/>
                <w:szCs w:val="18"/>
                <w:color w:val="auto"/>
                <w:w w:val="97"/>
              </w:rPr>
              <w:t>Inc.  Deferred  Compensation</w:t>
            </w:r>
          </w:p>
        </w:tc>
        <w:tc>
          <w:tcPr>
            <w:tcW w:w="4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83"/>
              </w:rPr>
              <w:t>Plan</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auto"/>
              </w:rPr>
              <w:t>(incorporated</w:t>
            </w:r>
          </w:p>
        </w:tc>
        <w:tc>
          <w:tcPr>
            <w:tcW w:w="420" w:type="dxa"/>
            <w:vAlign w:val="bottom"/>
          </w:tcPr>
          <w:p>
            <w:pPr>
              <w:ind w:left="20"/>
              <w:spacing w:after="0"/>
              <w:rPr>
                <w:sz w:val="20"/>
                <w:szCs w:val="20"/>
                <w:color w:val="auto"/>
              </w:rPr>
            </w:pPr>
            <w:r>
              <w:rPr>
                <w:rFonts w:ascii="Arial" w:cs="Arial" w:eastAsia="Arial" w:hAnsi="Arial"/>
                <w:sz w:val="18"/>
                <w:szCs w:val="18"/>
                <w:color w:val="auto"/>
              </w:rPr>
              <w:t>by</w:t>
            </w:r>
          </w:p>
        </w:tc>
        <w:tc>
          <w:tcPr>
            <w:tcW w:w="720" w:type="dxa"/>
            <w:vAlign w:val="bottom"/>
            <w:gridSpan w:val="4"/>
          </w:tcPr>
          <w:p>
            <w:pPr>
              <w:spacing w:after="0"/>
              <w:rPr>
                <w:sz w:val="20"/>
                <w:szCs w:val="20"/>
                <w:color w:val="auto"/>
              </w:rPr>
            </w:pPr>
            <w:r>
              <w:rPr>
                <w:rFonts w:ascii="Arial" w:cs="Arial" w:eastAsia="Arial" w:hAnsi="Arial"/>
                <w:sz w:val="18"/>
                <w:szCs w:val="18"/>
                <w:color w:val="auto"/>
                <w:w w:val="92"/>
              </w:rPr>
              <w:t>reference</w:t>
            </w:r>
          </w:p>
        </w:tc>
        <w:tc>
          <w:tcPr>
            <w:tcW w:w="4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to</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rPr>
              <w:t>Exhibit  10.39  to  the  Company’s</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w w:val="98"/>
              </w:rPr>
              <w:t>Annual Report on Form 10-K, filed</w:t>
            </w:r>
          </w:p>
        </w:tc>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40" w:type="dxa"/>
            <w:vAlign w:val="bottom"/>
            <w:tcBorders>
              <w:left w:val="single" w:sz="8" w:color="auto"/>
            </w:tcBorders>
          </w:tcPr>
          <w:p>
            <w:pPr>
              <w:spacing w:after="0"/>
              <w:rPr>
                <w:sz w:val="16"/>
                <w:szCs w:val="16"/>
                <w:color w:val="auto"/>
              </w:rPr>
            </w:pPr>
          </w:p>
        </w:tc>
        <w:tc>
          <w:tcPr>
            <w:tcW w:w="1600" w:type="dxa"/>
            <w:vAlign w:val="bottom"/>
            <w:gridSpan w:val="5"/>
          </w:tcPr>
          <w:p>
            <w:pPr>
              <w:spacing w:after="0" w:line="189" w:lineRule="exact"/>
              <w:rPr>
                <w:sz w:val="20"/>
                <w:szCs w:val="20"/>
                <w:color w:val="auto"/>
              </w:rPr>
            </w:pPr>
            <w:r>
              <w:rPr>
                <w:rFonts w:ascii="Arial" w:cs="Arial" w:eastAsia="Arial" w:hAnsi="Arial"/>
                <w:sz w:val="18"/>
                <w:szCs w:val="18"/>
                <w:color w:val="auto"/>
                <w:w w:val="98"/>
              </w:rPr>
              <w:t>on March 1, 2012) †</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820" w:type="dxa"/>
            <w:vAlign w:val="bottom"/>
            <w:tcBorders>
              <w:right w:val="single" w:sz="8" w:color="auto"/>
            </w:tcBorders>
            <w:gridSpan w:val="5"/>
          </w:tcPr>
          <w:p>
            <w:pPr>
              <w:spacing w:after="0" w:line="189" w:lineRule="exact"/>
              <w:rPr>
                <w:rFonts w:ascii="Arial" w:cs="Arial" w:eastAsia="Arial" w:hAnsi="Arial"/>
                <w:sz w:val="18"/>
                <w:szCs w:val="18"/>
                <w:color w:val="auto"/>
                <w:w w:val="97"/>
              </w:rPr>
            </w:pPr>
            <w:hyperlink r:id="rId456">
              <w:r>
                <w:rPr>
                  <w:rFonts w:ascii="Arial" w:cs="Arial" w:eastAsia="Arial" w:hAnsi="Arial"/>
                  <w:sz w:val="18"/>
                  <w:szCs w:val="18"/>
                  <w:color w:val="auto"/>
                  <w:w w:val="97"/>
                </w:rPr>
                <w:t>https://www.sec.gov/Archives/edgar/data/0000923796/000119312512090269/d259590dex1039.htm</w:t>
              </w:r>
            </w:hyperlink>
          </w:p>
        </w:tc>
        <w:tc>
          <w:tcPr>
            <w:tcW w:w="0" w:type="dxa"/>
            <w:vAlign w:val="bottom"/>
          </w:tcPr>
          <w:p>
            <w:pPr>
              <w:spacing w:after="0"/>
              <w:rPr>
                <w:sz w:val="1"/>
                <w:szCs w:val="1"/>
                <w:color w:val="auto"/>
              </w:rPr>
            </w:pPr>
          </w:p>
        </w:tc>
      </w:tr>
      <w:tr>
        <w:trPr>
          <w:trHeight w:val="31"/>
        </w:trPr>
        <w:tc>
          <w:tcPr>
            <w:tcW w:w="620" w:type="dxa"/>
            <w:vAlign w:val="bottom"/>
          </w:tcPr>
          <w:p>
            <w:pPr>
              <w:spacing w:after="0"/>
              <w:rPr>
                <w:sz w:val="2"/>
                <w:szCs w:val="2"/>
                <w:color w:val="auto"/>
              </w:rPr>
            </w:pPr>
          </w:p>
        </w:tc>
        <w:tc>
          <w:tcPr>
            <w:tcW w:w="4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7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8"/>
        </w:trPr>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20" w:type="dxa"/>
            <w:vAlign w:val="bottom"/>
            <w:gridSpan w:val="4"/>
          </w:tcPr>
          <w:p>
            <w:pPr>
              <w:jc w:val="right"/>
              <w:ind w:right="4350"/>
              <w:spacing w:after="0"/>
              <w:rPr>
                <w:sz w:val="20"/>
                <w:szCs w:val="20"/>
                <w:color w:val="auto"/>
              </w:rPr>
            </w:pPr>
            <w:r>
              <w:rPr>
                <w:rFonts w:ascii="Arial" w:cs="Arial" w:eastAsia="Arial" w:hAnsi="Arial"/>
                <w:sz w:val="18"/>
                <w:szCs w:val="18"/>
                <w:color w:val="auto"/>
              </w:rPr>
              <w:t>143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7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2327275</wp:posOffset>
            </wp:positionH>
            <wp:positionV relativeFrom="page">
              <wp:posOffset>349885</wp:posOffset>
            </wp:positionV>
            <wp:extent cx="5026025" cy="4705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7">
                      <a:extLst>
                        <a:ext uri="{28A0092B-C50C-407E-A947-70E740481C1C}"/>
                      </a:extLst>
                    </a:blip>
                    <a:srcRect/>
                    <a:stretch>
                      <a:fillRect/>
                    </a:stretch>
                  </pic:blipFill>
                  <pic:spPr bwMode="auto">
                    <a:xfrm>
                      <a:off x="0" y="0"/>
                      <a:ext cx="5026025" cy="47053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32"/>
        </w:trPr>
        <w:tc>
          <w:tcPr>
            <w:tcW w:w="600" w:type="dxa"/>
            <w:vAlign w:val="bottom"/>
          </w:tcPr>
          <w:p>
            <w:pPr>
              <w:jc w:val="right"/>
              <w:ind w:right="10"/>
              <w:spacing w:after="0"/>
              <w:rPr>
                <w:sz w:val="20"/>
                <w:szCs w:val="20"/>
                <w:color w:val="auto"/>
              </w:rPr>
            </w:pPr>
            <w:r>
              <w:rPr>
                <w:rFonts w:ascii="Arial" w:cs="Arial" w:eastAsia="Arial" w:hAnsi="Arial"/>
                <w:sz w:val="18"/>
                <w:szCs w:val="18"/>
                <w:color w:val="auto"/>
              </w:rPr>
              <w:t>10.11</w:t>
            </w:r>
          </w:p>
        </w:tc>
        <w:tc>
          <w:tcPr>
            <w:tcW w:w="40" w:type="dxa"/>
            <w:vAlign w:val="bottom"/>
            <w:tcBorders>
              <w:right w:val="single" w:sz="8" w:color="auto"/>
            </w:tcBorders>
          </w:tcPr>
          <w:p>
            <w:pPr>
              <w:spacing w:after="0"/>
              <w:rPr>
                <w:sz w:val="20"/>
                <w:szCs w:val="20"/>
                <w:color w:val="auto"/>
              </w:rPr>
            </w:pPr>
          </w:p>
        </w:tc>
        <w:tc>
          <w:tcPr>
            <w:tcW w:w="102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Amendment</w:t>
            </w: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w:t>
            </w: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The</w:t>
            </w:r>
          </w:p>
        </w:tc>
        <w:tc>
          <w:tcPr>
            <w:tcW w:w="52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GEO</w:t>
            </w:r>
          </w:p>
        </w:tc>
        <w:tc>
          <w:tcPr>
            <w:tcW w:w="620" w:type="dxa"/>
            <w:vAlign w:val="bottom"/>
            <w:tcBorders>
              <w:top w:val="single" w:sz="8" w:color="auto"/>
              <w:right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0"/>
              </w:rPr>
              <w:t>Group,</w:t>
            </w:r>
          </w:p>
        </w:tc>
        <w:tc>
          <w:tcPr>
            <w:tcW w:w="20" w:type="dxa"/>
            <w:vAlign w:val="bottom"/>
            <w:tcBorders>
              <w:top w:val="single" w:sz="8" w:color="auto"/>
            </w:tcBorders>
          </w:tcPr>
          <w:p>
            <w:pPr>
              <w:spacing w:after="0"/>
              <w:rPr>
                <w:sz w:val="20"/>
                <w:szCs w:val="20"/>
                <w:color w:val="auto"/>
              </w:rPr>
            </w:pPr>
          </w:p>
        </w:tc>
        <w:tc>
          <w:tcPr>
            <w:tcW w:w="67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340" w:type="dxa"/>
            <w:vAlign w:val="bottom"/>
            <w:gridSpan w:val="9"/>
          </w:tcPr>
          <w:p>
            <w:pPr>
              <w:ind w:left="20"/>
              <w:spacing w:after="0"/>
              <w:rPr>
                <w:sz w:val="20"/>
                <w:szCs w:val="20"/>
                <w:color w:val="auto"/>
              </w:rPr>
            </w:pPr>
            <w:r>
              <w:rPr>
                <w:rFonts w:ascii="Arial" w:cs="Arial" w:eastAsia="Arial" w:hAnsi="Arial"/>
                <w:sz w:val="18"/>
                <w:szCs w:val="18"/>
                <w:color w:val="auto"/>
                <w:w w:val="97"/>
              </w:rPr>
              <w:t>Inc.  Deferred  Compensation</w:t>
            </w: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w w:val="83"/>
              </w:rPr>
              <w:t>Plan</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color w:val="auto"/>
                <w:w w:val="92"/>
              </w:rPr>
              <w:t>(incorporated</w:t>
            </w:r>
          </w:p>
        </w:tc>
        <w:tc>
          <w:tcPr>
            <w:tcW w:w="180" w:type="dxa"/>
            <w:vAlign w:val="bottom"/>
          </w:tcPr>
          <w:p>
            <w:pPr>
              <w:spacing w:after="0"/>
              <w:rPr>
                <w:sz w:val="18"/>
                <w:szCs w:val="18"/>
                <w:color w:val="auto"/>
              </w:rPr>
            </w:pP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w w:val="94"/>
              </w:rPr>
              <w:t>by</w:t>
            </w:r>
          </w:p>
        </w:tc>
        <w:tc>
          <w:tcPr>
            <w:tcW w:w="720" w:type="dxa"/>
            <w:vAlign w:val="bottom"/>
            <w:gridSpan w:val="3"/>
          </w:tcPr>
          <w:p>
            <w:pPr>
              <w:spacing w:after="0"/>
              <w:rPr>
                <w:sz w:val="20"/>
                <w:szCs w:val="20"/>
                <w:color w:val="auto"/>
              </w:rPr>
            </w:pPr>
            <w:r>
              <w:rPr>
                <w:rFonts w:ascii="Arial" w:cs="Arial" w:eastAsia="Arial" w:hAnsi="Arial"/>
                <w:sz w:val="18"/>
                <w:szCs w:val="18"/>
                <w:color w:val="auto"/>
                <w:w w:val="92"/>
              </w:rPr>
              <w:t>reference</w:t>
            </w: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to</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rPr>
              <w:t>Exhibit  10.40  to  the  Company’s</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w w:val="98"/>
              </w:rPr>
              <w:t>Annual Report on Form 10-K, filed</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620" w:type="dxa"/>
            <w:vAlign w:val="bottom"/>
            <w:gridSpan w:val="6"/>
          </w:tcPr>
          <w:p>
            <w:pPr>
              <w:ind w:left="20"/>
              <w:spacing w:after="0" w:line="189" w:lineRule="exact"/>
              <w:rPr>
                <w:sz w:val="20"/>
                <w:szCs w:val="20"/>
                <w:color w:val="auto"/>
              </w:rPr>
            </w:pPr>
            <w:r>
              <w:rPr>
                <w:rFonts w:ascii="Arial" w:cs="Arial" w:eastAsia="Arial" w:hAnsi="Arial"/>
                <w:sz w:val="18"/>
                <w:szCs w:val="18"/>
                <w:color w:val="auto"/>
                <w:w w:val="98"/>
              </w:rPr>
              <w:t>on March 1, 2012) †</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820" w:type="dxa"/>
            <w:vAlign w:val="bottom"/>
            <w:tcBorders>
              <w:right w:val="single" w:sz="8" w:color="auto"/>
            </w:tcBorders>
            <w:gridSpan w:val="3"/>
          </w:tcPr>
          <w:p>
            <w:pPr>
              <w:spacing w:after="0" w:line="189" w:lineRule="exact"/>
              <w:rPr>
                <w:rFonts w:ascii="Arial" w:cs="Arial" w:eastAsia="Arial" w:hAnsi="Arial"/>
                <w:sz w:val="18"/>
                <w:szCs w:val="18"/>
                <w:color w:val="auto"/>
              </w:rPr>
            </w:pPr>
            <w:hyperlink r:id="rId460">
              <w:r>
                <w:rPr>
                  <w:rFonts w:ascii="Arial" w:cs="Arial" w:eastAsia="Arial" w:hAnsi="Arial"/>
                  <w:sz w:val="18"/>
                  <w:szCs w:val="18"/>
                  <w:color w:val="auto"/>
                </w:rPr>
                <w:t>https://www.sec.gov/Archives/edgar/data/923796/000119312512090269/d259590dex1040.htm</w:t>
              </w:r>
            </w:hyperlink>
          </w:p>
        </w:tc>
        <w:tc>
          <w:tcPr>
            <w:tcW w:w="0" w:type="dxa"/>
            <w:vAlign w:val="bottom"/>
          </w:tcPr>
          <w:p>
            <w:pPr>
              <w:spacing w:after="0"/>
              <w:rPr>
                <w:sz w:val="1"/>
                <w:szCs w:val="1"/>
                <w:color w:val="auto"/>
              </w:rPr>
            </w:pPr>
          </w:p>
        </w:tc>
      </w:tr>
      <w:tr>
        <w:trPr>
          <w:trHeight w:val="31"/>
        </w:trPr>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10.12</w:t>
            </w:r>
          </w:p>
        </w:tc>
        <w:tc>
          <w:tcPr>
            <w:tcW w:w="40" w:type="dxa"/>
            <w:vAlign w:val="bottom"/>
            <w:tcBorders>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7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6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3"/>
          </w:tcPr>
          <w:p>
            <w:pPr>
              <w:spacing w:after="0"/>
              <w:rPr>
                <w:sz w:val="24"/>
                <w:szCs w:val="24"/>
                <w:color w:val="auto"/>
              </w:rPr>
            </w:pPr>
          </w:p>
        </w:tc>
        <w:tc>
          <w:tcPr>
            <w:tcW w:w="1060" w:type="dxa"/>
            <w:vAlign w:val="bottom"/>
            <w:tcBorders>
              <w:bottom w:val="single" w:sz="8" w:color="auto"/>
            </w:tcBorders>
            <w:gridSpan w:val="4"/>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00" w:type="dxa"/>
            <w:vAlign w:val="bottom"/>
            <w:vMerge w:val="continue"/>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w w:val="91"/>
              </w:rPr>
              <w:t>Letter</w:t>
            </w:r>
          </w:p>
        </w:tc>
        <w:tc>
          <w:tcPr>
            <w:tcW w:w="280" w:type="dxa"/>
            <w:vAlign w:val="bottom"/>
          </w:tcPr>
          <w:p>
            <w:pPr>
              <w:ind w:left="100"/>
              <w:spacing w:after="0"/>
              <w:rPr>
                <w:sz w:val="20"/>
                <w:szCs w:val="20"/>
                <w:color w:val="auto"/>
              </w:rPr>
            </w:pPr>
            <w:r>
              <w:rPr>
                <w:rFonts w:ascii="Arial" w:cs="Arial" w:eastAsia="Arial" w:hAnsi="Arial"/>
                <w:sz w:val="18"/>
                <w:szCs w:val="18"/>
                <w:color w:val="auto"/>
              </w:rPr>
              <w:t>of</w:t>
            </w:r>
          </w:p>
        </w:tc>
        <w:tc>
          <w:tcPr>
            <w:tcW w:w="540" w:type="dxa"/>
            <w:vAlign w:val="bottom"/>
            <w:gridSpan w:val="3"/>
          </w:tcPr>
          <w:p>
            <w:pPr>
              <w:ind w:left="60"/>
              <w:spacing w:after="0"/>
              <w:rPr>
                <w:sz w:val="20"/>
                <w:szCs w:val="20"/>
                <w:color w:val="auto"/>
              </w:rPr>
            </w:pPr>
            <w:r>
              <w:rPr>
                <w:rFonts w:ascii="Arial" w:cs="Arial" w:eastAsia="Arial" w:hAnsi="Arial"/>
                <w:sz w:val="18"/>
                <w:szCs w:val="18"/>
                <w:color w:val="auto"/>
              </w:rPr>
              <w:t>Offer,</w:t>
            </w:r>
          </w:p>
        </w:tc>
        <w:tc>
          <w:tcPr>
            <w:tcW w:w="1060" w:type="dxa"/>
            <w:vAlign w:val="bottom"/>
            <w:gridSpan w:val="4"/>
          </w:tcPr>
          <w:p>
            <w:pPr>
              <w:ind w:left="40"/>
              <w:spacing w:after="0"/>
              <w:rPr>
                <w:sz w:val="20"/>
                <w:szCs w:val="20"/>
                <w:color w:val="auto"/>
              </w:rPr>
            </w:pPr>
            <w:r>
              <w:rPr>
                <w:rFonts w:ascii="Arial" w:cs="Arial" w:eastAsia="Arial" w:hAnsi="Arial"/>
                <w:sz w:val="18"/>
                <w:szCs w:val="18"/>
                <w:color w:val="auto"/>
                <w:w w:val="94"/>
              </w:rPr>
              <w:t>dated August</w:t>
            </w: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w w:val="96"/>
              </w:rPr>
              <w:t>2016,  between  The  GEO  Group,</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rPr>
              <w:t>Inc.  and  HSBC  Bank  Australia</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920" w:type="dxa"/>
            <w:vAlign w:val="bottom"/>
            <w:gridSpan w:val="7"/>
          </w:tcPr>
          <w:p>
            <w:pPr>
              <w:ind w:left="20"/>
              <w:spacing w:after="0"/>
              <w:rPr>
                <w:sz w:val="20"/>
                <w:szCs w:val="20"/>
                <w:color w:val="auto"/>
              </w:rPr>
            </w:pPr>
            <w:r>
              <w:rPr>
                <w:rFonts w:ascii="Arial" w:cs="Arial" w:eastAsia="Arial" w:hAnsi="Arial"/>
                <w:sz w:val="18"/>
                <w:szCs w:val="18"/>
                <w:color w:val="auto"/>
                <w:w w:val="97"/>
              </w:rPr>
              <w:t>Limited (incorporated by</w:t>
            </w:r>
          </w:p>
        </w:tc>
        <w:tc>
          <w:tcPr>
            <w:tcW w:w="840" w:type="dxa"/>
            <w:vAlign w:val="bottom"/>
            <w:tcBorders>
              <w:right w:val="single" w:sz="8" w:color="auto"/>
            </w:tcBorders>
            <w:gridSpan w:val="3"/>
          </w:tcPr>
          <w:p>
            <w:pPr>
              <w:jc w:val="right"/>
              <w:ind w:right="10"/>
              <w:spacing w:after="0"/>
              <w:rPr>
                <w:sz w:val="20"/>
                <w:szCs w:val="20"/>
                <w:color w:val="auto"/>
              </w:rPr>
            </w:pPr>
            <w:r>
              <w:rPr>
                <w:rFonts w:ascii="Arial" w:cs="Arial" w:eastAsia="Arial" w:hAnsi="Arial"/>
                <w:sz w:val="18"/>
                <w:szCs w:val="18"/>
                <w:color w:val="auto"/>
                <w:w w:val="94"/>
              </w:rPr>
              <w:t>reference</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rPr>
              <w:t>to Exhibit 10.1 to the Company’s</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rPr>
              <w:t>Current Report on Form 8-K, filed</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620" w:type="dxa"/>
            <w:vAlign w:val="bottom"/>
            <w:gridSpan w:val="6"/>
          </w:tcPr>
          <w:p>
            <w:pPr>
              <w:ind w:left="20"/>
              <w:spacing w:after="0" w:line="189" w:lineRule="exact"/>
              <w:rPr>
                <w:sz w:val="20"/>
                <w:szCs w:val="20"/>
                <w:color w:val="auto"/>
              </w:rPr>
            </w:pPr>
            <w:r>
              <w:rPr>
                <w:rFonts w:ascii="Arial" w:cs="Arial" w:eastAsia="Arial" w:hAnsi="Arial"/>
                <w:sz w:val="18"/>
                <w:szCs w:val="18"/>
                <w:color w:val="auto"/>
                <w:w w:val="94"/>
              </w:rPr>
              <w:t>on August 24, 2016).</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820" w:type="dxa"/>
            <w:vAlign w:val="bottom"/>
            <w:tcBorders>
              <w:right w:val="single" w:sz="8" w:color="auto"/>
            </w:tcBorders>
            <w:gridSpan w:val="3"/>
          </w:tcPr>
          <w:p>
            <w:pPr>
              <w:spacing w:after="0" w:line="189" w:lineRule="exact"/>
              <w:rPr>
                <w:rFonts w:ascii="Arial" w:cs="Arial" w:eastAsia="Arial" w:hAnsi="Arial"/>
                <w:sz w:val="18"/>
                <w:szCs w:val="18"/>
                <w:color w:val="auto"/>
              </w:rPr>
            </w:pPr>
            <w:hyperlink r:id="rId461">
              <w:r>
                <w:rPr>
                  <w:rFonts w:ascii="Arial" w:cs="Arial" w:eastAsia="Arial" w:hAnsi="Arial"/>
                  <w:sz w:val="18"/>
                  <w:szCs w:val="18"/>
                  <w:color w:val="auto"/>
                </w:rPr>
                <w:t>https://www.sec.gov/Archives/edgar/data/923796/000119312516690048/d247455dex101.htm</w:t>
              </w:r>
            </w:hyperlink>
          </w:p>
        </w:tc>
        <w:tc>
          <w:tcPr>
            <w:tcW w:w="0" w:type="dxa"/>
            <w:vAlign w:val="bottom"/>
          </w:tcPr>
          <w:p>
            <w:pPr>
              <w:spacing w:after="0"/>
              <w:rPr>
                <w:sz w:val="1"/>
                <w:szCs w:val="1"/>
                <w:color w:val="auto"/>
              </w:rPr>
            </w:pPr>
          </w:p>
        </w:tc>
      </w:tr>
      <w:tr>
        <w:trPr>
          <w:trHeight w:val="31"/>
        </w:trPr>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10.13</w:t>
            </w:r>
          </w:p>
        </w:tc>
        <w:tc>
          <w:tcPr>
            <w:tcW w:w="40" w:type="dxa"/>
            <w:vAlign w:val="bottom"/>
            <w:tcBorders>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7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6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760" w:type="dxa"/>
            <w:vAlign w:val="bottom"/>
            <w:tcBorders>
              <w:bottom w:val="single" w:sz="8" w:color="auto"/>
            </w:tcBorders>
            <w:gridSpan w:val="10"/>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00" w:type="dxa"/>
            <w:vAlign w:val="bottom"/>
            <w:vMerge w:val="continue"/>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2760" w:type="dxa"/>
            <w:vAlign w:val="bottom"/>
            <w:tcBorders>
              <w:right w:val="single" w:sz="8" w:color="auto"/>
            </w:tcBorders>
            <w:gridSpan w:val="10"/>
          </w:tcPr>
          <w:p>
            <w:pPr>
              <w:ind w:left="20"/>
              <w:spacing w:after="0" w:line="192" w:lineRule="exact"/>
              <w:rPr>
                <w:sz w:val="20"/>
                <w:szCs w:val="20"/>
                <w:color w:val="auto"/>
              </w:rPr>
            </w:pPr>
            <w:r>
              <w:rPr>
                <w:rFonts w:ascii="Arial" w:cs="Arial" w:eastAsia="Arial" w:hAnsi="Arial"/>
                <w:sz w:val="18"/>
                <w:szCs w:val="18"/>
                <w:color w:val="auto"/>
                <w:w w:val="93"/>
              </w:rPr>
              <w:t>Third Amended and Restated Credit</w:t>
            </w:r>
          </w:p>
        </w:tc>
        <w:tc>
          <w:tcPr>
            <w:tcW w:w="2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w w:val="99"/>
              </w:rPr>
              <w:t>Agreement, dated as of March 23,</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w w:val="94"/>
              </w:rPr>
              <w:t>2017, among The GEO Group, Inc.,</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w w:val="96"/>
              </w:rPr>
              <w:t>GEO Corrections Holdings, Inc., as</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the</w:t>
            </w:r>
          </w:p>
        </w:tc>
        <w:tc>
          <w:tcPr>
            <w:tcW w:w="820" w:type="dxa"/>
            <w:vAlign w:val="bottom"/>
            <w:gridSpan w:val="4"/>
          </w:tcPr>
          <w:p>
            <w:pPr>
              <w:spacing w:after="0"/>
              <w:rPr>
                <w:sz w:val="20"/>
                <w:szCs w:val="20"/>
                <w:color w:val="auto"/>
              </w:rPr>
            </w:pPr>
            <w:r>
              <w:rPr>
                <w:rFonts w:ascii="Arial" w:cs="Arial" w:eastAsia="Arial" w:hAnsi="Arial"/>
                <w:sz w:val="18"/>
                <w:szCs w:val="18"/>
                <w:color w:val="auto"/>
                <w:w w:val="91"/>
              </w:rPr>
              <w:t>Borrowers,</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the</w:t>
            </w:r>
          </w:p>
        </w:tc>
        <w:tc>
          <w:tcPr>
            <w:tcW w:w="840" w:type="dxa"/>
            <w:vAlign w:val="bottom"/>
            <w:tcBorders>
              <w:right w:val="single" w:sz="8" w:color="auto"/>
            </w:tcBorders>
            <w:gridSpan w:val="3"/>
          </w:tcPr>
          <w:p>
            <w:pPr>
              <w:jc w:val="right"/>
              <w:ind w:right="10"/>
              <w:spacing w:after="0"/>
              <w:rPr>
                <w:sz w:val="20"/>
                <w:szCs w:val="20"/>
                <w:color w:val="auto"/>
              </w:rPr>
            </w:pPr>
            <w:r>
              <w:rPr>
                <w:rFonts w:ascii="Arial" w:cs="Arial" w:eastAsia="Arial" w:hAnsi="Arial"/>
                <w:sz w:val="18"/>
                <w:szCs w:val="18"/>
                <w:color w:val="auto"/>
                <w:w w:val="89"/>
              </w:rPr>
              <w:t>Australian</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color w:val="auto"/>
              </w:rPr>
              <w:t>Borrowers</w:t>
            </w:r>
          </w:p>
        </w:tc>
        <w:tc>
          <w:tcPr>
            <w:tcW w:w="600" w:type="dxa"/>
            <w:vAlign w:val="bottom"/>
            <w:gridSpan w:val="3"/>
          </w:tcPr>
          <w:p>
            <w:pPr>
              <w:jc w:val="right"/>
              <w:ind w:right="130"/>
              <w:spacing w:after="0"/>
              <w:rPr>
                <w:sz w:val="20"/>
                <w:szCs w:val="20"/>
                <w:color w:val="auto"/>
              </w:rPr>
            </w:pPr>
            <w:r>
              <w:rPr>
                <w:rFonts w:ascii="Arial" w:cs="Arial" w:eastAsia="Arial" w:hAnsi="Arial"/>
                <w:sz w:val="18"/>
                <w:szCs w:val="18"/>
                <w:color w:val="auto"/>
                <w:w w:val="89"/>
              </w:rPr>
              <w:t>party</w:t>
            </w:r>
          </w:p>
        </w:tc>
        <w:tc>
          <w:tcPr>
            <w:tcW w:w="720" w:type="dxa"/>
            <w:vAlign w:val="bottom"/>
            <w:gridSpan w:val="3"/>
          </w:tcPr>
          <w:p>
            <w:pPr>
              <w:ind w:left="40"/>
              <w:spacing w:after="0"/>
              <w:rPr>
                <w:sz w:val="20"/>
                <w:szCs w:val="20"/>
                <w:color w:val="auto"/>
              </w:rPr>
            </w:pPr>
            <w:r>
              <w:rPr>
                <w:rFonts w:ascii="Arial" w:cs="Arial" w:eastAsia="Arial" w:hAnsi="Arial"/>
                <w:sz w:val="18"/>
                <w:szCs w:val="18"/>
                <w:color w:val="auto"/>
              </w:rPr>
              <w:t>thereto,</w:t>
            </w: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the</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rPr>
              <w:t>Lenders  party  thereto  and  BNP</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Paribas,</w:t>
            </w:r>
          </w:p>
        </w:tc>
        <w:tc>
          <w:tcPr>
            <w:tcW w:w="280" w:type="dxa"/>
            <w:vAlign w:val="bottom"/>
          </w:tcPr>
          <w:p>
            <w:pPr>
              <w:ind w:left="20"/>
              <w:spacing w:after="0"/>
              <w:rPr>
                <w:sz w:val="20"/>
                <w:szCs w:val="20"/>
                <w:color w:val="auto"/>
              </w:rPr>
            </w:pPr>
            <w:r>
              <w:rPr>
                <w:rFonts w:ascii="Arial" w:cs="Arial" w:eastAsia="Arial" w:hAnsi="Arial"/>
                <w:sz w:val="18"/>
                <w:szCs w:val="18"/>
                <w:color w:val="auto"/>
              </w:rPr>
              <w:t>as</w:t>
            </w:r>
          </w:p>
        </w:tc>
        <w:tc>
          <w:tcPr>
            <w:tcW w:w="1120" w:type="dxa"/>
            <w:vAlign w:val="bottom"/>
            <w:gridSpan w:val="5"/>
          </w:tcPr>
          <w:p>
            <w:pPr>
              <w:ind w:left="20"/>
              <w:spacing w:after="0"/>
              <w:rPr>
                <w:sz w:val="20"/>
                <w:szCs w:val="20"/>
                <w:color w:val="auto"/>
              </w:rPr>
            </w:pPr>
            <w:r>
              <w:rPr>
                <w:rFonts w:ascii="Arial" w:cs="Arial" w:eastAsia="Arial" w:hAnsi="Arial"/>
                <w:sz w:val="18"/>
                <w:szCs w:val="18"/>
                <w:color w:val="auto"/>
                <w:w w:val="97"/>
              </w:rPr>
              <w:t>administrative</w:t>
            </w:r>
          </w:p>
        </w:tc>
        <w:tc>
          <w:tcPr>
            <w:tcW w:w="620" w:type="dxa"/>
            <w:vAlign w:val="bottom"/>
            <w:tcBorders>
              <w:right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agent.</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color w:val="auto"/>
                <w:w w:val="92"/>
              </w:rPr>
              <w:t>(incorporated</w:t>
            </w:r>
          </w:p>
        </w:tc>
        <w:tc>
          <w:tcPr>
            <w:tcW w:w="180" w:type="dxa"/>
            <w:vAlign w:val="bottom"/>
          </w:tcPr>
          <w:p>
            <w:pPr>
              <w:spacing w:after="0"/>
              <w:rPr>
                <w:sz w:val="18"/>
                <w:szCs w:val="18"/>
                <w:color w:val="auto"/>
              </w:rPr>
            </w:pP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w w:val="94"/>
              </w:rPr>
              <w:t>by</w:t>
            </w:r>
          </w:p>
        </w:tc>
        <w:tc>
          <w:tcPr>
            <w:tcW w:w="720" w:type="dxa"/>
            <w:vAlign w:val="bottom"/>
            <w:gridSpan w:val="3"/>
          </w:tcPr>
          <w:p>
            <w:pPr>
              <w:spacing w:after="0"/>
              <w:rPr>
                <w:sz w:val="20"/>
                <w:szCs w:val="20"/>
                <w:color w:val="auto"/>
              </w:rPr>
            </w:pPr>
            <w:r>
              <w:rPr>
                <w:rFonts w:ascii="Arial" w:cs="Arial" w:eastAsia="Arial" w:hAnsi="Arial"/>
                <w:sz w:val="18"/>
                <w:szCs w:val="18"/>
                <w:color w:val="auto"/>
                <w:w w:val="92"/>
              </w:rPr>
              <w:t>reference</w:t>
            </w: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to</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rPr>
              <w:t>Exhibit  10.1  to  the  Company’s</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rPr>
              <w:t>Current Report on Form 8-K, filed</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w w:val="96"/>
              </w:rPr>
              <w:t>on March 29, 2017. Portions of this</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w w:val="97"/>
              </w:rPr>
              <w:t>exhibit have been omitted and filed</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rPr>
              <w:t>separately with the Securities and</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w w:val="91"/>
              </w:rPr>
              <w:t>Exchange Commission pursuant to a</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2760" w:type="dxa"/>
            <w:vAlign w:val="bottom"/>
            <w:tcBorders>
              <w:right w:val="single" w:sz="8" w:color="auto"/>
            </w:tcBorders>
            <w:gridSpan w:val="10"/>
          </w:tcPr>
          <w:p>
            <w:pPr>
              <w:ind w:left="20"/>
              <w:spacing w:after="0" w:line="189" w:lineRule="exact"/>
              <w:rPr>
                <w:sz w:val="20"/>
                <w:szCs w:val="20"/>
                <w:color w:val="auto"/>
              </w:rPr>
            </w:pPr>
            <w:r>
              <w:rPr>
                <w:rFonts w:ascii="Arial" w:cs="Arial" w:eastAsia="Arial" w:hAnsi="Arial"/>
                <w:sz w:val="18"/>
                <w:szCs w:val="18"/>
                <w:color w:val="auto"/>
                <w:w w:val="98"/>
              </w:rPr>
              <w:t>request for confidential treatment.)</w:t>
            </w:r>
          </w:p>
        </w:tc>
        <w:tc>
          <w:tcPr>
            <w:tcW w:w="20" w:type="dxa"/>
            <w:vAlign w:val="bottom"/>
          </w:tcPr>
          <w:p>
            <w:pPr>
              <w:spacing w:after="0"/>
              <w:rPr>
                <w:sz w:val="16"/>
                <w:szCs w:val="16"/>
                <w:color w:val="auto"/>
              </w:rPr>
            </w:pPr>
          </w:p>
        </w:tc>
        <w:tc>
          <w:tcPr>
            <w:tcW w:w="7820" w:type="dxa"/>
            <w:vAlign w:val="bottom"/>
            <w:tcBorders>
              <w:right w:val="single" w:sz="8" w:color="auto"/>
            </w:tcBorders>
            <w:gridSpan w:val="3"/>
          </w:tcPr>
          <w:p>
            <w:pPr>
              <w:spacing w:after="0" w:line="189" w:lineRule="exact"/>
              <w:rPr>
                <w:rFonts w:ascii="Arial" w:cs="Arial" w:eastAsia="Arial" w:hAnsi="Arial"/>
                <w:sz w:val="18"/>
                <w:szCs w:val="18"/>
                <w:color w:val="auto"/>
              </w:rPr>
            </w:pPr>
            <w:hyperlink r:id="rId462">
              <w:r>
                <w:rPr>
                  <w:rFonts w:ascii="Arial" w:cs="Arial" w:eastAsia="Arial" w:hAnsi="Arial"/>
                  <w:sz w:val="18"/>
                  <w:szCs w:val="18"/>
                  <w:color w:val="auto"/>
                </w:rPr>
                <w:t>https://www.sec.gov/Archives/edgar/data/923796/000119312517101954/d316743dex101.htm</w:t>
              </w:r>
            </w:hyperlink>
          </w:p>
        </w:tc>
        <w:tc>
          <w:tcPr>
            <w:tcW w:w="0" w:type="dxa"/>
            <w:vAlign w:val="bottom"/>
          </w:tcPr>
          <w:p>
            <w:pPr>
              <w:spacing w:after="0"/>
              <w:rPr>
                <w:sz w:val="1"/>
                <w:szCs w:val="1"/>
                <w:color w:val="auto"/>
              </w:rPr>
            </w:pPr>
          </w:p>
        </w:tc>
      </w:tr>
      <w:tr>
        <w:trPr>
          <w:trHeight w:val="31"/>
        </w:trPr>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10.14</w:t>
            </w:r>
          </w:p>
        </w:tc>
        <w:tc>
          <w:tcPr>
            <w:tcW w:w="40" w:type="dxa"/>
            <w:vAlign w:val="bottom"/>
            <w:tcBorders>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7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0"/>
        </w:trPr>
        <w:tc>
          <w:tcPr>
            <w:tcW w:w="6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Borders>
              <w:bottom w:val="single" w:sz="8" w:color="auto"/>
            </w:tcBorders>
            <w:gridSpan w:val="6"/>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00" w:type="dxa"/>
            <w:vAlign w:val="bottom"/>
            <w:vMerge w:val="continue"/>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620" w:type="dxa"/>
            <w:vAlign w:val="bottom"/>
            <w:gridSpan w:val="6"/>
          </w:tcPr>
          <w:p>
            <w:pPr>
              <w:ind w:left="20"/>
              <w:spacing w:after="0" w:line="192" w:lineRule="exact"/>
              <w:rPr>
                <w:sz w:val="20"/>
                <w:szCs w:val="20"/>
                <w:color w:val="auto"/>
              </w:rPr>
            </w:pPr>
            <w:r>
              <w:rPr>
                <w:rFonts w:ascii="Arial" w:cs="Arial" w:eastAsia="Arial" w:hAnsi="Arial"/>
                <w:sz w:val="18"/>
                <w:szCs w:val="18"/>
                <w:color w:val="auto"/>
              </w:rPr>
              <w:t>Amendment  No.  1</w:t>
            </w:r>
          </w:p>
        </w:tc>
        <w:tc>
          <w:tcPr>
            <w:tcW w:w="300" w:type="dxa"/>
            <w:vAlign w:val="bottom"/>
          </w:tcPr>
          <w:p>
            <w:pPr>
              <w:ind w:left="20"/>
              <w:spacing w:after="0" w:line="192" w:lineRule="exact"/>
              <w:rPr>
                <w:sz w:val="20"/>
                <w:szCs w:val="20"/>
                <w:color w:val="auto"/>
              </w:rPr>
            </w:pPr>
            <w:r>
              <w:rPr>
                <w:rFonts w:ascii="Arial" w:cs="Arial" w:eastAsia="Arial" w:hAnsi="Arial"/>
                <w:sz w:val="18"/>
                <w:szCs w:val="18"/>
                <w:color w:val="auto"/>
              </w:rPr>
              <w:t>to</w:t>
            </w:r>
          </w:p>
        </w:tc>
        <w:tc>
          <w:tcPr>
            <w:tcW w:w="220" w:type="dxa"/>
            <w:vAlign w:val="bottom"/>
          </w:tcPr>
          <w:p>
            <w:pPr>
              <w:spacing w:after="0" w:line="192" w:lineRule="exact"/>
              <w:rPr>
                <w:sz w:val="20"/>
                <w:szCs w:val="20"/>
                <w:color w:val="auto"/>
              </w:rPr>
            </w:pPr>
            <w:r>
              <w:rPr>
                <w:rFonts w:ascii="Arial" w:cs="Arial" w:eastAsia="Arial" w:hAnsi="Arial"/>
                <w:sz w:val="18"/>
                <w:szCs w:val="18"/>
                <w:color w:val="auto"/>
                <w:w w:val="79"/>
              </w:rPr>
              <w:t>the</w:t>
            </w:r>
          </w:p>
        </w:tc>
        <w:tc>
          <w:tcPr>
            <w:tcW w:w="620" w:type="dxa"/>
            <w:vAlign w:val="bottom"/>
            <w:tcBorders>
              <w:right w:val="single" w:sz="8" w:color="auto"/>
            </w:tcBorders>
            <w:gridSpan w:val="2"/>
          </w:tcPr>
          <w:p>
            <w:pPr>
              <w:jc w:val="right"/>
              <w:ind w:right="10"/>
              <w:spacing w:after="0" w:line="192" w:lineRule="exact"/>
              <w:rPr>
                <w:sz w:val="20"/>
                <w:szCs w:val="20"/>
                <w:color w:val="auto"/>
              </w:rPr>
            </w:pPr>
            <w:r>
              <w:rPr>
                <w:rFonts w:ascii="Arial" w:cs="Arial" w:eastAsia="Arial" w:hAnsi="Arial"/>
                <w:sz w:val="18"/>
                <w:szCs w:val="18"/>
                <w:color w:val="auto"/>
              </w:rPr>
              <w:t>Third</w:t>
            </w:r>
          </w:p>
        </w:tc>
        <w:tc>
          <w:tcPr>
            <w:tcW w:w="2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w w:val="90"/>
              </w:rPr>
              <w:t>Amended</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w w:val="86"/>
              </w:rPr>
              <w:t>and</w:t>
            </w:r>
          </w:p>
        </w:tc>
        <w:tc>
          <w:tcPr>
            <w:tcW w:w="80" w:type="dxa"/>
            <w:vAlign w:val="bottom"/>
          </w:tcPr>
          <w:p>
            <w:pPr>
              <w:spacing w:after="0"/>
              <w:rPr>
                <w:sz w:val="18"/>
                <w:szCs w:val="18"/>
                <w:color w:val="auto"/>
              </w:rPr>
            </w:pPr>
          </w:p>
        </w:tc>
        <w:tc>
          <w:tcPr>
            <w:tcW w:w="860" w:type="dxa"/>
            <w:vAlign w:val="bottom"/>
            <w:gridSpan w:val="3"/>
          </w:tcPr>
          <w:p>
            <w:pPr>
              <w:ind w:left="120"/>
              <w:spacing w:after="0"/>
              <w:rPr>
                <w:sz w:val="20"/>
                <w:szCs w:val="20"/>
                <w:color w:val="auto"/>
              </w:rPr>
            </w:pPr>
            <w:r>
              <w:rPr>
                <w:rFonts w:ascii="Arial" w:cs="Arial" w:eastAsia="Arial" w:hAnsi="Arial"/>
                <w:sz w:val="18"/>
                <w:szCs w:val="18"/>
                <w:color w:val="auto"/>
                <w:w w:val="99"/>
              </w:rPr>
              <w:t>Restated</w:t>
            </w:r>
          </w:p>
        </w:tc>
        <w:tc>
          <w:tcPr>
            <w:tcW w:w="620" w:type="dxa"/>
            <w:vAlign w:val="bottom"/>
            <w:tcBorders>
              <w:right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Credit</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rPr>
              <w:t>Agreement, dated as of April 30,</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w w:val="99"/>
              </w:rPr>
              <w:t>2018,  by  and  among  The  GEO</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Group,</w:t>
            </w:r>
          </w:p>
        </w:tc>
        <w:tc>
          <w:tcPr>
            <w:tcW w:w="460" w:type="dxa"/>
            <w:vAlign w:val="bottom"/>
            <w:gridSpan w:val="2"/>
          </w:tcPr>
          <w:p>
            <w:pPr>
              <w:spacing w:after="0"/>
              <w:rPr>
                <w:sz w:val="20"/>
                <w:szCs w:val="20"/>
                <w:color w:val="auto"/>
              </w:rPr>
            </w:pPr>
            <w:r>
              <w:rPr>
                <w:rFonts w:ascii="Arial" w:cs="Arial" w:eastAsia="Arial" w:hAnsi="Arial"/>
                <w:sz w:val="18"/>
                <w:szCs w:val="18"/>
                <w:color w:val="auto"/>
              </w:rPr>
              <w:t>Inc.,</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9"/>
              </w:rPr>
              <w:t>GEO</w:t>
            </w:r>
          </w:p>
        </w:tc>
        <w:tc>
          <w:tcPr>
            <w:tcW w:w="1140" w:type="dxa"/>
            <w:vAlign w:val="bottom"/>
            <w:tcBorders>
              <w:right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Corrections</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w w:val="99"/>
              </w:rPr>
              <w:t>Holdings,  Inc.,  BNP  Paribas,  as</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w w:val="94"/>
              </w:rPr>
              <w:t>administrative agent for the lenders,</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w w:val="93"/>
              </w:rPr>
              <w:t>the refinancing lenders party thereto</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w w:val="96"/>
              </w:rPr>
              <w:t>and each other lender party thereto</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color w:val="auto"/>
                <w:w w:val="92"/>
              </w:rPr>
              <w:t>(incorporated</w:t>
            </w:r>
          </w:p>
        </w:tc>
        <w:tc>
          <w:tcPr>
            <w:tcW w:w="180" w:type="dxa"/>
            <w:vAlign w:val="bottom"/>
          </w:tcPr>
          <w:p>
            <w:pPr>
              <w:spacing w:after="0"/>
              <w:rPr>
                <w:sz w:val="18"/>
                <w:szCs w:val="18"/>
                <w:color w:val="auto"/>
              </w:rPr>
            </w:pP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w w:val="94"/>
              </w:rPr>
              <w:t>by</w:t>
            </w:r>
          </w:p>
        </w:tc>
        <w:tc>
          <w:tcPr>
            <w:tcW w:w="720" w:type="dxa"/>
            <w:vAlign w:val="bottom"/>
            <w:gridSpan w:val="3"/>
          </w:tcPr>
          <w:p>
            <w:pPr>
              <w:spacing w:after="0"/>
              <w:rPr>
                <w:sz w:val="20"/>
                <w:szCs w:val="20"/>
                <w:color w:val="auto"/>
              </w:rPr>
            </w:pPr>
            <w:r>
              <w:rPr>
                <w:rFonts w:ascii="Arial" w:cs="Arial" w:eastAsia="Arial" w:hAnsi="Arial"/>
                <w:sz w:val="18"/>
                <w:szCs w:val="18"/>
                <w:color w:val="auto"/>
                <w:w w:val="92"/>
              </w:rPr>
              <w:t>reference</w:t>
            </w: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to</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rPr>
              <w:t>Exhibit  10.1  to  the  Company’s</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rPr>
              <w:t>Current Report on Form 8-K filed</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280" w:type="dxa"/>
            <w:vAlign w:val="bottom"/>
            <w:gridSpan w:val="5"/>
          </w:tcPr>
          <w:p>
            <w:pPr>
              <w:ind w:left="20"/>
              <w:spacing w:after="0" w:line="189" w:lineRule="exact"/>
              <w:rPr>
                <w:sz w:val="20"/>
                <w:szCs w:val="20"/>
                <w:color w:val="auto"/>
              </w:rPr>
            </w:pPr>
            <w:r>
              <w:rPr>
                <w:rFonts w:ascii="Arial" w:cs="Arial" w:eastAsia="Arial" w:hAnsi="Arial"/>
                <w:sz w:val="18"/>
                <w:szCs w:val="18"/>
                <w:color w:val="auto"/>
                <w:w w:val="91"/>
              </w:rPr>
              <w:t>on May 4, 2018).</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820" w:type="dxa"/>
            <w:vAlign w:val="bottom"/>
            <w:tcBorders>
              <w:right w:val="single" w:sz="8" w:color="auto"/>
            </w:tcBorders>
            <w:gridSpan w:val="3"/>
          </w:tcPr>
          <w:p>
            <w:pPr>
              <w:spacing w:after="0" w:line="189" w:lineRule="exact"/>
              <w:rPr>
                <w:rFonts w:ascii="Arial" w:cs="Arial" w:eastAsia="Arial" w:hAnsi="Arial"/>
                <w:sz w:val="18"/>
                <w:szCs w:val="18"/>
                <w:color w:val="auto"/>
              </w:rPr>
            </w:pPr>
            <w:hyperlink r:id="rId463">
              <w:r>
                <w:rPr>
                  <w:rFonts w:ascii="Arial" w:cs="Arial" w:eastAsia="Arial" w:hAnsi="Arial"/>
                  <w:sz w:val="18"/>
                  <w:szCs w:val="18"/>
                  <w:color w:val="auto"/>
                </w:rPr>
                <w:t>https://www.sec.gov/Archives/edgar/data/923796/000119312518152758/d564439dex101.htm</w:t>
              </w:r>
            </w:hyperlink>
          </w:p>
        </w:tc>
        <w:tc>
          <w:tcPr>
            <w:tcW w:w="0" w:type="dxa"/>
            <w:vAlign w:val="bottom"/>
          </w:tcPr>
          <w:p>
            <w:pPr>
              <w:spacing w:after="0"/>
              <w:rPr>
                <w:sz w:val="1"/>
                <w:szCs w:val="1"/>
                <w:color w:val="auto"/>
              </w:rPr>
            </w:pPr>
          </w:p>
        </w:tc>
      </w:tr>
      <w:tr>
        <w:trPr>
          <w:trHeight w:val="31"/>
        </w:trPr>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10.15</w:t>
            </w:r>
          </w:p>
        </w:tc>
        <w:tc>
          <w:tcPr>
            <w:tcW w:w="40" w:type="dxa"/>
            <w:vAlign w:val="bottom"/>
            <w:tcBorders>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7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spacing w:after="0"/>
              <w:rPr>
                <w:sz w:val="12"/>
                <w:szCs w:val="12"/>
                <w:color w:val="auto"/>
              </w:rPr>
            </w:pPr>
          </w:p>
        </w:tc>
        <w:tc>
          <w:tcPr>
            <w:tcW w:w="880" w:type="dxa"/>
            <w:vAlign w:val="bottom"/>
            <w:gridSpan w:val="4"/>
          </w:tcPr>
          <w:p>
            <w:pPr>
              <w:spacing w:after="0"/>
              <w:rPr>
                <w:sz w:val="12"/>
                <w:szCs w:val="12"/>
                <w:color w:val="auto"/>
              </w:rPr>
            </w:pPr>
          </w:p>
        </w:tc>
        <w:tc>
          <w:tcPr>
            <w:tcW w:w="114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 w:type="dxa"/>
            <w:vAlign w:val="bottom"/>
            <w:vMerge w:val="continue"/>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740" w:type="dxa"/>
            <w:vAlign w:val="bottom"/>
            <w:tcBorders>
              <w:top w:val="single" w:sz="8" w:color="auto"/>
            </w:tcBorders>
            <w:gridSpan w:val="2"/>
          </w:tcPr>
          <w:p>
            <w:pPr>
              <w:spacing w:after="0"/>
              <w:rPr>
                <w:sz w:val="12"/>
                <w:szCs w:val="12"/>
                <w:color w:val="auto"/>
              </w:rPr>
            </w:pPr>
          </w:p>
        </w:tc>
        <w:tc>
          <w:tcPr>
            <w:tcW w:w="880" w:type="dxa"/>
            <w:vAlign w:val="bottom"/>
            <w:tcBorders>
              <w:top w:val="single" w:sz="8" w:color="auto"/>
            </w:tcBorders>
            <w:gridSpan w:val="4"/>
          </w:tcPr>
          <w:p>
            <w:pPr>
              <w:spacing w:after="0"/>
              <w:rPr>
                <w:sz w:val="12"/>
                <w:szCs w:val="12"/>
                <w:color w:val="auto"/>
              </w:rPr>
            </w:pPr>
          </w:p>
        </w:tc>
        <w:tc>
          <w:tcPr>
            <w:tcW w:w="1140" w:type="dxa"/>
            <w:vAlign w:val="bottom"/>
            <w:tcBorders>
              <w:top w:val="single" w:sz="8" w:color="auto"/>
              <w:right w:val="single" w:sz="8" w:color="auto"/>
            </w:tcBorders>
            <w:gridSpan w:val="4"/>
          </w:tcPr>
          <w:p>
            <w:pPr>
              <w:spacing w:after="0"/>
              <w:rPr>
                <w:sz w:val="12"/>
                <w:szCs w:val="12"/>
                <w:color w:val="auto"/>
              </w:rPr>
            </w:pPr>
          </w:p>
        </w:tc>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600" w:type="dxa"/>
            <w:vAlign w:val="bottom"/>
            <w:vMerge w:val="continue"/>
          </w:tcPr>
          <w:p>
            <w:pPr>
              <w:spacing w:after="0"/>
              <w:rPr>
                <w:sz w:val="18"/>
                <w:szCs w:val="18"/>
                <w:color w:val="auto"/>
              </w:rPr>
            </w:pPr>
          </w:p>
        </w:tc>
        <w:tc>
          <w:tcPr>
            <w:tcW w:w="40" w:type="dxa"/>
            <w:vAlign w:val="bottom"/>
            <w:tcBorders>
              <w:top w:val="single" w:sz="8" w:color="auto"/>
              <w:right w:val="single" w:sz="8" w:color="auto"/>
            </w:tcBorders>
            <w:shd w:val="clear" w:color="auto" w:fill="000000"/>
          </w:tcPr>
          <w:p>
            <w:pPr>
              <w:spacing w:after="0"/>
              <w:rPr>
                <w:sz w:val="18"/>
                <w:szCs w:val="18"/>
                <w:color w:val="auto"/>
              </w:rPr>
            </w:pPr>
          </w:p>
        </w:tc>
        <w:tc>
          <w:tcPr>
            <w:tcW w:w="7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Senior</w:t>
            </w:r>
          </w:p>
        </w:tc>
        <w:tc>
          <w:tcPr>
            <w:tcW w:w="880" w:type="dxa"/>
            <w:vAlign w:val="bottom"/>
            <w:tcBorders>
              <w:top w:val="single" w:sz="8" w:color="auto"/>
            </w:tcBorders>
            <w:gridSpan w:val="4"/>
          </w:tcPr>
          <w:p>
            <w:pPr>
              <w:jc w:val="right"/>
              <w:ind w:right="170"/>
              <w:spacing w:after="0"/>
              <w:rPr>
                <w:sz w:val="20"/>
                <w:szCs w:val="20"/>
                <w:color w:val="auto"/>
              </w:rPr>
            </w:pPr>
            <w:r>
              <w:rPr>
                <w:rFonts w:ascii="Arial" w:cs="Arial" w:eastAsia="Arial" w:hAnsi="Arial"/>
                <w:sz w:val="18"/>
                <w:szCs w:val="18"/>
                <w:color w:val="auto"/>
              </w:rPr>
              <w:t>Officer</w:t>
            </w:r>
          </w:p>
        </w:tc>
        <w:tc>
          <w:tcPr>
            <w:tcW w:w="1140" w:type="dxa"/>
            <w:vAlign w:val="bottom"/>
            <w:tcBorders>
              <w:top w:val="single" w:sz="8" w:color="auto"/>
              <w:right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Employment</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shd w:val="clear" w:color="auto" w:fill="000000"/>
          </w:tcPr>
          <w:p>
            <w:pPr>
              <w:spacing w:after="0"/>
              <w:rPr>
                <w:sz w:val="18"/>
                <w:szCs w:val="18"/>
                <w:color w:val="auto"/>
              </w:rPr>
            </w:pPr>
          </w:p>
        </w:tc>
        <w:tc>
          <w:tcPr>
            <w:tcW w:w="276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w w:val="94"/>
              </w:rPr>
              <w:t>Agreement, dated July 21, 2014, by</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shd w:val="clear" w:color="auto" w:fill="000000"/>
          </w:tcPr>
          <w:p>
            <w:pPr>
              <w:spacing w:after="0"/>
              <w:rPr>
                <w:sz w:val="18"/>
                <w:szCs w:val="18"/>
                <w:color w:val="auto"/>
              </w:rPr>
            </w:pPr>
          </w:p>
        </w:tc>
        <w:tc>
          <w:tcPr>
            <w:tcW w:w="276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w w:val="94"/>
              </w:rPr>
              <w:t>and between the Company and Ann</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gridSpan w:val="6"/>
          </w:tcPr>
          <w:p>
            <w:pPr>
              <w:ind w:left="20"/>
              <w:spacing w:after="0"/>
              <w:rPr>
                <w:sz w:val="20"/>
                <w:szCs w:val="20"/>
                <w:color w:val="auto"/>
              </w:rPr>
            </w:pPr>
            <w:r>
              <w:rPr>
                <w:rFonts w:ascii="Arial" w:cs="Arial" w:eastAsia="Arial" w:hAnsi="Arial"/>
                <w:sz w:val="18"/>
                <w:szCs w:val="18"/>
                <w:color w:val="auto"/>
                <w:w w:val="91"/>
              </w:rPr>
              <w:t>Schlarb (incorporated</w:t>
            </w:r>
          </w:p>
        </w:tc>
        <w:tc>
          <w:tcPr>
            <w:tcW w:w="300" w:type="dxa"/>
            <w:vAlign w:val="bottom"/>
          </w:tcPr>
          <w:p>
            <w:pPr>
              <w:ind w:left="100"/>
              <w:spacing w:after="0"/>
              <w:rPr>
                <w:sz w:val="20"/>
                <w:szCs w:val="20"/>
                <w:color w:val="auto"/>
              </w:rPr>
            </w:pPr>
            <w:r>
              <w:rPr>
                <w:rFonts w:ascii="Arial" w:cs="Arial" w:eastAsia="Arial" w:hAnsi="Arial"/>
                <w:sz w:val="18"/>
                <w:szCs w:val="18"/>
                <w:color w:val="auto"/>
                <w:w w:val="94"/>
              </w:rPr>
              <w:t>by</w:t>
            </w:r>
          </w:p>
        </w:tc>
        <w:tc>
          <w:tcPr>
            <w:tcW w:w="840" w:type="dxa"/>
            <w:vAlign w:val="bottom"/>
            <w:tcBorders>
              <w:right w:val="single" w:sz="8" w:color="auto"/>
            </w:tcBorders>
            <w:gridSpan w:val="3"/>
          </w:tcPr>
          <w:p>
            <w:pPr>
              <w:jc w:val="right"/>
              <w:ind w:right="10"/>
              <w:spacing w:after="0"/>
              <w:rPr>
                <w:sz w:val="20"/>
                <w:szCs w:val="20"/>
                <w:color w:val="auto"/>
              </w:rPr>
            </w:pPr>
            <w:r>
              <w:rPr>
                <w:rFonts w:ascii="Arial" w:cs="Arial" w:eastAsia="Arial" w:hAnsi="Arial"/>
                <w:sz w:val="18"/>
                <w:szCs w:val="18"/>
                <w:color w:val="auto"/>
                <w:w w:val="94"/>
              </w:rPr>
              <w:t>reference</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Borders>
              <w:right w:val="single" w:sz="8" w:color="auto"/>
            </w:tcBorders>
            <w:shd w:val="clear" w:color="auto" w:fill="000000"/>
          </w:tcPr>
          <w:p>
            <w:pPr>
              <w:spacing w:after="0"/>
              <w:rPr>
                <w:sz w:val="18"/>
                <w:szCs w:val="18"/>
                <w:color w:val="auto"/>
              </w:rPr>
            </w:pPr>
          </w:p>
        </w:tc>
        <w:tc>
          <w:tcPr>
            <w:tcW w:w="276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rPr>
              <w:t>to Exhibit 10.1 to the Company's</w:t>
            </w:r>
          </w:p>
        </w:tc>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00" w:type="dxa"/>
            <w:vAlign w:val="bottom"/>
          </w:tcPr>
          <w:p>
            <w:pPr>
              <w:spacing w:after="0"/>
              <w:rPr>
                <w:sz w:val="16"/>
                <w:szCs w:val="16"/>
                <w:color w:val="auto"/>
              </w:rPr>
            </w:pPr>
          </w:p>
        </w:tc>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gridSpan w:val="6"/>
          </w:tcPr>
          <w:p>
            <w:pPr>
              <w:ind w:left="20"/>
              <w:spacing w:after="0" w:line="189" w:lineRule="exact"/>
              <w:rPr>
                <w:sz w:val="20"/>
                <w:szCs w:val="20"/>
                <w:color w:val="auto"/>
              </w:rPr>
            </w:pPr>
            <w:r>
              <w:rPr>
                <w:rFonts w:ascii="Arial" w:cs="Arial" w:eastAsia="Arial" w:hAnsi="Arial"/>
                <w:sz w:val="18"/>
                <w:szCs w:val="18"/>
                <w:color w:val="auto"/>
                <w:w w:val="99"/>
              </w:rPr>
              <w:t>Quarterly Report on</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820" w:type="dxa"/>
            <w:vAlign w:val="bottom"/>
            <w:tcBorders>
              <w:right w:val="single" w:sz="8" w:color="auto"/>
            </w:tcBorders>
            <w:gridSpan w:val="3"/>
          </w:tcPr>
          <w:p>
            <w:pPr>
              <w:spacing w:after="0" w:line="189" w:lineRule="exact"/>
              <w:rPr>
                <w:rFonts w:ascii="Arial" w:cs="Arial" w:eastAsia="Arial" w:hAnsi="Arial"/>
                <w:sz w:val="18"/>
                <w:szCs w:val="18"/>
                <w:color w:val="auto"/>
              </w:rPr>
            </w:pPr>
            <w:hyperlink r:id="rId464">
              <w:r>
                <w:rPr>
                  <w:rFonts w:ascii="Arial" w:cs="Arial" w:eastAsia="Arial" w:hAnsi="Arial"/>
                  <w:sz w:val="18"/>
                  <w:szCs w:val="18"/>
                  <w:color w:val="auto"/>
                </w:rPr>
                <w:t>https://www.sec.gov/Archives/edgar/data/923796/000119312519138425/d651801dex101.htm</w:t>
              </w:r>
            </w:hyperlink>
          </w:p>
        </w:tc>
        <w:tc>
          <w:tcPr>
            <w:tcW w:w="0" w:type="dxa"/>
            <w:vAlign w:val="bottom"/>
          </w:tcPr>
          <w:p>
            <w:pPr>
              <w:spacing w:after="0"/>
              <w:rPr>
                <w:sz w:val="1"/>
                <w:szCs w:val="1"/>
                <w:color w:val="auto"/>
              </w:rPr>
            </w:pPr>
          </w:p>
        </w:tc>
      </w:tr>
      <w:tr>
        <w:trPr>
          <w:trHeight w:val="34"/>
        </w:trPr>
        <w:tc>
          <w:tcPr>
            <w:tcW w:w="600" w:type="dxa"/>
            <w:vAlign w:val="bottom"/>
          </w:tcPr>
          <w:p>
            <w:pPr>
              <w:spacing w:after="0"/>
              <w:rPr>
                <w:sz w:val="2"/>
                <w:szCs w:val="2"/>
                <w:color w:val="auto"/>
              </w:rPr>
            </w:pPr>
          </w:p>
        </w:tc>
        <w:tc>
          <w:tcPr>
            <w:tcW w:w="40" w:type="dxa"/>
            <w:vAlign w:val="bottom"/>
            <w:tcBorders>
              <w:top w:val="single" w:sz="8" w:color="auto"/>
              <w:bottom w:val="single" w:sz="8" w:color="auto"/>
              <w:right w:val="single" w:sz="8" w:color="auto"/>
            </w:tcBorders>
            <w:shd w:val="clear" w:color="auto" w:fill="000000"/>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7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80" w:type="dxa"/>
            <w:vAlign w:val="bottom"/>
            <w:gridSpan w:val="3"/>
          </w:tcPr>
          <w:p>
            <w:pPr>
              <w:jc w:val="right"/>
              <w:ind w:right="431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7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2124075</wp:posOffset>
            </wp:positionH>
            <wp:positionV relativeFrom="paragraph">
              <wp:posOffset>-1330960</wp:posOffset>
            </wp:positionV>
            <wp:extent cx="5026025" cy="13652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5">
                      <a:extLst>
                        <a:ext uri="{28A0092B-C50C-407E-A947-70E740481C1C}"/>
                      </a:extLst>
                    </a:blip>
                    <a:srcRect/>
                    <a:stretch>
                      <a:fillRect/>
                    </a:stretch>
                  </pic:blipFill>
                  <pic:spPr bwMode="auto">
                    <a:xfrm>
                      <a:off x="0" y="0"/>
                      <a:ext cx="5026025" cy="13652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96" w:right="339" w:bottom="1440" w:gutter="0" w:footer="0" w:header="0"/>
        </w:sectPr>
      </w:pPr>
    </w:p>
    <w:bookmarkStart w:id="145" w:name="page146"/>
    <w:bookmarkEnd w:id="145"/>
    <w:p>
      <w:pPr>
        <w:ind w:left="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584835</wp:posOffset>
            </wp:positionH>
            <wp:positionV relativeFrom="page">
              <wp:posOffset>363220</wp:posOffset>
            </wp:positionV>
            <wp:extent cx="6755765" cy="1714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8">
                      <a:extLst>
                        <a:ext uri="{28A0092B-C50C-407E-A947-70E740481C1C}"/>
                      </a:extLst>
                    </a:blip>
                    <a:srcRect/>
                    <a:stretch>
                      <a:fillRect/>
                    </a:stretch>
                  </pic:blipFill>
                  <pic:spPr bwMode="auto">
                    <a:xfrm>
                      <a:off x="0" y="0"/>
                      <a:ext cx="6755765" cy="171450"/>
                    </a:xfrm>
                    <a:prstGeom prst="rect">
                      <a:avLst/>
                    </a:prstGeom>
                    <a:noFill/>
                  </pic:spPr>
                </pic:pic>
              </a:graphicData>
            </a:graphic>
          </wp:anchor>
        </w:drawing>
        <w:t>Form 10-Q, filed on May 6, 2019) †</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5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w w:val="84"/>
              </w:rPr>
              <w:t>10.16</w:t>
            </w:r>
          </w:p>
        </w:tc>
        <w:tc>
          <w:tcPr>
            <w:tcW w:w="2080" w:type="dxa"/>
            <w:vAlign w:val="bottom"/>
            <w:tcBorders>
              <w:top w:val="single" w:sz="8" w:color="auto"/>
            </w:tcBorders>
            <w:gridSpan w:val="6"/>
          </w:tcPr>
          <w:p>
            <w:pPr>
              <w:ind w:left="60"/>
              <w:spacing w:after="0"/>
              <w:rPr>
                <w:sz w:val="20"/>
                <w:szCs w:val="20"/>
                <w:color w:val="auto"/>
              </w:rPr>
            </w:pPr>
            <w:r>
              <w:rPr>
                <w:rFonts w:ascii="Arial" w:cs="Arial" w:eastAsia="Arial" w:hAnsi="Arial"/>
                <w:sz w:val="18"/>
                <w:szCs w:val="18"/>
                <w:color w:val="auto"/>
                <w:w w:val="92"/>
              </w:rPr>
              <w:t>Senior Officer Employment</w:t>
            </w: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right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7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80" w:type="dxa"/>
            <w:vAlign w:val="bottom"/>
            <w:tcBorders>
              <w:top w:val="single" w:sz="8" w:color="auto"/>
              <w:right w:val="single" w:sz="8" w:color="auto"/>
            </w:tcBorders>
          </w:tcPr>
          <w:p>
            <w:pPr>
              <w:spacing w:after="0"/>
              <w:rPr>
                <w:sz w:val="19"/>
                <w:szCs w:val="19"/>
                <w:color w:val="auto"/>
              </w:rPr>
            </w:pPr>
          </w:p>
        </w:tc>
      </w:tr>
      <w:tr>
        <w:trPr>
          <w:trHeight w:val="216"/>
        </w:trPr>
        <w:tc>
          <w:tcPr>
            <w:tcW w:w="5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w w:val="97"/>
              </w:rPr>
              <w:t>Agreement dated January 1, 2014</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r>
      <w:tr>
        <w:trPr>
          <w:trHeight w:val="216"/>
        </w:trPr>
        <w:tc>
          <w:tcPr>
            <w:tcW w:w="5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w w:val="97"/>
              </w:rPr>
              <w:t>by and between the Company and</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r>
      <w:tr>
        <w:trPr>
          <w:trHeight w:val="216"/>
        </w:trPr>
        <w:tc>
          <w:tcPr>
            <w:tcW w:w="5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w w:val="99"/>
              </w:rPr>
              <w:t>David Venturella (incorporated by</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r>
      <w:tr>
        <w:trPr>
          <w:trHeight w:val="216"/>
        </w:trPr>
        <w:tc>
          <w:tcPr>
            <w:tcW w:w="500" w:type="dxa"/>
            <w:vAlign w:val="bottom"/>
            <w:tcBorders>
              <w:right w:val="single" w:sz="8" w:color="auto"/>
            </w:tcBorders>
          </w:tcPr>
          <w:p>
            <w:pPr>
              <w:spacing w:after="0"/>
              <w:rPr>
                <w:sz w:val="18"/>
                <w:szCs w:val="18"/>
                <w:color w:val="auto"/>
              </w:rPr>
            </w:pPr>
          </w:p>
        </w:tc>
        <w:tc>
          <w:tcPr>
            <w:tcW w:w="2300" w:type="dxa"/>
            <w:vAlign w:val="bottom"/>
            <w:gridSpan w:val="7"/>
          </w:tcPr>
          <w:p>
            <w:pPr>
              <w:ind w:left="60"/>
              <w:spacing w:after="0"/>
              <w:rPr>
                <w:sz w:val="20"/>
                <w:szCs w:val="20"/>
                <w:color w:val="auto"/>
              </w:rPr>
            </w:pPr>
            <w:r>
              <w:rPr>
                <w:rFonts w:ascii="Arial" w:cs="Arial" w:eastAsia="Arial" w:hAnsi="Arial"/>
                <w:sz w:val="18"/>
                <w:szCs w:val="18"/>
                <w:color w:val="auto"/>
                <w:w w:val="90"/>
              </w:rPr>
              <w:t>reference to Exhibit 10.2 to the</w:t>
            </w:r>
          </w:p>
        </w:tc>
        <w:tc>
          <w:tcPr>
            <w:tcW w:w="4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r>
      <w:tr>
        <w:trPr>
          <w:trHeight w:val="216"/>
        </w:trPr>
        <w:tc>
          <w:tcPr>
            <w:tcW w:w="5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rPr>
              <w:t>Company’s Quarterly Report on</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r>
      <w:tr>
        <w:trPr>
          <w:trHeight w:val="216"/>
        </w:trPr>
        <w:tc>
          <w:tcPr>
            <w:tcW w:w="5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rPr>
              <w:t>Form 10-Q filed on May 6, 2020)</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r>
      <w:tr>
        <w:trPr>
          <w:trHeight w:val="190"/>
        </w:trPr>
        <w:tc>
          <w:tcPr>
            <w:tcW w:w="500" w:type="dxa"/>
            <w:vAlign w:val="bottom"/>
            <w:tcBorders>
              <w:right w:val="single" w:sz="8" w:color="auto"/>
            </w:tcBorders>
          </w:tcPr>
          <w:p>
            <w:pPr>
              <w:spacing w:after="0"/>
              <w:rPr>
                <w:sz w:val="16"/>
                <w:szCs w:val="16"/>
                <w:color w:val="auto"/>
              </w:rPr>
            </w:pPr>
          </w:p>
        </w:tc>
        <w:tc>
          <w:tcPr>
            <w:tcW w:w="460" w:type="dxa"/>
            <w:vAlign w:val="bottom"/>
          </w:tcPr>
          <w:p>
            <w:pPr>
              <w:ind w:left="60"/>
              <w:spacing w:after="0" w:line="189"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20" w:type="dxa"/>
            <w:vAlign w:val="bottom"/>
            <w:tcBorders>
              <w:right w:val="single" w:sz="8" w:color="auto"/>
            </w:tcBorders>
            <w:gridSpan w:val="3"/>
          </w:tcPr>
          <w:p>
            <w:pPr>
              <w:spacing w:after="0" w:line="189" w:lineRule="exact"/>
              <w:rPr>
                <w:rFonts w:ascii="Arial" w:cs="Arial" w:eastAsia="Arial" w:hAnsi="Arial"/>
                <w:sz w:val="18"/>
                <w:szCs w:val="18"/>
                <w:color w:val="auto"/>
                <w:w w:val="95"/>
              </w:rPr>
            </w:pPr>
            <w:hyperlink r:id="rId469">
              <w:r>
                <w:rPr>
                  <w:rFonts w:ascii="Arial" w:cs="Arial" w:eastAsia="Arial" w:hAnsi="Arial"/>
                  <w:sz w:val="18"/>
                  <w:szCs w:val="18"/>
                  <w:color w:val="auto"/>
                  <w:w w:val="95"/>
                </w:rPr>
                <w:t>https://www.sec.gov/Archives/edgar/data/0000923796/000156459020021968/geo-10q_20200331.htm</w:t>
              </w:r>
            </w:hyperlink>
          </w:p>
        </w:tc>
      </w:tr>
      <w:tr>
        <w:trPr>
          <w:trHeight w:val="34"/>
        </w:trPr>
        <w:tc>
          <w:tcPr>
            <w:tcW w:w="500" w:type="dxa"/>
            <w:vAlign w:val="bottom"/>
            <w:tcBorders>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740" w:type="dxa"/>
            <w:vAlign w:val="bottom"/>
            <w:tcBorders>
              <w:top w:val="single" w:sz="8" w:color="0000EE"/>
              <w:bottom w:val="single" w:sz="8" w:color="auto"/>
            </w:tcBorders>
          </w:tcPr>
          <w:p>
            <w:pPr>
              <w:spacing w:after="0"/>
              <w:rPr>
                <w:sz w:val="2"/>
                <w:szCs w:val="2"/>
                <w:color w:val="auto"/>
              </w:rPr>
            </w:pPr>
          </w:p>
        </w:tc>
        <w:tc>
          <w:tcPr>
            <w:tcW w:w="600" w:type="dxa"/>
            <w:vAlign w:val="bottom"/>
            <w:tcBorders>
              <w:top w:val="single" w:sz="8" w:color="0000EE"/>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r>
      <w:tr>
        <w:trPr>
          <w:trHeight w:val="142"/>
        </w:trPr>
        <w:tc>
          <w:tcPr>
            <w:tcW w:w="2580" w:type="dxa"/>
            <w:vAlign w:val="bottom"/>
            <w:gridSpan w:val="7"/>
          </w:tcPr>
          <w:p>
            <w:pPr>
              <w:spacing w:after="0"/>
              <w:rPr>
                <w:sz w:val="12"/>
                <w:szCs w:val="12"/>
                <w:color w:val="auto"/>
              </w:rPr>
            </w:pPr>
          </w:p>
        </w:tc>
        <w:tc>
          <w:tcPr>
            <w:tcW w:w="720" w:type="dxa"/>
            <w:vAlign w:val="bottom"/>
            <w:gridSpan w:val="3"/>
          </w:tcPr>
          <w:p>
            <w:pPr>
              <w:spacing w:after="0"/>
              <w:rPr>
                <w:sz w:val="12"/>
                <w:szCs w:val="12"/>
                <w:color w:val="auto"/>
              </w:rPr>
            </w:pPr>
          </w:p>
        </w:tc>
        <w:tc>
          <w:tcPr>
            <w:tcW w:w="6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208"/>
        </w:trPr>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10.17</w:t>
            </w:r>
          </w:p>
        </w:tc>
        <w:tc>
          <w:tcPr>
            <w:tcW w:w="2080" w:type="dxa"/>
            <w:vAlign w:val="bottom"/>
            <w:tcBorders>
              <w:top w:val="single" w:sz="8" w:color="auto"/>
            </w:tcBorders>
            <w:gridSpan w:val="6"/>
          </w:tcPr>
          <w:p>
            <w:pPr>
              <w:ind w:left="60"/>
              <w:spacing w:after="0"/>
              <w:rPr>
                <w:sz w:val="20"/>
                <w:szCs w:val="20"/>
                <w:color w:val="auto"/>
              </w:rPr>
            </w:pPr>
            <w:r>
              <w:rPr>
                <w:rFonts w:ascii="Arial" w:cs="Arial" w:eastAsia="Arial" w:hAnsi="Arial"/>
                <w:sz w:val="18"/>
                <w:szCs w:val="18"/>
                <w:color w:val="auto"/>
              </w:rPr>
              <w:t>Amendment  No.  2  to</w:t>
            </w:r>
          </w:p>
        </w:tc>
        <w:tc>
          <w:tcPr>
            <w:tcW w:w="8540" w:type="dxa"/>
            <w:vAlign w:val="bottom"/>
            <w:tcBorders>
              <w:top w:val="single" w:sz="8" w:color="auto"/>
            </w:tcBorders>
            <w:gridSpan w:val="6"/>
          </w:tcPr>
          <w:p>
            <w:pPr>
              <w:jc w:val="right"/>
              <w:ind w:right="7980"/>
              <w:spacing w:after="0"/>
              <w:rPr>
                <w:sz w:val="20"/>
                <w:szCs w:val="20"/>
                <w:color w:val="auto"/>
              </w:rPr>
            </w:pPr>
            <w:r>
              <w:rPr>
                <w:rFonts w:ascii="Arial" w:cs="Arial" w:eastAsia="Arial" w:hAnsi="Arial"/>
                <w:sz w:val="18"/>
                <w:szCs w:val="18"/>
                <w:color w:val="auto"/>
              </w:rPr>
              <w:t>Third</w:t>
            </w:r>
          </w:p>
        </w:tc>
      </w:tr>
      <w:tr>
        <w:trPr>
          <w:trHeight w:val="216"/>
        </w:trPr>
        <w:tc>
          <w:tcPr>
            <w:tcW w:w="500" w:type="dxa"/>
            <w:vAlign w:val="bottom"/>
          </w:tcPr>
          <w:p>
            <w:pPr>
              <w:spacing w:after="0"/>
              <w:rPr>
                <w:sz w:val="18"/>
                <w:szCs w:val="18"/>
                <w:color w:val="auto"/>
              </w:rPr>
            </w:pPr>
          </w:p>
        </w:tc>
        <w:tc>
          <w:tcPr>
            <w:tcW w:w="1220" w:type="dxa"/>
            <w:vAlign w:val="bottom"/>
            <w:gridSpan w:val="3"/>
          </w:tcPr>
          <w:p>
            <w:pPr>
              <w:ind w:left="60"/>
              <w:spacing w:after="0"/>
              <w:rPr>
                <w:sz w:val="20"/>
                <w:szCs w:val="20"/>
                <w:color w:val="auto"/>
              </w:rPr>
            </w:pPr>
            <w:r>
              <w:rPr>
                <w:rFonts w:ascii="Arial" w:cs="Arial" w:eastAsia="Arial" w:hAnsi="Arial"/>
                <w:sz w:val="18"/>
                <w:szCs w:val="18"/>
                <w:color w:val="auto"/>
                <w:w w:val="97"/>
              </w:rPr>
              <w:t>Amended  and</w:t>
            </w:r>
          </w:p>
        </w:tc>
        <w:tc>
          <w:tcPr>
            <w:tcW w:w="860" w:type="dxa"/>
            <w:vAlign w:val="bottom"/>
            <w:gridSpan w:val="3"/>
          </w:tcPr>
          <w:p>
            <w:pPr>
              <w:ind w:left="180"/>
              <w:spacing w:after="0"/>
              <w:rPr>
                <w:sz w:val="20"/>
                <w:szCs w:val="20"/>
                <w:color w:val="auto"/>
              </w:rPr>
            </w:pPr>
            <w:r>
              <w:rPr>
                <w:rFonts w:ascii="Arial" w:cs="Arial" w:eastAsia="Arial" w:hAnsi="Arial"/>
                <w:sz w:val="18"/>
                <w:szCs w:val="18"/>
                <w:color w:val="auto"/>
                <w:w w:val="91"/>
              </w:rPr>
              <w:t>Restated</w:t>
            </w:r>
          </w:p>
        </w:tc>
        <w:tc>
          <w:tcPr>
            <w:tcW w:w="8540" w:type="dxa"/>
            <w:vAlign w:val="bottom"/>
            <w:gridSpan w:val="6"/>
          </w:tcPr>
          <w:p>
            <w:pPr>
              <w:jc w:val="right"/>
              <w:ind w:right="7980"/>
              <w:spacing w:after="0"/>
              <w:rPr>
                <w:sz w:val="20"/>
                <w:szCs w:val="20"/>
                <w:color w:val="auto"/>
              </w:rPr>
            </w:pPr>
            <w:r>
              <w:rPr>
                <w:rFonts w:ascii="Arial" w:cs="Arial" w:eastAsia="Arial" w:hAnsi="Arial"/>
                <w:sz w:val="18"/>
                <w:szCs w:val="18"/>
                <w:color w:val="auto"/>
              </w:rPr>
              <w:t>Credit</w:t>
            </w:r>
          </w:p>
        </w:tc>
      </w:tr>
      <w:tr>
        <w:trPr>
          <w:trHeight w:val="216"/>
        </w:trPr>
        <w:tc>
          <w:tcPr>
            <w:tcW w:w="500" w:type="dxa"/>
            <w:vAlign w:val="bottom"/>
          </w:tcPr>
          <w:p>
            <w:pPr>
              <w:spacing w:after="0"/>
              <w:rPr>
                <w:sz w:val="18"/>
                <w:szCs w:val="18"/>
                <w:color w:val="auto"/>
              </w:rPr>
            </w:pPr>
          </w:p>
        </w:tc>
        <w:tc>
          <w:tcPr>
            <w:tcW w:w="10620" w:type="dxa"/>
            <w:vAlign w:val="bottom"/>
            <w:gridSpan w:val="12"/>
          </w:tcPr>
          <w:p>
            <w:pPr>
              <w:ind w:left="60"/>
              <w:spacing w:after="0"/>
              <w:rPr>
                <w:sz w:val="20"/>
                <w:szCs w:val="20"/>
                <w:color w:val="auto"/>
              </w:rPr>
            </w:pPr>
            <w:r>
              <w:rPr>
                <w:rFonts w:ascii="Arial" w:cs="Arial" w:eastAsia="Arial" w:hAnsi="Arial"/>
                <w:sz w:val="18"/>
                <w:szCs w:val="18"/>
                <w:color w:val="auto"/>
              </w:rPr>
              <w:t>Agreement, dated June 12, 2019,</w:t>
            </w:r>
          </w:p>
        </w:tc>
      </w:tr>
      <w:tr>
        <w:trPr>
          <w:trHeight w:val="216"/>
        </w:trPr>
        <w:tc>
          <w:tcPr>
            <w:tcW w:w="500" w:type="dxa"/>
            <w:vAlign w:val="bottom"/>
          </w:tcPr>
          <w:p>
            <w:pPr>
              <w:spacing w:after="0"/>
              <w:rPr>
                <w:sz w:val="18"/>
                <w:szCs w:val="18"/>
                <w:color w:val="auto"/>
              </w:rPr>
            </w:pPr>
          </w:p>
        </w:tc>
        <w:tc>
          <w:tcPr>
            <w:tcW w:w="10620" w:type="dxa"/>
            <w:vAlign w:val="bottom"/>
            <w:gridSpan w:val="12"/>
          </w:tcPr>
          <w:p>
            <w:pPr>
              <w:ind w:left="60"/>
              <w:spacing w:after="0"/>
              <w:rPr>
                <w:sz w:val="20"/>
                <w:szCs w:val="20"/>
                <w:color w:val="auto"/>
              </w:rPr>
            </w:pPr>
            <w:r>
              <w:rPr>
                <w:rFonts w:ascii="Arial" w:cs="Arial" w:eastAsia="Arial" w:hAnsi="Arial"/>
                <w:sz w:val="18"/>
                <w:szCs w:val="18"/>
                <w:color w:val="auto"/>
              </w:rPr>
              <w:t>by and among The GEO Group,</w:t>
            </w:r>
          </w:p>
        </w:tc>
      </w:tr>
      <w:tr>
        <w:trPr>
          <w:trHeight w:val="216"/>
        </w:trPr>
        <w:tc>
          <w:tcPr>
            <w:tcW w:w="50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Inc.</w:t>
            </w:r>
          </w:p>
        </w:tc>
        <w:tc>
          <w:tcPr>
            <w:tcW w:w="600" w:type="dxa"/>
            <w:vAlign w:val="bottom"/>
          </w:tcPr>
          <w:p>
            <w:pPr>
              <w:ind w:left="160"/>
              <w:spacing w:after="0"/>
              <w:rPr>
                <w:sz w:val="20"/>
                <w:szCs w:val="20"/>
                <w:color w:val="auto"/>
              </w:rPr>
            </w:pPr>
            <w:r>
              <w:rPr>
                <w:rFonts w:ascii="Arial" w:cs="Arial" w:eastAsia="Arial" w:hAnsi="Arial"/>
                <w:sz w:val="18"/>
                <w:szCs w:val="18"/>
                <w:color w:val="auto"/>
              </w:rPr>
              <w:t>and</w:t>
            </w:r>
          </w:p>
        </w:tc>
        <w:tc>
          <w:tcPr>
            <w:tcW w:w="720" w:type="dxa"/>
            <w:vAlign w:val="bottom"/>
            <w:gridSpan w:val="3"/>
          </w:tcPr>
          <w:p>
            <w:pPr>
              <w:jc w:val="center"/>
              <w:ind w:right="50"/>
              <w:spacing w:after="0"/>
              <w:rPr>
                <w:sz w:val="20"/>
                <w:szCs w:val="20"/>
                <w:color w:val="auto"/>
              </w:rPr>
            </w:pPr>
            <w:r>
              <w:rPr>
                <w:rFonts w:ascii="Arial" w:cs="Arial" w:eastAsia="Arial" w:hAnsi="Arial"/>
                <w:sz w:val="18"/>
                <w:szCs w:val="18"/>
                <w:color w:val="auto"/>
                <w:w w:val="94"/>
              </w:rPr>
              <w:t>GEO</w:t>
            </w:r>
          </w:p>
        </w:tc>
        <w:tc>
          <w:tcPr>
            <w:tcW w:w="8840" w:type="dxa"/>
            <w:vAlign w:val="bottom"/>
            <w:gridSpan w:val="7"/>
          </w:tcPr>
          <w:p>
            <w:pPr>
              <w:ind w:left="40"/>
              <w:spacing w:after="0"/>
              <w:rPr>
                <w:sz w:val="20"/>
                <w:szCs w:val="20"/>
                <w:color w:val="auto"/>
              </w:rPr>
            </w:pPr>
            <w:r>
              <w:rPr>
                <w:rFonts w:ascii="Arial" w:cs="Arial" w:eastAsia="Arial" w:hAnsi="Arial"/>
                <w:sz w:val="18"/>
                <w:szCs w:val="18"/>
                <w:color w:val="auto"/>
              </w:rPr>
              <w:t>Corrections</w:t>
            </w:r>
          </w:p>
        </w:tc>
      </w:tr>
      <w:tr>
        <w:trPr>
          <w:trHeight w:val="216"/>
        </w:trPr>
        <w:tc>
          <w:tcPr>
            <w:tcW w:w="500" w:type="dxa"/>
            <w:vAlign w:val="bottom"/>
          </w:tcPr>
          <w:p>
            <w:pPr>
              <w:spacing w:after="0"/>
              <w:rPr>
                <w:sz w:val="18"/>
                <w:szCs w:val="18"/>
                <w:color w:val="auto"/>
              </w:rPr>
            </w:pPr>
          </w:p>
        </w:tc>
        <w:tc>
          <w:tcPr>
            <w:tcW w:w="10620" w:type="dxa"/>
            <w:vAlign w:val="bottom"/>
            <w:gridSpan w:val="12"/>
          </w:tcPr>
          <w:p>
            <w:pPr>
              <w:ind w:left="60"/>
              <w:spacing w:after="0"/>
              <w:rPr>
                <w:sz w:val="20"/>
                <w:szCs w:val="20"/>
                <w:color w:val="auto"/>
              </w:rPr>
            </w:pPr>
            <w:r>
              <w:rPr>
                <w:rFonts w:ascii="Arial" w:cs="Arial" w:eastAsia="Arial" w:hAnsi="Arial"/>
                <w:sz w:val="18"/>
                <w:szCs w:val="18"/>
                <w:color w:val="auto"/>
              </w:rPr>
              <w:t>Holdings, Inc., as the Borrowers,</w:t>
            </w:r>
          </w:p>
        </w:tc>
      </w:tr>
      <w:tr>
        <w:trPr>
          <w:trHeight w:val="216"/>
        </w:trPr>
        <w:tc>
          <w:tcPr>
            <w:tcW w:w="50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94"/>
              </w:rPr>
              <w:t>GEO</w:t>
            </w:r>
          </w:p>
        </w:tc>
        <w:tc>
          <w:tcPr>
            <w:tcW w:w="1020" w:type="dxa"/>
            <w:vAlign w:val="bottom"/>
            <w:gridSpan w:val="3"/>
          </w:tcPr>
          <w:p>
            <w:pPr>
              <w:ind w:left="120"/>
              <w:spacing w:after="0"/>
              <w:rPr>
                <w:sz w:val="20"/>
                <w:szCs w:val="20"/>
                <w:color w:val="auto"/>
              </w:rPr>
            </w:pPr>
            <w:r>
              <w:rPr>
                <w:rFonts w:ascii="Arial" w:cs="Arial" w:eastAsia="Arial" w:hAnsi="Arial"/>
                <w:sz w:val="18"/>
                <w:szCs w:val="18"/>
                <w:color w:val="auto"/>
                <w:w w:val="98"/>
              </w:rPr>
              <w:t>Australasia</w:t>
            </w:r>
          </w:p>
        </w:tc>
        <w:tc>
          <w:tcPr>
            <w:tcW w:w="820" w:type="dxa"/>
            <w:vAlign w:val="bottom"/>
            <w:gridSpan w:val="3"/>
          </w:tcPr>
          <w:p>
            <w:pPr>
              <w:ind w:left="40"/>
              <w:spacing w:after="0"/>
              <w:rPr>
                <w:sz w:val="20"/>
                <w:szCs w:val="20"/>
                <w:color w:val="auto"/>
              </w:rPr>
            </w:pPr>
            <w:r>
              <w:rPr>
                <w:rFonts w:ascii="Arial" w:cs="Arial" w:eastAsia="Arial" w:hAnsi="Arial"/>
                <w:sz w:val="18"/>
                <w:szCs w:val="18"/>
                <w:color w:val="auto"/>
              </w:rPr>
              <w:t>Holdings</w:t>
            </w:r>
          </w:p>
        </w:tc>
        <w:tc>
          <w:tcPr>
            <w:tcW w:w="8320" w:type="dxa"/>
            <w:vAlign w:val="bottom"/>
            <w:gridSpan w:val="5"/>
          </w:tcPr>
          <w:p>
            <w:pPr>
              <w:jc w:val="right"/>
              <w:ind w:right="7980"/>
              <w:spacing w:after="0"/>
              <w:rPr>
                <w:sz w:val="20"/>
                <w:szCs w:val="20"/>
                <w:color w:val="auto"/>
              </w:rPr>
            </w:pPr>
            <w:r>
              <w:rPr>
                <w:rFonts w:ascii="Arial" w:cs="Arial" w:eastAsia="Arial" w:hAnsi="Arial"/>
                <w:sz w:val="18"/>
                <w:szCs w:val="18"/>
                <w:color w:val="auto"/>
                <w:w w:val="91"/>
              </w:rPr>
              <w:t>PTY</w:t>
            </w:r>
          </w:p>
        </w:tc>
      </w:tr>
      <w:tr>
        <w:trPr>
          <w:trHeight w:val="216"/>
        </w:trPr>
        <w:tc>
          <w:tcPr>
            <w:tcW w:w="50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97"/>
              </w:rPr>
              <w:t>LTD,</w:t>
            </w:r>
          </w:p>
        </w:tc>
        <w:tc>
          <w:tcPr>
            <w:tcW w:w="600" w:type="dxa"/>
            <w:vAlign w:val="bottom"/>
          </w:tcPr>
          <w:p>
            <w:pPr>
              <w:ind w:left="140"/>
              <w:spacing w:after="0"/>
              <w:rPr>
                <w:sz w:val="20"/>
                <w:szCs w:val="20"/>
                <w:color w:val="auto"/>
              </w:rPr>
            </w:pPr>
            <w:r>
              <w:rPr>
                <w:rFonts w:ascii="Arial" w:cs="Arial" w:eastAsia="Arial" w:hAnsi="Arial"/>
                <w:sz w:val="18"/>
                <w:szCs w:val="18"/>
                <w:color w:val="auto"/>
              </w:rPr>
              <w:t>GEO</w:t>
            </w:r>
          </w:p>
        </w:tc>
        <w:tc>
          <w:tcPr>
            <w:tcW w:w="1020" w:type="dxa"/>
            <w:vAlign w:val="bottom"/>
            <w:gridSpan w:val="4"/>
          </w:tcPr>
          <w:p>
            <w:pPr>
              <w:jc w:val="center"/>
              <w:ind w:right="10"/>
              <w:spacing w:after="0"/>
              <w:rPr>
                <w:sz w:val="20"/>
                <w:szCs w:val="20"/>
                <w:color w:val="auto"/>
              </w:rPr>
            </w:pPr>
            <w:r>
              <w:rPr>
                <w:rFonts w:ascii="Arial" w:cs="Arial" w:eastAsia="Arial" w:hAnsi="Arial"/>
                <w:sz w:val="18"/>
                <w:szCs w:val="18"/>
                <w:color w:val="auto"/>
                <w:w w:val="89"/>
              </w:rPr>
              <w:t>Australasia</w:t>
            </w:r>
          </w:p>
        </w:tc>
        <w:tc>
          <w:tcPr>
            <w:tcW w:w="8540" w:type="dxa"/>
            <w:vAlign w:val="bottom"/>
            <w:gridSpan w:val="6"/>
          </w:tcPr>
          <w:p>
            <w:pPr>
              <w:jc w:val="right"/>
              <w:ind w:right="7960"/>
              <w:spacing w:after="0"/>
              <w:rPr>
                <w:sz w:val="20"/>
                <w:szCs w:val="20"/>
                <w:color w:val="auto"/>
              </w:rPr>
            </w:pPr>
            <w:r>
              <w:rPr>
                <w:rFonts w:ascii="Arial" w:cs="Arial" w:eastAsia="Arial" w:hAnsi="Arial"/>
                <w:sz w:val="18"/>
                <w:szCs w:val="18"/>
                <w:color w:val="auto"/>
                <w:w w:val="87"/>
              </w:rPr>
              <w:t>Finance</w:t>
            </w:r>
          </w:p>
        </w:tc>
      </w:tr>
      <w:tr>
        <w:trPr>
          <w:trHeight w:val="216"/>
        </w:trPr>
        <w:tc>
          <w:tcPr>
            <w:tcW w:w="500" w:type="dxa"/>
            <w:vAlign w:val="bottom"/>
          </w:tcPr>
          <w:p>
            <w:pPr>
              <w:spacing w:after="0"/>
              <w:rPr>
                <w:sz w:val="18"/>
                <w:szCs w:val="18"/>
                <w:color w:val="auto"/>
              </w:rPr>
            </w:pPr>
          </w:p>
        </w:tc>
        <w:tc>
          <w:tcPr>
            <w:tcW w:w="10620" w:type="dxa"/>
            <w:vAlign w:val="bottom"/>
            <w:gridSpan w:val="12"/>
          </w:tcPr>
          <w:p>
            <w:pPr>
              <w:ind w:left="60"/>
              <w:spacing w:after="0"/>
              <w:rPr>
                <w:sz w:val="20"/>
                <w:szCs w:val="20"/>
                <w:color w:val="auto"/>
              </w:rPr>
            </w:pPr>
            <w:r>
              <w:rPr>
                <w:rFonts w:ascii="Arial" w:cs="Arial" w:eastAsia="Arial" w:hAnsi="Arial"/>
                <w:sz w:val="18"/>
                <w:szCs w:val="18"/>
                <w:color w:val="auto"/>
              </w:rPr>
              <w:t>Holdings PTY LTD, as trustee of</w:t>
            </w:r>
          </w:p>
        </w:tc>
      </w:tr>
      <w:tr>
        <w:trPr>
          <w:trHeight w:val="216"/>
        </w:trPr>
        <w:tc>
          <w:tcPr>
            <w:tcW w:w="50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the</w:t>
            </w:r>
          </w:p>
        </w:tc>
        <w:tc>
          <w:tcPr>
            <w:tcW w:w="600" w:type="dxa"/>
            <w:vAlign w:val="bottom"/>
          </w:tcPr>
          <w:p>
            <w:pPr>
              <w:ind w:left="40"/>
              <w:spacing w:after="0"/>
              <w:rPr>
                <w:sz w:val="20"/>
                <w:szCs w:val="20"/>
                <w:color w:val="auto"/>
              </w:rPr>
            </w:pPr>
            <w:r>
              <w:rPr>
                <w:rFonts w:ascii="Arial" w:cs="Arial" w:eastAsia="Arial" w:hAnsi="Arial"/>
                <w:sz w:val="18"/>
                <w:szCs w:val="18"/>
                <w:color w:val="auto"/>
              </w:rPr>
              <w:t>GEO</w:t>
            </w:r>
          </w:p>
        </w:tc>
        <w:tc>
          <w:tcPr>
            <w:tcW w:w="1020" w:type="dxa"/>
            <w:vAlign w:val="bottom"/>
            <w:gridSpan w:val="4"/>
          </w:tcPr>
          <w:p>
            <w:pPr>
              <w:spacing w:after="0"/>
              <w:rPr>
                <w:sz w:val="20"/>
                <w:szCs w:val="20"/>
                <w:color w:val="auto"/>
              </w:rPr>
            </w:pPr>
            <w:r>
              <w:rPr>
                <w:rFonts w:ascii="Arial" w:cs="Arial" w:eastAsia="Arial" w:hAnsi="Arial"/>
                <w:sz w:val="18"/>
                <w:szCs w:val="18"/>
                <w:color w:val="auto"/>
              </w:rPr>
              <w:t>Australasia</w:t>
            </w:r>
          </w:p>
        </w:tc>
        <w:tc>
          <w:tcPr>
            <w:tcW w:w="8540" w:type="dxa"/>
            <w:vAlign w:val="bottom"/>
            <w:gridSpan w:val="6"/>
          </w:tcPr>
          <w:p>
            <w:pPr>
              <w:jc w:val="right"/>
              <w:ind w:right="7960"/>
              <w:spacing w:after="0"/>
              <w:rPr>
                <w:sz w:val="20"/>
                <w:szCs w:val="20"/>
                <w:color w:val="auto"/>
              </w:rPr>
            </w:pPr>
            <w:r>
              <w:rPr>
                <w:rFonts w:ascii="Arial" w:cs="Arial" w:eastAsia="Arial" w:hAnsi="Arial"/>
                <w:sz w:val="18"/>
                <w:szCs w:val="18"/>
                <w:color w:val="auto"/>
                <w:w w:val="87"/>
              </w:rPr>
              <w:t>Finance</w:t>
            </w:r>
          </w:p>
        </w:tc>
      </w:tr>
      <w:tr>
        <w:trPr>
          <w:trHeight w:val="216"/>
        </w:trPr>
        <w:tc>
          <w:tcPr>
            <w:tcW w:w="500" w:type="dxa"/>
            <w:vAlign w:val="bottom"/>
          </w:tcPr>
          <w:p>
            <w:pPr>
              <w:spacing w:after="0"/>
              <w:rPr>
                <w:sz w:val="18"/>
                <w:szCs w:val="18"/>
                <w:color w:val="auto"/>
              </w:rPr>
            </w:pPr>
          </w:p>
        </w:tc>
        <w:tc>
          <w:tcPr>
            <w:tcW w:w="10620" w:type="dxa"/>
            <w:vAlign w:val="bottom"/>
            <w:gridSpan w:val="12"/>
          </w:tcPr>
          <w:p>
            <w:pPr>
              <w:ind w:left="60"/>
              <w:spacing w:after="0"/>
              <w:rPr>
                <w:sz w:val="20"/>
                <w:szCs w:val="20"/>
                <w:color w:val="auto"/>
              </w:rPr>
            </w:pPr>
            <w:r>
              <w:rPr>
                <w:rFonts w:ascii="Arial" w:cs="Arial" w:eastAsia="Arial" w:hAnsi="Arial"/>
                <w:sz w:val="18"/>
                <w:szCs w:val="18"/>
                <w:color w:val="auto"/>
              </w:rPr>
              <w:t>Holding  Trust,  BNP  Paribas,  as</w:t>
            </w:r>
          </w:p>
        </w:tc>
      </w:tr>
      <w:tr>
        <w:trPr>
          <w:trHeight w:val="216"/>
        </w:trPr>
        <w:tc>
          <w:tcPr>
            <w:tcW w:w="500" w:type="dxa"/>
            <w:vAlign w:val="bottom"/>
          </w:tcPr>
          <w:p>
            <w:pPr>
              <w:spacing w:after="0"/>
              <w:rPr>
                <w:sz w:val="18"/>
                <w:szCs w:val="18"/>
                <w:color w:val="auto"/>
              </w:rPr>
            </w:pPr>
          </w:p>
        </w:tc>
        <w:tc>
          <w:tcPr>
            <w:tcW w:w="1220" w:type="dxa"/>
            <w:vAlign w:val="bottom"/>
            <w:gridSpan w:val="3"/>
          </w:tcPr>
          <w:p>
            <w:pPr>
              <w:ind w:left="60"/>
              <w:spacing w:after="0"/>
              <w:rPr>
                <w:sz w:val="20"/>
                <w:szCs w:val="20"/>
                <w:color w:val="auto"/>
              </w:rPr>
            </w:pPr>
            <w:r>
              <w:rPr>
                <w:rFonts w:ascii="Arial" w:cs="Arial" w:eastAsia="Arial" w:hAnsi="Arial"/>
                <w:sz w:val="18"/>
                <w:szCs w:val="18"/>
                <w:color w:val="auto"/>
              </w:rPr>
              <w:t>administrative</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3"/>
              </w:rPr>
              <w:t>agent,</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and</w:t>
            </w:r>
          </w:p>
        </w:tc>
        <w:tc>
          <w:tcPr>
            <w:tcW w:w="8320" w:type="dxa"/>
            <w:vAlign w:val="bottom"/>
            <w:gridSpan w:val="5"/>
          </w:tcPr>
          <w:p>
            <w:pPr>
              <w:jc w:val="right"/>
              <w:ind w:right="7960"/>
              <w:spacing w:after="0"/>
              <w:rPr>
                <w:sz w:val="20"/>
                <w:szCs w:val="20"/>
                <w:color w:val="auto"/>
              </w:rPr>
            </w:pPr>
            <w:r>
              <w:rPr>
                <w:rFonts w:ascii="Arial" w:cs="Arial" w:eastAsia="Arial" w:hAnsi="Arial"/>
                <w:sz w:val="18"/>
                <w:szCs w:val="18"/>
                <w:color w:val="auto"/>
              </w:rPr>
              <w:t>the</w:t>
            </w:r>
          </w:p>
        </w:tc>
      </w:tr>
      <w:tr>
        <w:trPr>
          <w:trHeight w:val="216"/>
        </w:trPr>
        <w:tc>
          <w:tcPr>
            <w:tcW w:w="500" w:type="dxa"/>
            <w:vAlign w:val="bottom"/>
          </w:tcPr>
          <w:p>
            <w:pPr>
              <w:spacing w:after="0"/>
              <w:rPr>
                <w:sz w:val="18"/>
                <w:szCs w:val="18"/>
                <w:color w:val="auto"/>
              </w:rPr>
            </w:pPr>
          </w:p>
        </w:tc>
        <w:tc>
          <w:tcPr>
            <w:tcW w:w="10620" w:type="dxa"/>
            <w:vAlign w:val="bottom"/>
            <w:gridSpan w:val="12"/>
          </w:tcPr>
          <w:p>
            <w:pPr>
              <w:ind w:left="60"/>
              <w:spacing w:after="0"/>
              <w:rPr>
                <w:sz w:val="20"/>
                <w:szCs w:val="20"/>
                <w:color w:val="auto"/>
              </w:rPr>
            </w:pPr>
            <w:r>
              <w:rPr>
                <w:rFonts w:ascii="Arial" w:cs="Arial" w:eastAsia="Arial" w:hAnsi="Arial"/>
                <w:sz w:val="18"/>
                <w:szCs w:val="18"/>
                <w:color w:val="auto"/>
              </w:rPr>
              <w:t>lenders party thereto (portions of</w:t>
            </w:r>
          </w:p>
        </w:tc>
      </w:tr>
      <w:tr>
        <w:trPr>
          <w:trHeight w:val="216"/>
        </w:trPr>
        <w:tc>
          <w:tcPr>
            <w:tcW w:w="500" w:type="dxa"/>
            <w:vAlign w:val="bottom"/>
          </w:tcPr>
          <w:p>
            <w:pPr>
              <w:spacing w:after="0"/>
              <w:rPr>
                <w:sz w:val="18"/>
                <w:szCs w:val="18"/>
                <w:color w:val="auto"/>
              </w:rPr>
            </w:pPr>
          </w:p>
        </w:tc>
        <w:tc>
          <w:tcPr>
            <w:tcW w:w="10620" w:type="dxa"/>
            <w:vAlign w:val="bottom"/>
            <w:gridSpan w:val="12"/>
          </w:tcPr>
          <w:p>
            <w:pPr>
              <w:ind w:left="60"/>
              <w:spacing w:after="0"/>
              <w:rPr>
                <w:sz w:val="20"/>
                <w:szCs w:val="20"/>
                <w:color w:val="auto"/>
              </w:rPr>
            </w:pPr>
            <w:r>
              <w:rPr>
                <w:rFonts w:ascii="Arial" w:cs="Arial" w:eastAsia="Arial" w:hAnsi="Arial"/>
                <w:sz w:val="18"/>
                <w:szCs w:val="18"/>
                <w:color w:val="auto"/>
              </w:rPr>
              <w:t>this  exhibit  have  been  omitted)</w:t>
            </w:r>
          </w:p>
        </w:tc>
      </w:tr>
      <w:tr>
        <w:trPr>
          <w:trHeight w:val="216"/>
        </w:trPr>
        <w:tc>
          <w:tcPr>
            <w:tcW w:w="50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w w:val="92"/>
              </w:rPr>
              <w:t>(incorporated</w:t>
            </w:r>
          </w:p>
        </w:tc>
        <w:tc>
          <w:tcPr>
            <w:tcW w:w="16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4"/>
              </w:rPr>
              <w:t>by</w:t>
            </w:r>
          </w:p>
        </w:tc>
        <w:tc>
          <w:tcPr>
            <w:tcW w:w="820" w:type="dxa"/>
            <w:vAlign w:val="bottom"/>
            <w:gridSpan w:val="3"/>
          </w:tcPr>
          <w:p>
            <w:pPr>
              <w:ind w:left="160"/>
              <w:spacing w:after="0"/>
              <w:rPr>
                <w:sz w:val="20"/>
                <w:szCs w:val="20"/>
                <w:color w:val="auto"/>
              </w:rPr>
            </w:pPr>
            <w:r>
              <w:rPr>
                <w:rFonts w:ascii="Arial" w:cs="Arial" w:eastAsia="Arial" w:hAnsi="Arial"/>
                <w:sz w:val="18"/>
                <w:szCs w:val="18"/>
                <w:color w:val="auto"/>
                <w:w w:val="84"/>
              </w:rPr>
              <w:t>reference</w:t>
            </w:r>
          </w:p>
        </w:tc>
        <w:tc>
          <w:tcPr>
            <w:tcW w:w="8320" w:type="dxa"/>
            <w:vAlign w:val="bottom"/>
            <w:gridSpan w:val="5"/>
          </w:tcPr>
          <w:p>
            <w:pPr>
              <w:jc w:val="right"/>
              <w:ind w:right="7960"/>
              <w:spacing w:after="0"/>
              <w:rPr>
                <w:sz w:val="20"/>
                <w:szCs w:val="20"/>
                <w:color w:val="auto"/>
              </w:rPr>
            </w:pPr>
            <w:r>
              <w:rPr>
                <w:rFonts w:ascii="Arial" w:cs="Arial" w:eastAsia="Arial" w:hAnsi="Arial"/>
                <w:sz w:val="18"/>
                <w:szCs w:val="18"/>
                <w:color w:val="auto"/>
              </w:rPr>
              <w:t>to</w:t>
            </w:r>
          </w:p>
        </w:tc>
      </w:tr>
      <w:tr>
        <w:trPr>
          <w:trHeight w:val="216"/>
        </w:trPr>
        <w:tc>
          <w:tcPr>
            <w:tcW w:w="500" w:type="dxa"/>
            <w:vAlign w:val="bottom"/>
          </w:tcPr>
          <w:p>
            <w:pPr>
              <w:spacing w:after="0"/>
              <w:rPr>
                <w:sz w:val="18"/>
                <w:szCs w:val="18"/>
                <w:color w:val="auto"/>
              </w:rPr>
            </w:pPr>
          </w:p>
        </w:tc>
        <w:tc>
          <w:tcPr>
            <w:tcW w:w="10620" w:type="dxa"/>
            <w:vAlign w:val="bottom"/>
            <w:gridSpan w:val="12"/>
          </w:tcPr>
          <w:p>
            <w:pPr>
              <w:ind w:left="60"/>
              <w:spacing w:after="0"/>
              <w:rPr>
                <w:sz w:val="20"/>
                <w:szCs w:val="20"/>
                <w:color w:val="auto"/>
              </w:rPr>
            </w:pPr>
            <w:r>
              <w:rPr>
                <w:rFonts w:ascii="Arial" w:cs="Arial" w:eastAsia="Arial" w:hAnsi="Arial"/>
                <w:sz w:val="18"/>
                <w:szCs w:val="18"/>
                <w:color w:val="auto"/>
              </w:rPr>
              <w:t>Exhibit  10.1  to  the  Company's</w:t>
            </w:r>
          </w:p>
        </w:tc>
      </w:tr>
      <w:tr>
        <w:trPr>
          <w:trHeight w:val="216"/>
        </w:trPr>
        <w:tc>
          <w:tcPr>
            <w:tcW w:w="500" w:type="dxa"/>
            <w:vAlign w:val="bottom"/>
          </w:tcPr>
          <w:p>
            <w:pPr>
              <w:spacing w:after="0"/>
              <w:rPr>
                <w:sz w:val="18"/>
                <w:szCs w:val="18"/>
                <w:color w:val="auto"/>
              </w:rPr>
            </w:pPr>
          </w:p>
        </w:tc>
        <w:tc>
          <w:tcPr>
            <w:tcW w:w="10620" w:type="dxa"/>
            <w:vAlign w:val="bottom"/>
            <w:gridSpan w:val="12"/>
          </w:tcPr>
          <w:p>
            <w:pPr>
              <w:ind w:left="60"/>
              <w:spacing w:after="0"/>
              <w:rPr>
                <w:sz w:val="20"/>
                <w:szCs w:val="20"/>
                <w:color w:val="auto"/>
              </w:rPr>
            </w:pPr>
            <w:r>
              <w:rPr>
                <w:rFonts w:ascii="Arial" w:cs="Arial" w:eastAsia="Arial" w:hAnsi="Arial"/>
                <w:sz w:val="18"/>
                <w:szCs w:val="18"/>
                <w:color w:val="auto"/>
              </w:rPr>
              <w:t>Quarterly Report on Form 10-Q,</w:t>
            </w:r>
          </w:p>
        </w:tc>
      </w:tr>
      <w:tr>
        <w:trPr>
          <w:trHeight w:val="190"/>
        </w:trPr>
        <w:tc>
          <w:tcPr>
            <w:tcW w:w="500" w:type="dxa"/>
            <w:vAlign w:val="bottom"/>
          </w:tcPr>
          <w:p>
            <w:pPr>
              <w:spacing w:after="0"/>
              <w:rPr>
                <w:sz w:val="16"/>
                <w:szCs w:val="16"/>
                <w:color w:val="auto"/>
              </w:rPr>
            </w:pPr>
          </w:p>
        </w:tc>
        <w:tc>
          <w:tcPr>
            <w:tcW w:w="2080" w:type="dxa"/>
            <w:vAlign w:val="bottom"/>
            <w:gridSpan w:val="6"/>
          </w:tcPr>
          <w:p>
            <w:pPr>
              <w:ind w:left="60"/>
              <w:spacing w:after="0" w:line="189" w:lineRule="exact"/>
              <w:rPr>
                <w:sz w:val="20"/>
                <w:szCs w:val="20"/>
                <w:color w:val="auto"/>
              </w:rPr>
            </w:pPr>
            <w:r>
              <w:rPr>
                <w:rFonts w:ascii="Arial" w:cs="Arial" w:eastAsia="Arial" w:hAnsi="Arial"/>
                <w:sz w:val="18"/>
                <w:szCs w:val="18"/>
                <w:color w:val="auto"/>
              </w:rPr>
              <w:t>filed on August 2, 2019)</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740" w:type="dxa"/>
            <w:vAlign w:val="bottom"/>
            <w:tcBorders>
              <w:bottom w:val="single" w:sz="8" w:color="0000EE"/>
            </w:tcBorders>
          </w:tcPr>
          <w:p>
            <w:pPr>
              <w:spacing w:after="0" w:line="189" w:lineRule="exact"/>
              <w:rPr>
                <w:rFonts w:ascii="Arial" w:cs="Arial" w:eastAsia="Arial" w:hAnsi="Arial"/>
                <w:sz w:val="18"/>
                <w:szCs w:val="18"/>
                <w:color w:val="auto"/>
                <w:w w:val="90"/>
              </w:rPr>
            </w:pPr>
            <w:hyperlink r:id="rId470">
              <w:r>
                <w:rPr>
                  <w:rFonts w:ascii="Arial" w:cs="Arial" w:eastAsia="Arial" w:hAnsi="Arial"/>
                  <w:sz w:val="18"/>
                  <w:szCs w:val="18"/>
                  <w:color w:val="auto"/>
                  <w:w w:val="90"/>
                </w:rPr>
                <w:t>https://www.sec.gov/Archives/edgar/data/923796/000119312519212102/d759337dex101.htm</w:t>
              </w:r>
            </w:hyperlink>
          </w:p>
        </w:tc>
        <w:tc>
          <w:tcPr>
            <w:tcW w:w="1080" w:type="dxa"/>
            <w:vAlign w:val="bottom"/>
            <w:gridSpan w:val="2"/>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-2465070</wp:posOffset>
            </wp:positionV>
            <wp:extent cx="6755765" cy="618236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1">
                      <a:extLst>
                        <a:ext uri="{28A0092B-C50C-407E-A947-70E740481C1C}"/>
                      </a:extLst>
                    </a:blip>
                    <a:srcRect/>
                    <a:stretch>
                      <a:fillRect/>
                    </a:stretch>
                  </pic:blipFill>
                  <pic:spPr bwMode="auto">
                    <a:xfrm>
                      <a:off x="0" y="0"/>
                      <a:ext cx="6755765" cy="6182360"/>
                    </a:xfrm>
                    <a:prstGeom prst="rect">
                      <a:avLst/>
                    </a:prstGeom>
                    <a:noFill/>
                  </pic:spPr>
                </pic:pic>
              </a:graphicData>
            </a:graphic>
          </wp:anchor>
        </w:drawing>
      </w:r>
    </w:p>
    <w:p>
      <w:pPr>
        <w:spacing w:after="0" w:line="195" w:lineRule="exact"/>
        <w:rPr>
          <w:sz w:val="20"/>
          <w:szCs w:val="20"/>
          <w:color w:val="auto"/>
        </w:rPr>
      </w:pPr>
    </w:p>
    <w:p>
      <w:pPr>
        <w:ind w:left="20"/>
        <w:spacing w:after="0"/>
        <w:tabs>
          <w:tab w:leader="none" w:pos="660" w:val="left"/>
          <w:tab w:leader="none" w:pos="1760" w:val="left"/>
          <w:tab w:leader="none" w:pos="2220" w:val="left"/>
          <w:tab w:leader="none" w:pos="2520" w:val="left"/>
          <w:tab w:leader="none" w:pos="2860" w:val="left"/>
        </w:tabs>
        <w:rPr>
          <w:sz w:val="20"/>
          <w:szCs w:val="20"/>
          <w:color w:val="auto"/>
        </w:rPr>
      </w:pPr>
      <w:r>
        <w:rPr>
          <w:rFonts w:ascii="Arial" w:cs="Arial" w:eastAsia="Arial" w:hAnsi="Arial"/>
          <w:sz w:val="18"/>
          <w:szCs w:val="18"/>
          <w:color w:val="auto"/>
        </w:rPr>
        <w:t>10.18</w:t>
        <w:tab/>
        <w:t>Amendment</w:t>
        <w:tab/>
        <w:t>No.</w:t>
        <w:tab/>
        <w:t>4</w:t>
        <w:tab/>
        <w:t>to</w:t>
      </w:r>
      <w:r>
        <w:rPr>
          <w:sz w:val="20"/>
          <w:szCs w:val="20"/>
          <w:color w:val="auto"/>
        </w:rPr>
        <w:tab/>
      </w:r>
      <w:r>
        <w:rPr>
          <w:rFonts w:ascii="Arial" w:cs="Arial" w:eastAsia="Arial" w:hAnsi="Arial"/>
          <w:sz w:val="16"/>
          <w:szCs w:val="16"/>
          <w:color w:val="auto"/>
        </w:rPr>
        <w:t>Third</w:t>
      </w:r>
    </w:p>
    <w:p>
      <w:pPr>
        <w:spacing w:after="0" w:line="23" w:lineRule="exact"/>
        <w:rPr>
          <w:sz w:val="20"/>
          <w:szCs w:val="20"/>
          <w:color w:val="auto"/>
        </w:rPr>
      </w:pPr>
    </w:p>
    <w:p>
      <w:pPr>
        <w:jc w:val="both"/>
        <w:ind w:left="680" w:right="7960" w:hanging="659"/>
        <w:spacing w:after="0" w:line="281" w:lineRule="auto"/>
        <w:tabs>
          <w:tab w:leader="none" w:pos="6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Amended and Restated Credit Agreement, dated as of August 19, 2022, by and among the lenders party thereto (including pursuant to a borrower assignment agreement), The GEO Group, Inc., GEO Corrections Holdings, Inc. and BNP Paribas, as administrative agent for the lenders under the</w:t>
      </w:r>
    </w:p>
    <w:p>
      <w:pPr>
        <w:spacing w:after="0" w:line="2" w:lineRule="exact"/>
        <w:rPr>
          <w:rFonts w:ascii="Arial" w:cs="Arial" w:eastAsia="Arial" w:hAnsi="Arial"/>
          <w:sz w:val="16"/>
          <w:szCs w:val="16"/>
          <w:color w:val="auto"/>
        </w:rPr>
      </w:pPr>
    </w:p>
    <w:p>
      <w:pPr>
        <w:jc w:val="both"/>
        <w:ind w:left="680" w:right="7960"/>
        <w:spacing w:after="0" w:line="250" w:lineRule="auto"/>
        <w:rPr>
          <w:rFonts w:ascii="Arial" w:cs="Arial" w:eastAsia="Arial" w:hAnsi="Arial"/>
          <w:sz w:val="16"/>
          <w:szCs w:val="16"/>
          <w:color w:val="auto"/>
        </w:rPr>
      </w:pPr>
      <w:r>
        <w:rPr>
          <w:rFonts w:ascii="Arial" w:cs="Arial" w:eastAsia="Arial" w:hAnsi="Arial"/>
          <w:sz w:val="18"/>
          <w:szCs w:val="18"/>
          <w:color w:val="auto"/>
        </w:rPr>
        <w:t>existing credit agreement (incorporated by reference to</w:t>
      </w:r>
    </w:p>
    <w:tbl>
      <w:tblPr>
        <w:tblLayout w:type="fixed"/>
        <w:tblInd w:w="680" w:type="dxa"/>
        <w:tblCellMar>
          <w:top w:w="0" w:type="dxa"/>
          <w:left w:w="0" w:type="dxa"/>
          <w:bottom w:w="0" w:type="dxa"/>
          <w:right w:w="0" w:type="dxa"/>
        </w:tblCellMar>
      </w:tblPr>
      <w:tr>
        <w:trPr>
          <w:trHeight w:val="202"/>
        </w:trPr>
        <w:tc>
          <w:tcPr>
            <w:tcW w:w="2660" w:type="dxa"/>
            <w:vAlign w:val="bottom"/>
          </w:tcPr>
          <w:p>
            <w:pPr>
              <w:spacing w:after="0" w:line="201" w:lineRule="exact"/>
              <w:rPr>
                <w:sz w:val="20"/>
                <w:szCs w:val="20"/>
                <w:color w:val="auto"/>
              </w:rPr>
            </w:pPr>
            <w:r>
              <w:rPr>
                <w:rFonts w:ascii="Arial" w:cs="Arial" w:eastAsia="Arial" w:hAnsi="Arial"/>
                <w:sz w:val="18"/>
                <w:szCs w:val="18"/>
                <w:color w:val="auto"/>
              </w:rPr>
              <w:t>Exhibit  10.1  to  the  Company's</w:t>
            </w:r>
          </w:p>
        </w:tc>
        <w:tc>
          <w:tcPr>
            <w:tcW w:w="6820" w:type="dxa"/>
            <w:vAlign w:val="bottom"/>
          </w:tcPr>
          <w:p>
            <w:pPr>
              <w:spacing w:after="0"/>
              <w:rPr>
                <w:sz w:val="17"/>
                <w:szCs w:val="17"/>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w w:val="98"/>
              </w:rPr>
              <w:t>Current Report on Form 8-K, filed</w:t>
            </w:r>
          </w:p>
        </w:tc>
        <w:tc>
          <w:tcPr>
            <w:tcW w:w="6820" w:type="dxa"/>
            <w:vAlign w:val="bottom"/>
          </w:tcPr>
          <w:p>
            <w:pPr>
              <w:spacing w:after="0"/>
              <w:rPr>
                <w:sz w:val="18"/>
                <w:szCs w:val="18"/>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on August 25, 2022).</w:t>
            </w:r>
          </w:p>
        </w:tc>
        <w:tc>
          <w:tcPr>
            <w:tcW w:w="6820" w:type="dxa"/>
            <w:vAlign w:val="bottom"/>
          </w:tcPr>
          <w:p>
            <w:pPr>
              <w:ind w:left="80"/>
              <w:spacing w:after="0"/>
              <w:rPr>
                <w:rFonts w:ascii="Arial" w:cs="Arial" w:eastAsia="Arial" w:hAnsi="Arial"/>
                <w:sz w:val="18"/>
                <w:szCs w:val="18"/>
                <w:u w:val="single" w:color="auto"/>
                <w:color w:val="0000FF"/>
                <w:w w:val="90"/>
              </w:rPr>
            </w:pPr>
            <w:hyperlink r:id="rId472">
              <w:r>
                <w:rPr>
                  <w:rFonts w:ascii="Arial" w:cs="Arial" w:eastAsia="Arial" w:hAnsi="Arial"/>
                  <w:sz w:val="18"/>
                  <w:szCs w:val="18"/>
                  <w:u w:val="single" w:color="auto"/>
                  <w:color w:val="0000FF"/>
                  <w:w w:val="90"/>
                </w:rPr>
                <w:t>https://www.sec.gov/Archives/edgar/data/923796/000119312522230195/d392591dex102.htm</w:t>
              </w:r>
            </w:hyperlink>
          </w:p>
        </w:tc>
      </w:tr>
    </w:tbl>
    <w:p>
      <w:pPr>
        <w:spacing w:after="0" w:line="188" w:lineRule="exact"/>
        <w:rPr>
          <w:sz w:val="20"/>
          <w:szCs w:val="20"/>
          <w:color w:val="auto"/>
        </w:rPr>
      </w:pPr>
    </w:p>
    <w:p>
      <w:pPr>
        <w:ind w:left="20"/>
        <w:spacing w:after="0"/>
        <w:tabs>
          <w:tab w:leader="none" w:pos="660" w:val="left"/>
          <w:tab w:leader="none" w:pos="1760" w:val="left"/>
          <w:tab w:leader="none" w:pos="2220" w:val="left"/>
          <w:tab w:leader="none" w:pos="2520" w:val="left"/>
          <w:tab w:leader="none" w:pos="2860" w:val="left"/>
        </w:tabs>
        <w:rPr>
          <w:sz w:val="20"/>
          <w:szCs w:val="20"/>
          <w:color w:val="auto"/>
        </w:rPr>
      </w:pPr>
      <w:r>
        <w:rPr>
          <w:rFonts w:ascii="Arial" w:cs="Arial" w:eastAsia="Arial" w:hAnsi="Arial"/>
          <w:sz w:val="18"/>
          <w:szCs w:val="18"/>
          <w:color w:val="auto"/>
        </w:rPr>
        <w:t>10.19</w:t>
        <w:tab/>
        <w:t>Amendment</w:t>
        <w:tab/>
        <w:t>No.</w:t>
        <w:tab/>
        <w:t>5</w:t>
        <w:tab/>
        <w:t>to</w:t>
      </w:r>
      <w:r>
        <w:rPr>
          <w:sz w:val="20"/>
          <w:szCs w:val="20"/>
          <w:color w:val="auto"/>
        </w:rPr>
        <w:tab/>
      </w:r>
      <w:r>
        <w:rPr>
          <w:rFonts w:ascii="Arial" w:cs="Arial" w:eastAsia="Arial" w:hAnsi="Arial"/>
          <w:sz w:val="16"/>
          <w:szCs w:val="16"/>
          <w:color w:val="auto"/>
        </w:rPr>
        <w:t>Third</w:t>
      </w:r>
    </w:p>
    <w:p>
      <w:pPr>
        <w:spacing w:after="0" w:line="23" w:lineRule="exact"/>
        <w:rPr>
          <w:sz w:val="20"/>
          <w:szCs w:val="20"/>
          <w:color w:val="auto"/>
        </w:rPr>
      </w:pPr>
    </w:p>
    <w:p>
      <w:pPr>
        <w:ind w:left="680" w:hanging="659"/>
        <w:spacing w:after="0"/>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Amended  and  Restated  Credit</w:t>
      </w:r>
    </w:p>
    <w:p>
      <w:pPr>
        <w:spacing w:after="0" w:line="8" w:lineRule="exact"/>
        <w:rPr>
          <w:rFonts w:ascii="Arial" w:cs="Arial" w:eastAsia="Arial" w:hAnsi="Arial"/>
          <w:sz w:val="18"/>
          <w:szCs w:val="18"/>
          <w:color w:val="auto"/>
        </w:rPr>
      </w:pPr>
    </w:p>
    <w:p>
      <w:pPr>
        <w:jc w:val="both"/>
        <w:ind w:left="680" w:right="7960"/>
        <w:spacing w:after="0" w:line="264" w:lineRule="auto"/>
        <w:rPr>
          <w:rFonts w:ascii="Arial" w:cs="Arial" w:eastAsia="Arial" w:hAnsi="Arial"/>
          <w:sz w:val="18"/>
          <w:szCs w:val="18"/>
          <w:color w:val="auto"/>
        </w:rPr>
      </w:pPr>
      <w:r>
        <w:rPr>
          <w:rFonts w:ascii="Arial" w:cs="Arial" w:eastAsia="Arial" w:hAnsi="Arial"/>
          <w:sz w:val="17"/>
          <w:szCs w:val="17"/>
          <w:color w:val="auto"/>
        </w:rPr>
        <w:t>Agreement and Agency Resignation and Appointment Agreement, dated as of August 19, 2022, by and among The GEO</w:t>
      </w:r>
    </w:p>
    <w:tbl>
      <w:tblPr>
        <w:tblLayout w:type="fixed"/>
        <w:tblInd w:w="0" w:type="dxa"/>
        <w:tblCellMar>
          <w:top w:w="0" w:type="dxa"/>
          <w:left w:w="0" w:type="dxa"/>
          <w:bottom w:w="0" w:type="dxa"/>
          <w:right w:w="0" w:type="dxa"/>
        </w:tblCellMar>
      </w:tblPr>
      <w:tr>
        <w:trPr>
          <w:trHeight w:val="204"/>
        </w:trPr>
        <w:tc>
          <w:tcPr>
            <w:tcW w:w="600" w:type="dxa"/>
            <w:vAlign w:val="bottom"/>
          </w:tcPr>
          <w:p>
            <w:pPr>
              <w:spacing w:after="0"/>
              <w:rPr>
                <w:sz w:val="17"/>
                <w:szCs w:val="17"/>
                <w:color w:val="auto"/>
              </w:rPr>
            </w:pPr>
          </w:p>
        </w:tc>
        <w:tc>
          <w:tcPr>
            <w:tcW w:w="680" w:type="dxa"/>
            <w:vAlign w:val="bottom"/>
          </w:tcPr>
          <w:p>
            <w:pPr>
              <w:ind w:left="80"/>
              <w:spacing w:after="0" w:line="204" w:lineRule="exact"/>
              <w:rPr>
                <w:sz w:val="20"/>
                <w:szCs w:val="20"/>
                <w:color w:val="auto"/>
              </w:rPr>
            </w:pPr>
            <w:r>
              <w:rPr>
                <w:rFonts w:ascii="Arial" w:cs="Arial" w:eastAsia="Arial" w:hAnsi="Arial"/>
                <w:sz w:val="18"/>
                <w:szCs w:val="18"/>
                <w:color w:val="auto"/>
              </w:rPr>
              <w:t>Group,</w:t>
            </w:r>
          </w:p>
        </w:tc>
        <w:tc>
          <w:tcPr>
            <w:tcW w:w="9960" w:type="dxa"/>
            <w:vAlign w:val="bottom"/>
            <w:gridSpan w:val="3"/>
          </w:tcPr>
          <w:p>
            <w:pPr>
              <w:ind w:left="100"/>
              <w:spacing w:after="0" w:line="204" w:lineRule="exact"/>
              <w:rPr>
                <w:sz w:val="20"/>
                <w:szCs w:val="20"/>
                <w:color w:val="auto"/>
              </w:rPr>
            </w:pPr>
            <w:r>
              <w:rPr>
                <w:rFonts w:ascii="Arial" w:cs="Arial" w:eastAsia="Arial" w:hAnsi="Arial"/>
                <w:sz w:val="18"/>
                <w:szCs w:val="18"/>
                <w:color w:val="auto"/>
              </w:rPr>
              <w:t>Inc.,  GEO  Corrections</w:t>
            </w:r>
          </w:p>
        </w:tc>
      </w:tr>
      <w:tr>
        <w:trPr>
          <w:trHeight w:val="216"/>
        </w:trPr>
        <w:tc>
          <w:tcPr>
            <w:tcW w:w="600" w:type="dxa"/>
            <w:vAlign w:val="bottom"/>
          </w:tcPr>
          <w:p>
            <w:pPr>
              <w:spacing w:after="0"/>
              <w:rPr>
                <w:sz w:val="18"/>
                <w:szCs w:val="18"/>
                <w:color w:val="auto"/>
              </w:rPr>
            </w:pPr>
          </w:p>
        </w:tc>
        <w:tc>
          <w:tcPr>
            <w:tcW w:w="10640" w:type="dxa"/>
            <w:vAlign w:val="bottom"/>
            <w:gridSpan w:val="4"/>
          </w:tcPr>
          <w:p>
            <w:pPr>
              <w:ind w:left="80"/>
              <w:spacing w:after="0"/>
              <w:rPr>
                <w:sz w:val="20"/>
                <w:szCs w:val="20"/>
                <w:color w:val="auto"/>
              </w:rPr>
            </w:pPr>
            <w:r>
              <w:rPr>
                <w:rFonts w:ascii="Arial" w:cs="Arial" w:eastAsia="Arial" w:hAnsi="Arial"/>
                <w:sz w:val="18"/>
                <w:szCs w:val="18"/>
                <w:color w:val="auto"/>
              </w:rPr>
              <w:t>Holdings, Inc., the guarantors party</w:t>
            </w:r>
          </w:p>
        </w:tc>
      </w:tr>
      <w:tr>
        <w:trPr>
          <w:trHeight w:val="216"/>
        </w:trPr>
        <w:tc>
          <w:tcPr>
            <w:tcW w:w="600" w:type="dxa"/>
            <w:vAlign w:val="bottom"/>
          </w:tcPr>
          <w:p>
            <w:pPr>
              <w:spacing w:after="0"/>
              <w:rPr>
                <w:sz w:val="18"/>
                <w:szCs w:val="18"/>
                <w:color w:val="auto"/>
              </w:rPr>
            </w:pPr>
          </w:p>
        </w:tc>
        <w:tc>
          <w:tcPr>
            <w:tcW w:w="10640" w:type="dxa"/>
            <w:vAlign w:val="bottom"/>
            <w:gridSpan w:val="4"/>
          </w:tcPr>
          <w:p>
            <w:pPr>
              <w:ind w:left="80"/>
              <w:spacing w:after="0"/>
              <w:rPr>
                <w:sz w:val="20"/>
                <w:szCs w:val="20"/>
                <w:color w:val="auto"/>
              </w:rPr>
            </w:pPr>
            <w:r>
              <w:rPr>
                <w:rFonts w:ascii="Arial" w:cs="Arial" w:eastAsia="Arial" w:hAnsi="Arial"/>
                <w:sz w:val="18"/>
                <w:szCs w:val="18"/>
                <w:color w:val="auto"/>
              </w:rPr>
              <w:t>thereto, the revolving credit lenders</w:t>
            </w:r>
          </w:p>
        </w:tc>
      </w:tr>
      <w:tr>
        <w:trPr>
          <w:trHeight w:val="190"/>
        </w:trPr>
        <w:tc>
          <w:tcPr>
            <w:tcW w:w="600" w:type="dxa"/>
            <w:vAlign w:val="bottom"/>
          </w:tcPr>
          <w:p>
            <w:pPr>
              <w:spacing w:after="0"/>
              <w:rPr>
                <w:sz w:val="16"/>
                <w:szCs w:val="16"/>
                <w:color w:val="auto"/>
              </w:rPr>
            </w:pPr>
          </w:p>
        </w:tc>
        <w:tc>
          <w:tcPr>
            <w:tcW w:w="680" w:type="dxa"/>
            <w:vAlign w:val="bottom"/>
          </w:tcPr>
          <w:p>
            <w:pPr>
              <w:ind w:left="80"/>
              <w:spacing w:after="0" w:line="189" w:lineRule="exact"/>
              <w:rPr>
                <w:sz w:val="20"/>
                <w:szCs w:val="20"/>
                <w:color w:val="auto"/>
              </w:rPr>
            </w:pPr>
            <w:r>
              <w:rPr>
                <w:rFonts w:ascii="Arial" w:cs="Arial" w:eastAsia="Arial" w:hAnsi="Arial"/>
                <w:sz w:val="18"/>
                <w:szCs w:val="18"/>
                <w:color w:val="auto"/>
              </w:rPr>
              <w:t>party</w:t>
            </w:r>
          </w:p>
        </w:tc>
        <w:tc>
          <w:tcPr>
            <w:tcW w:w="2140" w:type="dxa"/>
            <w:vAlign w:val="bottom"/>
          </w:tcPr>
          <w:p>
            <w:pPr>
              <w:spacing w:after="0"/>
              <w:rPr>
                <w:sz w:val="16"/>
                <w:szCs w:val="16"/>
                <w:color w:val="auto"/>
              </w:rPr>
            </w:pPr>
          </w:p>
        </w:tc>
        <w:tc>
          <w:tcPr>
            <w:tcW w:w="7820" w:type="dxa"/>
            <w:vAlign w:val="bottom"/>
            <w:gridSpan w:val="2"/>
          </w:tcPr>
          <w:p>
            <w:pPr>
              <w:spacing w:after="0" w:line="189" w:lineRule="exact"/>
              <w:rPr>
                <w:rFonts w:ascii="Arial" w:cs="Arial" w:eastAsia="Arial" w:hAnsi="Arial"/>
                <w:sz w:val="18"/>
                <w:szCs w:val="18"/>
                <w:color w:val="0000FF"/>
              </w:rPr>
            </w:pPr>
            <w:hyperlink r:id="rId472">
              <w:r>
                <w:rPr>
                  <w:rFonts w:ascii="Arial" w:cs="Arial" w:eastAsia="Arial" w:hAnsi="Arial"/>
                  <w:sz w:val="18"/>
                  <w:szCs w:val="18"/>
                  <w:color w:val="0000FF"/>
                </w:rPr>
                <w:t>https://www.sec.gov/Archives/edgar/data/923796/000119312522230195/d392591dex102.htm</w:t>
              </w:r>
            </w:hyperlink>
          </w:p>
        </w:tc>
      </w:tr>
      <w:tr>
        <w:trPr>
          <w:trHeight w:val="34"/>
        </w:trPr>
        <w:tc>
          <w:tcPr>
            <w:tcW w:w="6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6740" w:type="dxa"/>
            <w:vAlign w:val="bottom"/>
            <w:tcBorders>
              <w:top w:val="single" w:sz="8" w:color="0000FF"/>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425"/>
        </w:trPr>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80" w:type="dxa"/>
            <w:vAlign w:val="bottom"/>
            <w:gridSpan w:val="2"/>
          </w:tcPr>
          <w:p>
            <w:pPr>
              <w:jc w:val="right"/>
              <w:ind w:right="4310"/>
              <w:spacing w:after="0"/>
              <w:rPr>
                <w:sz w:val="20"/>
                <w:szCs w:val="20"/>
                <w:color w:val="auto"/>
              </w:rPr>
            </w:pPr>
            <w:r>
              <w:rPr>
                <w:rFonts w:ascii="Arial" w:cs="Arial" w:eastAsia="Arial" w:hAnsi="Arial"/>
                <w:sz w:val="18"/>
                <w:szCs w:val="18"/>
                <w:color w:val="auto"/>
              </w:rPr>
              <w:t>145</w:t>
            </w:r>
          </w:p>
        </w:tc>
        <w:tc>
          <w:tcPr>
            <w:tcW w:w="1080" w:type="dxa"/>
            <w:vAlign w:val="bottom"/>
          </w:tcPr>
          <w:p>
            <w:pPr>
              <w:spacing w:after="0"/>
              <w:rPr>
                <w:sz w:val="24"/>
                <w:szCs w:val="24"/>
                <w:color w:val="auto"/>
              </w:rPr>
            </w:pPr>
          </w:p>
        </w:tc>
      </w:tr>
      <w:tr>
        <w:trPr>
          <w:trHeight w:val="115"/>
        </w:trPr>
        <w:tc>
          <w:tcPr>
            <w:tcW w:w="6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67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28"/>
        </w:trPr>
        <w:tc>
          <w:tcPr>
            <w:tcW w:w="620" w:type="dxa"/>
            <w:vAlign w:val="bottom"/>
            <w:tcBorders>
              <w:right w:val="single" w:sz="8" w:color="auto"/>
            </w:tcBorders>
          </w:tcPr>
          <w:p>
            <w:pPr>
              <w:spacing w:after="0"/>
              <w:rPr>
                <w:sz w:val="19"/>
                <w:szCs w:val="19"/>
                <w:color w:val="auto"/>
              </w:rPr>
            </w:pPr>
          </w:p>
        </w:tc>
        <w:tc>
          <w:tcPr>
            <w:tcW w:w="2760" w:type="dxa"/>
            <w:vAlign w:val="bottom"/>
            <w:tcBorders>
              <w:top w:val="single" w:sz="8" w:color="auto"/>
              <w:right w:val="single" w:sz="8" w:color="auto"/>
            </w:tcBorders>
            <w:gridSpan w:val="8"/>
          </w:tcPr>
          <w:p>
            <w:pPr>
              <w:ind w:left="60"/>
              <w:spacing w:after="0"/>
              <w:rPr>
                <w:sz w:val="20"/>
                <w:szCs w:val="20"/>
                <w:color w:val="auto"/>
              </w:rPr>
            </w:pPr>
            <w:r>
              <w:rPr>
                <w:rFonts w:ascii="Arial" w:cs="Arial" w:eastAsia="Arial" w:hAnsi="Arial"/>
                <w:sz w:val="18"/>
                <w:szCs w:val="18"/>
                <w:color w:val="auto"/>
              </w:rPr>
              <w:t>thereto,  the  term  lenders  party</w:t>
            </w:r>
          </w:p>
        </w:tc>
        <w:tc>
          <w:tcPr>
            <w:tcW w:w="40" w:type="dxa"/>
            <w:vAlign w:val="bottom"/>
            <w:tcBorders>
              <w:top w:val="single" w:sz="8" w:color="auto"/>
            </w:tcBorders>
          </w:tcPr>
          <w:p>
            <w:pPr>
              <w:spacing w:after="0"/>
              <w:rPr>
                <w:sz w:val="19"/>
                <w:szCs w:val="19"/>
                <w:color w:val="auto"/>
              </w:rPr>
            </w:pPr>
          </w:p>
        </w:tc>
        <w:tc>
          <w:tcPr>
            <w:tcW w:w="70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w w:val="94"/>
              </w:rPr>
              <w:t>thereto, the issuing lenders and the</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w w:val="98"/>
              </w:rPr>
              <w:t>swingline lender, BNP Paribas, as</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the</w:t>
            </w:r>
          </w:p>
        </w:tc>
        <w:tc>
          <w:tcPr>
            <w:tcW w:w="1880" w:type="dxa"/>
            <w:vAlign w:val="bottom"/>
            <w:gridSpan w:val="5"/>
          </w:tcPr>
          <w:p>
            <w:pPr>
              <w:ind w:left="60"/>
              <w:spacing w:after="0"/>
              <w:rPr>
                <w:sz w:val="20"/>
                <w:szCs w:val="20"/>
                <w:color w:val="auto"/>
              </w:rPr>
            </w:pPr>
            <w:r>
              <w:rPr>
                <w:rFonts w:ascii="Arial" w:cs="Arial" w:eastAsia="Arial" w:hAnsi="Arial"/>
                <w:sz w:val="18"/>
                <w:szCs w:val="18"/>
                <w:color w:val="auto"/>
                <w:w w:val="98"/>
              </w:rPr>
              <w:t>existing  administrative</w:t>
            </w:r>
          </w:p>
        </w:tc>
        <w:tc>
          <w:tcPr>
            <w:tcW w:w="520" w:type="dxa"/>
            <w:vAlign w:val="bottom"/>
            <w:tcBorders>
              <w:right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88"/>
              </w:rPr>
              <w:t>agent</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w w:val="94"/>
              </w:rPr>
              <w:t>for lenders under the existing credit</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w w:val="98"/>
              </w:rPr>
              <w:t>agreement, Alter Domus Products</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rPr>
              <w:t>Corp., as the new administrative</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w w:val="98"/>
              </w:rPr>
              <w:t>agent  for  the  lenders  under  the</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w w:val="87"/>
              </w:rPr>
              <w:t>amended</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w w:val="86"/>
              </w:rPr>
              <w:t>credit</w:t>
            </w: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w w:val="87"/>
              </w:rPr>
              <w:t>agreement,</w:t>
            </w:r>
          </w:p>
        </w:tc>
        <w:tc>
          <w:tcPr>
            <w:tcW w:w="120" w:type="dxa"/>
            <w:vAlign w:val="bottom"/>
          </w:tcPr>
          <w:p>
            <w:pPr>
              <w:spacing w:after="0"/>
              <w:rPr>
                <w:sz w:val="18"/>
                <w:szCs w:val="18"/>
                <w:color w:val="auto"/>
              </w:rPr>
            </w:pPr>
          </w:p>
        </w:tc>
        <w:tc>
          <w:tcPr>
            <w:tcW w:w="4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86"/>
              </w:rPr>
              <w:t>and</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w w:val="93"/>
              </w:rPr>
              <w:t>Alter Domus Products Corp., as the</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w w:val="94"/>
              </w:rPr>
              <w:t>administrative agent for the lenders</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under</w:t>
            </w:r>
          </w:p>
        </w:tc>
        <w:tc>
          <w:tcPr>
            <w:tcW w:w="400" w:type="dxa"/>
            <w:vAlign w:val="bottom"/>
          </w:tcPr>
          <w:p>
            <w:pPr>
              <w:ind w:left="20"/>
              <w:spacing w:after="0"/>
              <w:rPr>
                <w:sz w:val="20"/>
                <w:szCs w:val="20"/>
                <w:color w:val="auto"/>
              </w:rPr>
            </w:pPr>
            <w:r>
              <w:rPr>
                <w:rFonts w:ascii="Arial" w:cs="Arial" w:eastAsia="Arial" w:hAnsi="Arial"/>
                <w:sz w:val="18"/>
                <w:szCs w:val="18"/>
                <w:color w:val="auto"/>
              </w:rPr>
              <w:t>the</w:t>
            </w:r>
          </w:p>
        </w:tc>
        <w:tc>
          <w:tcPr>
            <w:tcW w:w="1100" w:type="dxa"/>
            <w:vAlign w:val="bottom"/>
            <w:gridSpan w:val="3"/>
          </w:tcPr>
          <w:p>
            <w:pPr>
              <w:ind w:left="140"/>
              <w:spacing w:after="0"/>
              <w:rPr>
                <w:sz w:val="20"/>
                <w:szCs w:val="20"/>
                <w:color w:val="auto"/>
              </w:rPr>
            </w:pPr>
            <w:r>
              <w:rPr>
                <w:rFonts w:ascii="Arial" w:cs="Arial" w:eastAsia="Arial" w:hAnsi="Arial"/>
                <w:sz w:val="18"/>
                <w:szCs w:val="18"/>
                <w:color w:val="auto"/>
              </w:rPr>
              <w:t>exchange</w:t>
            </w:r>
          </w:p>
        </w:tc>
        <w:tc>
          <w:tcPr>
            <w:tcW w:w="520" w:type="dxa"/>
            <w:vAlign w:val="bottom"/>
            <w:tcBorders>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86"/>
              </w:rPr>
              <w:t>credit</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1140" w:type="dxa"/>
            <w:vAlign w:val="bottom"/>
            <w:gridSpan w:val="3"/>
          </w:tcPr>
          <w:p>
            <w:pPr>
              <w:ind w:left="60"/>
              <w:spacing w:after="0"/>
              <w:rPr>
                <w:sz w:val="20"/>
                <w:szCs w:val="20"/>
                <w:color w:val="auto"/>
              </w:rPr>
            </w:pPr>
            <w:r>
              <w:rPr>
                <w:rFonts w:ascii="Arial" w:cs="Arial" w:eastAsia="Arial" w:hAnsi="Arial"/>
                <w:sz w:val="18"/>
                <w:szCs w:val="18"/>
                <w:color w:val="auto"/>
              </w:rPr>
              <w:t>agreement</w:t>
            </w:r>
          </w:p>
        </w:tc>
        <w:tc>
          <w:tcPr>
            <w:tcW w:w="1100" w:type="dxa"/>
            <w:vAlign w:val="bottom"/>
            <w:gridSpan w:val="3"/>
          </w:tcPr>
          <w:p>
            <w:pPr>
              <w:ind w:left="20"/>
              <w:spacing w:after="0"/>
              <w:rPr>
                <w:sz w:val="20"/>
                <w:szCs w:val="20"/>
                <w:color w:val="auto"/>
              </w:rPr>
            </w:pPr>
            <w:r>
              <w:rPr>
                <w:rFonts w:ascii="Arial" w:cs="Arial" w:eastAsia="Arial" w:hAnsi="Arial"/>
                <w:sz w:val="18"/>
                <w:szCs w:val="18"/>
                <w:color w:val="auto"/>
                <w:w w:val="99"/>
              </w:rPr>
              <w:t>(incorporated</w:t>
            </w:r>
          </w:p>
        </w:tc>
        <w:tc>
          <w:tcPr>
            <w:tcW w:w="120" w:type="dxa"/>
            <w:vAlign w:val="bottom"/>
          </w:tcPr>
          <w:p>
            <w:pPr>
              <w:spacing w:after="0"/>
              <w:rPr>
                <w:sz w:val="18"/>
                <w:szCs w:val="18"/>
                <w:color w:val="auto"/>
              </w:rPr>
            </w:pPr>
          </w:p>
        </w:tc>
        <w:tc>
          <w:tcPr>
            <w:tcW w:w="4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w w:val="98"/>
              </w:rPr>
              <w:t>reference  to  Exhibit  10.2  to  the</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w w:val="93"/>
              </w:rPr>
              <w:t>Company's Current Report on Form</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rPr>
              <w:t>8-K, filed on August 25, 2022).</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0" w:type="dxa"/>
            <w:vAlign w:val="bottom"/>
            <w:tcBorders>
              <w:right w:val="single" w:sz="8" w:color="auto"/>
            </w:tcBorders>
          </w:tcPr>
          <w:p>
            <w:pPr>
              <w:spacing w:after="0"/>
              <w:rPr>
                <w:sz w:val="20"/>
                <w:szCs w:val="20"/>
                <w:color w:val="auto"/>
              </w:rPr>
            </w:pPr>
          </w:p>
        </w:tc>
        <w:tc>
          <w:tcPr>
            <w:tcW w:w="224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color w:val="auto"/>
              </w:rPr>
              <w:t>(included in Exhibit 10-17).</w:t>
            </w: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w w:val="88"/>
              </w:rPr>
              <w:t>10.20</w:t>
            </w:r>
          </w:p>
        </w:tc>
        <w:tc>
          <w:tcPr>
            <w:tcW w:w="1140" w:type="dxa"/>
            <w:vAlign w:val="bottom"/>
            <w:gridSpan w:val="3"/>
          </w:tcPr>
          <w:p>
            <w:pPr>
              <w:ind w:left="60"/>
              <w:spacing w:after="0"/>
              <w:rPr>
                <w:sz w:val="20"/>
                <w:szCs w:val="20"/>
                <w:color w:val="auto"/>
              </w:rPr>
            </w:pPr>
            <w:r>
              <w:rPr>
                <w:rFonts w:ascii="Arial" w:cs="Arial" w:eastAsia="Arial" w:hAnsi="Arial"/>
                <w:sz w:val="18"/>
                <w:szCs w:val="18"/>
                <w:color w:val="auto"/>
              </w:rPr>
              <w:t>Confidential</w:t>
            </w:r>
          </w:p>
        </w:tc>
        <w:tc>
          <w:tcPr>
            <w:tcW w:w="14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Separation</w:t>
            </w:r>
          </w:p>
        </w:tc>
        <w:tc>
          <w:tcPr>
            <w:tcW w:w="120" w:type="dxa"/>
            <w:vAlign w:val="bottom"/>
          </w:tcPr>
          <w:p>
            <w:pPr>
              <w:spacing w:after="0"/>
              <w:rPr>
                <w:sz w:val="18"/>
                <w:szCs w:val="18"/>
                <w:color w:val="auto"/>
              </w:rPr>
            </w:pPr>
          </w:p>
        </w:tc>
        <w:tc>
          <w:tcPr>
            <w:tcW w:w="4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w w:val="93"/>
              </w:rPr>
              <w:t>and</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General</w:t>
            </w:r>
          </w:p>
        </w:tc>
        <w:tc>
          <w:tcPr>
            <w:tcW w:w="880" w:type="dxa"/>
            <w:vAlign w:val="bottom"/>
            <w:gridSpan w:val="3"/>
          </w:tcPr>
          <w:p>
            <w:pPr>
              <w:ind w:left="200"/>
              <w:spacing w:after="0"/>
              <w:rPr>
                <w:sz w:val="20"/>
                <w:szCs w:val="20"/>
                <w:color w:val="auto"/>
              </w:rPr>
            </w:pPr>
            <w:r>
              <w:rPr>
                <w:rFonts w:ascii="Arial" w:cs="Arial" w:eastAsia="Arial" w:hAnsi="Arial"/>
                <w:sz w:val="18"/>
                <w:szCs w:val="18"/>
                <w:color w:val="auto"/>
                <w:w w:val="99"/>
              </w:rPr>
              <w:t>Release</w:t>
            </w:r>
          </w:p>
        </w:tc>
        <w:tc>
          <w:tcPr>
            <w:tcW w:w="1140" w:type="dxa"/>
            <w:vAlign w:val="bottom"/>
            <w:tcBorders>
              <w:right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Agreement,</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w w:val="99"/>
              </w:rPr>
              <w:t>entered into between Blake Davis</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rPr>
              <w:t>and   The   GEO   Group,   Inc.</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1140" w:type="dxa"/>
            <w:vAlign w:val="bottom"/>
            <w:gridSpan w:val="3"/>
          </w:tcPr>
          <w:p>
            <w:pPr>
              <w:ind w:left="60"/>
              <w:spacing w:after="0"/>
              <w:rPr>
                <w:sz w:val="20"/>
                <w:szCs w:val="20"/>
                <w:color w:val="auto"/>
              </w:rPr>
            </w:pPr>
            <w:r>
              <w:rPr>
                <w:rFonts w:ascii="Arial" w:cs="Arial" w:eastAsia="Arial" w:hAnsi="Arial"/>
                <w:sz w:val="18"/>
                <w:szCs w:val="18"/>
                <w:color w:val="auto"/>
                <w:w w:val="99"/>
              </w:rPr>
              <w:t>(incorporated</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by</w:t>
            </w:r>
          </w:p>
        </w:tc>
        <w:tc>
          <w:tcPr>
            <w:tcW w:w="740" w:type="dxa"/>
            <w:vAlign w:val="bottom"/>
            <w:gridSpan w:val="2"/>
          </w:tcPr>
          <w:p>
            <w:pPr>
              <w:ind w:left="20"/>
              <w:spacing w:after="0"/>
              <w:rPr>
                <w:sz w:val="20"/>
                <w:szCs w:val="20"/>
                <w:color w:val="auto"/>
              </w:rPr>
            </w:pPr>
            <w:r>
              <w:rPr>
                <w:rFonts w:ascii="Arial" w:cs="Arial" w:eastAsia="Arial" w:hAnsi="Arial"/>
                <w:sz w:val="18"/>
                <w:szCs w:val="18"/>
                <w:color w:val="auto"/>
                <w:w w:val="92"/>
              </w:rPr>
              <w:t>reference</w:t>
            </w:r>
          </w:p>
        </w:tc>
        <w:tc>
          <w:tcPr>
            <w:tcW w:w="4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to</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rPr>
              <w:t>Exhibit  10.1  to  the  Company's</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w w:val="99"/>
              </w:rPr>
              <w:t>Current Report on Form 8-K, filed</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20" w:type="dxa"/>
            <w:vAlign w:val="bottom"/>
            <w:tcBorders>
              <w:right w:val="single" w:sz="8" w:color="auto"/>
            </w:tcBorders>
          </w:tcPr>
          <w:p>
            <w:pPr>
              <w:spacing w:after="0"/>
              <w:rPr>
                <w:sz w:val="16"/>
                <w:szCs w:val="16"/>
                <w:color w:val="auto"/>
              </w:rPr>
            </w:pPr>
          </w:p>
        </w:tc>
        <w:tc>
          <w:tcPr>
            <w:tcW w:w="1620" w:type="dxa"/>
            <w:vAlign w:val="bottom"/>
            <w:gridSpan w:val="5"/>
          </w:tcPr>
          <w:p>
            <w:pPr>
              <w:ind w:left="60"/>
              <w:spacing w:after="0" w:line="189" w:lineRule="exact"/>
              <w:rPr>
                <w:sz w:val="20"/>
                <w:szCs w:val="20"/>
                <w:color w:val="auto"/>
              </w:rPr>
            </w:pPr>
            <w:r>
              <w:rPr>
                <w:rFonts w:ascii="Arial" w:cs="Arial" w:eastAsia="Arial" w:hAnsi="Arial"/>
                <w:sz w:val="18"/>
                <w:szCs w:val="18"/>
                <w:color w:val="auto"/>
                <w:w w:val="94"/>
              </w:rPr>
              <w:t>on April 21, 2021). †</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20" w:type="dxa"/>
            <w:vAlign w:val="bottom"/>
            <w:tcBorders>
              <w:right w:val="single" w:sz="8" w:color="auto"/>
            </w:tcBorders>
            <w:gridSpan w:val="3"/>
          </w:tcPr>
          <w:p>
            <w:pPr>
              <w:spacing w:after="0" w:line="189" w:lineRule="exact"/>
              <w:rPr>
                <w:rFonts w:ascii="Arial" w:cs="Arial" w:eastAsia="Arial" w:hAnsi="Arial"/>
                <w:sz w:val="18"/>
                <w:szCs w:val="18"/>
                <w:color w:val="auto"/>
              </w:rPr>
            </w:pPr>
            <w:hyperlink r:id="rId475">
              <w:r>
                <w:rPr>
                  <w:rFonts w:ascii="Arial" w:cs="Arial" w:eastAsia="Arial" w:hAnsi="Arial"/>
                  <w:sz w:val="18"/>
                  <w:szCs w:val="18"/>
                  <w:color w:val="auto"/>
                </w:rPr>
                <w:t>https://www.sec.gov/Archives/edgar/data/0000923796/000119312521124974/d79491dex101.htm</w:t>
              </w:r>
            </w:hyperlink>
          </w:p>
        </w:tc>
        <w:tc>
          <w:tcPr>
            <w:tcW w:w="0" w:type="dxa"/>
            <w:vAlign w:val="bottom"/>
          </w:tcPr>
          <w:p>
            <w:pPr>
              <w:spacing w:after="0"/>
              <w:rPr>
                <w:sz w:val="1"/>
                <w:szCs w:val="1"/>
                <w:color w:val="auto"/>
              </w:rPr>
            </w:pPr>
          </w:p>
        </w:tc>
      </w:tr>
      <w:tr>
        <w:trPr>
          <w:trHeight w:val="34"/>
        </w:trPr>
        <w:tc>
          <w:tcPr>
            <w:tcW w:w="62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88"/>
              </w:rPr>
              <w:t>10.21</w:t>
            </w: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20" w:type="dxa"/>
            <w:vAlign w:val="bottom"/>
            <w:tcBorders>
              <w:right w:val="single" w:sz="8" w:color="auto"/>
            </w:tcBorders>
            <w:vMerge w:val="continue"/>
          </w:tcPr>
          <w:p>
            <w:pPr>
              <w:spacing w:after="0"/>
              <w:rPr>
                <w:sz w:val="12"/>
                <w:szCs w:val="12"/>
                <w:color w:val="auto"/>
              </w:rPr>
            </w:pPr>
          </w:p>
        </w:tc>
        <w:tc>
          <w:tcPr>
            <w:tcW w:w="2760" w:type="dxa"/>
            <w:vAlign w:val="bottom"/>
            <w:tcBorders>
              <w:bottom w:val="single" w:sz="8" w:color="auto"/>
              <w:right w:val="single" w:sz="8" w:color="auto"/>
            </w:tcBorders>
            <w:gridSpan w:val="8"/>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0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20" w:type="dxa"/>
            <w:vAlign w:val="bottom"/>
            <w:tcBorders>
              <w:right w:val="single" w:sz="8" w:color="auto"/>
            </w:tcBorders>
            <w:vMerge w:val="continue"/>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w w:val="97"/>
              </w:rPr>
              <w:t>The  GEO  Group,  Inc.  Amended</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w w:val="95"/>
              </w:rPr>
              <w:t>and Restated 2018 Stock Incentive</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w w:val="97"/>
              </w:rPr>
              <w:t>Plan (incorporated by reference to</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rPr>
              <w:t>Exhibit  10.1  to  the  Company’s</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w w:val="99"/>
              </w:rPr>
              <w:t>Current Report on Form 8-K, filed</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20" w:type="dxa"/>
            <w:vAlign w:val="bottom"/>
            <w:tcBorders>
              <w:right w:val="single" w:sz="8" w:color="auto"/>
            </w:tcBorders>
          </w:tcPr>
          <w:p>
            <w:pPr>
              <w:spacing w:after="0"/>
              <w:rPr>
                <w:sz w:val="16"/>
                <w:szCs w:val="16"/>
                <w:color w:val="auto"/>
              </w:rPr>
            </w:pPr>
          </w:p>
        </w:tc>
        <w:tc>
          <w:tcPr>
            <w:tcW w:w="1620" w:type="dxa"/>
            <w:vAlign w:val="bottom"/>
            <w:gridSpan w:val="5"/>
          </w:tcPr>
          <w:p>
            <w:pPr>
              <w:ind w:left="60"/>
              <w:spacing w:after="0" w:line="189" w:lineRule="exact"/>
              <w:rPr>
                <w:sz w:val="20"/>
                <w:szCs w:val="20"/>
                <w:color w:val="auto"/>
              </w:rPr>
            </w:pPr>
            <w:r>
              <w:rPr>
                <w:rFonts w:ascii="Arial" w:cs="Arial" w:eastAsia="Arial" w:hAnsi="Arial"/>
                <w:sz w:val="18"/>
                <w:szCs w:val="18"/>
                <w:color w:val="auto"/>
              </w:rPr>
              <w:t>on May 4, 2021) †</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20" w:type="dxa"/>
            <w:vAlign w:val="bottom"/>
            <w:tcBorders>
              <w:right w:val="single" w:sz="8" w:color="auto"/>
            </w:tcBorders>
            <w:gridSpan w:val="3"/>
          </w:tcPr>
          <w:p>
            <w:pPr>
              <w:spacing w:after="0" w:line="189" w:lineRule="exact"/>
              <w:rPr>
                <w:rFonts w:ascii="Arial" w:cs="Arial" w:eastAsia="Arial" w:hAnsi="Arial"/>
                <w:sz w:val="18"/>
                <w:szCs w:val="18"/>
                <w:color w:val="auto"/>
                <w:w w:val="99"/>
              </w:rPr>
            </w:pPr>
            <w:hyperlink r:id="rId476">
              <w:r>
                <w:rPr>
                  <w:rFonts w:ascii="Arial" w:cs="Arial" w:eastAsia="Arial" w:hAnsi="Arial"/>
                  <w:sz w:val="18"/>
                  <w:szCs w:val="18"/>
                  <w:color w:val="auto"/>
                  <w:w w:val="99"/>
                </w:rPr>
                <w:t>https://www.sec.gov/Archives/edgar/data/0000923796/000119312521150222/d178751dex101.htm</w:t>
              </w:r>
            </w:hyperlink>
          </w:p>
        </w:tc>
        <w:tc>
          <w:tcPr>
            <w:tcW w:w="0" w:type="dxa"/>
            <w:vAlign w:val="bottom"/>
          </w:tcPr>
          <w:p>
            <w:pPr>
              <w:spacing w:after="0"/>
              <w:rPr>
                <w:sz w:val="1"/>
                <w:szCs w:val="1"/>
                <w:color w:val="auto"/>
              </w:rPr>
            </w:pPr>
          </w:p>
        </w:tc>
      </w:tr>
      <w:tr>
        <w:trPr>
          <w:trHeight w:val="34"/>
        </w:trPr>
        <w:tc>
          <w:tcPr>
            <w:tcW w:w="62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88"/>
              </w:rPr>
              <w:t>10.22</w:t>
            </w: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20" w:type="dxa"/>
            <w:vAlign w:val="bottom"/>
            <w:tcBorders>
              <w:right w:val="single" w:sz="8" w:color="auto"/>
            </w:tcBorders>
            <w:vMerge w:val="continue"/>
          </w:tcPr>
          <w:p>
            <w:pPr>
              <w:spacing w:after="0"/>
              <w:rPr>
                <w:sz w:val="12"/>
                <w:szCs w:val="12"/>
                <w:color w:val="auto"/>
              </w:rPr>
            </w:pPr>
          </w:p>
        </w:tc>
        <w:tc>
          <w:tcPr>
            <w:tcW w:w="2760" w:type="dxa"/>
            <w:vAlign w:val="bottom"/>
            <w:tcBorders>
              <w:bottom w:val="single" w:sz="8" w:color="auto"/>
              <w:right w:val="single" w:sz="8" w:color="auto"/>
            </w:tcBorders>
            <w:gridSpan w:val="8"/>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0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20" w:type="dxa"/>
            <w:vAlign w:val="bottom"/>
            <w:tcBorders>
              <w:right w:val="single" w:sz="8" w:color="auto"/>
            </w:tcBorders>
            <w:vMerge w:val="continue"/>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w w:val="97"/>
              </w:rPr>
              <w:t>The  GEO  Group,  Inc.  Amended</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and</w:t>
            </w:r>
          </w:p>
        </w:tc>
        <w:tc>
          <w:tcPr>
            <w:tcW w:w="780" w:type="dxa"/>
            <w:vAlign w:val="bottom"/>
            <w:gridSpan w:val="2"/>
          </w:tcPr>
          <w:p>
            <w:pPr>
              <w:ind w:left="160"/>
              <w:spacing w:after="0"/>
              <w:rPr>
                <w:sz w:val="20"/>
                <w:szCs w:val="20"/>
                <w:color w:val="auto"/>
              </w:rPr>
            </w:pPr>
            <w:r>
              <w:rPr>
                <w:rFonts w:ascii="Arial" w:cs="Arial" w:eastAsia="Arial" w:hAnsi="Arial"/>
                <w:sz w:val="18"/>
                <w:szCs w:val="18"/>
                <w:color w:val="auto"/>
                <w:w w:val="83"/>
              </w:rPr>
              <w:t>Restated</w:t>
            </w:r>
          </w:p>
        </w:tc>
        <w:tc>
          <w:tcPr>
            <w:tcW w:w="14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color w:val="auto"/>
              </w:rPr>
              <w:t>Employee</w:t>
            </w:r>
          </w:p>
        </w:tc>
        <w:tc>
          <w:tcPr>
            <w:tcW w:w="520" w:type="dxa"/>
            <w:vAlign w:val="bottom"/>
            <w:tcBorders>
              <w:right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88"/>
              </w:rPr>
              <w:t>Stock</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w w:val="86"/>
              </w:rPr>
              <w:t>Purchase</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Plan</w:t>
            </w: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w w:val="90"/>
              </w:rPr>
              <w:t>(incorporated</w:t>
            </w:r>
          </w:p>
        </w:tc>
        <w:tc>
          <w:tcPr>
            <w:tcW w:w="4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w w:val="98"/>
              </w:rPr>
              <w:t>reference  to  Exhibit  10.2  to  the</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w w:val="93"/>
              </w:rPr>
              <w:t>Company's Current Report on Form</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20" w:type="dxa"/>
            <w:vAlign w:val="bottom"/>
            <w:tcBorders>
              <w:right w:val="single" w:sz="8" w:color="auto"/>
            </w:tcBorders>
          </w:tcPr>
          <w:p>
            <w:pPr>
              <w:spacing w:after="0"/>
              <w:rPr>
                <w:sz w:val="16"/>
                <w:szCs w:val="16"/>
                <w:color w:val="auto"/>
              </w:rPr>
            </w:pPr>
          </w:p>
        </w:tc>
        <w:tc>
          <w:tcPr>
            <w:tcW w:w="2240" w:type="dxa"/>
            <w:vAlign w:val="bottom"/>
            <w:gridSpan w:val="6"/>
          </w:tcPr>
          <w:p>
            <w:pPr>
              <w:ind w:left="60"/>
              <w:spacing w:after="0" w:line="189" w:lineRule="exact"/>
              <w:rPr>
                <w:sz w:val="20"/>
                <w:szCs w:val="20"/>
                <w:color w:val="auto"/>
              </w:rPr>
            </w:pPr>
            <w:r>
              <w:rPr>
                <w:rFonts w:ascii="Arial" w:cs="Arial" w:eastAsia="Arial" w:hAnsi="Arial"/>
                <w:sz w:val="18"/>
                <w:szCs w:val="18"/>
                <w:color w:val="auto"/>
                <w:w w:val="95"/>
              </w:rPr>
              <w:t>8-K, filed on May 4, 2021). †</w:t>
            </w:r>
          </w:p>
        </w:tc>
        <w:tc>
          <w:tcPr>
            <w:tcW w:w="12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20" w:type="dxa"/>
            <w:vAlign w:val="bottom"/>
            <w:tcBorders>
              <w:right w:val="single" w:sz="8" w:color="auto"/>
            </w:tcBorders>
            <w:gridSpan w:val="3"/>
          </w:tcPr>
          <w:p>
            <w:pPr>
              <w:spacing w:after="0" w:line="189" w:lineRule="exact"/>
              <w:rPr>
                <w:rFonts w:ascii="Arial" w:cs="Arial" w:eastAsia="Arial" w:hAnsi="Arial"/>
                <w:sz w:val="18"/>
                <w:szCs w:val="18"/>
                <w:color w:val="auto"/>
                <w:w w:val="99"/>
              </w:rPr>
            </w:pPr>
            <w:hyperlink r:id="rId477">
              <w:r>
                <w:rPr>
                  <w:rFonts w:ascii="Arial" w:cs="Arial" w:eastAsia="Arial" w:hAnsi="Arial"/>
                  <w:sz w:val="18"/>
                  <w:szCs w:val="18"/>
                  <w:color w:val="auto"/>
                  <w:w w:val="99"/>
                </w:rPr>
                <w:t>https://www.sec.gov/Archives/edgar/data/0000923796/000119312521150222/d178751dex102.htm</w:t>
              </w:r>
            </w:hyperlink>
          </w:p>
        </w:tc>
        <w:tc>
          <w:tcPr>
            <w:tcW w:w="0" w:type="dxa"/>
            <w:vAlign w:val="bottom"/>
          </w:tcPr>
          <w:p>
            <w:pPr>
              <w:spacing w:after="0"/>
              <w:rPr>
                <w:sz w:val="1"/>
                <w:szCs w:val="1"/>
                <w:color w:val="auto"/>
              </w:rPr>
            </w:pPr>
          </w:p>
        </w:tc>
      </w:tr>
      <w:tr>
        <w:trPr>
          <w:trHeight w:val="34"/>
        </w:trPr>
        <w:tc>
          <w:tcPr>
            <w:tcW w:w="62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88"/>
              </w:rPr>
              <w:t>10.23</w:t>
            </w: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20" w:type="dxa"/>
            <w:vAlign w:val="bottom"/>
            <w:tcBorders>
              <w:right w:val="single" w:sz="8" w:color="auto"/>
            </w:tcBorders>
            <w:vMerge w:val="continue"/>
          </w:tcPr>
          <w:p>
            <w:pPr>
              <w:spacing w:after="0"/>
              <w:rPr>
                <w:sz w:val="12"/>
                <w:szCs w:val="12"/>
                <w:color w:val="auto"/>
              </w:rPr>
            </w:pPr>
          </w:p>
        </w:tc>
        <w:tc>
          <w:tcPr>
            <w:tcW w:w="2760" w:type="dxa"/>
            <w:vAlign w:val="bottom"/>
            <w:tcBorders>
              <w:bottom w:val="single" w:sz="8" w:color="auto"/>
              <w:right w:val="single" w:sz="8" w:color="auto"/>
            </w:tcBorders>
            <w:gridSpan w:val="8"/>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0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20" w:type="dxa"/>
            <w:vAlign w:val="bottom"/>
            <w:tcBorders>
              <w:right w:val="single" w:sz="8" w:color="auto"/>
            </w:tcBorders>
            <w:vMerge w:val="continue"/>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w w:val="95"/>
              </w:rPr>
              <w:t>Separation  and  General  Release</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rPr>
              <w:t>Agreement, dated as of May 27,</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rPr>
              <w:t>2021, by and between The GEO</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rPr>
              <w:t>Group, Inc. and George C. Zoley</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1140" w:type="dxa"/>
            <w:vAlign w:val="bottom"/>
            <w:gridSpan w:val="3"/>
          </w:tcPr>
          <w:p>
            <w:pPr>
              <w:ind w:left="60"/>
              <w:spacing w:after="0"/>
              <w:rPr>
                <w:sz w:val="20"/>
                <w:szCs w:val="20"/>
                <w:color w:val="auto"/>
              </w:rPr>
            </w:pPr>
            <w:r>
              <w:rPr>
                <w:rFonts w:ascii="Arial" w:cs="Arial" w:eastAsia="Arial" w:hAnsi="Arial"/>
                <w:sz w:val="18"/>
                <w:szCs w:val="18"/>
                <w:color w:val="auto"/>
                <w:w w:val="99"/>
              </w:rPr>
              <w:t>(incorporated</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by</w:t>
            </w:r>
          </w:p>
        </w:tc>
        <w:tc>
          <w:tcPr>
            <w:tcW w:w="740" w:type="dxa"/>
            <w:vAlign w:val="bottom"/>
            <w:gridSpan w:val="2"/>
          </w:tcPr>
          <w:p>
            <w:pPr>
              <w:ind w:left="20"/>
              <w:spacing w:after="0"/>
              <w:rPr>
                <w:sz w:val="20"/>
                <w:szCs w:val="20"/>
                <w:color w:val="auto"/>
              </w:rPr>
            </w:pPr>
            <w:r>
              <w:rPr>
                <w:rFonts w:ascii="Arial" w:cs="Arial" w:eastAsia="Arial" w:hAnsi="Arial"/>
                <w:sz w:val="18"/>
                <w:szCs w:val="18"/>
                <w:color w:val="auto"/>
                <w:w w:val="92"/>
              </w:rPr>
              <w:t>reference</w:t>
            </w:r>
          </w:p>
        </w:tc>
        <w:tc>
          <w:tcPr>
            <w:tcW w:w="4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to</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rPr>
              <w:t>Exhibit  10.1  to  the  Company's</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w w:val="99"/>
              </w:rPr>
              <w:t>Current Report on Form 8-K, filed</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20" w:type="dxa"/>
            <w:vAlign w:val="bottom"/>
            <w:tcBorders>
              <w:right w:val="single" w:sz="8" w:color="auto"/>
            </w:tcBorders>
          </w:tcPr>
          <w:p>
            <w:pPr>
              <w:spacing w:after="0"/>
              <w:rPr>
                <w:sz w:val="16"/>
                <w:szCs w:val="16"/>
                <w:color w:val="auto"/>
              </w:rPr>
            </w:pPr>
          </w:p>
        </w:tc>
        <w:tc>
          <w:tcPr>
            <w:tcW w:w="1620" w:type="dxa"/>
            <w:vAlign w:val="bottom"/>
            <w:gridSpan w:val="5"/>
          </w:tcPr>
          <w:p>
            <w:pPr>
              <w:ind w:left="60"/>
              <w:spacing w:after="0" w:line="189" w:lineRule="exact"/>
              <w:rPr>
                <w:sz w:val="20"/>
                <w:szCs w:val="20"/>
                <w:color w:val="auto"/>
              </w:rPr>
            </w:pPr>
            <w:r>
              <w:rPr>
                <w:rFonts w:ascii="Arial" w:cs="Arial" w:eastAsia="Arial" w:hAnsi="Arial"/>
                <w:sz w:val="18"/>
                <w:szCs w:val="18"/>
                <w:color w:val="auto"/>
                <w:w w:val="99"/>
              </w:rPr>
              <w:t>on June 1, 2021). †</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20" w:type="dxa"/>
            <w:vAlign w:val="bottom"/>
            <w:tcBorders>
              <w:right w:val="single" w:sz="8" w:color="auto"/>
            </w:tcBorders>
            <w:gridSpan w:val="3"/>
          </w:tcPr>
          <w:p>
            <w:pPr>
              <w:spacing w:after="0" w:line="189" w:lineRule="exact"/>
              <w:rPr>
                <w:rFonts w:ascii="Arial" w:cs="Arial" w:eastAsia="Arial" w:hAnsi="Arial"/>
                <w:sz w:val="18"/>
                <w:szCs w:val="18"/>
                <w:color w:val="auto"/>
                <w:w w:val="99"/>
              </w:rPr>
            </w:pPr>
            <w:hyperlink r:id="rId478">
              <w:r>
                <w:rPr>
                  <w:rFonts w:ascii="Arial" w:cs="Arial" w:eastAsia="Arial" w:hAnsi="Arial"/>
                  <w:sz w:val="18"/>
                  <w:szCs w:val="18"/>
                  <w:color w:val="auto"/>
                  <w:w w:val="99"/>
                </w:rPr>
                <w:t>https://www.sec.gov/Archives/edgar/data/0000923796/000119312521177770/d318382dex101.htm</w:t>
              </w:r>
            </w:hyperlink>
          </w:p>
        </w:tc>
        <w:tc>
          <w:tcPr>
            <w:tcW w:w="0" w:type="dxa"/>
            <w:vAlign w:val="bottom"/>
          </w:tcPr>
          <w:p>
            <w:pPr>
              <w:spacing w:after="0"/>
              <w:rPr>
                <w:sz w:val="1"/>
                <w:szCs w:val="1"/>
                <w:color w:val="auto"/>
              </w:rPr>
            </w:pPr>
          </w:p>
        </w:tc>
      </w:tr>
      <w:tr>
        <w:trPr>
          <w:trHeight w:val="34"/>
        </w:trPr>
        <w:tc>
          <w:tcPr>
            <w:tcW w:w="62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88"/>
              </w:rPr>
              <w:t>10.24</w:t>
            </w: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20" w:type="dxa"/>
            <w:vAlign w:val="bottom"/>
            <w:tcBorders>
              <w:right w:val="single" w:sz="8" w:color="auto"/>
            </w:tcBorders>
            <w:vMerge w:val="continue"/>
          </w:tcPr>
          <w:p>
            <w:pPr>
              <w:spacing w:after="0"/>
              <w:rPr>
                <w:sz w:val="12"/>
                <w:szCs w:val="12"/>
                <w:color w:val="auto"/>
              </w:rPr>
            </w:pPr>
          </w:p>
        </w:tc>
        <w:tc>
          <w:tcPr>
            <w:tcW w:w="2760" w:type="dxa"/>
            <w:vAlign w:val="bottom"/>
            <w:tcBorders>
              <w:bottom w:val="single" w:sz="8" w:color="auto"/>
              <w:right w:val="single" w:sz="8" w:color="auto"/>
            </w:tcBorders>
            <w:gridSpan w:val="8"/>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0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20" w:type="dxa"/>
            <w:vAlign w:val="bottom"/>
            <w:tcBorders>
              <w:right w:val="single" w:sz="8" w:color="auto"/>
            </w:tcBorders>
            <w:vMerge w:val="continue"/>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w w:val="99"/>
              </w:rPr>
              <w:t>Executive Chairman Employment</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rPr>
              <w:t>Agreement, dated as of May 27,</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rPr>
              <w:t>2021, by and between The GEO</w:t>
            </w:r>
          </w:p>
        </w:tc>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20" w:type="dxa"/>
            <w:vAlign w:val="bottom"/>
            <w:tcBorders>
              <w:right w:val="single" w:sz="8" w:color="auto"/>
            </w:tcBorders>
          </w:tcPr>
          <w:p>
            <w:pPr>
              <w:spacing w:after="0"/>
              <w:rPr>
                <w:sz w:val="16"/>
                <w:szCs w:val="16"/>
                <w:color w:val="auto"/>
              </w:rPr>
            </w:pPr>
          </w:p>
        </w:tc>
        <w:tc>
          <w:tcPr>
            <w:tcW w:w="2760" w:type="dxa"/>
            <w:vAlign w:val="bottom"/>
            <w:tcBorders>
              <w:right w:val="single" w:sz="8" w:color="auto"/>
            </w:tcBorders>
            <w:gridSpan w:val="8"/>
          </w:tcPr>
          <w:p>
            <w:pPr>
              <w:ind w:left="60"/>
              <w:spacing w:after="0" w:line="189" w:lineRule="exact"/>
              <w:rPr>
                <w:sz w:val="20"/>
                <w:szCs w:val="20"/>
                <w:color w:val="auto"/>
              </w:rPr>
            </w:pPr>
            <w:r>
              <w:rPr>
                <w:rFonts w:ascii="Arial" w:cs="Arial" w:eastAsia="Arial" w:hAnsi="Arial"/>
                <w:sz w:val="18"/>
                <w:szCs w:val="18"/>
                <w:color w:val="auto"/>
              </w:rPr>
              <w:t>Group, Inc. and George C. Zoley</w:t>
            </w:r>
          </w:p>
        </w:tc>
        <w:tc>
          <w:tcPr>
            <w:tcW w:w="40" w:type="dxa"/>
            <w:vAlign w:val="bottom"/>
          </w:tcPr>
          <w:p>
            <w:pPr>
              <w:spacing w:after="0"/>
              <w:rPr>
                <w:sz w:val="16"/>
                <w:szCs w:val="16"/>
                <w:color w:val="auto"/>
              </w:rPr>
            </w:pPr>
          </w:p>
        </w:tc>
        <w:tc>
          <w:tcPr>
            <w:tcW w:w="7820" w:type="dxa"/>
            <w:vAlign w:val="bottom"/>
            <w:tcBorders>
              <w:right w:val="single" w:sz="8" w:color="auto"/>
            </w:tcBorders>
            <w:gridSpan w:val="3"/>
          </w:tcPr>
          <w:p>
            <w:pPr>
              <w:spacing w:after="0" w:line="189" w:lineRule="exact"/>
              <w:rPr>
                <w:rFonts w:ascii="Arial" w:cs="Arial" w:eastAsia="Arial" w:hAnsi="Arial"/>
                <w:sz w:val="18"/>
                <w:szCs w:val="18"/>
                <w:color w:val="auto"/>
                <w:w w:val="99"/>
              </w:rPr>
            </w:pPr>
            <w:hyperlink r:id="rId479">
              <w:r>
                <w:rPr>
                  <w:rFonts w:ascii="Arial" w:cs="Arial" w:eastAsia="Arial" w:hAnsi="Arial"/>
                  <w:sz w:val="18"/>
                  <w:szCs w:val="18"/>
                  <w:color w:val="auto"/>
                  <w:w w:val="99"/>
                </w:rPr>
                <w:t>https://www.sec.gov/Archives/edgar/data/0000923796/000119312521177770/d318382dex102.htm</w:t>
              </w:r>
            </w:hyperlink>
          </w:p>
        </w:tc>
        <w:tc>
          <w:tcPr>
            <w:tcW w:w="0" w:type="dxa"/>
            <w:vAlign w:val="bottom"/>
          </w:tcPr>
          <w:p>
            <w:pPr>
              <w:spacing w:after="0"/>
              <w:rPr>
                <w:sz w:val="1"/>
                <w:szCs w:val="1"/>
                <w:color w:val="auto"/>
              </w:rPr>
            </w:pPr>
          </w:p>
        </w:tc>
      </w:tr>
      <w:tr>
        <w:trPr>
          <w:trHeight w:val="34"/>
        </w:trPr>
        <w:tc>
          <w:tcPr>
            <w:tcW w:w="620" w:type="dxa"/>
            <w:vAlign w:val="bottom"/>
            <w:tcBorders>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40" w:type="dxa"/>
            <w:vAlign w:val="bottom"/>
            <w:gridSpan w:val="2"/>
          </w:tcPr>
          <w:p>
            <w:pPr>
              <w:jc w:val="right"/>
              <w:ind w:right="457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28"/>
        </w:trPr>
        <w:tc>
          <w:tcPr>
            <w:tcW w:w="620" w:type="dxa"/>
            <w:vAlign w:val="bottom"/>
            <w:tcBorders>
              <w:right w:val="single" w:sz="8" w:color="auto"/>
            </w:tcBorders>
          </w:tcPr>
          <w:p>
            <w:pPr>
              <w:spacing w:after="0"/>
              <w:rPr>
                <w:sz w:val="19"/>
                <w:szCs w:val="19"/>
                <w:color w:val="auto"/>
              </w:rPr>
            </w:pPr>
          </w:p>
        </w:tc>
        <w:tc>
          <w:tcPr>
            <w:tcW w:w="11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(incorporated</w:t>
            </w:r>
          </w:p>
        </w:tc>
        <w:tc>
          <w:tcPr>
            <w:tcW w:w="132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6"/>
              </w:rPr>
              <w:t>by   reference</w:t>
            </w:r>
          </w:p>
        </w:tc>
        <w:tc>
          <w:tcPr>
            <w:tcW w:w="28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to</w:t>
            </w:r>
          </w:p>
        </w:tc>
        <w:tc>
          <w:tcPr>
            <w:tcW w:w="40" w:type="dxa"/>
            <w:vAlign w:val="bottom"/>
            <w:tcBorders>
              <w:top w:val="single" w:sz="8" w:color="auto"/>
            </w:tcBorders>
          </w:tcPr>
          <w:p>
            <w:pPr>
              <w:spacing w:after="0"/>
              <w:rPr>
                <w:sz w:val="19"/>
                <w:szCs w:val="19"/>
                <w:color w:val="auto"/>
              </w:rPr>
            </w:pPr>
          </w:p>
        </w:tc>
        <w:tc>
          <w:tcPr>
            <w:tcW w:w="67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Exhibit  10.2  to  the  Company's</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9"/>
              </w:rPr>
              <w:t>Current Report on Form 8-K, filed</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0" w:type="dxa"/>
            <w:vAlign w:val="bottom"/>
            <w:tcBorders>
              <w:right w:val="single" w:sz="8" w:color="auto"/>
            </w:tcBorders>
          </w:tcPr>
          <w:p>
            <w:pPr>
              <w:spacing w:after="0"/>
              <w:rPr>
                <w:sz w:val="20"/>
                <w:szCs w:val="20"/>
                <w:color w:val="auto"/>
              </w:rPr>
            </w:pPr>
          </w:p>
        </w:tc>
        <w:tc>
          <w:tcPr>
            <w:tcW w:w="24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on June 1, 2021). †</w:t>
            </w:r>
          </w:p>
        </w:tc>
        <w:tc>
          <w:tcPr>
            <w:tcW w:w="2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7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62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88"/>
              </w:rPr>
              <w:t>10.25</w:t>
            </w:r>
          </w:p>
        </w:tc>
        <w:tc>
          <w:tcPr>
            <w:tcW w:w="2760" w:type="dxa"/>
            <w:vAlign w:val="bottom"/>
            <w:tcBorders>
              <w:bottom w:val="single" w:sz="8" w:color="auto"/>
              <w:right w:val="single" w:sz="8" w:color="auto"/>
            </w:tcBorders>
            <w:gridSpan w:val="3"/>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7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20" w:type="dxa"/>
            <w:vAlign w:val="bottom"/>
            <w:tcBorders>
              <w:right w:val="single" w:sz="8" w:color="auto"/>
            </w:tcBorders>
            <w:vMerge w:val="continue"/>
          </w:tcPr>
          <w:p>
            <w:pPr>
              <w:spacing w:after="0"/>
              <w:rPr>
                <w:sz w:val="18"/>
                <w:szCs w:val="18"/>
                <w:color w:val="auto"/>
              </w:rPr>
            </w:pPr>
          </w:p>
        </w:tc>
        <w:tc>
          <w:tcPr>
            <w:tcW w:w="27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7"/>
              </w:rPr>
              <w:t>Amended and Restated Executive</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4"/>
              </w:rPr>
              <w:t>Retirement Agreement, dated as of</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4"/>
              </w:rPr>
              <w:t>May 27, 2021, by and between The</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GEO Group, Inc. and George C.</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4"/>
              </w:rPr>
              <w:t>Zoley (incorporated by reference to</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Exhibit  10.3  to  the  Company's</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9"/>
              </w:rPr>
              <w:t>Current Report on Form 8-K, filed</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20" w:type="dxa"/>
            <w:vAlign w:val="bottom"/>
            <w:tcBorders>
              <w:right w:val="single" w:sz="8" w:color="auto"/>
            </w:tcBorders>
          </w:tcPr>
          <w:p>
            <w:pPr>
              <w:spacing w:after="0"/>
              <w:rPr>
                <w:sz w:val="16"/>
                <w:szCs w:val="16"/>
                <w:color w:val="auto"/>
              </w:rPr>
            </w:pPr>
          </w:p>
        </w:tc>
        <w:tc>
          <w:tcPr>
            <w:tcW w:w="2480" w:type="dxa"/>
            <w:vAlign w:val="bottom"/>
            <w:gridSpan w:val="2"/>
          </w:tcPr>
          <w:p>
            <w:pPr>
              <w:ind w:left="60"/>
              <w:spacing w:after="0" w:line="189" w:lineRule="exact"/>
              <w:rPr>
                <w:sz w:val="20"/>
                <w:szCs w:val="20"/>
                <w:color w:val="auto"/>
              </w:rPr>
            </w:pPr>
            <w:r>
              <w:rPr>
                <w:rFonts w:ascii="Arial" w:cs="Arial" w:eastAsia="Arial" w:hAnsi="Arial"/>
                <w:sz w:val="18"/>
                <w:szCs w:val="18"/>
                <w:color w:val="auto"/>
              </w:rPr>
              <w:t>on June 1, 2021). †</w:t>
            </w:r>
          </w:p>
        </w:tc>
        <w:tc>
          <w:tcPr>
            <w:tcW w:w="2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20" w:type="dxa"/>
            <w:vAlign w:val="bottom"/>
            <w:tcBorders>
              <w:right w:val="single" w:sz="8" w:color="auto"/>
            </w:tcBorders>
            <w:gridSpan w:val="3"/>
          </w:tcPr>
          <w:p>
            <w:pPr>
              <w:spacing w:after="0" w:line="189" w:lineRule="exact"/>
              <w:rPr>
                <w:rFonts w:ascii="Arial" w:cs="Arial" w:eastAsia="Arial" w:hAnsi="Arial"/>
                <w:sz w:val="18"/>
                <w:szCs w:val="18"/>
                <w:color w:val="auto"/>
                <w:w w:val="99"/>
              </w:rPr>
            </w:pPr>
            <w:hyperlink r:id="rId482">
              <w:r>
                <w:rPr>
                  <w:rFonts w:ascii="Arial" w:cs="Arial" w:eastAsia="Arial" w:hAnsi="Arial"/>
                  <w:sz w:val="18"/>
                  <w:szCs w:val="18"/>
                  <w:color w:val="auto"/>
                  <w:w w:val="99"/>
                </w:rPr>
                <w:t>https://www.sec.gov/Archives/edgar/data/0000923796/000119312521177770/d318382dex103.htm</w:t>
              </w:r>
            </w:hyperlink>
          </w:p>
        </w:tc>
        <w:tc>
          <w:tcPr>
            <w:tcW w:w="0" w:type="dxa"/>
            <w:vAlign w:val="bottom"/>
          </w:tcPr>
          <w:p>
            <w:pPr>
              <w:spacing w:after="0"/>
              <w:rPr>
                <w:sz w:val="1"/>
                <w:szCs w:val="1"/>
                <w:color w:val="auto"/>
              </w:rPr>
            </w:pPr>
          </w:p>
        </w:tc>
      </w:tr>
      <w:tr>
        <w:trPr>
          <w:trHeight w:val="34"/>
        </w:trPr>
        <w:tc>
          <w:tcPr>
            <w:tcW w:w="62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88"/>
              </w:rPr>
              <w:t>10.26</w:t>
            </w:r>
          </w:p>
        </w:tc>
        <w:tc>
          <w:tcPr>
            <w:tcW w:w="1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74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20" w:type="dxa"/>
            <w:vAlign w:val="bottom"/>
            <w:tcBorders>
              <w:right w:val="single" w:sz="8" w:color="auto"/>
            </w:tcBorders>
            <w:vMerge w:val="continue"/>
          </w:tcPr>
          <w:p>
            <w:pPr>
              <w:spacing w:after="0"/>
              <w:rPr>
                <w:sz w:val="12"/>
                <w:szCs w:val="12"/>
                <w:color w:val="auto"/>
              </w:rPr>
            </w:pPr>
          </w:p>
        </w:tc>
        <w:tc>
          <w:tcPr>
            <w:tcW w:w="2760" w:type="dxa"/>
            <w:vAlign w:val="bottom"/>
            <w:tcBorders>
              <w:bottom w:val="single" w:sz="8" w:color="auto"/>
              <w:right w:val="single" w:sz="8" w:color="auto"/>
            </w:tcBorders>
            <w:gridSpan w:val="3"/>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7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20" w:type="dxa"/>
            <w:vAlign w:val="bottom"/>
            <w:tcBorders>
              <w:right w:val="single" w:sz="8" w:color="auto"/>
            </w:tcBorders>
            <w:vMerge w:val="continue"/>
          </w:tcPr>
          <w:p>
            <w:pPr>
              <w:spacing w:after="0"/>
              <w:rPr>
                <w:sz w:val="18"/>
                <w:szCs w:val="18"/>
                <w:color w:val="auto"/>
              </w:rPr>
            </w:pPr>
          </w:p>
        </w:tc>
        <w:tc>
          <w:tcPr>
            <w:tcW w:w="27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4"/>
              </w:rPr>
              <w:t>Executive Employment Agreement,</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9"/>
              </w:rPr>
              <w:t>dated as of May 27, 2021, by and</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5"/>
              </w:rPr>
              <w:t>between The GEO Group, Inc. and</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1160" w:type="dxa"/>
            <w:vAlign w:val="bottom"/>
          </w:tcPr>
          <w:p>
            <w:pPr>
              <w:ind w:left="60"/>
              <w:spacing w:after="0"/>
              <w:rPr>
                <w:sz w:val="20"/>
                <w:szCs w:val="20"/>
                <w:color w:val="auto"/>
              </w:rPr>
            </w:pPr>
            <w:r>
              <w:rPr>
                <w:rFonts w:ascii="Arial" w:cs="Arial" w:eastAsia="Arial" w:hAnsi="Arial"/>
                <w:sz w:val="18"/>
                <w:szCs w:val="18"/>
                <w:color w:val="auto"/>
              </w:rPr>
              <w:t>Jose   Gordo</w:t>
            </w:r>
          </w:p>
        </w:tc>
        <w:tc>
          <w:tcPr>
            <w:tcW w:w="1320" w:type="dxa"/>
            <w:vAlign w:val="bottom"/>
          </w:tcPr>
          <w:p>
            <w:pPr>
              <w:jc w:val="center"/>
              <w:ind w:right="10"/>
              <w:spacing w:after="0"/>
              <w:rPr>
                <w:sz w:val="20"/>
                <w:szCs w:val="20"/>
                <w:color w:val="auto"/>
              </w:rPr>
            </w:pPr>
            <w:r>
              <w:rPr>
                <w:rFonts w:ascii="Arial" w:cs="Arial" w:eastAsia="Arial" w:hAnsi="Arial"/>
                <w:sz w:val="18"/>
                <w:szCs w:val="18"/>
                <w:color w:val="auto"/>
                <w:w w:val="92"/>
              </w:rPr>
              <w:t>(incorporated</w:t>
            </w:r>
          </w:p>
        </w:tc>
        <w:tc>
          <w:tcPr>
            <w:tcW w:w="2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w w:val="83"/>
              </w:rPr>
              <w:t>by</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8"/>
              </w:rPr>
              <w:t>reference  to  Exhibit  10.4  to  the</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3"/>
              </w:rPr>
              <w:t>Company's Current Report on Form</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20" w:type="dxa"/>
            <w:vAlign w:val="bottom"/>
            <w:tcBorders>
              <w:right w:val="single" w:sz="8" w:color="auto"/>
            </w:tcBorders>
          </w:tcPr>
          <w:p>
            <w:pPr>
              <w:spacing w:after="0"/>
              <w:rPr>
                <w:sz w:val="16"/>
                <w:szCs w:val="16"/>
                <w:color w:val="auto"/>
              </w:rPr>
            </w:pPr>
          </w:p>
        </w:tc>
        <w:tc>
          <w:tcPr>
            <w:tcW w:w="2480" w:type="dxa"/>
            <w:vAlign w:val="bottom"/>
            <w:gridSpan w:val="2"/>
          </w:tcPr>
          <w:p>
            <w:pPr>
              <w:ind w:left="60"/>
              <w:spacing w:after="0" w:line="189" w:lineRule="exact"/>
              <w:rPr>
                <w:sz w:val="20"/>
                <w:szCs w:val="20"/>
                <w:color w:val="auto"/>
              </w:rPr>
            </w:pPr>
            <w:r>
              <w:rPr>
                <w:rFonts w:ascii="Arial" w:cs="Arial" w:eastAsia="Arial" w:hAnsi="Arial"/>
                <w:sz w:val="18"/>
                <w:szCs w:val="18"/>
                <w:color w:val="auto"/>
              </w:rPr>
              <w:t>8-K, filed on June 1, 2021). †</w:t>
            </w:r>
          </w:p>
        </w:tc>
        <w:tc>
          <w:tcPr>
            <w:tcW w:w="2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20" w:type="dxa"/>
            <w:vAlign w:val="bottom"/>
            <w:tcBorders>
              <w:right w:val="single" w:sz="8" w:color="auto"/>
            </w:tcBorders>
            <w:gridSpan w:val="3"/>
          </w:tcPr>
          <w:p>
            <w:pPr>
              <w:spacing w:after="0" w:line="189" w:lineRule="exact"/>
              <w:rPr>
                <w:rFonts w:ascii="Arial" w:cs="Arial" w:eastAsia="Arial" w:hAnsi="Arial"/>
                <w:sz w:val="18"/>
                <w:szCs w:val="18"/>
                <w:color w:val="auto"/>
                <w:w w:val="99"/>
              </w:rPr>
            </w:pPr>
            <w:hyperlink r:id="rId483">
              <w:r>
                <w:rPr>
                  <w:rFonts w:ascii="Arial" w:cs="Arial" w:eastAsia="Arial" w:hAnsi="Arial"/>
                  <w:sz w:val="18"/>
                  <w:szCs w:val="18"/>
                  <w:color w:val="auto"/>
                  <w:w w:val="99"/>
                </w:rPr>
                <w:t>https://www.sec.gov/Archives/edgar/data/0000923796/000119312521177770/d318382dex104.htm</w:t>
              </w:r>
            </w:hyperlink>
          </w:p>
        </w:tc>
        <w:tc>
          <w:tcPr>
            <w:tcW w:w="0" w:type="dxa"/>
            <w:vAlign w:val="bottom"/>
          </w:tcPr>
          <w:p>
            <w:pPr>
              <w:spacing w:after="0"/>
              <w:rPr>
                <w:sz w:val="1"/>
                <w:szCs w:val="1"/>
                <w:color w:val="auto"/>
              </w:rPr>
            </w:pPr>
          </w:p>
        </w:tc>
      </w:tr>
      <w:tr>
        <w:trPr>
          <w:trHeight w:val="34"/>
        </w:trPr>
        <w:tc>
          <w:tcPr>
            <w:tcW w:w="62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88"/>
              </w:rPr>
              <w:t>10.27</w:t>
            </w:r>
          </w:p>
        </w:tc>
        <w:tc>
          <w:tcPr>
            <w:tcW w:w="1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74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20" w:type="dxa"/>
            <w:vAlign w:val="bottom"/>
            <w:tcBorders>
              <w:right w:val="single" w:sz="8" w:color="auto"/>
            </w:tcBorders>
            <w:vMerge w:val="continue"/>
          </w:tcPr>
          <w:p>
            <w:pPr>
              <w:spacing w:after="0"/>
              <w:rPr>
                <w:sz w:val="12"/>
                <w:szCs w:val="12"/>
                <w:color w:val="auto"/>
              </w:rPr>
            </w:pPr>
          </w:p>
        </w:tc>
        <w:tc>
          <w:tcPr>
            <w:tcW w:w="2480" w:type="dxa"/>
            <w:vAlign w:val="bottom"/>
            <w:tcBorders>
              <w:bottom w:val="single" w:sz="8" w:color="auto"/>
            </w:tcBorders>
            <w:gridSpan w:val="2"/>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7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20" w:type="dxa"/>
            <w:vAlign w:val="bottom"/>
            <w:tcBorders>
              <w:right w:val="single" w:sz="8" w:color="auto"/>
            </w:tcBorders>
            <w:vMerge w:val="continue"/>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w w:val="94"/>
              </w:rPr>
              <w:t>Transaction Support Agreement,</w:t>
            </w:r>
          </w:p>
        </w:tc>
        <w:tc>
          <w:tcPr>
            <w:tcW w:w="2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1"/>
              </w:rPr>
              <w:t>dated as of July 18, 2022, among the</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Company, the Agent and the</w:t>
            </w:r>
          </w:p>
        </w:tc>
        <w:tc>
          <w:tcPr>
            <w:tcW w:w="2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Consenting Creditors (incorporated</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w w:val="91"/>
              </w:rPr>
              <w:t>by reference to Exhibit 10.1 to the</w:t>
            </w:r>
          </w:p>
        </w:tc>
        <w:tc>
          <w:tcPr>
            <w:tcW w:w="2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5"/>
              </w:rPr>
              <w:t>Company's Current Report on Form</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20" w:type="dxa"/>
            <w:vAlign w:val="bottom"/>
            <w:tcBorders>
              <w:right w:val="single" w:sz="8" w:color="auto"/>
            </w:tcBorders>
          </w:tcPr>
          <w:p>
            <w:pPr>
              <w:spacing w:after="0"/>
              <w:rPr>
                <w:sz w:val="16"/>
                <w:szCs w:val="16"/>
                <w:color w:val="auto"/>
              </w:rPr>
            </w:pPr>
          </w:p>
        </w:tc>
        <w:tc>
          <w:tcPr>
            <w:tcW w:w="2480" w:type="dxa"/>
            <w:vAlign w:val="bottom"/>
            <w:gridSpan w:val="2"/>
          </w:tcPr>
          <w:p>
            <w:pPr>
              <w:spacing w:after="0" w:line="189" w:lineRule="exact"/>
              <w:rPr>
                <w:sz w:val="20"/>
                <w:szCs w:val="20"/>
                <w:color w:val="auto"/>
              </w:rPr>
            </w:pPr>
            <w:r>
              <w:rPr>
                <w:rFonts w:ascii="Arial" w:cs="Arial" w:eastAsia="Arial" w:hAnsi="Arial"/>
                <w:sz w:val="18"/>
                <w:szCs w:val="18"/>
                <w:color w:val="auto"/>
              </w:rPr>
              <w:t>8-K filed on July 19, 2022).</w:t>
            </w:r>
          </w:p>
        </w:tc>
        <w:tc>
          <w:tcPr>
            <w:tcW w:w="2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20" w:type="dxa"/>
            <w:vAlign w:val="bottom"/>
            <w:tcBorders>
              <w:right w:val="single" w:sz="8" w:color="auto"/>
            </w:tcBorders>
            <w:gridSpan w:val="3"/>
          </w:tcPr>
          <w:p>
            <w:pPr>
              <w:spacing w:after="0" w:line="189" w:lineRule="exact"/>
              <w:rPr>
                <w:rFonts w:ascii="Arial" w:cs="Arial" w:eastAsia="Arial" w:hAnsi="Arial"/>
                <w:sz w:val="18"/>
                <w:szCs w:val="18"/>
                <w:color w:val="0000FF"/>
              </w:rPr>
            </w:pPr>
            <w:hyperlink r:id="rId484">
              <w:r>
                <w:rPr>
                  <w:rFonts w:ascii="Arial" w:cs="Arial" w:eastAsia="Arial" w:hAnsi="Arial"/>
                  <w:sz w:val="18"/>
                  <w:szCs w:val="18"/>
                  <w:color w:val="0000FF"/>
                </w:rPr>
                <w:t>https://www.sec.gov/Archives/edgar/data/923796/000119312522196691/d346175dex101.htm</w:t>
              </w:r>
            </w:hyperlink>
          </w:p>
        </w:tc>
        <w:tc>
          <w:tcPr>
            <w:tcW w:w="0" w:type="dxa"/>
            <w:vAlign w:val="bottom"/>
          </w:tcPr>
          <w:p>
            <w:pPr>
              <w:spacing w:after="0"/>
              <w:rPr>
                <w:sz w:val="1"/>
                <w:szCs w:val="1"/>
                <w:color w:val="auto"/>
              </w:rPr>
            </w:pPr>
          </w:p>
        </w:tc>
      </w:tr>
      <w:tr>
        <w:trPr>
          <w:trHeight w:val="34"/>
        </w:trPr>
        <w:tc>
          <w:tcPr>
            <w:tcW w:w="62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88"/>
              </w:rPr>
              <w:t>10.28</w:t>
            </w:r>
          </w:p>
        </w:tc>
        <w:tc>
          <w:tcPr>
            <w:tcW w:w="1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740" w:type="dxa"/>
            <w:vAlign w:val="bottom"/>
            <w:tcBorders>
              <w:top w:val="single" w:sz="8" w:color="0000FF"/>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20" w:type="dxa"/>
            <w:vAlign w:val="bottom"/>
            <w:tcBorders>
              <w:right w:val="single" w:sz="8" w:color="auto"/>
            </w:tcBorders>
            <w:vMerge w:val="continue"/>
          </w:tcPr>
          <w:p>
            <w:pPr>
              <w:spacing w:after="0"/>
              <w:rPr>
                <w:sz w:val="12"/>
                <w:szCs w:val="12"/>
                <w:color w:val="auto"/>
              </w:rPr>
            </w:pPr>
          </w:p>
        </w:tc>
        <w:tc>
          <w:tcPr>
            <w:tcW w:w="2480" w:type="dxa"/>
            <w:vAlign w:val="bottom"/>
            <w:tcBorders>
              <w:bottom w:val="single" w:sz="8" w:color="auto"/>
            </w:tcBorders>
            <w:gridSpan w:val="2"/>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7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20" w:type="dxa"/>
            <w:vAlign w:val="bottom"/>
            <w:tcBorders>
              <w:right w:val="single" w:sz="8" w:color="auto"/>
            </w:tcBorders>
            <w:vMerge w:val="continue"/>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Credit Agreement, dated as of</w:t>
            </w:r>
          </w:p>
        </w:tc>
        <w:tc>
          <w:tcPr>
            <w:tcW w:w="2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w w:val="90"/>
              </w:rPr>
              <w:t>August 19, 2022 among The GEO</w:t>
            </w:r>
          </w:p>
        </w:tc>
        <w:tc>
          <w:tcPr>
            <w:tcW w:w="2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w w:val="92"/>
              </w:rPr>
              <w:t>Group, Inc. and GEO Corrections</w:t>
            </w:r>
          </w:p>
        </w:tc>
        <w:tc>
          <w:tcPr>
            <w:tcW w:w="2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w w:val="95"/>
              </w:rPr>
              <w:t>Holdings, Inc., as borrowers, the</w:t>
            </w:r>
          </w:p>
        </w:tc>
        <w:tc>
          <w:tcPr>
            <w:tcW w:w="2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5"/>
              </w:rPr>
              <w:t>lenders referred to therein and Alter</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Domus Products Corp., as</w:t>
            </w:r>
          </w:p>
        </w:tc>
        <w:tc>
          <w:tcPr>
            <w:tcW w:w="2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1"/>
              </w:rPr>
              <w:t>administrative agent (incorporated by</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reference to Exhibit 10.3 to the</w:t>
            </w:r>
          </w:p>
        </w:tc>
        <w:tc>
          <w:tcPr>
            <w:tcW w:w="2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5"/>
              </w:rPr>
              <w:t>Company's Current Report on Form</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20" w:type="dxa"/>
            <w:vAlign w:val="bottom"/>
            <w:tcBorders>
              <w:right w:val="single" w:sz="8" w:color="auto"/>
            </w:tcBorders>
          </w:tcPr>
          <w:p>
            <w:pPr>
              <w:spacing w:after="0"/>
              <w:rPr>
                <w:sz w:val="16"/>
                <w:szCs w:val="16"/>
                <w:color w:val="auto"/>
              </w:rPr>
            </w:pPr>
          </w:p>
        </w:tc>
        <w:tc>
          <w:tcPr>
            <w:tcW w:w="2480" w:type="dxa"/>
            <w:vAlign w:val="bottom"/>
            <w:gridSpan w:val="2"/>
          </w:tcPr>
          <w:p>
            <w:pPr>
              <w:spacing w:after="0" w:line="189" w:lineRule="exact"/>
              <w:rPr>
                <w:sz w:val="20"/>
                <w:szCs w:val="20"/>
                <w:color w:val="auto"/>
              </w:rPr>
            </w:pPr>
            <w:r>
              <w:rPr>
                <w:rFonts w:ascii="Arial" w:cs="Arial" w:eastAsia="Arial" w:hAnsi="Arial"/>
                <w:sz w:val="18"/>
                <w:szCs w:val="18"/>
                <w:color w:val="auto"/>
              </w:rPr>
              <w:t>8-K filed on August 25, 2022).</w:t>
            </w:r>
          </w:p>
        </w:tc>
        <w:tc>
          <w:tcPr>
            <w:tcW w:w="2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20" w:type="dxa"/>
            <w:vAlign w:val="bottom"/>
            <w:tcBorders>
              <w:right w:val="single" w:sz="8" w:color="auto"/>
            </w:tcBorders>
            <w:gridSpan w:val="3"/>
          </w:tcPr>
          <w:p>
            <w:pPr>
              <w:spacing w:after="0" w:line="189" w:lineRule="exact"/>
              <w:rPr>
                <w:rFonts w:ascii="Arial" w:cs="Arial" w:eastAsia="Arial" w:hAnsi="Arial"/>
                <w:sz w:val="18"/>
                <w:szCs w:val="18"/>
                <w:color w:val="0000FF"/>
              </w:rPr>
            </w:pPr>
            <w:hyperlink r:id="rId485">
              <w:r>
                <w:rPr>
                  <w:rFonts w:ascii="Arial" w:cs="Arial" w:eastAsia="Arial" w:hAnsi="Arial"/>
                  <w:sz w:val="18"/>
                  <w:szCs w:val="18"/>
                  <w:color w:val="0000FF"/>
                </w:rPr>
                <w:t>https://www.sec.gov/Archives/edgar/data/923796/000119312522230195/d392591dex103.htm</w:t>
              </w:r>
            </w:hyperlink>
          </w:p>
        </w:tc>
        <w:tc>
          <w:tcPr>
            <w:tcW w:w="0" w:type="dxa"/>
            <w:vAlign w:val="bottom"/>
          </w:tcPr>
          <w:p>
            <w:pPr>
              <w:spacing w:after="0"/>
              <w:rPr>
                <w:sz w:val="1"/>
                <w:szCs w:val="1"/>
                <w:color w:val="auto"/>
              </w:rPr>
            </w:pPr>
          </w:p>
        </w:tc>
      </w:tr>
      <w:tr>
        <w:trPr>
          <w:trHeight w:val="34"/>
        </w:trPr>
        <w:tc>
          <w:tcPr>
            <w:tcW w:w="62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88"/>
              </w:rPr>
              <w:t>10.29</w:t>
            </w:r>
          </w:p>
        </w:tc>
        <w:tc>
          <w:tcPr>
            <w:tcW w:w="1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740" w:type="dxa"/>
            <w:vAlign w:val="bottom"/>
            <w:tcBorders>
              <w:top w:val="single" w:sz="8" w:color="0000FF"/>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20" w:type="dxa"/>
            <w:vAlign w:val="bottom"/>
            <w:tcBorders>
              <w:right w:val="single" w:sz="8" w:color="auto"/>
            </w:tcBorders>
            <w:vMerge w:val="continue"/>
          </w:tcPr>
          <w:p>
            <w:pPr>
              <w:spacing w:after="0"/>
              <w:rPr>
                <w:sz w:val="12"/>
                <w:szCs w:val="12"/>
                <w:color w:val="auto"/>
              </w:rPr>
            </w:pPr>
          </w:p>
        </w:tc>
        <w:tc>
          <w:tcPr>
            <w:tcW w:w="2480" w:type="dxa"/>
            <w:vAlign w:val="bottom"/>
            <w:tcBorders>
              <w:bottom w:val="single" w:sz="8" w:color="auto"/>
            </w:tcBorders>
            <w:gridSpan w:val="2"/>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7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20" w:type="dxa"/>
            <w:vAlign w:val="bottom"/>
            <w:tcBorders>
              <w:right w:val="single" w:sz="8" w:color="auto"/>
            </w:tcBorders>
            <w:vMerge w:val="continue"/>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w w:val="92"/>
              </w:rPr>
              <w:t>First Lien Pari Passu Intercreditor</w:t>
            </w:r>
          </w:p>
        </w:tc>
        <w:tc>
          <w:tcPr>
            <w:tcW w:w="2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Agreement, dated as of August 19,</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2022 among Alter Domus Products</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w w:val="94"/>
              </w:rPr>
              <w:t>Corp., as exchange credit facility</w:t>
            </w:r>
          </w:p>
        </w:tc>
        <w:tc>
          <w:tcPr>
            <w:tcW w:w="2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4"/>
              </w:rPr>
              <w:t>agent for the exchange credit facility</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secured parties, Alter Domus</w:t>
            </w:r>
          </w:p>
        </w:tc>
        <w:tc>
          <w:tcPr>
            <w:tcW w:w="2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w w:val="93"/>
              </w:rPr>
              <w:t>Products Corp., as existing credit</w:t>
            </w:r>
          </w:p>
        </w:tc>
        <w:tc>
          <w:tcPr>
            <w:tcW w:w="2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facility agent for the existing credit</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w w:val="95"/>
              </w:rPr>
              <w:t>facility secured parties and each</w:t>
            </w:r>
          </w:p>
        </w:tc>
        <w:tc>
          <w:tcPr>
            <w:tcW w:w="2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3"/>
              </w:rPr>
              <w:t>additional senior representative from</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time to time party thereto, and</w:t>
            </w:r>
          </w:p>
        </w:tc>
        <w:tc>
          <w:tcPr>
            <w:tcW w:w="2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acknowledged by The GEO Group,</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5"/>
              </w:rPr>
              <w:t>Inc. and GEO Corrections Holdings,</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20" w:type="dxa"/>
            <w:vAlign w:val="bottom"/>
            <w:tcBorders>
              <w:right w:val="single" w:sz="8" w:color="auto"/>
            </w:tcBorders>
          </w:tcPr>
          <w:p>
            <w:pPr>
              <w:spacing w:after="0"/>
              <w:rPr>
                <w:sz w:val="16"/>
                <w:szCs w:val="16"/>
                <w:color w:val="auto"/>
              </w:rPr>
            </w:pPr>
          </w:p>
        </w:tc>
        <w:tc>
          <w:tcPr>
            <w:tcW w:w="1160" w:type="dxa"/>
            <w:vAlign w:val="bottom"/>
          </w:tcPr>
          <w:p>
            <w:pPr>
              <w:spacing w:after="0" w:line="189" w:lineRule="exact"/>
              <w:rPr>
                <w:sz w:val="20"/>
                <w:szCs w:val="20"/>
                <w:color w:val="auto"/>
              </w:rPr>
            </w:pPr>
            <w:r>
              <w:rPr>
                <w:rFonts w:ascii="Arial" w:cs="Arial" w:eastAsia="Arial" w:hAnsi="Arial"/>
                <w:sz w:val="18"/>
                <w:szCs w:val="18"/>
                <w:color w:val="auto"/>
              </w:rPr>
              <w:t>Inc. as</w:t>
            </w:r>
          </w:p>
        </w:tc>
        <w:tc>
          <w:tcPr>
            <w:tcW w:w="132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20" w:type="dxa"/>
            <w:vAlign w:val="bottom"/>
            <w:tcBorders>
              <w:right w:val="single" w:sz="8" w:color="auto"/>
            </w:tcBorders>
            <w:gridSpan w:val="3"/>
          </w:tcPr>
          <w:p>
            <w:pPr>
              <w:spacing w:after="0" w:line="189" w:lineRule="exact"/>
              <w:rPr>
                <w:rFonts w:ascii="Arial" w:cs="Arial" w:eastAsia="Arial" w:hAnsi="Arial"/>
                <w:sz w:val="18"/>
                <w:szCs w:val="18"/>
                <w:color w:val="0000FF"/>
              </w:rPr>
            </w:pPr>
            <w:hyperlink r:id="rId486">
              <w:r>
                <w:rPr>
                  <w:rFonts w:ascii="Arial" w:cs="Arial" w:eastAsia="Arial" w:hAnsi="Arial"/>
                  <w:sz w:val="18"/>
                  <w:szCs w:val="18"/>
                  <w:color w:val="0000FF"/>
                </w:rPr>
                <w:t>https://www.sec.gov/Archives/edgar/data/923796/000119312522230195/d392591dex104.htm</w:t>
              </w:r>
            </w:hyperlink>
          </w:p>
        </w:tc>
        <w:tc>
          <w:tcPr>
            <w:tcW w:w="0" w:type="dxa"/>
            <w:vAlign w:val="bottom"/>
          </w:tcPr>
          <w:p>
            <w:pPr>
              <w:spacing w:after="0"/>
              <w:rPr>
                <w:sz w:val="1"/>
                <w:szCs w:val="1"/>
                <w:color w:val="auto"/>
              </w:rPr>
            </w:pPr>
          </w:p>
        </w:tc>
      </w:tr>
      <w:tr>
        <w:trPr>
          <w:trHeight w:val="34"/>
        </w:trPr>
        <w:tc>
          <w:tcPr>
            <w:tcW w:w="620" w:type="dxa"/>
            <w:vAlign w:val="bottom"/>
            <w:tcBorders>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740" w:type="dxa"/>
            <w:vAlign w:val="bottom"/>
            <w:tcBorders>
              <w:top w:val="single" w:sz="8" w:color="0000FF"/>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60" w:type="dxa"/>
            <w:vAlign w:val="bottom"/>
            <w:gridSpan w:val="3"/>
          </w:tcPr>
          <w:p>
            <w:pPr>
              <w:jc w:val="right"/>
              <w:ind w:right="4310"/>
              <w:spacing w:after="0"/>
              <w:rPr>
                <w:sz w:val="20"/>
                <w:szCs w:val="20"/>
                <w:color w:val="auto"/>
              </w:rPr>
            </w:pPr>
            <w:r>
              <w:rPr>
                <w:rFonts w:ascii="Arial" w:cs="Arial" w:eastAsia="Arial" w:hAnsi="Arial"/>
                <w:sz w:val="18"/>
                <w:szCs w:val="18"/>
                <w:color w:val="auto"/>
              </w:rPr>
              <w:t>147</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7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28"/>
        </w:trPr>
        <w:tc>
          <w:tcPr>
            <w:tcW w:w="600" w:type="dxa"/>
            <w:vAlign w:val="bottom"/>
            <w:tcBorders>
              <w:right w:val="single" w:sz="8" w:color="auto"/>
            </w:tcBorders>
          </w:tcPr>
          <w:p>
            <w:pPr>
              <w:spacing w:after="0"/>
              <w:rPr>
                <w:sz w:val="19"/>
                <w:szCs w:val="19"/>
                <w:color w:val="auto"/>
              </w:rPr>
            </w:pPr>
          </w:p>
        </w:tc>
        <w:tc>
          <w:tcPr>
            <w:tcW w:w="27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borrowers and the other grantors</w:t>
            </w:r>
          </w:p>
        </w:tc>
        <w:tc>
          <w:tcPr>
            <w:tcW w:w="40" w:type="dxa"/>
            <w:vAlign w:val="bottom"/>
            <w:tcBorders>
              <w:top w:val="single" w:sz="8" w:color="auto"/>
            </w:tcBorders>
          </w:tcPr>
          <w:p>
            <w:pPr>
              <w:spacing w:after="0"/>
              <w:rPr>
                <w:sz w:val="19"/>
                <w:szCs w:val="19"/>
                <w:color w:val="auto"/>
              </w:rPr>
            </w:pPr>
          </w:p>
        </w:tc>
        <w:tc>
          <w:tcPr>
            <w:tcW w:w="6740" w:type="dxa"/>
            <w:vAlign w:val="bottom"/>
            <w:tcBorders>
              <w:top w:val="single" w:sz="8" w:color="auto"/>
            </w:tcBorders>
          </w:tcPr>
          <w:p>
            <w:pPr>
              <w:spacing w:after="0"/>
              <w:rPr>
                <w:sz w:val="19"/>
                <w:szCs w:val="19"/>
                <w:color w:val="auto"/>
              </w:rPr>
            </w:pPr>
          </w:p>
        </w:tc>
        <w:tc>
          <w:tcPr>
            <w:tcW w:w="10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(incorporated by reference to Exhibit</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10.4 to the Company's Current</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Report on Form 8-K filed on August</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0" w:type="dxa"/>
            <w:vAlign w:val="bottom"/>
            <w:tcBorders>
              <w:right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25, 2022).</w:t>
            </w:r>
          </w:p>
        </w:tc>
        <w:tc>
          <w:tcPr>
            <w:tcW w:w="40" w:type="dxa"/>
            <w:vAlign w:val="bottom"/>
            <w:tcBorders>
              <w:bottom w:val="single" w:sz="8" w:color="auto"/>
            </w:tcBorders>
          </w:tcPr>
          <w:p>
            <w:pPr>
              <w:spacing w:after="0"/>
              <w:rPr>
                <w:sz w:val="20"/>
                <w:szCs w:val="20"/>
                <w:color w:val="auto"/>
              </w:rPr>
            </w:pPr>
          </w:p>
        </w:tc>
        <w:tc>
          <w:tcPr>
            <w:tcW w:w="674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60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84"/>
              </w:rPr>
              <w:t>10.30</w:t>
            </w:r>
          </w:p>
        </w:tc>
        <w:tc>
          <w:tcPr>
            <w:tcW w:w="276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740" w:type="dxa"/>
            <w:vAlign w:val="bottom"/>
            <w:tcBorders>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00" w:type="dxa"/>
            <w:vAlign w:val="bottom"/>
            <w:tcBorders>
              <w:right w:val="single" w:sz="8" w:color="auto"/>
            </w:tcBorders>
            <w:vMerge w:val="continue"/>
          </w:tcPr>
          <w:p>
            <w:pPr>
              <w:spacing w:after="0"/>
              <w:rPr>
                <w:sz w:val="18"/>
                <w:szCs w:val="18"/>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Consultant Agreement, by and</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between The GEO Group, Inc. and</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Ann Schlarb, effective February 1,</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2023 (incorporated by reference to</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Exhibit 10.1 to the Company's</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Current Report on Form 8-K filed on</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00" w:type="dxa"/>
            <w:vAlign w:val="bottom"/>
            <w:tcBorders>
              <w:right w:val="single" w:sz="8" w:color="auto"/>
            </w:tcBorders>
          </w:tcPr>
          <w:p>
            <w:pPr>
              <w:spacing w:after="0"/>
              <w:rPr>
                <w:sz w:val="16"/>
                <w:szCs w:val="16"/>
                <w:color w:val="auto"/>
              </w:rPr>
            </w:pPr>
          </w:p>
        </w:tc>
        <w:tc>
          <w:tcPr>
            <w:tcW w:w="276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January 6, 2023).</w:t>
            </w:r>
          </w:p>
        </w:tc>
        <w:tc>
          <w:tcPr>
            <w:tcW w:w="40" w:type="dxa"/>
            <w:vAlign w:val="bottom"/>
          </w:tcPr>
          <w:p>
            <w:pPr>
              <w:spacing w:after="0"/>
              <w:rPr>
                <w:sz w:val="16"/>
                <w:szCs w:val="16"/>
                <w:color w:val="auto"/>
              </w:rPr>
            </w:pPr>
          </w:p>
        </w:tc>
        <w:tc>
          <w:tcPr>
            <w:tcW w:w="7820" w:type="dxa"/>
            <w:vAlign w:val="bottom"/>
            <w:tcBorders>
              <w:right w:val="single" w:sz="8" w:color="auto"/>
            </w:tcBorders>
            <w:gridSpan w:val="2"/>
          </w:tcPr>
          <w:p>
            <w:pPr>
              <w:spacing w:after="0" w:line="189" w:lineRule="exact"/>
              <w:rPr>
                <w:rFonts w:ascii="Arial" w:cs="Arial" w:eastAsia="Arial" w:hAnsi="Arial"/>
                <w:sz w:val="18"/>
                <w:szCs w:val="18"/>
                <w:color w:val="0000FF"/>
              </w:rPr>
            </w:pPr>
            <w:hyperlink r:id="rId489">
              <w:r>
                <w:rPr>
                  <w:rFonts w:ascii="Arial" w:cs="Arial" w:eastAsia="Arial" w:hAnsi="Arial"/>
                  <w:sz w:val="18"/>
                  <w:szCs w:val="18"/>
                  <w:color w:val="0000FF"/>
                </w:rPr>
                <w:t>https://www.sec.gov/Archives/edgar/data/923796/000119312523003674/d416884dex101.htm</w:t>
              </w:r>
            </w:hyperlink>
          </w:p>
        </w:tc>
        <w:tc>
          <w:tcPr>
            <w:tcW w:w="0" w:type="dxa"/>
            <w:vAlign w:val="bottom"/>
          </w:tcPr>
          <w:p>
            <w:pPr>
              <w:spacing w:after="0"/>
              <w:rPr>
                <w:sz w:val="1"/>
                <w:szCs w:val="1"/>
                <w:color w:val="auto"/>
              </w:rPr>
            </w:pPr>
          </w:p>
        </w:tc>
      </w:tr>
      <w:tr>
        <w:trPr>
          <w:trHeight w:val="34"/>
        </w:trPr>
        <w:tc>
          <w:tcPr>
            <w:tcW w:w="60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84"/>
              </w:rPr>
              <w:t>10.31</w:t>
            </w:r>
          </w:p>
        </w:tc>
        <w:tc>
          <w:tcPr>
            <w:tcW w:w="27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740" w:type="dxa"/>
            <w:vAlign w:val="bottom"/>
            <w:tcBorders>
              <w:top w:val="single" w:sz="8" w:color="0000FF"/>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00" w:type="dxa"/>
            <w:vAlign w:val="bottom"/>
            <w:tcBorders>
              <w:right w:val="single" w:sz="8" w:color="auto"/>
            </w:tcBorders>
            <w:vMerge w:val="continue"/>
          </w:tcPr>
          <w:p>
            <w:pPr>
              <w:spacing w:after="0"/>
              <w:rPr>
                <w:sz w:val="12"/>
                <w:szCs w:val="12"/>
                <w:color w:val="auto"/>
              </w:rPr>
            </w:pPr>
          </w:p>
        </w:tc>
        <w:tc>
          <w:tcPr>
            <w:tcW w:w="276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740" w:type="dxa"/>
            <w:vAlign w:val="bottom"/>
            <w:tcBorders>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00" w:type="dxa"/>
            <w:vAlign w:val="bottom"/>
            <w:tcBorders>
              <w:right w:val="single" w:sz="8" w:color="auto"/>
            </w:tcBorders>
            <w:vMerge w:val="continue"/>
          </w:tcPr>
          <w:p>
            <w:pPr>
              <w:spacing w:after="0"/>
              <w:rPr>
                <w:sz w:val="18"/>
                <w:szCs w:val="18"/>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Consultant Agreement, by and</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between The GEO Group, Inc. and</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David Venturella, effective February</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1, 2023 (incorporated by reference to</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Exhibit 10.1 to the Company's</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Current Report on Form 8-K filed on</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00" w:type="dxa"/>
            <w:vAlign w:val="bottom"/>
            <w:tcBorders>
              <w:right w:val="single" w:sz="8" w:color="auto"/>
            </w:tcBorders>
          </w:tcPr>
          <w:p>
            <w:pPr>
              <w:spacing w:after="0"/>
              <w:rPr>
                <w:sz w:val="16"/>
                <w:szCs w:val="16"/>
                <w:color w:val="auto"/>
              </w:rPr>
            </w:pPr>
          </w:p>
        </w:tc>
        <w:tc>
          <w:tcPr>
            <w:tcW w:w="276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February 6, 2023).</w:t>
            </w:r>
          </w:p>
        </w:tc>
        <w:tc>
          <w:tcPr>
            <w:tcW w:w="40" w:type="dxa"/>
            <w:vAlign w:val="bottom"/>
          </w:tcPr>
          <w:p>
            <w:pPr>
              <w:spacing w:after="0"/>
              <w:rPr>
                <w:sz w:val="16"/>
                <w:szCs w:val="16"/>
                <w:color w:val="auto"/>
              </w:rPr>
            </w:pPr>
          </w:p>
        </w:tc>
        <w:tc>
          <w:tcPr>
            <w:tcW w:w="7820" w:type="dxa"/>
            <w:vAlign w:val="bottom"/>
            <w:tcBorders>
              <w:right w:val="single" w:sz="8" w:color="auto"/>
            </w:tcBorders>
            <w:gridSpan w:val="2"/>
          </w:tcPr>
          <w:p>
            <w:pPr>
              <w:spacing w:after="0" w:line="189" w:lineRule="exact"/>
              <w:rPr>
                <w:rFonts w:ascii="Arial" w:cs="Arial" w:eastAsia="Arial" w:hAnsi="Arial"/>
                <w:sz w:val="18"/>
                <w:szCs w:val="18"/>
                <w:color w:val="0000FF"/>
              </w:rPr>
            </w:pPr>
            <w:hyperlink r:id="rId490">
              <w:r>
                <w:rPr>
                  <w:rFonts w:ascii="Arial" w:cs="Arial" w:eastAsia="Arial" w:hAnsi="Arial"/>
                  <w:sz w:val="18"/>
                  <w:szCs w:val="18"/>
                  <w:color w:val="0000FF"/>
                </w:rPr>
                <w:t>https://www.sec.gov/Archives/edgar/data/923796/000119312523025645/d135134dex101.htm</w:t>
              </w:r>
            </w:hyperlink>
          </w:p>
        </w:tc>
        <w:tc>
          <w:tcPr>
            <w:tcW w:w="0" w:type="dxa"/>
            <w:vAlign w:val="bottom"/>
          </w:tcPr>
          <w:p>
            <w:pPr>
              <w:spacing w:after="0"/>
              <w:rPr>
                <w:sz w:val="1"/>
                <w:szCs w:val="1"/>
                <w:color w:val="auto"/>
              </w:rPr>
            </w:pPr>
          </w:p>
        </w:tc>
      </w:tr>
      <w:tr>
        <w:trPr>
          <w:trHeight w:val="34"/>
        </w:trPr>
        <w:tc>
          <w:tcPr>
            <w:tcW w:w="60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84"/>
              </w:rPr>
              <w:t>10.32</w:t>
            </w:r>
          </w:p>
        </w:tc>
        <w:tc>
          <w:tcPr>
            <w:tcW w:w="27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740" w:type="dxa"/>
            <w:vAlign w:val="bottom"/>
            <w:tcBorders>
              <w:top w:val="single" w:sz="8" w:color="0000FF"/>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00" w:type="dxa"/>
            <w:vAlign w:val="bottom"/>
            <w:tcBorders>
              <w:right w:val="single" w:sz="8" w:color="auto"/>
            </w:tcBorders>
            <w:vMerge w:val="continue"/>
          </w:tcPr>
          <w:p>
            <w:pPr>
              <w:spacing w:after="0"/>
              <w:rPr>
                <w:sz w:val="12"/>
                <w:szCs w:val="12"/>
                <w:color w:val="auto"/>
              </w:rPr>
            </w:pPr>
          </w:p>
        </w:tc>
        <w:tc>
          <w:tcPr>
            <w:tcW w:w="276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740" w:type="dxa"/>
            <w:vAlign w:val="bottom"/>
            <w:tcBorders>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00" w:type="dxa"/>
            <w:vAlign w:val="bottom"/>
            <w:tcBorders>
              <w:right w:val="single" w:sz="8" w:color="auto"/>
            </w:tcBorders>
            <w:vMerge w:val="continue"/>
          </w:tcPr>
          <w:p>
            <w:pPr>
              <w:spacing w:after="0"/>
              <w:rPr>
                <w:sz w:val="18"/>
                <w:szCs w:val="18"/>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Senior Officer Employment</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Agreement, by and between The</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GEO Group, Inc. and Wayne</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Calabrese, dated February 9, 2023</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(incorporated by reference to Exhibit</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10.1 to the Company's Current</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Report on Form 8-K filed on</w:t>
            </w:r>
          </w:p>
        </w:tc>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00" w:type="dxa"/>
            <w:vAlign w:val="bottom"/>
            <w:tcBorders>
              <w:right w:val="single" w:sz="8" w:color="auto"/>
            </w:tcBorders>
          </w:tcPr>
          <w:p>
            <w:pPr>
              <w:spacing w:after="0"/>
              <w:rPr>
                <w:sz w:val="16"/>
                <w:szCs w:val="16"/>
                <w:color w:val="auto"/>
              </w:rPr>
            </w:pPr>
          </w:p>
        </w:tc>
        <w:tc>
          <w:tcPr>
            <w:tcW w:w="276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February 15, 2023).</w:t>
            </w:r>
          </w:p>
        </w:tc>
        <w:tc>
          <w:tcPr>
            <w:tcW w:w="40" w:type="dxa"/>
            <w:vAlign w:val="bottom"/>
          </w:tcPr>
          <w:p>
            <w:pPr>
              <w:spacing w:after="0"/>
              <w:rPr>
                <w:sz w:val="16"/>
                <w:szCs w:val="16"/>
                <w:color w:val="auto"/>
              </w:rPr>
            </w:pPr>
          </w:p>
        </w:tc>
        <w:tc>
          <w:tcPr>
            <w:tcW w:w="7820" w:type="dxa"/>
            <w:vAlign w:val="bottom"/>
            <w:tcBorders>
              <w:right w:val="single" w:sz="8" w:color="auto"/>
            </w:tcBorders>
            <w:gridSpan w:val="2"/>
          </w:tcPr>
          <w:p>
            <w:pPr>
              <w:spacing w:after="0" w:line="189" w:lineRule="exact"/>
              <w:rPr>
                <w:rFonts w:ascii="Arial" w:cs="Arial" w:eastAsia="Arial" w:hAnsi="Arial"/>
                <w:sz w:val="18"/>
                <w:szCs w:val="18"/>
                <w:color w:val="0000FF"/>
              </w:rPr>
            </w:pPr>
            <w:hyperlink r:id="rId491">
              <w:r>
                <w:rPr>
                  <w:rFonts w:ascii="Arial" w:cs="Arial" w:eastAsia="Arial" w:hAnsi="Arial"/>
                  <w:sz w:val="18"/>
                  <w:szCs w:val="18"/>
                  <w:color w:val="0000FF"/>
                </w:rPr>
                <w:t>https://www.sec.gov/Archives/edgar/data/923796/000119312523040224/d419976dex101.htm</w:t>
              </w:r>
            </w:hyperlink>
          </w:p>
        </w:tc>
        <w:tc>
          <w:tcPr>
            <w:tcW w:w="0" w:type="dxa"/>
            <w:vAlign w:val="bottom"/>
          </w:tcPr>
          <w:p>
            <w:pPr>
              <w:spacing w:after="0"/>
              <w:rPr>
                <w:sz w:val="1"/>
                <w:szCs w:val="1"/>
                <w:color w:val="auto"/>
              </w:rPr>
            </w:pPr>
          </w:p>
        </w:tc>
      </w:tr>
      <w:tr>
        <w:trPr>
          <w:trHeight w:val="34"/>
        </w:trPr>
        <w:tc>
          <w:tcPr>
            <w:tcW w:w="600" w:type="dxa"/>
            <w:vAlign w:val="bottom"/>
            <w:tcBorders>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740" w:type="dxa"/>
            <w:vAlign w:val="bottom"/>
            <w:tcBorders>
              <w:top w:val="single" w:sz="8" w:color="0000FF"/>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175895</wp:posOffset>
            </wp:positionV>
            <wp:extent cx="6768465" cy="31623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2">
                      <a:extLst>
                        <a:ext uri="{28A0092B-C50C-407E-A947-70E740481C1C}"/>
                      </a:extLst>
                    </a:blip>
                    <a:srcRect/>
                    <a:stretch>
                      <a:fillRect/>
                    </a:stretch>
                  </pic:blipFill>
                  <pic:spPr bwMode="auto">
                    <a:xfrm>
                      <a:off x="0" y="0"/>
                      <a:ext cx="6768465" cy="316230"/>
                    </a:xfrm>
                    <a:prstGeom prst="rect">
                      <a:avLst/>
                    </a:prstGeom>
                    <a:noFill/>
                  </pic:spPr>
                </pic:pic>
              </a:graphicData>
            </a:graphic>
          </wp:anchor>
        </w:drawing>
      </w:r>
    </w:p>
    <w:p>
      <w:pPr>
        <w:sectPr>
          <w:pgSz w:w="11900" w:h="16838" w:orient="portrait"/>
          <w:cols w:equalWidth="0" w:num="1">
            <w:col w:w="11220"/>
          </w:cols>
          <w:pgMar w:left="340" w:top="551" w:right="339" w:bottom="1440" w:gutter="0" w:footer="0" w:header="0"/>
        </w:sectPr>
      </w:pPr>
    </w:p>
    <w:p>
      <w:pPr>
        <w:spacing w:after="0" w:line="29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21.1</w:t>
      </w:r>
    </w:p>
    <w:p>
      <w:pPr>
        <w:spacing w:after="0" w:line="200" w:lineRule="exact"/>
        <w:rPr>
          <w:sz w:val="20"/>
          <w:szCs w:val="20"/>
          <w:color w:val="auto"/>
        </w:rPr>
      </w:pPr>
    </w:p>
    <w:p>
      <w:pPr>
        <w:spacing w:after="0" w:line="342" w:lineRule="exact"/>
        <w:rPr>
          <w:sz w:val="20"/>
          <w:szCs w:val="20"/>
          <w:color w:val="auto"/>
        </w:rPr>
      </w:pPr>
    </w:p>
    <w:p>
      <w:pPr>
        <w:ind w:left="100"/>
        <w:spacing w:after="0"/>
        <w:rPr>
          <w:sz w:val="20"/>
          <w:szCs w:val="20"/>
          <w:color w:val="auto"/>
        </w:rPr>
      </w:pPr>
      <w:r>
        <w:rPr>
          <w:rFonts w:ascii="Arial" w:cs="Arial" w:eastAsia="Arial" w:hAnsi="Arial"/>
          <w:sz w:val="15"/>
          <w:szCs w:val="15"/>
          <w:color w:val="auto"/>
        </w:rPr>
        <w:t>22.1</w:t>
      </w:r>
    </w:p>
    <w:p>
      <w:pPr>
        <w:spacing w:after="0" w:line="232" w:lineRule="exact"/>
        <w:rPr>
          <w:sz w:val="20"/>
          <w:szCs w:val="20"/>
          <w:color w:val="auto"/>
        </w:rPr>
      </w:pPr>
    </w:p>
    <w:p>
      <w:pPr>
        <w:ind w:left="100"/>
        <w:spacing w:after="0"/>
        <w:rPr>
          <w:sz w:val="20"/>
          <w:szCs w:val="20"/>
          <w:color w:val="auto"/>
        </w:rPr>
      </w:pPr>
      <w:r>
        <w:rPr>
          <w:rFonts w:ascii="Arial" w:cs="Arial" w:eastAsia="Arial" w:hAnsi="Arial"/>
          <w:sz w:val="15"/>
          <w:szCs w:val="15"/>
          <w:color w:val="auto"/>
        </w:rPr>
        <w:t>23.1</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0"/>
        <w:spacing w:after="0"/>
        <w:rPr>
          <w:sz w:val="20"/>
          <w:szCs w:val="20"/>
          <w:color w:val="auto"/>
        </w:rPr>
      </w:pPr>
      <w:r>
        <w:rPr>
          <w:rFonts w:ascii="Arial" w:cs="Arial" w:eastAsia="Arial" w:hAnsi="Arial"/>
          <w:sz w:val="15"/>
          <w:szCs w:val="15"/>
          <w:color w:val="auto"/>
        </w:rPr>
        <w:t>31.1</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0"/>
        <w:spacing w:after="0"/>
        <w:rPr>
          <w:sz w:val="20"/>
          <w:szCs w:val="20"/>
          <w:color w:val="auto"/>
        </w:rPr>
      </w:pPr>
      <w:r>
        <w:rPr>
          <w:rFonts w:ascii="Arial" w:cs="Arial" w:eastAsia="Arial" w:hAnsi="Arial"/>
          <w:sz w:val="15"/>
          <w:szCs w:val="15"/>
          <w:color w:val="auto"/>
        </w:rPr>
        <w:t>31.2</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0"/>
        <w:spacing w:after="0"/>
        <w:rPr>
          <w:sz w:val="20"/>
          <w:szCs w:val="20"/>
          <w:color w:val="auto"/>
        </w:rPr>
      </w:pPr>
      <w:r>
        <w:rPr>
          <w:rFonts w:ascii="Arial" w:cs="Arial" w:eastAsia="Arial" w:hAnsi="Arial"/>
          <w:sz w:val="15"/>
          <w:szCs w:val="15"/>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32.2</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Subsidiaries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306070</wp:posOffset>
            </wp:positionV>
            <wp:extent cx="1755140" cy="1714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3">
                      <a:extLst>
                        <a:ext uri="{28A0092B-C50C-407E-A947-70E740481C1C}"/>
                      </a:extLst>
                    </a:blip>
                    <a:srcRect/>
                    <a:stretch>
                      <a:fillRect/>
                    </a:stretch>
                  </pic:blipFill>
                  <pic:spPr bwMode="auto">
                    <a:xfrm>
                      <a:off x="0" y="0"/>
                      <a:ext cx="1755140" cy="1714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List of Guarantor Subsidiaries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113030</wp:posOffset>
            </wp:positionV>
            <wp:extent cx="6762115" cy="4705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4">
                      <a:extLst>
                        <a:ext uri="{28A0092B-C50C-407E-A947-70E740481C1C}"/>
                      </a:extLst>
                    </a:blip>
                    <a:srcRect/>
                    <a:stretch>
                      <a:fillRect/>
                    </a:stretch>
                  </pic:blipFill>
                  <pic:spPr bwMode="auto">
                    <a:xfrm>
                      <a:off x="0" y="0"/>
                      <a:ext cx="6762115" cy="470535"/>
                    </a:xfrm>
                    <a:prstGeom prst="rect">
                      <a:avLst/>
                    </a:prstGeom>
                    <a:noFill/>
                  </pic:spPr>
                </pic:pic>
              </a:graphicData>
            </a:graphic>
          </wp:anchor>
        </w:drawing>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Consent of Grant Thornton LLP,</w:t>
      </w:r>
    </w:p>
    <w:p>
      <w:pPr>
        <w:spacing w:after="0" w:line="23" w:lineRule="exact"/>
        <w:rPr>
          <w:sz w:val="20"/>
          <w:szCs w:val="20"/>
          <w:color w:val="auto"/>
        </w:rPr>
      </w:pPr>
    </w:p>
    <w:p>
      <w:pPr>
        <w:ind w:left="20"/>
        <w:spacing w:after="0"/>
        <w:tabs>
          <w:tab w:leader="none" w:pos="1120" w:val="left"/>
          <w:tab w:leader="none" w:pos="2120" w:val="left"/>
        </w:tabs>
        <w:rPr>
          <w:sz w:val="20"/>
          <w:szCs w:val="20"/>
          <w:color w:val="auto"/>
        </w:rPr>
      </w:pPr>
      <w:r>
        <w:rPr>
          <w:rFonts w:ascii="Arial" w:cs="Arial" w:eastAsia="Arial" w:hAnsi="Arial"/>
          <w:sz w:val="18"/>
          <w:szCs w:val="18"/>
          <w:u w:val="single" w:color="auto"/>
          <w:color w:val="0000FF"/>
        </w:rPr>
        <w:t>Independent</w:t>
        <w:tab/>
        <w:t>Registered</w:t>
      </w:r>
      <w:r>
        <w:rPr>
          <w:sz w:val="20"/>
          <w:szCs w:val="20"/>
          <w:color w:val="auto"/>
        </w:rPr>
        <w:tab/>
      </w:r>
      <w:r>
        <w:rPr>
          <w:rFonts w:ascii="Arial" w:cs="Arial" w:eastAsia="Arial" w:hAnsi="Arial"/>
          <w:sz w:val="16"/>
          <w:szCs w:val="16"/>
          <w:u w:val="single" w:color="auto"/>
          <w:color w:val="0000FF"/>
        </w:rPr>
        <w:t>Public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104140</wp:posOffset>
            </wp:positionV>
            <wp:extent cx="6762115" cy="4705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5">
                      <a:extLst>
                        <a:ext uri="{28A0092B-C50C-407E-A947-70E740481C1C}"/>
                      </a:extLst>
                    </a:blip>
                    <a:srcRect/>
                    <a:stretch>
                      <a:fillRect/>
                    </a:stretch>
                  </pic:blipFill>
                  <pic:spPr bwMode="auto">
                    <a:xfrm>
                      <a:off x="0" y="0"/>
                      <a:ext cx="6762115" cy="470535"/>
                    </a:xfrm>
                    <a:prstGeom prst="rect">
                      <a:avLst/>
                    </a:prstGeom>
                    <a:noFill/>
                  </pic:spPr>
                </pic:pic>
              </a:graphicData>
            </a:graphic>
          </wp:anchor>
        </w:drawing>
      </w:r>
    </w:p>
    <w:p>
      <w:pPr>
        <w:spacing w:after="0" w:line="177" w:lineRule="exact"/>
        <w:rPr>
          <w:sz w:val="20"/>
          <w:szCs w:val="20"/>
          <w:color w:val="auto"/>
        </w:rPr>
      </w:pPr>
    </w:p>
    <w:p>
      <w:pPr>
        <w:ind w:left="20"/>
        <w:spacing w:after="0"/>
        <w:tabs>
          <w:tab w:leader="none" w:pos="500" w:val="left"/>
          <w:tab w:leader="none" w:pos="1360" w:val="left"/>
          <w:tab w:leader="none" w:pos="2440" w:val="left"/>
        </w:tabs>
        <w:rPr>
          <w:sz w:val="20"/>
          <w:szCs w:val="20"/>
          <w:color w:val="auto"/>
        </w:rPr>
      </w:pPr>
      <w:r>
        <w:rPr>
          <w:rFonts w:ascii="Arial" w:cs="Arial" w:eastAsia="Arial" w:hAnsi="Arial"/>
          <w:sz w:val="18"/>
          <w:szCs w:val="18"/>
          <w:u w:val="single" w:color="auto"/>
          <w:color w:val="0000FF"/>
        </w:rPr>
        <w:t>Rule</w:t>
        <w:tab/>
        <w:t>13a-14(a)</w:t>
        <w:tab/>
        <w:t>Certification</w:t>
      </w:r>
      <w:r>
        <w:rPr>
          <w:sz w:val="20"/>
          <w:szCs w:val="20"/>
          <w:color w:val="auto"/>
        </w:rPr>
        <w:tab/>
      </w:r>
      <w:r>
        <w:rPr>
          <w:rFonts w:ascii="Arial" w:cs="Arial" w:eastAsia="Arial" w:hAnsi="Arial"/>
          <w:sz w:val="17"/>
          <w:szCs w:val="17"/>
          <w:u w:val="single" w:color="auto"/>
          <w:color w:val="0000FF"/>
        </w:rPr>
        <w:t>in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0000FF"/>
        </w:rPr>
        <w:t>accordance with Section 302 of the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104140</wp:posOffset>
            </wp:positionV>
            <wp:extent cx="6762115" cy="4705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6">
                      <a:extLst>
                        <a:ext uri="{28A0092B-C50C-407E-A947-70E740481C1C}"/>
                      </a:extLst>
                    </a:blip>
                    <a:srcRect/>
                    <a:stretch>
                      <a:fillRect/>
                    </a:stretch>
                  </pic:blipFill>
                  <pic:spPr bwMode="auto">
                    <a:xfrm>
                      <a:off x="0" y="0"/>
                      <a:ext cx="6762115" cy="470535"/>
                    </a:xfrm>
                    <a:prstGeom prst="rect">
                      <a:avLst/>
                    </a:prstGeom>
                    <a:noFill/>
                  </pic:spPr>
                </pic:pic>
              </a:graphicData>
            </a:graphic>
          </wp:anchor>
        </w:drawing>
      </w:r>
    </w:p>
    <w:p>
      <w:pPr>
        <w:spacing w:after="0" w:line="177" w:lineRule="exact"/>
        <w:rPr>
          <w:sz w:val="20"/>
          <w:szCs w:val="20"/>
          <w:color w:val="auto"/>
        </w:rPr>
      </w:pPr>
    </w:p>
    <w:p>
      <w:pPr>
        <w:ind w:left="20"/>
        <w:spacing w:after="0"/>
        <w:tabs>
          <w:tab w:leader="none" w:pos="500" w:val="left"/>
          <w:tab w:leader="none" w:pos="1360" w:val="left"/>
          <w:tab w:leader="none" w:pos="2440" w:val="left"/>
        </w:tabs>
        <w:rPr>
          <w:sz w:val="20"/>
          <w:szCs w:val="20"/>
          <w:color w:val="auto"/>
        </w:rPr>
      </w:pPr>
      <w:r>
        <w:rPr>
          <w:rFonts w:ascii="Arial" w:cs="Arial" w:eastAsia="Arial" w:hAnsi="Arial"/>
          <w:sz w:val="18"/>
          <w:szCs w:val="18"/>
          <w:u w:val="single" w:color="auto"/>
          <w:color w:val="0000FF"/>
        </w:rPr>
        <w:t>Rule</w:t>
        <w:tab/>
        <w:t>13a-14(a)</w:t>
        <w:tab/>
        <w:t>Certification</w:t>
      </w:r>
      <w:r>
        <w:rPr>
          <w:sz w:val="20"/>
          <w:szCs w:val="20"/>
          <w:color w:val="auto"/>
        </w:rPr>
        <w:tab/>
      </w:r>
      <w:r>
        <w:rPr>
          <w:rFonts w:ascii="Arial" w:cs="Arial" w:eastAsia="Arial" w:hAnsi="Arial"/>
          <w:sz w:val="17"/>
          <w:szCs w:val="17"/>
          <w:u w:val="single" w:color="auto"/>
          <w:color w:val="0000FF"/>
        </w:rPr>
        <w:t>in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0000FF"/>
        </w:rPr>
        <w:t>accordance with Section 302 of the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104140</wp:posOffset>
            </wp:positionV>
            <wp:extent cx="6762115" cy="60769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7">
                      <a:extLst>
                        <a:ext uri="{28A0092B-C50C-407E-A947-70E740481C1C}"/>
                      </a:extLst>
                    </a:blip>
                    <a:srcRect/>
                    <a:stretch>
                      <a:fillRect/>
                    </a:stretch>
                  </pic:blipFill>
                  <pic:spPr bwMode="auto">
                    <a:xfrm>
                      <a:off x="0" y="0"/>
                      <a:ext cx="6762115" cy="607695"/>
                    </a:xfrm>
                    <a:prstGeom prst="rect">
                      <a:avLst/>
                    </a:prstGeom>
                    <a:noFill/>
                  </pic:spPr>
                </pic:pic>
              </a:graphicData>
            </a:graphic>
          </wp:anchor>
        </w:drawing>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0000FF"/>
        </w:rPr>
        <w:t>Certification pursuant to 18 U.S.C.</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0000FF"/>
        </w:rPr>
        <w:t>Section 1350, as adopted pursuant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to Section 906 of the Sarbanes-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104140</wp:posOffset>
            </wp:positionV>
            <wp:extent cx="6762115" cy="60769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8">
                      <a:extLst>
                        <a:ext uri="{28A0092B-C50C-407E-A947-70E740481C1C}"/>
                      </a:extLst>
                    </a:blip>
                    <a:srcRect/>
                    <a:stretch>
                      <a:fillRect/>
                    </a:stretch>
                  </pic:blipFill>
                  <pic:spPr bwMode="auto">
                    <a:xfrm>
                      <a:off x="0" y="0"/>
                      <a:ext cx="6762115" cy="607695"/>
                    </a:xfrm>
                    <a:prstGeom prst="rect">
                      <a:avLst/>
                    </a:prstGeom>
                    <a:noFill/>
                  </pic:spPr>
                </pic:pic>
              </a:graphicData>
            </a:graphic>
          </wp:anchor>
        </w:drawing>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0000FF"/>
        </w:rPr>
        <w:t>Certification pursuant to 18 U.S.C.</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0000FF"/>
        </w:rPr>
        <w:t>Section 1350, as adopted pursuant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to Section 906 of the Sarbanes-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Oxley Act of 2002*</w:t>
      </w:r>
    </w:p>
    <w:p>
      <w:pPr>
        <w:spacing w:after="0" w:line="385" w:lineRule="exact"/>
        <w:rPr>
          <w:sz w:val="20"/>
          <w:szCs w:val="20"/>
          <w:color w:val="auto"/>
        </w:rPr>
      </w:pPr>
    </w:p>
    <w:p>
      <w:pPr>
        <w:jc w:val="center"/>
        <w:ind w:right="680"/>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85090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00" w:space="260"/>
            <w:col w:w="10560"/>
          </w:cols>
          <w:pgMar w:left="340" w:top="551" w:right="339" w:bottom="1440" w:gutter="0" w:footer="0" w:header="0"/>
          <w:type w:val="continuous"/>
        </w:sectPr>
      </w:pPr>
    </w:p>
    <w:bookmarkStart w:id="149" w:name="page150"/>
    <w:bookmarkEnd w:id="149"/>
    <w:p>
      <w:pPr>
        <w:ind w:left="120"/>
        <w:spacing w:after="0"/>
        <w:tabs>
          <w:tab w:leader="none" w:pos="680" w:val="left"/>
          <w:tab w:leader="none" w:pos="1440" w:val="left"/>
          <w:tab w:leader="none" w:pos="2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591185</wp:posOffset>
            </wp:positionH>
            <wp:positionV relativeFrom="page">
              <wp:posOffset>350520</wp:posOffset>
            </wp:positionV>
            <wp:extent cx="6762115" cy="3073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0">
                      <a:extLst>
                        <a:ext uri="{28A0092B-C50C-407E-A947-70E740481C1C}"/>
                      </a:extLst>
                    </a:blip>
                    <a:srcRect/>
                    <a:stretch>
                      <a:fillRect/>
                    </a:stretch>
                  </pic:blipFill>
                  <pic:spPr bwMode="auto">
                    <a:xfrm>
                      <a:off x="0" y="0"/>
                      <a:ext cx="6762115" cy="3073400"/>
                    </a:xfrm>
                    <a:prstGeom prst="rect">
                      <a:avLst/>
                    </a:prstGeom>
                    <a:noFill/>
                  </pic:spPr>
                </pic:pic>
              </a:graphicData>
            </a:graphic>
          </wp:anchor>
        </w:drawing>
        <w:t>101*</w:t>
        <w:tab/>
        <w:t>The</w:t>
      </w:r>
      <w:r>
        <w:rPr>
          <w:sz w:val="20"/>
          <w:szCs w:val="20"/>
          <w:color w:val="auto"/>
        </w:rPr>
        <w:tab/>
      </w:r>
      <w:r>
        <w:rPr>
          <w:rFonts w:ascii="Arial" w:cs="Arial" w:eastAsia="Arial" w:hAnsi="Arial"/>
          <w:sz w:val="18"/>
          <w:szCs w:val="18"/>
          <w:color w:val="auto"/>
        </w:rPr>
        <w:t>following</w:t>
      </w:r>
      <w:r>
        <w:rPr>
          <w:sz w:val="20"/>
          <w:szCs w:val="20"/>
          <w:color w:val="auto"/>
        </w:rPr>
        <w:tab/>
      </w:r>
      <w:r>
        <w:rPr>
          <w:rFonts w:ascii="Arial" w:cs="Arial" w:eastAsia="Arial" w:hAnsi="Arial"/>
          <w:sz w:val="17"/>
          <w:szCs w:val="17"/>
          <w:color w:val="auto"/>
        </w:rPr>
        <w:t>financial</w:t>
      </w:r>
    </w:p>
    <w:p>
      <w:pPr>
        <w:spacing w:after="0" w:line="3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information  from  the  Company's</w:t>
      </w:r>
    </w:p>
    <w:p>
      <w:pPr>
        <w:spacing w:after="0" w:line="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Annual Report on Form 10-K for</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year ended December 31, 2022,</w:t>
      </w:r>
    </w:p>
    <w:p>
      <w:pPr>
        <w:spacing w:after="0" w:line="32" w:lineRule="exact"/>
        <w:rPr>
          <w:sz w:val="20"/>
          <w:szCs w:val="20"/>
          <w:color w:val="auto"/>
        </w:rPr>
      </w:pPr>
    </w:p>
    <w:p>
      <w:pPr>
        <w:ind w:left="700"/>
        <w:spacing w:after="0"/>
        <w:tabs>
          <w:tab w:leader="none" w:pos="1660" w:val="left"/>
          <w:tab w:leader="none" w:pos="2080" w:val="left"/>
          <w:tab w:leader="none" w:pos="2780" w:val="left"/>
        </w:tabs>
        <w:rPr>
          <w:sz w:val="20"/>
          <w:szCs w:val="20"/>
          <w:color w:val="auto"/>
        </w:rPr>
      </w:pPr>
      <w:r>
        <w:rPr>
          <w:rFonts w:ascii="Arial" w:cs="Arial" w:eastAsia="Arial" w:hAnsi="Arial"/>
          <w:sz w:val="18"/>
          <w:szCs w:val="18"/>
          <w:color w:val="auto"/>
        </w:rPr>
        <w:t>formatted</w:t>
      </w:r>
      <w:r>
        <w:rPr>
          <w:sz w:val="20"/>
          <w:szCs w:val="20"/>
          <w:color w:val="auto"/>
        </w:rPr>
        <w:tab/>
      </w:r>
      <w:r>
        <w:rPr>
          <w:rFonts w:ascii="Arial" w:cs="Arial" w:eastAsia="Arial" w:hAnsi="Arial"/>
          <w:sz w:val="18"/>
          <w:szCs w:val="18"/>
          <w:color w:val="auto"/>
        </w:rPr>
        <w:t>in</w:t>
      </w:r>
      <w:r>
        <w:rPr>
          <w:sz w:val="20"/>
          <w:szCs w:val="20"/>
          <w:color w:val="auto"/>
        </w:rPr>
        <w:tab/>
      </w:r>
      <w:r>
        <w:rPr>
          <w:rFonts w:ascii="Arial" w:cs="Arial" w:eastAsia="Arial" w:hAnsi="Arial"/>
          <w:sz w:val="18"/>
          <w:szCs w:val="18"/>
          <w:color w:val="auto"/>
        </w:rPr>
        <w:t>Inline</w:t>
      </w:r>
      <w:r>
        <w:rPr>
          <w:sz w:val="20"/>
          <w:szCs w:val="20"/>
          <w:color w:val="auto"/>
        </w:rPr>
        <w:tab/>
      </w:r>
      <w:r>
        <w:rPr>
          <w:rFonts w:ascii="Arial" w:cs="Arial" w:eastAsia="Arial" w:hAnsi="Arial"/>
          <w:sz w:val="18"/>
          <w:szCs w:val="18"/>
          <w:color w:val="auto"/>
        </w:rPr>
        <w:t>XBRL</w:t>
      </w:r>
    </w:p>
    <w:p>
      <w:pPr>
        <w:spacing w:after="0" w:line="9" w:lineRule="exact"/>
        <w:rPr>
          <w:sz w:val="20"/>
          <w:szCs w:val="20"/>
          <w:color w:val="auto"/>
        </w:rPr>
      </w:pPr>
    </w:p>
    <w:p>
      <w:pPr>
        <w:ind w:left="700"/>
        <w:spacing w:after="0"/>
        <w:tabs>
          <w:tab w:leader="none" w:pos="1700" w:val="left"/>
          <w:tab w:leader="none" w:pos="2540" w:val="left"/>
        </w:tabs>
        <w:rPr>
          <w:sz w:val="20"/>
          <w:szCs w:val="20"/>
          <w:color w:val="auto"/>
        </w:rPr>
      </w:pPr>
      <w:r>
        <w:rPr>
          <w:rFonts w:ascii="Arial" w:cs="Arial" w:eastAsia="Arial" w:hAnsi="Arial"/>
          <w:sz w:val="18"/>
          <w:szCs w:val="18"/>
          <w:color w:val="auto"/>
        </w:rPr>
        <w:t>(Extensible</w:t>
        <w:tab/>
        <w:t>Business</w:t>
      </w:r>
      <w:r>
        <w:rPr>
          <w:sz w:val="20"/>
          <w:szCs w:val="20"/>
          <w:color w:val="auto"/>
        </w:rPr>
        <w:tab/>
      </w:r>
      <w:r>
        <w:rPr>
          <w:rFonts w:ascii="Arial" w:cs="Arial" w:eastAsia="Arial" w:hAnsi="Arial"/>
          <w:sz w:val="16"/>
          <w:szCs w:val="16"/>
          <w:color w:val="auto"/>
        </w:rPr>
        <w:t>Reporting</w:t>
      </w:r>
    </w:p>
    <w:p>
      <w:pPr>
        <w:spacing w:after="0" w:line="9" w:lineRule="exact"/>
        <w:rPr>
          <w:sz w:val="20"/>
          <w:szCs w:val="20"/>
          <w:color w:val="auto"/>
        </w:rPr>
      </w:pPr>
    </w:p>
    <w:p>
      <w:pPr>
        <w:ind w:left="700"/>
        <w:spacing w:after="0"/>
        <w:tabs>
          <w:tab w:leader="none" w:pos="1700" w:val="left"/>
          <w:tab w:leader="none" w:pos="2620" w:val="left"/>
          <w:tab w:leader="none" w:pos="3040" w:val="left"/>
        </w:tabs>
        <w:rPr>
          <w:sz w:val="20"/>
          <w:szCs w:val="20"/>
          <w:color w:val="auto"/>
        </w:rPr>
      </w:pPr>
      <w:r>
        <w:rPr>
          <w:rFonts w:ascii="Arial" w:cs="Arial" w:eastAsia="Arial" w:hAnsi="Arial"/>
          <w:sz w:val="18"/>
          <w:szCs w:val="18"/>
          <w:color w:val="auto"/>
        </w:rPr>
        <w:t>Language)</w:t>
        <w:tab/>
        <w:t>includes:</w:t>
        <w:tab/>
        <w:t>(i)</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700"/>
        <w:spacing w:after="0"/>
        <w:tabs>
          <w:tab w:leader="none" w:pos="1980" w:val="left"/>
          <w:tab w:leader="none" w:pos="3100" w:val="left"/>
        </w:tabs>
        <w:rPr>
          <w:sz w:val="20"/>
          <w:szCs w:val="20"/>
          <w:color w:val="auto"/>
        </w:rPr>
      </w:pPr>
      <w:r>
        <w:rPr>
          <w:rFonts w:ascii="Arial" w:cs="Arial" w:eastAsia="Arial" w:hAnsi="Arial"/>
          <w:sz w:val="18"/>
          <w:szCs w:val="18"/>
          <w:color w:val="auto"/>
        </w:rPr>
        <w:t>Consolidated</w:t>
      </w:r>
      <w:r>
        <w:rPr>
          <w:sz w:val="20"/>
          <w:szCs w:val="20"/>
          <w:color w:val="auto"/>
        </w:rPr>
        <w:tab/>
      </w:r>
      <w:r>
        <w:rPr>
          <w:rFonts w:ascii="Arial" w:cs="Arial" w:eastAsia="Arial" w:hAnsi="Arial"/>
          <w:sz w:val="18"/>
          <w:szCs w:val="18"/>
          <w:color w:val="auto"/>
        </w:rPr>
        <w:t>Statements</w:t>
      </w:r>
      <w:r>
        <w:rPr>
          <w:sz w:val="20"/>
          <w:szCs w:val="20"/>
          <w:color w:val="auto"/>
        </w:rPr>
        <w:tab/>
      </w:r>
      <w:r>
        <w:rPr>
          <w:rFonts w:ascii="Arial" w:cs="Arial" w:eastAsia="Arial" w:hAnsi="Arial"/>
          <w:sz w:val="18"/>
          <w:szCs w:val="18"/>
          <w:color w:val="auto"/>
        </w:rPr>
        <w:t>of</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Operations,  (ii)  the  Consolidated</w:t>
      </w:r>
    </w:p>
    <w:p>
      <w:pPr>
        <w:spacing w:after="0" w:line="20" w:lineRule="exact"/>
        <w:rPr>
          <w:sz w:val="20"/>
          <w:szCs w:val="20"/>
          <w:color w:val="auto"/>
        </w:rPr>
      </w:pPr>
    </w:p>
    <w:p>
      <w:pPr>
        <w:ind w:left="700"/>
        <w:spacing w:after="0"/>
        <w:tabs>
          <w:tab w:leader="none" w:pos="1720" w:val="left"/>
          <w:tab w:leader="none" w:pos="2120" w:val="left"/>
        </w:tabs>
        <w:rPr>
          <w:sz w:val="20"/>
          <w:szCs w:val="20"/>
          <w:color w:val="auto"/>
        </w:rPr>
      </w:pPr>
      <w:r>
        <w:rPr>
          <w:rFonts w:ascii="Arial" w:cs="Arial" w:eastAsia="Arial" w:hAnsi="Arial"/>
          <w:sz w:val="18"/>
          <w:szCs w:val="18"/>
          <w:color w:val="auto"/>
        </w:rPr>
        <w:t>Statements</w:t>
        <w:tab/>
        <w:t>of</w:t>
      </w:r>
      <w:r>
        <w:rPr>
          <w:sz w:val="20"/>
          <w:szCs w:val="20"/>
          <w:color w:val="auto"/>
        </w:rPr>
        <w:tab/>
      </w:r>
      <w:r>
        <w:rPr>
          <w:rFonts w:ascii="Arial" w:cs="Arial" w:eastAsia="Arial" w:hAnsi="Arial"/>
          <w:sz w:val="16"/>
          <w:szCs w:val="16"/>
          <w:color w:val="auto"/>
        </w:rPr>
        <w:t>Comprehensive</w:t>
      </w:r>
    </w:p>
    <w:p>
      <w:pPr>
        <w:spacing w:after="0" w:line="9" w:lineRule="exact"/>
        <w:rPr>
          <w:sz w:val="20"/>
          <w:szCs w:val="20"/>
          <w:color w:val="auto"/>
        </w:rPr>
      </w:pPr>
    </w:p>
    <w:p>
      <w:pPr>
        <w:ind w:left="700"/>
        <w:spacing w:after="0"/>
        <w:tabs>
          <w:tab w:leader="none" w:pos="1560" w:val="left"/>
          <w:tab w:leader="none" w:pos="2420" w:val="left"/>
          <w:tab w:leader="none" w:pos="3040" w:val="left"/>
        </w:tabs>
        <w:rPr>
          <w:sz w:val="20"/>
          <w:szCs w:val="20"/>
          <w:color w:val="auto"/>
        </w:rPr>
      </w:pPr>
      <w:r>
        <w:rPr>
          <w:rFonts w:ascii="Arial" w:cs="Arial" w:eastAsia="Arial" w:hAnsi="Arial"/>
          <w:sz w:val="18"/>
          <w:szCs w:val="18"/>
          <w:color w:val="auto"/>
        </w:rPr>
        <w:t>Income</w:t>
      </w:r>
      <w:r>
        <w:rPr>
          <w:sz w:val="20"/>
          <w:szCs w:val="20"/>
          <w:color w:val="auto"/>
        </w:rPr>
        <w:tab/>
      </w:r>
      <w:r>
        <w:rPr>
          <w:rFonts w:ascii="Arial" w:cs="Arial" w:eastAsia="Arial" w:hAnsi="Arial"/>
          <w:sz w:val="18"/>
          <w:szCs w:val="18"/>
          <w:color w:val="auto"/>
        </w:rPr>
        <w:t>(Loss),</w:t>
      </w:r>
      <w:r>
        <w:rPr>
          <w:sz w:val="20"/>
          <w:szCs w:val="20"/>
          <w:color w:val="auto"/>
        </w:rPr>
        <w:tab/>
      </w:r>
      <w:r>
        <w:rPr>
          <w:rFonts w:ascii="Arial" w:cs="Arial" w:eastAsia="Arial" w:hAnsi="Arial"/>
          <w:sz w:val="18"/>
          <w:szCs w:val="18"/>
          <w:color w:val="auto"/>
        </w:rPr>
        <w:t>(iii)</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Consolidated Balance Sheets, (iv)</w:t>
      </w:r>
    </w:p>
    <w:p>
      <w:pPr>
        <w:spacing w:after="0" w:line="20" w:lineRule="exact"/>
        <w:rPr>
          <w:sz w:val="20"/>
          <w:szCs w:val="20"/>
          <w:color w:val="auto"/>
        </w:rPr>
      </w:pPr>
    </w:p>
    <w:p>
      <w:pPr>
        <w:ind w:left="700"/>
        <w:spacing w:after="0"/>
        <w:tabs>
          <w:tab w:leader="none" w:pos="1060" w:val="left"/>
          <w:tab w:leader="none" w:pos="2160" w:val="left"/>
          <w:tab w:leader="none" w:pos="3100" w:val="left"/>
        </w:tabs>
        <w:rPr>
          <w:sz w:val="20"/>
          <w:szCs w:val="20"/>
          <w:color w:val="auto"/>
        </w:rPr>
      </w:pPr>
      <w:r>
        <w:rPr>
          <w:rFonts w:ascii="Arial" w:cs="Arial" w:eastAsia="Arial" w:hAnsi="Arial"/>
          <w:sz w:val="18"/>
          <w:szCs w:val="18"/>
          <w:color w:val="auto"/>
        </w:rPr>
        <w:t>the</w:t>
        <w:tab/>
        <w:t>Consolidated</w:t>
        <w:tab/>
        <w:t>Statements</w:t>
        <w:tab/>
        <w:t>of</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Cash Flows, (v) the Consolidated</w:t>
      </w:r>
    </w:p>
    <w:p>
      <w:pPr>
        <w:spacing w:after="0" w:line="2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Statements of Stockholders' Equity,</w:t>
      </w:r>
    </w:p>
    <w:p>
      <w:pPr>
        <w:spacing w:after="0" w:line="32" w:lineRule="exact"/>
        <w:rPr>
          <w:sz w:val="20"/>
          <w:szCs w:val="20"/>
          <w:color w:val="auto"/>
        </w:rPr>
      </w:pPr>
    </w:p>
    <w:p>
      <w:pPr>
        <w:ind w:left="700"/>
        <w:spacing w:after="0"/>
        <w:tabs>
          <w:tab w:leader="none" w:pos="1160" w:val="left"/>
          <w:tab w:leader="none" w:pos="1620" w:val="left"/>
          <w:tab w:leader="none" w:pos="2060" w:val="left"/>
          <w:tab w:leader="none" w:pos="2680" w:val="left"/>
          <w:tab w:leader="none" w:pos="3040" w:val="left"/>
        </w:tabs>
        <w:rPr>
          <w:sz w:val="20"/>
          <w:szCs w:val="20"/>
          <w:color w:val="auto"/>
        </w:rPr>
      </w:pPr>
      <w:r>
        <w:rPr>
          <w:rFonts w:ascii="Arial" w:cs="Arial" w:eastAsia="Arial" w:hAnsi="Arial"/>
          <w:sz w:val="18"/>
          <w:szCs w:val="18"/>
          <w:color w:val="auto"/>
        </w:rPr>
        <w:t>and</w:t>
        <w:tab/>
        <w:t>(vi)</w:t>
        <w:tab/>
        <w:t>the</w:t>
        <w:tab/>
        <w:t>Notes</w:t>
        <w:tab/>
        <w:t>to</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Consolidated Financial Statements.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instance document does not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appear in the interactive data file</w:t>
      </w:r>
    </w:p>
    <w:p>
      <w:pPr>
        <w:spacing w:after="0" w:line="9" w:lineRule="exact"/>
        <w:rPr>
          <w:sz w:val="20"/>
          <w:szCs w:val="20"/>
          <w:color w:val="auto"/>
        </w:rPr>
      </w:pPr>
    </w:p>
    <w:p>
      <w:pPr>
        <w:ind w:left="700"/>
        <w:spacing w:after="0"/>
        <w:tabs>
          <w:tab w:leader="none" w:pos="1460" w:val="left"/>
          <w:tab w:leader="none" w:pos="1840" w:val="left"/>
          <w:tab w:leader="none" w:pos="2520" w:val="left"/>
          <w:tab w:leader="none" w:pos="3020" w:val="left"/>
        </w:tabs>
        <w:rPr>
          <w:sz w:val="20"/>
          <w:szCs w:val="20"/>
          <w:color w:val="auto"/>
        </w:rPr>
      </w:pPr>
      <w:r>
        <w:rPr>
          <w:rFonts w:ascii="Arial" w:cs="Arial" w:eastAsia="Arial" w:hAnsi="Arial"/>
          <w:sz w:val="18"/>
          <w:szCs w:val="18"/>
          <w:color w:val="auto"/>
        </w:rPr>
        <w:t>because</w:t>
        <w:tab/>
        <w:t>its</w:t>
        <w:tab/>
        <w:t>XBRL</w:t>
        <w:tab/>
        <w:t>tags</w:t>
      </w:r>
      <w:r>
        <w:rPr>
          <w:sz w:val="20"/>
          <w:szCs w:val="20"/>
          <w:color w:val="auto"/>
        </w:rPr>
        <w:tab/>
      </w:r>
      <w:r>
        <w:rPr>
          <w:rFonts w:ascii="Arial" w:cs="Arial" w:eastAsia="Arial" w:hAnsi="Arial"/>
          <w:sz w:val="15"/>
          <w:szCs w:val="15"/>
          <w:color w:val="auto"/>
        </w:rPr>
        <w:t>are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embedded within the Inline XBRL</w:t>
      </w:r>
    </w:p>
    <w:p>
      <w:pPr>
        <w:spacing w:after="0" w:line="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104140</wp:posOffset>
            </wp:positionV>
            <wp:extent cx="6762115" cy="60769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1">
                      <a:extLst>
                        <a:ext uri="{28A0092B-C50C-407E-A947-70E740481C1C}"/>
                      </a:extLst>
                    </a:blip>
                    <a:srcRect/>
                    <a:stretch>
                      <a:fillRect/>
                    </a:stretch>
                  </pic:blipFill>
                  <pic:spPr bwMode="auto">
                    <a:xfrm>
                      <a:off x="0" y="0"/>
                      <a:ext cx="6762115" cy="607695"/>
                    </a:xfrm>
                    <a:prstGeom prst="rect">
                      <a:avLst/>
                    </a:prstGeom>
                    <a:noFill/>
                  </pic:spPr>
                </pic:pic>
              </a:graphicData>
            </a:graphic>
          </wp:anchor>
        </w:drawing>
      </w:r>
    </w:p>
    <w:p>
      <w:pPr>
        <w:spacing w:after="0" w:line="1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7"/>
          <w:szCs w:val="17"/>
          <w:color w:val="auto"/>
        </w:rPr>
        <w:t>104*</w:t>
        <w:tab/>
        <w:t>Cover Page Interactive Data Title -</w:t>
      </w:r>
    </w:p>
    <w:p>
      <w:pPr>
        <w:spacing w:after="0" w:line="4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cover  page  XBRL  tags  are</w:t>
      </w:r>
    </w:p>
    <w:p>
      <w:pPr>
        <w:spacing w:after="0" w:line="2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embedded within the Inline XBRL</w:t>
      </w:r>
    </w:p>
    <w:p>
      <w:pPr>
        <w:spacing w:after="0" w:line="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document.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firstLine="8"/>
        <w:spacing w:after="0" w:line="281" w:lineRule="auto"/>
        <w:tabs>
          <w:tab w:leader="none" w:pos="225" w:val="left"/>
        </w:tabs>
        <w:numPr>
          <w:ilvl w:val="0"/>
          <w:numId w:val="61"/>
        </w:numPr>
        <w:rPr>
          <w:rFonts w:ascii="Arial" w:cs="Arial" w:eastAsia="Arial" w:hAnsi="Arial"/>
          <w:sz w:val="16"/>
          <w:szCs w:val="16"/>
          <w:color w:val="auto"/>
        </w:rPr>
      </w:pPr>
      <w:r>
        <w:rPr>
          <w:rFonts w:ascii="Arial" w:cs="Arial" w:eastAsia="Arial" w:hAnsi="Arial"/>
          <w:sz w:val="16"/>
          <w:szCs w:val="16"/>
          <w:color w:val="auto"/>
        </w:rPr>
        <w:t>Certain portions of these Exhibits have been omitted in accordance with Regulation S-K Item 601 because they are both (i) not material to investors and (ii) the type of information that the Registrant customarily and actually treats as private or confidential and have been marked with ‘‘[***]’’ to indicate where omissions have been made. The Registrant agrees to furnish supplementally an unredacted copy of the Exhibit to the SEC upon its request.</w:t>
      </w:r>
    </w:p>
    <w:p>
      <w:pPr>
        <w:spacing w:after="0"/>
        <w:rPr>
          <w:rFonts w:ascii="Arial" w:cs="Arial" w:eastAsia="Arial" w:hAnsi="Arial"/>
          <w:sz w:val="16"/>
          <w:szCs w:val="16"/>
          <w:color w:val="auto"/>
        </w:rPr>
      </w:pPr>
      <w:r>
        <w:rPr>
          <w:rFonts w:ascii="Arial" w:cs="Arial" w:eastAsia="Arial" w:hAnsi="Arial"/>
          <w:sz w:val="18"/>
          <w:szCs w:val="18"/>
          <w:color w:val="auto"/>
        </w:rPr>
        <w:t>† Management contract or compensatory plan, contract or agreement as defined in Item 402 (a)(3) of Regulation S-K.</w:t>
      </w:r>
    </w:p>
    <w:p>
      <w:pPr>
        <w:spacing w:after="0" w:line="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 Paper filing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0" w:right="399"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0"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THE GEO GROUP, INC.</w:t>
      </w:r>
    </w:p>
    <w:p>
      <w:pPr>
        <w:spacing w:after="0" w:line="278" w:lineRule="exact"/>
        <w:rPr>
          <w:sz w:val="20"/>
          <w:szCs w:val="20"/>
          <w:color w:val="auto"/>
        </w:rPr>
      </w:pPr>
    </w:p>
    <w:p>
      <w:pPr>
        <w:ind w:left="6240"/>
        <w:spacing w:after="0"/>
        <w:tabs>
          <w:tab w:leader="none" w:pos="65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23495</wp:posOffset>
            </wp:positionV>
            <wp:extent cx="320230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3">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2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Brian R. Evans</w:t>
      </w:r>
    </w:p>
    <w:p>
      <w:pPr>
        <w:spacing w:after="0" w:line="36"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2023</w:t>
      </w:r>
    </w:p>
    <w:p>
      <w:pPr>
        <w:spacing w:after="0" w:line="225"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553" w:right="339" w:bottom="0" w:gutter="0" w:footer="0" w:header="0"/>
        </w:sect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tcPr>
          <w:p>
            <w:pPr>
              <w:jc w:val="center"/>
              <w:ind w:right="1613"/>
              <w:spacing w:after="0"/>
              <w:rPr>
                <w:sz w:val="20"/>
                <w:szCs w:val="20"/>
                <w:color w:val="auto"/>
              </w:rPr>
            </w:pPr>
            <w:r>
              <w:rPr>
                <w:rFonts w:ascii="Arial" w:cs="Arial" w:eastAsia="Arial" w:hAnsi="Arial"/>
                <w:sz w:val="14"/>
                <w:szCs w:val="14"/>
                <w:b w:val="1"/>
                <w:bCs w:val="1"/>
                <w:color w:val="auto"/>
                <w:w w:val="92"/>
              </w:rPr>
              <w:t>Signature</w:t>
            </w:r>
          </w:p>
        </w:tc>
      </w:tr>
      <w:tr>
        <w:trPr>
          <w:trHeight w:val="594"/>
        </w:trPr>
        <w:tc>
          <w:tcPr>
            <w:tcW w:w="172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/s/</w:t>
            </w:r>
          </w:p>
        </w:tc>
        <w:tc>
          <w:tcPr>
            <w:tcW w:w="2780" w:type="dxa"/>
            <w:vAlign w:val="bottom"/>
            <w:tcBorders>
              <w:bottom w:val="single" w:sz="8" w:color="auto"/>
            </w:tcBorders>
          </w:tcPr>
          <w:p>
            <w:pPr>
              <w:jc w:val="center"/>
              <w:ind w:right="1253"/>
              <w:spacing w:after="0"/>
              <w:rPr>
                <w:sz w:val="20"/>
                <w:szCs w:val="20"/>
                <w:color w:val="auto"/>
              </w:rPr>
            </w:pPr>
            <w:r>
              <w:rPr>
                <w:rFonts w:ascii="Arial" w:cs="Arial" w:eastAsia="Arial" w:hAnsi="Arial"/>
                <w:sz w:val="18"/>
                <w:szCs w:val="18"/>
                <w:color w:val="auto"/>
                <w:w w:val="90"/>
              </w:rPr>
              <w:t>George C. Zoley</w:t>
            </w:r>
          </w:p>
        </w:tc>
      </w:tr>
      <w:tr>
        <w:trPr>
          <w:trHeight w:val="230"/>
        </w:trPr>
        <w:tc>
          <w:tcPr>
            <w:tcW w:w="4500" w:type="dxa"/>
            <w:vAlign w:val="bottom"/>
            <w:gridSpan w:val="2"/>
          </w:tcPr>
          <w:p>
            <w:pPr>
              <w:jc w:val="center"/>
              <w:spacing w:after="0"/>
              <w:rPr>
                <w:sz w:val="20"/>
                <w:szCs w:val="20"/>
                <w:color w:val="auto"/>
              </w:rPr>
            </w:pPr>
            <w:r>
              <w:rPr>
                <w:rFonts w:ascii="Arial" w:cs="Arial" w:eastAsia="Arial" w:hAnsi="Arial"/>
                <w:sz w:val="18"/>
                <w:szCs w:val="18"/>
                <w:color w:val="auto"/>
                <w:w w:val="90"/>
              </w:rPr>
              <w:t>George C. Zoley</w:t>
            </w:r>
          </w:p>
        </w:tc>
      </w:tr>
      <w:tr>
        <w:trPr>
          <w:trHeight w:val="680"/>
        </w:trPr>
        <w:tc>
          <w:tcPr>
            <w:tcW w:w="45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/s/  Jose Gordo</w:t>
            </w:r>
          </w:p>
        </w:tc>
      </w:tr>
      <w:tr>
        <w:trPr>
          <w:trHeight w:val="230"/>
        </w:trPr>
        <w:tc>
          <w:tcPr>
            <w:tcW w:w="1720" w:type="dxa"/>
            <w:vAlign w:val="bottom"/>
          </w:tcPr>
          <w:p>
            <w:pPr>
              <w:spacing w:after="0"/>
              <w:rPr>
                <w:sz w:val="20"/>
                <w:szCs w:val="20"/>
                <w:color w:val="auto"/>
              </w:rPr>
            </w:pPr>
          </w:p>
        </w:tc>
        <w:tc>
          <w:tcPr>
            <w:tcW w:w="2780" w:type="dxa"/>
            <w:vAlign w:val="bottom"/>
          </w:tcPr>
          <w:p>
            <w:pPr>
              <w:jc w:val="center"/>
              <w:ind w:right="1593"/>
              <w:spacing w:after="0"/>
              <w:rPr>
                <w:sz w:val="20"/>
                <w:szCs w:val="20"/>
                <w:color w:val="auto"/>
              </w:rPr>
            </w:pPr>
            <w:r>
              <w:rPr>
                <w:rFonts w:ascii="Arial" w:cs="Arial" w:eastAsia="Arial" w:hAnsi="Arial"/>
                <w:sz w:val="18"/>
                <w:szCs w:val="18"/>
                <w:color w:val="auto"/>
                <w:w w:val="88"/>
              </w:rPr>
              <w:t>Jose Gordo</w:t>
            </w:r>
          </w:p>
        </w:tc>
      </w:tr>
      <w:tr>
        <w:trPr>
          <w:trHeight w:val="1071"/>
        </w:trPr>
        <w:tc>
          <w:tcPr>
            <w:tcW w:w="172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83"/>
              </w:rPr>
              <w:t>/s/</w:t>
            </w:r>
          </w:p>
        </w:tc>
        <w:tc>
          <w:tcPr>
            <w:tcW w:w="2780" w:type="dxa"/>
            <w:vAlign w:val="bottom"/>
            <w:tcBorders>
              <w:bottom w:val="single" w:sz="8" w:color="auto"/>
            </w:tcBorders>
          </w:tcPr>
          <w:p>
            <w:pPr>
              <w:jc w:val="center"/>
              <w:ind w:right="1253"/>
              <w:spacing w:after="0"/>
              <w:rPr>
                <w:sz w:val="20"/>
                <w:szCs w:val="20"/>
                <w:color w:val="auto"/>
              </w:rPr>
            </w:pPr>
            <w:r>
              <w:rPr>
                <w:rFonts w:ascii="Arial" w:cs="Arial" w:eastAsia="Arial" w:hAnsi="Arial"/>
                <w:sz w:val="18"/>
                <w:szCs w:val="18"/>
                <w:color w:val="auto"/>
                <w:w w:val="89"/>
              </w:rPr>
              <w:t>Brian R. Evans</w:t>
            </w:r>
          </w:p>
        </w:tc>
      </w:tr>
      <w:tr>
        <w:trPr>
          <w:trHeight w:val="230"/>
        </w:trPr>
        <w:tc>
          <w:tcPr>
            <w:tcW w:w="1720" w:type="dxa"/>
            <w:vAlign w:val="bottom"/>
          </w:tcPr>
          <w:p>
            <w:pPr>
              <w:spacing w:after="0"/>
              <w:rPr>
                <w:sz w:val="20"/>
                <w:szCs w:val="20"/>
                <w:color w:val="auto"/>
              </w:rPr>
            </w:pPr>
          </w:p>
        </w:tc>
        <w:tc>
          <w:tcPr>
            <w:tcW w:w="2780" w:type="dxa"/>
            <w:vAlign w:val="bottom"/>
          </w:tcPr>
          <w:p>
            <w:pPr>
              <w:jc w:val="center"/>
              <w:ind w:right="1593"/>
              <w:spacing w:after="0"/>
              <w:rPr>
                <w:sz w:val="20"/>
                <w:szCs w:val="20"/>
                <w:color w:val="auto"/>
              </w:rPr>
            </w:pPr>
            <w:r>
              <w:rPr>
                <w:rFonts w:ascii="Arial" w:cs="Arial" w:eastAsia="Arial" w:hAnsi="Arial"/>
                <w:sz w:val="18"/>
                <w:szCs w:val="18"/>
                <w:color w:val="auto"/>
                <w:w w:val="91"/>
              </w:rPr>
              <w:t>Brian R. Evans</w:t>
            </w:r>
          </w:p>
        </w:tc>
      </w:tr>
      <w:tr>
        <w:trPr>
          <w:trHeight w:val="829"/>
        </w:trPr>
        <w:tc>
          <w:tcPr>
            <w:tcW w:w="172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/s/</w:t>
            </w:r>
          </w:p>
        </w:tc>
        <w:tc>
          <w:tcPr>
            <w:tcW w:w="2780" w:type="dxa"/>
            <w:vAlign w:val="bottom"/>
            <w:tcBorders>
              <w:bottom w:val="single" w:sz="8" w:color="auto"/>
            </w:tcBorders>
          </w:tcPr>
          <w:p>
            <w:pPr>
              <w:jc w:val="center"/>
              <w:ind w:right="1253"/>
              <w:spacing w:after="0"/>
              <w:rPr>
                <w:sz w:val="20"/>
                <w:szCs w:val="20"/>
                <w:color w:val="auto"/>
              </w:rPr>
            </w:pPr>
            <w:r>
              <w:rPr>
                <w:rFonts w:ascii="Arial" w:cs="Arial" w:eastAsia="Arial" w:hAnsi="Arial"/>
                <w:sz w:val="18"/>
                <w:szCs w:val="18"/>
                <w:color w:val="auto"/>
                <w:w w:val="92"/>
              </w:rPr>
              <w:t>Ronald A. Brack</w:t>
            </w:r>
          </w:p>
        </w:tc>
      </w:tr>
      <w:tr>
        <w:trPr>
          <w:trHeight w:val="230"/>
        </w:trPr>
        <w:tc>
          <w:tcPr>
            <w:tcW w:w="4500" w:type="dxa"/>
            <w:vAlign w:val="bottom"/>
            <w:gridSpan w:val="2"/>
          </w:tcPr>
          <w:p>
            <w:pPr>
              <w:jc w:val="center"/>
              <w:spacing w:after="0"/>
              <w:rPr>
                <w:sz w:val="20"/>
                <w:szCs w:val="20"/>
                <w:color w:val="auto"/>
              </w:rPr>
            </w:pPr>
            <w:r>
              <w:rPr>
                <w:rFonts w:ascii="Arial" w:cs="Arial" w:eastAsia="Arial" w:hAnsi="Arial"/>
                <w:sz w:val="18"/>
                <w:szCs w:val="18"/>
                <w:color w:val="auto"/>
                <w:w w:val="93"/>
              </w:rPr>
              <w:t>Ronald A. Brack</w:t>
            </w:r>
          </w:p>
        </w:tc>
      </w:tr>
    </w:tbl>
    <w:p>
      <w:pPr>
        <w:spacing w:after="0" w:line="200" w:lineRule="exact"/>
        <w:rPr>
          <w:sz w:val="20"/>
          <w:szCs w:val="20"/>
          <w:color w:val="auto"/>
        </w:rPr>
      </w:pPr>
    </w:p>
    <w:p>
      <w:pPr>
        <w:spacing w:after="0" w:line="392" w:lineRule="exact"/>
        <w:rPr>
          <w:sz w:val="20"/>
          <w:szCs w:val="20"/>
          <w:color w:val="auto"/>
        </w:rPr>
      </w:pPr>
    </w:p>
    <w:p>
      <w:pPr>
        <w:jc w:val="center"/>
        <w:ind w:left="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Dr. Thomas Bartzokis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115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4">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Dr. Thomas Bartzokis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4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w w:val="83"/>
              </w:rPr>
              <w:t>/s/</w:t>
            </w:r>
          </w:p>
        </w:tc>
        <w:tc>
          <w:tcPr>
            <w:tcW w:w="2760" w:type="dxa"/>
            <w:vAlign w:val="bottom"/>
            <w:tcBorders>
              <w:bottom w:val="single" w:sz="8" w:color="auto"/>
            </w:tcBorders>
          </w:tcPr>
          <w:p>
            <w:pPr>
              <w:jc w:val="center"/>
              <w:ind w:right="1250"/>
              <w:spacing w:after="0"/>
              <w:rPr>
                <w:sz w:val="20"/>
                <w:szCs w:val="20"/>
                <w:color w:val="auto"/>
              </w:rPr>
            </w:pPr>
            <w:r>
              <w:rPr>
                <w:rFonts w:ascii="Arial" w:cs="Arial" w:eastAsia="Arial" w:hAnsi="Arial"/>
                <w:sz w:val="18"/>
                <w:szCs w:val="18"/>
                <w:color w:val="auto"/>
                <w:w w:val="92"/>
              </w:rPr>
              <w:t>Julie M. Wood</w:t>
            </w:r>
          </w:p>
        </w:tc>
      </w:tr>
      <w:tr>
        <w:trPr>
          <w:trHeight w:val="230"/>
        </w:trPr>
        <w:tc>
          <w:tcPr>
            <w:tcW w:w="4500" w:type="dxa"/>
            <w:vAlign w:val="bottom"/>
            <w:gridSpan w:val="2"/>
          </w:tcPr>
          <w:p>
            <w:pPr>
              <w:jc w:val="center"/>
              <w:spacing w:after="0"/>
              <w:rPr>
                <w:sz w:val="20"/>
                <w:szCs w:val="20"/>
                <w:color w:val="auto"/>
              </w:rPr>
            </w:pPr>
            <w:r>
              <w:rPr>
                <w:rFonts w:ascii="Arial" w:cs="Arial" w:eastAsia="Arial" w:hAnsi="Arial"/>
                <w:sz w:val="18"/>
                <w:szCs w:val="18"/>
                <w:color w:val="auto"/>
                <w:w w:val="92"/>
              </w:rPr>
              <w:t>Julie M. Wood</w:t>
            </w:r>
          </w:p>
        </w:tc>
      </w:tr>
      <w:tr>
        <w:trPr>
          <w:trHeight w:val="829"/>
        </w:trPr>
        <w:tc>
          <w:tcPr>
            <w:tcW w:w="174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w:t>
            </w:r>
          </w:p>
        </w:tc>
        <w:tc>
          <w:tcPr>
            <w:tcW w:w="2760" w:type="dxa"/>
            <w:vAlign w:val="bottom"/>
            <w:tcBorders>
              <w:bottom w:val="single" w:sz="8" w:color="auto"/>
            </w:tcBorders>
          </w:tcPr>
          <w:p>
            <w:pPr>
              <w:jc w:val="center"/>
              <w:ind w:right="1270"/>
              <w:spacing w:after="0"/>
              <w:rPr>
                <w:sz w:val="20"/>
                <w:szCs w:val="20"/>
                <w:color w:val="auto"/>
              </w:rPr>
            </w:pPr>
            <w:r>
              <w:rPr>
                <w:rFonts w:ascii="Arial" w:cs="Arial" w:eastAsia="Arial" w:hAnsi="Arial"/>
                <w:sz w:val="18"/>
                <w:szCs w:val="18"/>
                <w:color w:val="auto"/>
                <w:w w:val="90"/>
              </w:rPr>
              <w:t>Anne N. Foreman</w:t>
            </w:r>
          </w:p>
        </w:tc>
      </w:tr>
      <w:tr>
        <w:trPr>
          <w:trHeight w:val="230"/>
        </w:trPr>
        <w:tc>
          <w:tcPr>
            <w:tcW w:w="4500" w:type="dxa"/>
            <w:vAlign w:val="bottom"/>
            <w:gridSpan w:val="2"/>
          </w:tcPr>
          <w:p>
            <w:pPr>
              <w:jc w:val="center"/>
              <w:spacing w:after="0"/>
              <w:rPr>
                <w:sz w:val="20"/>
                <w:szCs w:val="20"/>
                <w:color w:val="auto"/>
              </w:rPr>
            </w:pPr>
            <w:r>
              <w:rPr>
                <w:rFonts w:ascii="Arial" w:cs="Arial" w:eastAsia="Arial" w:hAnsi="Arial"/>
                <w:sz w:val="18"/>
                <w:szCs w:val="18"/>
                <w:color w:val="auto"/>
                <w:w w:val="91"/>
              </w:rPr>
              <w:t>Anne N. Foreman</w:t>
            </w:r>
          </w:p>
        </w:tc>
      </w:tr>
      <w:tr>
        <w:trPr>
          <w:trHeight w:val="829"/>
        </w:trPr>
        <w:tc>
          <w:tcPr>
            <w:tcW w:w="174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w:t>
            </w:r>
          </w:p>
        </w:tc>
        <w:tc>
          <w:tcPr>
            <w:tcW w:w="2760" w:type="dxa"/>
            <w:vAlign w:val="bottom"/>
            <w:tcBorders>
              <w:bottom w:val="single" w:sz="8" w:color="auto"/>
            </w:tcBorders>
          </w:tcPr>
          <w:p>
            <w:pPr>
              <w:jc w:val="center"/>
              <w:ind w:right="1270"/>
              <w:spacing w:after="0"/>
              <w:rPr>
                <w:sz w:val="20"/>
                <w:szCs w:val="20"/>
                <w:color w:val="auto"/>
              </w:rPr>
            </w:pPr>
            <w:r>
              <w:rPr>
                <w:rFonts w:ascii="Arial" w:cs="Arial" w:eastAsia="Arial" w:hAnsi="Arial"/>
                <w:sz w:val="18"/>
                <w:szCs w:val="18"/>
                <w:color w:val="auto"/>
                <w:w w:val="94"/>
              </w:rPr>
              <w:t>Lindsay L. Koren</w:t>
            </w:r>
          </w:p>
        </w:tc>
      </w:tr>
      <w:tr>
        <w:trPr>
          <w:trHeight w:val="230"/>
        </w:trPr>
        <w:tc>
          <w:tcPr>
            <w:tcW w:w="4500" w:type="dxa"/>
            <w:vAlign w:val="bottom"/>
            <w:gridSpan w:val="2"/>
          </w:tcPr>
          <w:p>
            <w:pPr>
              <w:jc w:val="center"/>
              <w:spacing w:after="0"/>
              <w:rPr>
                <w:sz w:val="20"/>
                <w:szCs w:val="20"/>
                <w:color w:val="auto"/>
              </w:rPr>
            </w:pPr>
            <w:r>
              <w:rPr>
                <w:rFonts w:ascii="Arial" w:cs="Arial" w:eastAsia="Arial" w:hAnsi="Arial"/>
                <w:sz w:val="18"/>
                <w:szCs w:val="18"/>
                <w:color w:val="auto"/>
                <w:w w:val="93"/>
              </w:rPr>
              <w:t>Lindsay L. Koren</w:t>
            </w:r>
          </w:p>
        </w:tc>
      </w:tr>
      <w:tr>
        <w:trPr>
          <w:trHeight w:val="829"/>
        </w:trPr>
        <w:tc>
          <w:tcPr>
            <w:tcW w:w="45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6"/>
              </w:rPr>
              <w:t>/s/  Jack Brewer</w:t>
            </w:r>
          </w:p>
        </w:tc>
      </w:tr>
      <w:tr>
        <w:trPr>
          <w:trHeight w:val="230"/>
        </w:trPr>
        <w:tc>
          <w:tcPr>
            <w:tcW w:w="1740" w:type="dxa"/>
            <w:vAlign w:val="bottom"/>
          </w:tcPr>
          <w:p>
            <w:pPr>
              <w:spacing w:after="0"/>
              <w:rPr>
                <w:sz w:val="20"/>
                <w:szCs w:val="20"/>
                <w:color w:val="auto"/>
              </w:rPr>
            </w:pPr>
          </w:p>
        </w:tc>
        <w:tc>
          <w:tcPr>
            <w:tcW w:w="2760" w:type="dxa"/>
            <w:vAlign w:val="bottom"/>
          </w:tcPr>
          <w:p>
            <w:pPr>
              <w:jc w:val="center"/>
              <w:ind w:right="1610"/>
              <w:spacing w:after="0"/>
              <w:rPr>
                <w:sz w:val="20"/>
                <w:szCs w:val="20"/>
                <w:color w:val="auto"/>
              </w:rPr>
            </w:pPr>
            <w:r>
              <w:rPr>
                <w:rFonts w:ascii="Arial" w:cs="Arial" w:eastAsia="Arial" w:hAnsi="Arial"/>
                <w:sz w:val="18"/>
                <w:szCs w:val="18"/>
                <w:color w:val="auto"/>
                <w:w w:val="90"/>
              </w:rPr>
              <w:t>Jack Brewer</w:t>
            </w:r>
          </w:p>
        </w:tc>
      </w:tr>
      <w:tr>
        <w:trPr>
          <w:trHeight w:val="829"/>
        </w:trPr>
        <w:tc>
          <w:tcPr>
            <w:tcW w:w="174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w w:val="73"/>
              </w:rPr>
              <w:t>/s/</w:t>
            </w:r>
          </w:p>
        </w:tc>
        <w:tc>
          <w:tcPr>
            <w:tcW w:w="2760" w:type="dxa"/>
            <w:vAlign w:val="bottom"/>
            <w:tcBorders>
              <w:bottom w:val="single" w:sz="8" w:color="auto"/>
            </w:tcBorders>
          </w:tcPr>
          <w:p>
            <w:pPr>
              <w:jc w:val="center"/>
              <w:ind w:right="1270"/>
              <w:spacing w:after="0"/>
              <w:rPr>
                <w:sz w:val="20"/>
                <w:szCs w:val="20"/>
                <w:color w:val="auto"/>
              </w:rPr>
            </w:pPr>
            <w:r>
              <w:rPr>
                <w:rFonts w:ascii="Arial" w:cs="Arial" w:eastAsia="Arial" w:hAnsi="Arial"/>
                <w:sz w:val="18"/>
                <w:szCs w:val="18"/>
                <w:color w:val="auto"/>
                <w:w w:val="93"/>
              </w:rPr>
              <w:t>Terry Mayotte</w:t>
            </w:r>
          </w:p>
        </w:tc>
      </w:tr>
      <w:tr>
        <w:trPr>
          <w:trHeight w:val="445"/>
        </w:trPr>
        <w:tc>
          <w:tcPr>
            <w:tcW w:w="1740" w:type="dxa"/>
            <w:vAlign w:val="bottom"/>
          </w:tcPr>
          <w:p>
            <w:pPr>
              <w:spacing w:after="0"/>
              <w:rPr>
                <w:sz w:val="24"/>
                <w:szCs w:val="24"/>
                <w:color w:val="auto"/>
              </w:rPr>
            </w:pPr>
          </w:p>
        </w:tc>
        <w:tc>
          <w:tcPr>
            <w:tcW w:w="2760" w:type="dxa"/>
            <w:vAlign w:val="bottom"/>
          </w:tcPr>
          <w:p>
            <w:pPr>
              <w:jc w:val="center"/>
              <w:ind w:right="1610"/>
              <w:spacing w:after="0"/>
              <w:rPr>
                <w:sz w:val="20"/>
                <w:szCs w:val="20"/>
                <w:color w:val="auto"/>
              </w:rPr>
            </w:pPr>
            <w:r>
              <w:rPr>
                <w:rFonts w:ascii="Arial" w:cs="Arial" w:eastAsia="Arial" w:hAnsi="Arial"/>
                <w:sz w:val="18"/>
                <w:szCs w:val="18"/>
                <w:color w:val="auto"/>
                <w:w w:val="91"/>
              </w:rPr>
              <w:t>Terry Mayotte</w:t>
            </w:r>
          </w:p>
        </w:tc>
      </w:tr>
      <w:tr>
        <w:trPr>
          <w:trHeight w:val="465"/>
        </w:trPr>
        <w:tc>
          <w:tcPr>
            <w:tcW w:w="174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/s/</w:t>
            </w:r>
          </w:p>
        </w:tc>
        <w:tc>
          <w:tcPr>
            <w:tcW w:w="2760" w:type="dxa"/>
            <w:vAlign w:val="bottom"/>
            <w:tcBorders>
              <w:bottom w:val="single" w:sz="8" w:color="auto"/>
            </w:tcBorders>
          </w:tcPr>
          <w:p>
            <w:pPr>
              <w:jc w:val="center"/>
              <w:ind w:right="1310"/>
              <w:spacing w:after="0"/>
              <w:rPr>
                <w:sz w:val="20"/>
                <w:szCs w:val="20"/>
                <w:color w:val="auto"/>
              </w:rPr>
            </w:pPr>
            <w:r>
              <w:rPr>
                <w:rFonts w:ascii="Arial" w:cs="Arial" w:eastAsia="Arial" w:hAnsi="Arial"/>
                <w:sz w:val="18"/>
                <w:szCs w:val="18"/>
                <w:color w:val="auto"/>
                <w:w w:val="93"/>
              </w:rPr>
              <w:t>Andrew Shapiro</w:t>
            </w:r>
          </w:p>
        </w:tc>
      </w:tr>
    </w:tbl>
    <w:p>
      <w:pPr>
        <w:spacing w:after="0" w:line="215"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Andrew Shapiro</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200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Date</w:t>
            </w:r>
          </w:p>
        </w:tc>
      </w:tr>
      <w:tr>
        <w:trPr>
          <w:trHeight w:val="600"/>
        </w:trPr>
        <w:tc>
          <w:tcPr>
            <w:tcW w:w="4480" w:type="dxa"/>
            <w:vAlign w:val="bottom"/>
          </w:tcPr>
          <w:p>
            <w:pPr>
              <w:ind w:left="1480"/>
              <w:spacing w:after="0"/>
              <w:rPr>
                <w:sz w:val="20"/>
                <w:szCs w:val="20"/>
                <w:color w:val="auto"/>
              </w:rPr>
            </w:pPr>
            <w:r>
              <w:rPr>
                <w:rFonts w:ascii="Arial" w:cs="Arial" w:eastAsia="Arial" w:hAnsi="Arial"/>
                <w:sz w:val="18"/>
                <w:szCs w:val="18"/>
                <w:color w:val="auto"/>
              </w:rPr>
              <w:t>Executive Chairman</w:t>
            </w:r>
          </w:p>
        </w:tc>
        <w:tc>
          <w:tcPr>
            <w:tcW w:w="120" w:type="dxa"/>
            <w:vAlign w:val="bottom"/>
          </w:tcPr>
          <w:p>
            <w:pPr>
              <w:spacing w:after="0"/>
              <w:rPr>
                <w:sz w:val="24"/>
                <w:szCs w:val="24"/>
                <w:color w:val="auto"/>
              </w:rPr>
            </w:pPr>
          </w:p>
        </w:tc>
        <w:tc>
          <w:tcPr>
            <w:tcW w:w="2000" w:type="dxa"/>
            <w:vAlign w:val="bottom"/>
          </w:tcPr>
          <w:p>
            <w:pPr>
              <w:ind w:left="660"/>
              <w:spacing w:after="0"/>
              <w:rPr>
                <w:sz w:val="20"/>
                <w:szCs w:val="20"/>
                <w:color w:val="auto"/>
              </w:rPr>
            </w:pPr>
            <w:r>
              <w:rPr>
                <w:rFonts w:ascii="Arial" w:cs="Arial" w:eastAsia="Arial" w:hAnsi="Arial"/>
                <w:sz w:val="18"/>
                <w:szCs w:val="18"/>
                <w:color w:val="auto"/>
                <w:w w:val="89"/>
              </w:rPr>
              <w:t>February 27, 2023</w:t>
            </w:r>
          </w:p>
        </w:tc>
      </w:tr>
      <w:tr>
        <w:trPr>
          <w:trHeight w:val="687"/>
        </w:trPr>
        <w:tc>
          <w:tcPr>
            <w:tcW w:w="448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Director</w:t>
            </w: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44"/>
        </w:trPr>
        <w:tc>
          <w:tcPr>
            <w:tcW w:w="4480" w:type="dxa"/>
            <w:vAlign w:val="bottom"/>
          </w:tcPr>
          <w:p>
            <w:pPr>
              <w:ind w:left="1120"/>
              <w:spacing w:after="0"/>
              <w:rPr>
                <w:sz w:val="20"/>
                <w:szCs w:val="20"/>
                <w:color w:val="auto"/>
              </w:rPr>
            </w:pPr>
            <w:r>
              <w:rPr>
                <w:rFonts w:ascii="Arial" w:cs="Arial" w:eastAsia="Arial" w:hAnsi="Arial"/>
                <w:sz w:val="18"/>
                <w:szCs w:val="18"/>
                <w:color w:val="auto"/>
              </w:rPr>
              <w:t>(principal executive officer)</w:t>
            </w:r>
          </w:p>
        </w:tc>
        <w:tc>
          <w:tcPr>
            <w:tcW w:w="120" w:type="dxa"/>
            <w:vAlign w:val="bottom"/>
          </w:tcPr>
          <w:p>
            <w:pPr>
              <w:spacing w:after="0"/>
              <w:rPr>
                <w:sz w:val="21"/>
                <w:szCs w:val="21"/>
                <w:color w:val="auto"/>
              </w:rPr>
            </w:pPr>
          </w:p>
        </w:tc>
        <w:tc>
          <w:tcPr>
            <w:tcW w:w="2000" w:type="dxa"/>
            <w:vAlign w:val="bottom"/>
          </w:tcPr>
          <w:p>
            <w:pPr>
              <w:ind w:left="660"/>
              <w:spacing w:after="0"/>
              <w:rPr>
                <w:sz w:val="20"/>
                <w:szCs w:val="20"/>
                <w:color w:val="auto"/>
              </w:rPr>
            </w:pPr>
            <w:r>
              <w:rPr>
                <w:rFonts w:ascii="Arial" w:cs="Arial" w:eastAsia="Arial" w:hAnsi="Arial"/>
                <w:sz w:val="18"/>
                <w:szCs w:val="18"/>
                <w:color w:val="auto"/>
                <w:w w:val="89"/>
              </w:rPr>
              <w:t>February 27, 2023</w:t>
            </w:r>
          </w:p>
        </w:tc>
      </w:tr>
      <w:tr>
        <w:trPr>
          <w:trHeight w:val="1321"/>
        </w:trPr>
        <w:tc>
          <w:tcPr>
            <w:tcW w:w="4480" w:type="dxa"/>
            <w:vAlign w:val="bottom"/>
          </w:tcPr>
          <w:p>
            <w:pPr>
              <w:jc w:val="center"/>
              <w:spacing w:after="0"/>
              <w:rPr>
                <w:sz w:val="20"/>
                <w:szCs w:val="20"/>
                <w:color w:val="auto"/>
              </w:rPr>
            </w:pPr>
            <w:r>
              <w:rPr>
                <w:rFonts w:ascii="Arial" w:cs="Arial" w:eastAsia="Arial" w:hAnsi="Arial"/>
                <w:sz w:val="18"/>
                <w:szCs w:val="18"/>
                <w:color w:val="auto"/>
                <w:w w:val="89"/>
              </w:rPr>
              <w:t>Senior Vice President and</w:t>
            </w:r>
          </w:p>
        </w:tc>
        <w:tc>
          <w:tcPr>
            <w:tcW w:w="120" w:type="dxa"/>
            <w:vAlign w:val="bottom"/>
          </w:tcPr>
          <w:p>
            <w:pPr>
              <w:spacing w:after="0"/>
              <w:rPr>
                <w:sz w:val="24"/>
                <w:szCs w:val="24"/>
                <w:color w:val="auto"/>
              </w:rPr>
            </w:pPr>
          </w:p>
        </w:tc>
        <w:tc>
          <w:tcPr>
            <w:tcW w:w="2000" w:type="dxa"/>
            <w:vAlign w:val="bottom"/>
          </w:tcPr>
          <w:p>
            <w:pPr>
              <w:ind w:left="660"/>
              <w:spacing w:after="0"/>
              <w:rPr>
                <w:sz w:val="20"/>
                <w:szCs w:val="20"/>
                <w:color w:val="auto"/>
              </w:rPr>
            </w:pPr>
            <w:r>
              <w:rPr>
                <w:rFonts w:ascii="Arial" w:cs="Arial" w:eastAsia="Arial" w:hAnsi="Arial"/>
                <w:sz w:val="18"/>
                <w:szCs w:val="18"/>
                <w:color w:val="auto"/>
                <w:w w:val="89"/>
              </w:rPr>
              <w:t>February 27, 2023</w:t>
            </w:r>
          </w:p>
        </w:tc>
      </w:tr>
      <w:tr>
        <w:trPr>
          <w:trHeight w:val="228"/>
        </w:trPr>
        <w:tc>
          <w:tcPr>
            <w:tcW w:w="448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448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620"/>
        </w:trPr>
        <w:tc>
          <w:tcPr>
            <w:tcW w:w="4480" w:type="dxa"/>
            <w:vAlign w:val="bottom"/>
          </w:tcPr>
          <w:p>
            <w:pPr>
              <w:jc w:val="center"/>
              <w:spacing w:after="0"/>
              <w:rPr>
                <w:sz w:val="20"/>
                <w:szCs w:val="20"/>
                <w:color w:val="auto"/>
              </w:rPr>
            </w:pPr>
            <w:r>
              <w:rPr>
                <w:rFonts w:ascii="Arial" w:cs="Arial" w:eastAsia="Arial" w:hAnsi="Arial"/>
                <w:sz w:val="18"/>
                <w:szCs w:val="18"/>
                <w:color w:val="auto"/>
                <w:w w:val="92"/>
              </w:rPr>
              <w:t>Executive Vice President, Chief Accounting Officer</w:t>
            </w:r>
          </w:p>
        </w:tc>
        <w:tc>
          <w:tcPr>
            <w:tcW w:w="120" w:type="dxa"/>
            <w:vAlign w:val="bottom"/>
          </w:tcPr>
          <w:p>
            <w:pPr>
              <w:spacing w:after="0"/>
              <w:rPr>
                <w:sz w:val="24"/>
                <w:szCs w:val="24"/>
                <w:color w:val="auto"/>
              </w:rPr>
            </w:pPr>
          </w:p>
        </w:tc>
        <w:tc>
          <w:tcPr>
            <w:tcW w:w="2000" w:type="dxa"/>
            <w:vAlign w:val="bottom"/>
          </w:tcPr>
          <w:p>
            <w:pPr>
              <w:ind w:left="660"/>
              <w:spacing w:after="0"/>
              <w:rPr>
                <w:sz w:val="20"/>
                <w:szCs w:val="20"/>
                <w:color w:val="auto"/>
              </w:rPr>
            </w:pPr>
            <w:r>
              <w:rPr>
                <w:rFonts w:ascii="Arial" w:cs="Arial" w:eastAsia="Arial" w:hAnsi="Arial"/>
                <w:sz w:val="18"/>
                <w:szCs w:val="18"/>
                <w:color w:val="auto"/>
                <w:w w:val="89"/>
              </w:rPr>
              <w:t>February 27, 2023</w:t>
            </w:r>
          </w:p>
        </w:tc>
      </w:tr>
      <w:tr>
        <w:trPr>
          <w:trHeight w:val="228"/>
        </w:trPr>
        <w:tc>
          <w:tcPr>
            <w:tcW w:w="4480" w:type="dxa"/>
            <w:vAlign w:val="bottom"/>
          </w:tcPr>
          <w:p>
            <w:pPr>
              <w:jc w:val="center"/>
              <w:spacing w:after="0"/>
              <w:rPr>
                <w:sz w:val="20"/>
                <w:szCs w:val="20"/>
                <w:color w:val="auto"/>
              </w:rPr>
            </w:pPr>
            <w:r>
              <w:rPr>
                <w:rFonts w:ascii="Arial" w:cs="Arial" w:eastAsia="Arial" w:hAnsi="Arial"/>
                <w:sz w:val="18"/>
                <w:szCs w:val="18"/>
                <w:color w:val="auto"/>
                <w:w w:val="91"/>
              </w:rPr>
              <w:t>and Controller</w:t>
            </w: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4480" w:type="dxa"/>
            <w:vAlign w:val="bottom"/>
          </w:tcPr>
          <w:p>
            <w:pPr>
              <w:jc w:val="center"/>
              <w:spacing w:after="0"/>
              <w:rPr>
                <w:sz w:val="20"/>
                <w:szCs w:val="20"/>
                <w:color w:val="auto"/>
              </w:rPr>
            </w:pPr>
            <w:r>
              <w:rPr>
                <w:rFonts w:ascii="Arial" w:cs="Arial" w:eastAsia="Arial" w:hAnsi="Arial"/>
                <w:sz w:val="18"/>
                <w:szCs w:val="18"/>
                <w:color w:val="auto"/>
                <w:w w:val="93"/>
              </w:rPr>
              <w:t>(principal accounting officer)</w:t>
            </w: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620"/>
        </w:trPr>
        <w:tc>
          <w:tcPr>
            <w:tcW w:w="44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2000" w:type="dxa"/>
            <w:vAlign w:val="bottom"/>
          </w:tcPr>
          <w:p>
            <w:pPr>
              <w:ind w:left="660"/>
              <w:spacing w:after="0"/>
              <w:rPr>
                <w:sz w:val="20"/>
                <w:szCs w:val="20"/>
                <w:color w:val="auto"/>
              </w:rPr>
            </w:pPr>
            <w:r>
              <w:rPr>
                <w:rFonts w:ascii="Arial" w:cs="Arial" w:eastAsia="Arial" w:hAnsi="Arial"/>
                <w:sz w:val="18"/>
                <w:szCs w:val="18"/>
                <w:color w:val="auto"/>
                <w:w w:val="89"/>
              </w:rPr>
              <w:t>February 27, 2023</w:t>
            </w:r>
          </w:p>
        </w:tc>
      </w:tr>
      <w:tr>
        <w:trPr>
          <w:trHeight w:val="1079"/>
        </w:trPr>
        <w:tc>
          <w:tcPr>
            <w:tcW w:w="44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2000" w:type="dxa"/>
            <w:vAlign w:val="bottom"/>
          </w:tcPr>
          <w:p>
            <w:pPr>
              <w:ind w:left="660"/>
              <w:spacing w:after="0"/>
              <w:rPr>
                <w:sz w:val="20"/>
                <w:szCs w:val="20"/>
                <w:color w:val="auto"/>
              </w:rPr>
            </w:pPr>
            <w:r>
              <w:rPr>
                <w:rFonts w:ascii="Arial" w:cs="Arial" w:eastAsia="Arial" w:hAnsi="Arial"/>
                <w:sz w:val="18"/>
                <w:szCs w:val="18"/>
                <w:color w:val="auto"/>
                <w:w w:val="89"/>
              </w:rPr>
              <w:t>February 27, 2023</w:t>
            </w:r>
          </w:p>
        </w:tc>
      </w:tr>
      <w:tr>
        <w:trPr>
          <w:trHeight w:val="1079"/>
        </w:trPr>
        <w:tc>
          <w:tcPr>
            <w:tcW w:w="44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2000" w:type="dxa"/>
            <w:vAlign w:val="bottom"/>
          </w:tcPr>
          <w:p>
            <w:pPr>
              <w:ind w:left="660"/>
              <w:spacing w:after="0"/>
              <w:rPr>
                <w:sz w:val="20"/>
                <w:szCs w:val="20"/>
                <w:color w:val="auto"/>
              </w:rPr>
            </w:pPr>
            <w:r>
              <w:rPr>
                <w:rFonts w:ascii="Arial" w:cs="Arial" w:eastAsia="Arial" w:hAnsi="Arial"/>
                <w:sz w:val="18"/>
                <w:szCs w:val="18"/>
                <w:color w:val="auto"/>
                <w:w w:val="89"/>
              </w:rPr>
              <w:t>February 27, 2023</w:t>
            </w:r>
          </w:p>
        </w:tc>
      </w:tr>
      <w:tr>
        <w:trPr>
          <w:trHeight w:val="1079"/>
        </w:trPr>
        <w:tc>
          <w:tcPr>
            <w:tcW w:w="44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2000" w:type="dxa"/>
            <w:vAlign w:val="bottom"/>
          </w:tcPr>
          <w:p>
            <w:pPr>
              <w:ind w:left="660"/>
              <w:spacing w:after="0"/>
              <w:rPr>
                <w:sz w:val="20"/>
                <w:szCs w:val="20"/>
                <w:color w:val="auto"/>
              </w:rPr>
            </w:pPr>
            <w:r>
              <w:rPr>
                <w:rFonts w:ascii="Arial" w:cs="Arial" w:eastAsia="Arial" w:hAnsi="Arial"/>
                <w:sz w:val="18"/>
                <w:szCs w:val="18"/>
                <w:color w:val="auto"/>
                <w:w w:val="89"/>
              </w:rPr>
              <w:t>February 27, 2023</w:t>
            </w:r>
          </w:p>
        </w:tc>
      </w:tr>
      <w:tr>
        <w:trPr>
          <w:trHeight w:val="1079"/>
        </w:trPr>
        <w:tc>
          <w:tcPr>
            <w:tcW w:w="44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2000" w:type="dxa"/>
            <w:vAlign w:val="bottom"/>
          </w:tcPr>
          <w:p>
            <w:pPr>
              <w:ind w:left="660"/>
              <w:spacing w:after="0"/>
              <w:rPr>
                <w:sz w:val="20"/>
                <w:szCs w:val="20"/>
                <w:color w:val="auto"/>
              </w:rPr>
            </w:pPr>
            <w:r>
              <w:rPr>
                <w:rFonts w:ascii="Arial" w:cs="Arial" w:eastAsia="Arial" w:hAnsi="Arial"/>
                <w:sz w:val="18"/>
                <w:szCs w:val="18"/>
                <w:color w:val="auto"/>
                <w:w w:val="89"/>
              </w:rPr>
              <w:t>February 27, 2023</w:t>
            </w:r>
          </w:p>
        </w:tc>
      </w:tr>
      <w:tr>
        <w:trPr>
          <w:trHeight w:val="1079"/>
        </w:trPr>
        <w:tc>
          <w:tcPr>
            <w:tcW w:w="44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2000" w:type="dxa"/>
            <w:vAlign w:val="bottom"/>
          </w:tcPr>
          <w:p>
            <w:pPr>
              <w:ind w:left="660"/>
              <w:spacing w:after="0"/>
              <w:rPr>
                <w:sz w:val="20"/>
                <w:szCs w:val="20"/>
                <w:color w:val="auto"/>
              </w:rPr>
            </w:pPr>
            <w:r>
              <w:rPr>
                <w:rFonts w:ascii="Arial" w:cs="Arial" w:eastAsia="Arial" w:hAnsi="Arial"/>
                <w:sz w:val="18"/>
                <w:szCs w:val="18"/>
                <w:color w:val="auto"/>
                <w:w w:val="89"/>
              </w:rPr>
              <w:t>February 27, 2023</w:t>
            </w:r>
          </w:p>
        </w:tc>
      </w:tr>
      <w:tr>
        <w:trPr>
          <w:trHeight w:val="930"/>
        </w:trPr>
        <w:tc>
          <w:tcPr>
            <w:tcW w:w="44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2000" w:type="dxa"/>
            <w:vAlign w:val="bottom"/>
          </w:tcPr>
          <w:p>
            <w:pPr>
              <w:ind w:left="660"/>
              <w:spacing w:after="0"/>
              <w:rPr>
                <w:sz w:val="20"/>
                <w:szCs w:val="20"/>
                <w:color w:val="auto"/>
              </w:rPr>
            </w:pPr>
            <w:r>
              <w:rPr>
                <w:rFonts w:ascii="Arial" w:cs="Arial" w:eastAsia="Arial" w:hAnsi="Arial"/>
                <w:sz w:val="18"/>
                <w:szCs w:val="18"/>
                <w:color w:val="auto"/>
                <w:w w:val="89"/>
              </w:rPr>
              <w:t>February 27, 2023</w:t>
            </w:r>
          </w:p>
        </w:tc>
      </w:tr>
    </w:tbl>
    <w:p>
      <w:pPr>
        <w:sectPr>
          <w:pgSz w:w="11900" w:h="16838" w:orient="portrait"/>
          <w:cols w:equalWidth="0" w:num="2">
            <w:col w:w="4500" w:space="140"/>
            <w:col w:w="6600"/>
          </w:cols>
          <w:pgMar w:left="320" w:top="553" w:right="339" w:bottom="0" w:gutter="0" w:footer="0" w:header="0"/>
          <w:type w:val="continuous"/>
        </w:sectPr>
      </w:pPr>
    </w:p>
    <w:bookmarkStart w:id="151" w:name="page152"/>
    <w:bookmarkEnd w:id="151"/>
    <w:p>
      <w:pPr>
        <w:ind w:left="380"/>
        <w:spacing w:after="0"/>
        <w:tabs>
          <w:tab w:leader="none" w:pos="700" w:val="left"/>
          <w:tab w:leader="none" w:pos="5460" w:val="left"/>
          <w:tab w:leader="none" w:pos="8760" w:val="left"/>
        </w:tabs>
        <w:rPr>
          <w:sz w:val="20"/>
          <w:szCs w:val="20"/>
          <w:color w:val="auto"/>
        </w:rPr>
      </w:pPr>
      <w:r>
        <w:rPr>
          <w:rFonts w:ascii="Arial" w:cs="Arial" w:eastAsia="Arial" w:hAnsi="Arial"/>
          <w:sz w:val="18"/>
          <w:szCs w:val="18"/>
          <w:color w:val="auto"/>
        </w:rPr>
        <w:t>/s/</w:t>
        <w:tab/>
        <w:t>Scott M. Kernan</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6"/>
          <w:szCs w:val="16"/>
          <w:color w:val="auto"/>
        </w:rPr>
        <w:t>February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22225</wp:posOffset>
            </wp:positionV>
            <wp:extent cx="285115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5">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Scott M. Kernan</w:t>
      </w:r>
    </w:p>
    <w:p>
      <w:pPr>
        <w:spacing w:after="0" w:line="200" w:lineRule="exact"/>
        <w:rPr>
          <w:sz w:val="20"/>
          <w:szCs w:val="20"/>
          <w:color w:val="auto"/>
        </w:rPr>
      </w:pPr>
    </w:p>
    <w:p>
      <w:pPr>
        <w:spacing w:after="0" w:line="25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00" w:right="359" w:bottom="1440" w:gutter="0" w:footer="0" w:header="0"/>
        </w:sectPr>
      </w:pPr>
    </w:p>
    <w:bookmarkStart w:id="152" w:name="page153"/>
    <w:bookmarkEnd w:id="152"/>
    <w:p>
      <w:pPr>
        <w:ind w:left="4640"/>
        <w:spacing w:after="0"/>
        <w:rPr>
          <w:sz w:val="20"/>
          <w:szCs w:val="20"/>
          <w:color w:val="auto"/>
        </w:rPr>
      </w:pPr>
      <w:r>
        <w:rPr>
          <w:rFonts w:ascii="Arial" w:cs="Arial" w:eastAsia="Arial" w:hAnsi="Arial"/>
          <w:sz w:val="18"/>
          <w:szCs w:val="18"/>
          <w:b w:val="1"/>
          <w:bCs w:val="1"/>
          <w:color w:val="auto"/>
        </w:rPr>
        <w:t>THE GEO GROUP, INC.</w:t>
      </w:r>
    </w:p>
    <w:p>
      <w:pPr>
        <w:spacing w:after="0" w:line="9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179"/>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4"/>
                <w:szCs w:val="14"/>
                <w:color w:val="auto"/>
              </w:rPr>
            </w:pPr>
          </w:p>
        </w:tc>
        <w:tc>
          <w:tcPr>
            <w:tcW w:w="88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Charged to</w:t>
            </w:r>
          </w:p>
        </w:tc>
        <w:tc>
          <w:tcPr>
            <w:tcW w:w="26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4"/>
                <w:szCs w:val="14"/>
                <w:b w:val="1"/>
                <w:bCs w:val="1"/>
                <w:color w:val="auto"/>
                <w:w w:val="98"/>
              </w:rPr>
              <w:t>Charged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right"/>
              <w:ind w:right="97"/>
              <w:spacing w:after="0"/>
              <w:rPr>
                <w:sz w:val="20"/>
                <w:szCs w:val="20"/>
                <w:color w:val="auto"/>
              </w:rPr>
            </w:pPr>
            <w:r>
              <w:rPr>
                <w:rFonts w:ascii="Arial" w:cs="Arial" w:eastAsia="Arial" w:hAnsi="Arial"/>
                <w:sz w:val="14"/>
                <w:szCs w:val="14"/>
                <w:b w:val="1"/>
                <w:bCs w:val="1"/>
                <w:color w:val="auto"/>
                <w:w w:val="91"/>
              </w:rPr>
              <w:t>Deductions,Balance at</w:t>
            </w:r>
          </w:p>
        </w:tc>
      </w:tr>
      <w:tr>
        <w:trPr>
          <w:trHeight w:val="148"/>
        </w:trPr>
        <w:tc>
          <w:tcPr>
            <w:tcW w:w="42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3"/>
              </w:rPr>
              <w:t>Beginning</w:t>
            </w:r>
          </w:p>
        </w:tc>
        <w:tc>
          <w:tcPr>
            <w:tcW w:w="120" w:type="dxa"/>
            <w:vAlign w:val="bottom"/>
          </w:tcPr>
          <w:p>
            <w:pPr>
              <w:spacing w:after="0"/>
              <w:rPr>
                <w:sz w:val="12"/>
                <w:szCs w:val="12"/>
                <w:color w:val="auto"/>
              </w:rPr>
            </w:pPr>
          </w:p>
        </w:tc>
        <w:tc>
          <w:tcPr>
            <w:tcW w:w="8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Cost and</w:t>
            </w:r>
          </w:p>
        </w:tc>
        <w:tc>
          <w:tcPr>
            <w:tcW w:w="260" w:type="dxa"/>
            <w:vAlign w:val="bottom"/>
          </w:tcPr>
          <w:p>
            <w:pPr>
              <w:spacing w:after="0"/>
              <w:rPr>
                <w:sz w:val="12"/>
                <w:szCs w:val="12"/>
                <w:color w:val="auto"/>
              </w:rPr>
            </w:pPr>
          </w:p>
        </w:tc>
        <w:tc>
          <w:tcPr>
            <w:tcW w:w="6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9"/>
              </w:rPr>
              <w:t>to Other</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451"/>
              <w:spacing w:after="0" w:line="149" w:lineRule="exact"/>
              <w:rPr>
                <w:sz w:val="20"/>
                <w:szCs w:val="20"/>
                <w:color w:val="auto"/>
              </w:rPr>
            </w:pPr>
            <w:r>
              <w:rPr>
                <w:rFonts w:ascii="Arial" w:cs="Arial" w:eastAsia="Arial" w:hAnsi="Arial"/>
                <w:sz w:val="14"/>
                <w:szCs w:val="14"/>
                <w:b w:val="1"/>
                <w:bCs w:val="1"/>
                <w:color w:val="auto"/>
              </w:rPr>
              <w:t>Actual</w:t>
            </w:r>
          </w:p>
        </w:tc>
        <w:tc>
          <w:tcPr>
            <w:tcW w:w="740" w:type="dxa"/>
            <w:vAlign w:val="bottom"/>
          </w:tcPr>
          <w:p>
            <w:pPr>
              <w:jc w:val="right"/>
              <w:ind w:right="197"/>
              <w:spacing w:after="0" w:line="149" w:lineRule="exact"/>
              <w:rPr>
                <w:sz w:val="20"/>
                <w:szCs w:val="20"/>
                <w:color w:val="auto"/>
              </w:rPr>
            </w:pPr>
            <w:r>
              <w:rPr>
                <w:rFonts w:ascii="Arial" w:cs="Arial" w:eastAsia="Arial" w:hAnsi="Arial"/>
                <w:sz w:val="14"/>
                <w:szCs w:val="14"/>
                <w:b w:val="1"/>
                <w:bCs w:val="1"/>
                <w:color w:val="auto"/>
              </w:rPr>
              <w:t>End of</w:t>
            </w:r>
          </w:p>
        </w:tc>
      </w:tr>
      <w:tr>
        <w:trPr>
          <w:trHeight w:val="185"/>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1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2"/>
              </w:rPr>
              <w:t>of Period</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8"/>
              </w:rPr>
              <w:t>Expenses</w:t>
            </w: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0"/>
              </w:rPr>
              <w:t>Accounts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271"/>
              <w:spacing w:after="0"/>
              <w:rPr>
                <w:sz w:val="20"/>
                <w:szCs w:val="20"/>
                <w:color w:val="auto"/>
              </w:rPr>
            </w:pPr>
            <w:r>
              <w:rPr>
                <w:rFonts w:ascii="Arial" w:cs="Arial" w:eastAsia="Arial" w:hAnsi="Arial"/>
                <w:sz w:val="14"/>
                <w:szCs w:val="14"/>
                <w:b w:val="1"/>
                <w:bCs w:val="1"/>
                <w:color w:val="auto"/>
              </w:rPr>
              <w:t>Charge-Offs</w:t>
            </w: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Period</w:t>
            </w:r>
          </w:p>
        </w:tc>
      </w:tr>
      <w:tr>
        <w:trPr>
          <w:trHeight w:val="169"/>
        </w:trPr>
        <w:tc>
          <w:tcPr>
            <w:tcW w:w="4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43"/>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ENDED DECEMBER 31, 2022:</w:t>
            </w:r>
          </w:p>
        </w:tc>
        <w:tc>
          <w:tcPr>
            <w:tcW w:w="17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r>
      <w:tr>
        <w:trPr>
          <w:trHeight w:val="236"/>
        </w:trPr>
        <w:tc>
          <w:tcPr>
            <w:tcW w:w="4200" w:type="dxa"/>
            <w:vAlign w:val="bottom"/>
          </w:tcPr>
          <w:p>
            <w:pPr>
              <w:ind w:left="200"/>
              <w:spacing w:after="0"/>
              <w:rPr>
                <w:sz w:val="20"/>
                <w:szCs w:val="20"/>
                <w:color w:val="auto"/>
              </w:rPr>
            </w:pPr>
            <w:r>
              <w:rPr>
                <w:rFonts w:ascii="Arial" w:cs="Arial" w:eastAsia="Arial" w:hAnsi="Arial"/>
                <w:sz w:val="18"/>
                <w:szCs w:val="18"/>
                <w:color w:val="auto"/>
              </w:rPr>
              <w:t>Allowance for doubtful accounts</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9"/>
              <w:spacing w:after="0"/>
              <w:rPr>
                <w:sz w:val="20"/>
                <w:szCs w:val="20"/>
                <w:color w:val="auto"/>
              </w:rPr>
            </w:pPr>
            <w:r>
              <w:rPr>
                <w:rFonts w:ascii="Arial" w:cs="Arial" w:eastAsia="Arial" w:hAnsi="Arial"/>
                <w:sz w:val="18"/>
                <w:szCs w:val="18"/>
                <w:color w:val="auto"/>
              </w:rPr>
              <w:t>1,155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14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(549 ) $</w:t>
            </w: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809</w:t>
            </w:r>
          </w:p>
        </w:tc>
      </w:tr>
      <w:tr>
        <w:trPr>
          <w:trHeight w:val="24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ENDED DECEMBER 31, 2021:</w:t>
            </w:r>
          </w:p>
        </w:tc>
        <w:tc>
          <w:tcPr>
            <w:tcW w:w="17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r>
      <w:tr>
        <w:trPr>
          <w:trHeight w:val="236"/>
        </w:trPr>
        <w:tc>
          <w:tcPr>
            <w:tcW w:w="4200" w:type="dxa"/>
            <w:vAlign w:val="bottom"/>
          </w:tcPr>
          <w:p>
            <w:pPr>
              <w:ind w:left="200"/>
              <w:spacing w:after="0"/>
              <w:rPr>
                <w:sz w:val="20"/>
                <w:szCs w:val="20"/>
                <w:color w:val="auto"/>
              </w:rPr>
            </w:pPr>
            <w:r>
              <w:rPr>
                <w:rFonts w:ascii="Arial" w:cs="Arial" w:eastAsia="Arial" w:hAnsi="Arial"/>
                <w:sz w:val="18"/>
                <w:szCs w:val="18"/>
                <w:color w:val="auto"/>
              </w:rPr>
              <w:t>Allowance for doubtful accounts</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9"/>
              <w:spacing w:after="0"/>
              <w:rPr>
                <w:sz w:val="20"/>
                <w:szCs w:val="20"/>
                <w:color w:val="auto"/>
              </w:rPr>
            </w:pPr>
            <w:r>
              <w:rPr>
                <w:rFonts w:ascii="Arial" w:cs="Arial" w:eastAsia="Arial" w:hAnsi="Arial"/>
                <w:sz w:val="18"/>
                <w:szCs w:val="18"/>
                <w:color w:val="auto"/>
              </w:rPr>
              <w:t>2,674</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(1,454 ) $</w:t>
            </w:r>
          </w:p>
        </w:tc>
        <w:tc>
          <w:tcPr>
            <w:tcW w:w="1080" w:type="dxa"/>
            <w:vAlign w:val="bottom"/>
          </w:tcPr>
          <w:p>
            <w:pPr>
              <w:jc w:val="right"/>
              <w:spacing w:after="0"/>
              <w:rPr>
                <w:sz w:val="20"/>
                <w:szCs w:val="20"/>
                <w:color w:val="auto"/>
              </w:rPr>
            </w:pPr>
            <w:r>
              <w:rPr>
                <w:rFonts w:ascii="Arial" w:cs="Arial" w:eastAsia="Arial" w:hAnsi="Arial"/>
                <w:sz w:val="18"/>
                <w:szCs w:val="18"/>
                <w:color w:val="auto"/>
              </w:rPr>
              <w:t>(128 ) $</w:t>
            </w: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1,155</w:t>
            </w:r>
          </w:p>
        </w:tc>
      </w:tr>
      <w:tr>
        <w:trPr>
          <w:trHeight w:val="24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ENDED DECEMBER 31, 2020:</w:t>
            </w:r>
          </w:p>
        </w:tc>
        <w:tc>
          <w:tcPr>
            <w:tcW w:w="17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r>
      <w:tr>
        <w:trPr>
          <w:trHeight w:val="230"/>
        </w:trPr>
        <w:tc>
          <w:tcPr>
            <w:tcW w:w="4200" w:type="dxa"/>
            <w:vAlign w:val="bottom"/>
          </w:tcPr>
          <w:p>
            <w:pPr>
              <w:ind w:left="200"/>
              <w:spacing w:after="0"/>
              <w:rPr>
                <w:sz w:val="20"/>
                <w:szCs w:val="20"/>
                <w:color w:val="auto"/>
              </w:rPr>
            </w:pPr>
            <w:r>
              <w:rPr>
                <w:rFonts w:ascii="Arial" w:cs="Arial" w:eastAsia="Arial" w:hAnsi="Arial"/>
                <w:sz w:val="18"/>
                <w:szCs w:val="18"/>
                <w:color w:val="auto"/>
              </w:rPr>
              <w:t>Allowance for doubtful accounts</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9"/>
              <w:spacing w:after="0"/>
              <w:rPr>
                <w:sz w:val="20"/>
                <w:szCs w:val="20"/>
                <w:color w:val="auto"/>
              </w:rPr>
            </w:pPr>
            <w:r>
              <w:rPr>
                <w:rFonts w:ascii="Arial" w:cs="Arial" w:eastAsia="Arial" w:hAnsi="Arial"/>
                <w:sz w:val="18"/>
                <w:szCs w:val="18"/>
                <w:color w:val="auto"/>
              </w:rPr>
              <w:t>3,195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76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(1,218 ) $</w:t>
            </w: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2,674</w:t>
            </w:r>
          </w:p>
        </w:tc>
      </w:tr>
      <w:tr>
        <w:trPr>
          <w:trHeight w:val="660"/>
        </w:trPr>
        <w:tc>
          <w:tcPr>
            <w:tcW w:w="4200" w:type="dxa"/>
            <w:vAlign w:val="bottom"/>
          </w:tcPr>
          <w:p>
            <w:pPr>
              <w:spacing w:after="0"/>
              <w:rPr>
                <w:sz w:val="24"/>
                <w:szCs w:val="24"/>
                <w:color w:val="auto"/>
              </w:rPr>
            </w:pP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15"/>
        </w:trPr>
        <w:tc>
          <w:tcPr>
            <w:tcW w:w="420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3" w:name="page154"/>
    <w:bookmarkEnd w:id="153"/>
    <w:p>
      <w:pPr>
        <w:ind w:left="9680"/>
        <w:spacing w:after="0"/>
        <w:rPr>
          <w:sz w:val="20"/>
          <w:szCs w:val="20"/>
          <w:color w:val="auto"/>
        </w:rPr>
      </w:pPr>
      <w:r>
        <w:rPr>
          <w:rFonts w:ascii="Arial" w:cs="Arial" w:eastAsia="Arial" w:hAnsi="Arial"/>
          <w:sz w:val="18"/>
          <w:szCs w:val="18"/>
          <w:b w:val="1"/>
          <w:bCs w:val="1"/>
          <w:color w:val="auto"/>
        </w:rPr>
        <w:t>Exhibit 4.14</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REGISTERED PURSUANT TO SECTION 12</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210"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As of December 31, 2022, The GEO Group, Inc. (the “Company,” “GEO,” “we,” “us,” or “our”) had one class of securities registered under Section 12 of the Securities Exchange Act of 1934, as amended: our common stock.</w:t>
      </w:r>
    </w:p>
    <w:p>
      <w:pPr>
        <w:spacing w:after="0" w:line="1"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The following is a description of the material terms of our common stock and undesignated preferred stock as set forth in our Amended and Restated Articles of Incorporation, as amended (the “Amended Articles”) and our Third Amended and Restated Bylaws, as amended (the “Amended Bylaws”), which govern the rights of our common stock. This description is only a summary. You should read it together with the Amended Articles and Amended Bylaws, which are included as exhibits to the Company’s Annual Report on Form 10-K for the year ended December 31, 2022 and incorporated by reference herein.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w:t>
      </w:r>
    </w:p>
    <w:p>
      <w:pPr>
        <w:spacing w:after="0" w:line="27"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The Amended Articles authorize GEO to issue up to 217,500,000 shares of capital stock, consisting of 187,500,000 shares of common stock, par value $0.01 per share, and 30,000,000 shares of preferred stock, par value $0.01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124,060,038 shares of common stock were issued and outstanding.</w:t>
      </w:r>
    </w:p>
    <w:p>
      <w:pPr>
        <w:spacing w:after="0" w:line="21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i w:val="1"/>
          <w:iCs w:val="1"/>
          <w:color w:val="auto"/>
        </w:rPr>
        <w:t>Voting Rights</w:t>
      </w:r>
      <w:r>
        <w:rPr>
          <w:rFonts w:ascii="Arial" w:cs="Arial" w:eastAsia="Arial" w:hAnsi="Arial"/>
          <w:sz w:val="16"/>
          <w:szCs w:val="16"/>
          <w:color w:val="auto"/>
        </w:rPr>
        <w:t>. With respect to all matters upon which shareholders are entitled to vote, the holders of common stock are entitled to one vote in person or by</w:t>
      </w:r>
      <w:r>
        <w:rPr>
          <w:rFonts w:ascii="Arial" w:cs="Arial" w:eastAsia="Arial" w:hAnsi="Arial"/>
          <w:sz w:val="16"/>
          <w:szCs w:val="16"/>
          <w:i w:val="1"/>
          <w:iCs w:val="1"/>
          <w:color w:val="auto"/>
        </w:rPr>
        <w:t xml:space="preserve"> </w:t>
      </w:r>
      <w:r>
        <w:rPr>
          <w:rFonts w:ascii="Arial" w:cs="Arial" w:eastAsia="Arial" w:hAnsi="Arial"/>
          <w:sz w:val="16"/>
          <w:szCs w:val="16"/>
          <w:color w:val="auto"/>
        </w:rPr>
        <w:t>proxy for each share of common stock outstanding in the name of such shareholders on the record of shareholders. Generally, all matters to be voted on by shareholders must be approved by a majority (or by a plurality in the case of election of directors where the number of candidates nominated for election exceeds the number of directors to be elected) of the votes entitled to be cast by all shares of common stock present in person or by proxy.</w:t>
      </w:r>
    </w:p>
    <w:p>
      <w:pPr>
        <w:spacing w:after="0" w:line="15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Subject to applicable law and rights, if any, of the holders of any outstanding series of preferred stock or any class or series of stock having a</w:t>
      </w:r>
      <w:r>
        <w:rPr>
          <w:rFonts w:ascii="Arial" w:cs="Arial" w:eastAsia="Arial" w:hAnsi="Arial"/>
          <w:sz w:val="17"/>
          <w:szCs w:val="17"/>
          <w:i w:val="1"/>
          <w:iCs w:val="1"/>
          <w:color w:val="auto"/>
        </w:rPr>
        <w:t xml:space="preserve"> </w:t>
      </w:r>
      <w:r>
        <w:rPr>
          <w:rFonts w:ascii="Arial" w:cs="Arial" w:eastAsia="Arial" w:hAnsi="Arial"/>
          <w:sz w:val="17"/>
          <w:szCs w:val="17"/>
          <w:color w:val="auto"/>
        </w:rPr>
        <w:t>preference over common stock with respect to the payment of dividends, dividends may be declared and paid on the common stock from time to time and in amounts as the board of directors may determine. We commenced declaring regular quarterly distributions beginning the first quarter of 2013. On December 2, 2021, GEO’s board of directors unanimously approved a plan to terminate our real estate investment trust ("REIT") status and become a taxable C Corporation, effective for the year ended December 31, 2021. In connection with terminating GEO’s REIT status, the board of directors also voted unanimously to discontinue our quarterly dividend payments. The amount, timing and frequency of any future dividends, however will be at the sole discretion of the board of directors based upon various factors.</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Liquidation Rights</w:t>
      </w:r>
      <w:r>
        <w:rPr>
          <w:rFonts w:ascii="Arial" w:cs="Arial" w:eastAsia="Arial" w:hAnsi="Arial"/>
          <w:sz w:val="18"/>
          <w:szCs w:val="18"/>
          <w:color w:val="auto"/>
        </w:rPr>
        <w:t>. Upon the liquidation, dissolution or winding up of GEO, whether voluntary or involuntary, the holders of common stock will be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to share ratably in all assets available for distribution after payment in full to creditors and payment in full to holders of preferred stock then outstanding of any amount required to be paid to them. Neither the merger, consolidation or business combination of GEO with or into any other entity in which our shareholders receive capital stock and/or other securities (including debt securities) of the surviving entity (or the direct or indirect parent entity thereof), nor the sale, lease or transfer by us of any part of our business and assets, nor the reduction of our capital stock, will be deemed to be a voluntary or involuntary liquidation, dissolution or winding up.</w:t>
      </w:r>
    </w:p>
    <w:p>
      <w:pPr>
        <w:spacing w:after="0" w:line="191"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i w:val="1"/>
          <w:iCs w:val="1"/>
          <w:color w:val="auto"/>
        </w:rPr>
        <w:t>Other Provisions</w:t>
      </w:r>
      <w:r>
        <w:rPr>
          <w:rFonts w:ascii="Arial" w:cs="Arial" w:eastAsia="Arial" w:hAnsi="Arial"/>
          <w:sz w:val="18"/>
          <w:szCs w:val="18"/>
          <w:color w:val="auto"/>
        </w:rPr>
        <w:t>. The holders of common stock have no preemptive, subscription or redemption rights and are not entitled to the benefit of any sinking</w:t>
      </w:r>
      <w:r>
        <w:rPr>
          <w:rFonts w:ascii="Arial" w:cs="Arial" w:eastAsia="Arial" w:hAnsi="Arial"/>
          <w:sz w:val="18"/>
          <w:szCs w:val="18"/>
          <w:i w:val="1"/>
          <w:iCs w:val="1"/>
          <w:color w:val="auto"/>
        </w:rPr>
        <w:t xml:space="preserve"> </w:t>
      </w:r>
      <w:r>
        <w:rPr>
          <w:rFonts w:ascii="Arial" w:cs="Arial" w:eastAsia="Arial" w:hAnsi="Arial"/>
          <w:sz w:val="18"/>
          <w:szCs w:val="18"/>
          <w:color w:val="auto"/>
        </w:rPr>
        <w:t>fund.</w:t>
      </w:r>
    </w:p>
    <w:p>
      <w:pPr>
        <w:spacing w:after="0" w:line="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GEO is not permitted to subdivide, combine, or pay or declare any stock dividend on, the outstanding shares of common stock unless all outstanding shares of common stock are subdivided or combined or the holders of common stock receive a proportionate dividend.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7" w:lineRule="exact"/>
        <w:rPr>
          <w:sz w:val="20"/>
          <w:szCs w:val="20"/>
          <w:color w:val="auto"/>
        </w:rPr>
      </w:pPr>
    </w:p>
    <w:p>
      <w:pPr>
        <w:jc w:val="both"/>
        <w:ind w:right="40"/>
        <w:spacing w:after="0" w:line="250" w:lineRule="auto"/>
        <w:rPr>
          <w:sz w:val="20"/>
          <w:szCs w:val="20"/>
          <w:color w:val="auto"/>
        </w:rPr>
      </w:pPr>
      <w:r>
        <w:rPr>
          <w:rFonts w:ascii="Arial" w:cs="Arial" w:eastAsia="Arial" w:hAnsi="Arial"/>
          <w:sz w:val="18"/>
          <w:szCs w:val="18"/>
          <w:color w:val="auto"/>
        </w:rPr>
        <w:t>Pursuant to the Amended Articles, the board of directors is empowered, without any approval of our shareholders, to issue shares of preferred stock in one or more series, to establish the number of shares in each series, and to fix the relative rights, preferences, powers, qualifications, limitations and restrictions of each such series. The specific matters that may be determined by the board of directors include:</w:t>
      </w:r>
    </w:p>
    <w:p>
      <w:pPr>
        <w:ind w:left="1040" w:right="420" w:hanging="452"/>
        <w:spacing w:after="0" w:line="263"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whether the shares of the series are redeemable, and if so, the prices at which, and the terms and conditions on which, the shares may be redeemed, including the date or dates upon or after which the shares shall be redeemable and the amount per share payable in case of redemption;</w:t>
      </w:r>
    </w:p>
    <w:p>
      <w:pPr>
        <w:spacing w:after="0" w:line="235" w:lineRule="exact"/>
        <w:rPr>
          <w:rFonts w:ascii="Arial" w:cs="Arial" w:eastAsia="Arial" w:hAnsi="Arial"/>
          <w:sz w:val="18"/>
          <w:szCs w:val="18"/>
          <w:color w:val="auto"/>
        </w:rPr>
      </w:pPr>
    </w:p>
    <w:p>
      <w:pPr>
        <w:ind w:left="1040" w:right="100" w:hanging="452"/>
        <w:spacing w:after="0" w:line="341" w:lineRule="auto"/>
        <w:tabs>
          <w:tab w:leader="none" w:pos="10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whether shares of the series will be entitled to receive distributions and, if so, the distribution rate on the shares, any restriction, limitation or condition upon the payment of the distributions, whether distributions will be cumulative, and the dates on which distributions are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169545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4" w:name="page155"/>
    <w:bookmarkEnd w:id="154"/>
    <w:p>
      <w:pPr>
        <w:ind w:left="1040" w:right="220" w:hanging="452"/>
        <w:spacing w:after="0" w:line="277" w:lineRule="auto"/>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preferential amount payable upon shares of the series in the event of voluntary or involuntary liquidation, dissolution or winding up of GEO;</w:t>
      </w:r>
    </w:p>
    <w:p>
      <w:pPr>
        <w:spacing w:after="0" w:line="223" w:lineRule="exact"/>
        <w:rPr>
          <w:rFonts w:ascii="Arial" w:cs="Arial" w:eastAsia="Arial" w:hAnsi="Arial"/>
          <w:sz w:val="18"/>
          <w:szCs w:val="18"/>
          <w:color w:val="auto"/>
        </w:rPr>
      </w:pPr>
    </w:p>
    <w:p>
      <w:pPr>
        <w:ind w:left="1040" w:right="320" w:hanging="452"/>
        <w:spacing w:after="0" w:line="311" w:lineRule="auto"/>
        <w:tabs>
          <w:tab w:leader="none" w:pos="10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whether the shares of the series are convertible, or exchangeable for, shares of any other class or classes of stock or of any other series of stock, or any other securities of GEO, and if so, the terms and conditions of such conversion or exchange, including price or rates of conversion at which, and the terms and conditions on which, the shares of the series may be converted or exchanged into other securities;</w:t>
      </w:r>
    </w:p>
    <w:p>
      <w:pPr>
        <w:spacing w:after="0" w:line="201" w:lineRule="exact"/>
        <w:rPr>
          <w:rFonts w:ascii="Arial" w:cs="Arial" w:eastAsia="Arial" w:hAnsi="Arial"/>
          <w:sz w:val="16"/>
          <w:szCs w:val="16"/>
          <w:color w:val="auto"/>
        </w:rPr>
      </w:pPr>
    </w:p>
    <w:p>
      <w:pPr>
        <w:ind w:left="1040" w:hanging="452"/>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terms and conditions of retirement or sinking fund provisions, if any, for the purchase or redemption of shares of the series;</w:t>
      </w:r>
    </w:p>
    <w:p>
      <w:pPr>
        <w:spacing w:after="0" w:line="278" w:lineRule="exact"/>
        <w:rPr>
          <w:rFonts w:ascii="Arial" w:cs="Arial" w:eastAsia="Arial" w:hAnsi="Arial"/>
          <w:sz w:val="18"/>
          <w:szCs w:val="18"/>
          <w:color w:val="auto"/>
        </w:rPr>
      </w:pPr>
    </w:p>
    <w:p>
      <w:pPr>
        <w:ind w:left="1040" w:hanging="452"/>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distinctive designation of each series and the number of shares that will constitute the series;</w:t>
      </w:r>
    </w:p>
    <w:p>
      <w:pPr>
        <w:spacing w:after="0" w:line="278" w:lineRule="exact"/>
        <w:rPr>
          <w:rFonts w:ascii="Arial" w:cs="Arial" w:eastAsia="Arial" w:hAnsi="Arial"/>
          <w:sz w:val="18"/>
          <w:szCs w:val="18"/>
          <w:color w:val="auto"/>
        </w:rPr>
      </w:pPr>
    </w:p>
    <w:p>
      <w:pPr>
        <w:ind w:left="1040" w:hanging="452"/>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voting power, if any, of shares of the series; and</w:t>
      </w:r>
    </w:p>
    <w:p>
      <w:pPr>
        <w:spacing w:after="0" w:line="278" w:lineRule="exact"/>
        <w:rPr>
          <w:rFonts w:ascii="Arial" w:cs="Arial" w:eastAsia="Arial" w:hAnsi="Arial"/>
          <w:sz w:val="18"/>
          <w:szCs w:val="18"/>
          <w:color w:val="auto"/>
        </w:rPr>
      </w:pPr>
    </w:p>
    <w:p>
      <w:pPr>
        <w:ind w:left="1040" w:hanging="452"/>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relative rights, preferences or limitations.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Currently, there are no shares of preferred stock issued and outstanding.</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Because the board of directors will have the power to establish the preferences and rights of each series of preferred stock, it may afford the shareholders of any series of preferred stock preferences, powers and rights senior to the rights of holders of shares of common stock which could have the effect of delaying, deferring or preventing a change in control of GEO.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Access</w:t>
      </w:r>
    </w:p>
    <w:p>
      <w:pPr>
        <w:spacing w:after="0" w:line="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Amended Bylaws permit a shareholder, or a group of up to twenty (20) shareholders, owning three percent (3%) or more of the Company’s outstanding common stock continuously for at least three (3) years, to nominate twenty percent (20%) of the number of directors then in office (rounding down to the nearest whole number) provided that the shareholder or group and each nominee satisfy the eligibility, procedural and disclosure requirements for proxy access as specified in the Bylaws, including that the Company receive notice of such nominations between 90 and 120 days prior to the anniversary date of the previous year’s annual meeting of shareholders. The notice must contain certain information specified in the Amended Bylaws.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NYSE under the trading symbol “GEO.”</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transfer agent and registrar for GEO’s common stock is Computershare Trust Company, N.A., whose principal executive office is located at 250 Royall Street, Canton, MA 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155" w:name="page156"/>
    <w:bookmarkEnd w:id="155"/>
    <w:p>
      <w:pPr>
        <w:ind w:left="9680"/>
        <w:spacing w:after="0"/>
        <w:rPr>
          <w:sz w:val="20"/>
          <w:szCs w:val="20"/>
          <w:color w:val="auto"/>
        </w:rPr>
      </w:pPr>
      <w:r>
        <w:rPr>
          <w:rFonts w:ascii="Arial" w:cs="Arial" w:eastAsia="Arial" w:hAnsi="Arial"/>
          <w:sz w:val="18"/>
          <w:szCs w:val="18"/>
          <w:b w:val="1"/>
          <w:bCs w:val="1"/>
          <w:color w:val="auto"/>
        </w:rPr>
        <w:t>Exhibit 10.3</w:t>
      </w:r>
    </w:p>
    <w:p>
      <w:pPr>
        <w:spacing w:after="0" w:line="215"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AMENDMENT TO</w:t>
      </w: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THE GEO GROUP, INC.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SENIOR MANAGEMENT PERFORMANCE AWARD PLAN</w:t>
      </w:r>
    </w:p>
    <w:p>
      <w:pPr>
        <w:spacing w:after="0" w:line="205" w:lineRule="exact"/>
        <w:rPr>
          <w:sz w:val="20"/>
          <w:szCs w:val="20"/>
          <w:color w:val="auto"/>
        </w:rPr>
      </w:pPr>
    </w:p>
    <w:p>
      <w:pPr>
        <w:ind w:firstLine="749"/>
        <w:spacing w:after="0" w:line="241"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GEO Group, Inc., (the “Company”) currently maintains and sponsors The GEO Group, Inc. Senior</w:t>
      </w:r>
      <w:r>
        <w:rPr>
          <w:rFonts w:ascii="Arial" w:cs="Arial" w:eastAsia="Arial" w:hAnsi="Arial"/>
          <w:sz w:val="22"/>
          <w:szCs w:val="22"/>
          <w:b w:val="1"/>
          <w:bCs w:val="1"/>
          <w:color w:val="auto"/>
        </w:rPr>
        <w:t xml:space="preserve"> </w:t>
      </w:r>
      <w:r>
        <w:rPr>
          <w:rFonts w:ascii="Arial" w:cs="Arial" w:eastAsia="Arial" w:hAnsi="Arial"/>
          <w:sz w:val="22"/>
          <w:szCs w:val="22"/>
          <w:color w:val="auto"/>
        </w:rPr>
        <w:t>Management Performance Award Plan, effective on January 1, 2016 (the “Plan”) ; and</w:t>
      </w:r>
    </w:p>
    <w:p>
      <w:pPr>
        <w:spacing w:after="0" w:line="1" w:lineRule="exact"/>
        <w:rPr>
          <w:sz w:val="20"/>
          <w:szCs w:val="20"/>
          <w:color w:val="auto"/>
        </w:rPr>
      </w:pPr>
    </w:p>
    <w:p>
      <w:pPr>
        <w:ind w:firstLine="749"/>
        <w:spacing w:after="0" w:line="230"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Section 10 of the Plan provides that the Board of Directors of the Company (the "Board") may amend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from time to time; and</w:t>
      </w:r>
    </w:p>
    <w:p>
      <w:pPr>
        <w:spacing w:after="0" w:line="1" w:lineRule="exact"/>
        <w:rPr>
          <w:sz w:val="20"/>
          <w:szCs w:val="20"/>
          <w:color w:val="auto"/>
        </w:rPr>
      </w:pPr>
    </w:p>
    <w:p>
      <w:pPr>
        <w:ind w:right="20" w:firstLine="749"/>
        <w:spacing w:after="0" w:line="230"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Board has determined it to be in the best interests of the Company to amend the Plan as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herein; and</w:t>
      </w:r>
    </w:p>
    <w:p>
      <w:pPr>
        <w:spacing w:after="0" w:line="1" w:lineRule="exact"/>
        <w:rPr>
          <w:sz w:val="20"/>
          <w:szCs w:val="20"/>
          <w:color w:val="auto"/>
        </w:rPr>
      </w:pPr>
    </w:p>
    <w:p>
      <w:pPr>
        <w:ind w:right="20" w:firstLine="749"/>
        <w:spacing w:after="0" w:line="230"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effective for fiscal years of the Company commencing on or after January 1, 2020, the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to the Plan is hereby adopted:</w:t>
      </w:r>
    </w:p>
    <w:p>
      <w:pPr>
        <w:ind w:left="1020" w:hanging="263"/>
        <w:spacing w:after="0" w:line="230" w:lineRule="auto"/>
        <w:tabs>
          <w:tab w:leader="none" w:pos="1020"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The definition of “Discretionary Adjustment” in Section 2(g) of the Plan is hereby deleted in its entirety.</w:t>
      </w:r>
    </w:p>
    <w:p>
      <w:pPr>
        <w:ind w:left="1020" w:hanging="263"/>
        <w:spacing w:after="0"/>
        <w:tabs>
          <w:tab w:leader="none" w:pos="1020"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Section 5.2 of the Plan is hereby deleted in its entirety and replaced with the following:</w:t>
      </w:r>
    </w:p>
    <w:p>
      <w:pPr>
        <w:spacing w:after="0" w:line="3" w:lineRule="exact"/>
        <w:rPr>
          <w:sz w:val="20"/>
          <w:szCs w:val="20"/>
          <w:color w:val="auto"/>
        </w:rPr>
      </w:pPr>
    </w:p>
    <w:p>
      <w:pPr>
        <w:ind w:left="940" w:right="20" w:hanging="471"/>
        <w:spacing w:after="0" w:line="300" w:lineRule="auto"/>
        <w:tabs>
          <w:tab w:leader="none" w:pos="920"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18"/>
          <w:szCs w:val="18"/>
          <w:b w:val="1"/>
          <w:bCs w:val="1"/>
          <w:i w:val="1"/>
          <w:iCs w:val="1"/>
          <w:color w:val="auto"/>
        </w:rPr>
        <w:t xml:space="preserve">Performance Awards. </w:t>
      </w:r>
      <w:r>
        <w:rPr>
          <w:rFonts w:ascii="Arial" w:cs="Arial" w:eastAsia="Arial" w:hAnsi="Arial"/>
          <w:sz w:val="18"/>
          <w:szCs w:val="18"/>
          <w:color w:val="auto"/>
        </w:rPr>
        <w:t>Subject to compliance with Section 5.3 herein, each Participant shall be eligible to receive a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based on the Company’s financial performance for Revenue and Net-Income-After-Tax during the Plan Year.</w:t>
      </w:r>
    </w:p>
    <w:p>
      <w:pPr>
        <w:spacing w:after="0" w:line="170" w:lineRule="exact"/>
        <w:rPr>
          <w:sz w:val="20"/>
          <w:szCs w:val="20"/>
          <w:color w:val="auto"/>
        </w:rPr>
      </w:pPr>
    </w:p>
    <w:p>
      <w:pPr>
        <w:ind w:firstLine="509"/>
        <w:spacing w:after="0" w:line="286" w:lineRule="auto"/>
        <w:rPr>
          <w:sz w:val="20"/>
          <w:szCs w:val="20"/>
          <w:color w:val="auto"/>
        </w:rPr>
      </w:pPr>
      <w:r>
        <w:rPr>
          <w:rFonts w:ascii="Arial" w:cs="Arial" w:eastAsia="Arial" w:hAnsi="Arial"/>
          <w:sz w:val="19"/>
          <w:szCs w:val="19"/>
          <w:color w:val="auto"/>
        </w:rPr>
        <w:t>Participants’ Annual Performance Awards will be calculated by applying the following percentage adjustment methodology separately to the respective Target Weighting of Revenue and Net-Income-After-Tax results in accordance with the following chart:</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20"/>
        <w:spacing w:after="0"/>
        <w:rPr>
          <w:sz w:val="20"/>
          <w:szCs w:val="20"/>
          <w:color w:val="auto"/>
        </w:rPr>
      </w:pPr>
      <w:r>
        <w:rPr>
          <w:rFonts w:ascii="Arial" w:cs="Arial" w:eastAsia="Arial" w:hAnsi="Arial"/>
          <w:sz w:val="20"/>
          <w:szCs w:val="20"/>
          <w:b w:val="1"/>
          <w:bCs w:val="1"/>
          <w:color w:val="auto"/>
        </w:rPr>
        <w:t>Percentage of Budgeted</w:t>
      </w:r>
    </w:p>
    <w:p>
      <w:pPr>
        <w:spacing w:after="0" w:line="21"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Fiscal Year Targets Achieved</w:t>
      </w:r>
    </w:p>
    <w:p>
      <w:pPr>
        <w:spacing w:after="0" w:line="44" w:lineRule="exact"/>
        <w:rPr>
          <w:sz w:val="20"/>
          <w:szCs w:val="20"/>
          <w:color w:val="auto"/>
        </w:rPr>
      </w:pPr>
    </w:p>
    <w:p>
      <w:pPr>
        <w:ind w:left="1820"/>
        <w:spacing w:after="0"/>
        <w:rPr>
          <w:sz w:val="20"/>
          <w:szCs w:val="20"/>
          <w:color w:val="auto"/>
        </w:rPr>
      </w:pPr>
      <w:r>
        <w:rPr>
          <w:rFonts w:ascii="Arial" w:cs="Arial" w:eastAsia="Arial" w:hAnsi="Arial"/>
          <w:sz w:val="20"/>
          <w:szCs w:val="20"/>
          <w:b w:val="1"/>
          <w:bCs w:val="1"/>
          <w:color w:val="auto"/>
        </w:rPr>
        <w:t>for Revenue and for</w:t>
      </w:r>
    </w:p>
    <w:p>
      <w:pPr>
        <w:ind w:left="1820"/>
        <w:spacing w:after="0"/>
        <w:rPr>
          <w:sz w:val="20"/>
          <w:szCs w:val="20"/>
          <w:color w:val="auto"/>
        </w:rPr>
      </w:pPr>
      <w:r>
        <w:rPr>
          <w:rFonts w:ascii="Arial" w:cs="Arial" w:eastAsia="Arial" w:hAnsi="Arial"/>
          <w:sz w:val="20"/>
          <w:szCs w:val="20"/>
          <w:b w:val="1"/>
          <w:bCs w:val="1"/>
          <w:color w:val="auto"/>
        </w:rPr>
        <w:t>Net-Income-After-Tax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1160780</wp:posOffset>
            </wp:positionH>
            <wp:positionV relativeFrom="paragraph">
              <wp:posOffset>0</wp:posOffset>
            </wp:positionV>
            <wp:extent cx="245745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1">
                      <a:extLst>
                        <a:ext uri="{28A0092B-C50C-407E-A947-70E740481C1C}"/>
                      </a:extLst>
                    </a:blip>
                    <a:srcRect/>
                    <a:stretch>
                      <a:fillRect/>
                    </a:stretch>
                  </pic:blipFill>
                  <pic:spPr bwMode="auto">
                    <a:xfrm>
                      <a:off x="0" y="0"/>
                      <a:ext cx="2457450" cy="8255"/>
                    </a:xfrm>
                    <a:prstGeom prst="rect">
                      <a:avLst/>
                    </a:prstGeom>
                    <a:noFill/>
                  </pic:spPr>
                </pic:pic>
              </a:graphicData>
            </a:graphic>
          </wp:anchor>
        </w:drawing>
      </w:r>
    </w:p>
    <w:p>
      <w:pPr>
        <w:spacing w:after="0" w:line="31"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Less than 90%</w:t>
      </w:r>
    </w:p>
    <w:p>
      <w:pPr>
        <w:spacing w:after="0" w:line="28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90% - 100%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100%</w:t>
      </w:r>
    </w:p>
    <w:p>
      <w:pPr>
        <w:spacing w:after="0" w:line="28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100% - 110%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jc w:val="center"/>
        <w:ind w:right="1820"/>
        <w:spacing w:after="0"/>
        <w:rPr>
          <w:sz w:val="20"/>
          <w:szCs w:val="20"/>
          <w:color w:val="auto"/>
        </w:rPr>
      </w:pPr>
      <w:r>
        <w:rPr>
          <w:rFonts w:ascii="Arial" w:cs="Arial" w:eastAsia="Arial" w:hAnsi="Arial"/>
          <w:sz w:val="20"/>
          <w:szCs w:val="20"/>
          <w:b w:val="1"/>
          <w:bCs w:val="1"/>
          <w:color w:val="auto"/>
        </w:rPr>
        <w:t>Percentage by which the</w:t>
      </w:r>
    </w:p>
    <w:p>
      <w:pPr>
        <w:spacing w:after="0" w:line="21" w:lineRule="exact"/>
        <w:rPr>
          <w:sz w:val="20"/>
          <w:szCs w:val="20"/>
          <w:color w:val="auto"/>
        </w:rPr>
      </w:pPr>
    </w:p>
    <w:p>
      <w:pPr>
        <w:jc w:val="center"/>
        <w:ind w:right="1820"/>
        <w:spacing w:after="0"/>
        <w:rPr>
          <w:sz w:val="20"/>
          <w:szCs w:val="20"/>
          <w:color w:val="auto"/>
        </w:rPr>
      </w:pPr>
      <w:r>
        <w:rPr>
          <w:rFonts w:ascii="Arial" w:cs="Arial" w:eastAsia="Arial" w:hAnsi="Arial"/>
          <w:sz w:val="20"/>
          <w:szCs w:val="20"/>
          <w:b w:val="1"/>
          <w:bCs w:val="1"/>
          <w:color w:val="auto"/>
        </w:rPr>
        <w:t>Target Weighting of</w:t>
      </w:r>
    </w:p>
    <w:p>
      <w:pPr>
        <w:jc w:val="center"/>
        <w:ind w:right="1820"/>
        <w:spacing w:after="0"/>
        <w:rPr>
          <w:sz w:val="20"/>
          <w:szCs w:val="20"/>
          <w:color w:val="auto"/>
        </w:rPr>
      </w:pPr>
      <w:r>
        <w:rPr>
          <w:rFonts w:ascii="Arial" w:cs="Arial" w:eastAsia="Arial" w:hAnsi="Arial"/>
          <w:sz w:val="20"/>
          <w:szCs w:val="20"/>
          <w:b w:val="1"/>
          <w:bCs w:val="1"/>
          <w:color w:val="auto"/>
        </w:rPr>
        <w:t>Revenue and</w:t>
      </w:r>
    </w:p>
    <w:p>
      <w:pPr>
        <w:jc w:val="center"/>
        <w:ind w:right="1820"/>
        <w:spacing w:after="0"/>
        <w:rPr>
          <w:sz w:val="20"/>
          <w:szCs w:val="20"/>
          <w:color w:val="auto"/>
        </w:rPr>
      </w:pPr>
      <w:r>
        <w:rPr>
          <w:rFonts w:ascii="Arial" w:cs="Arial" w:eastAsia="Arial" w:hAnsi="Arial"/>
          <w:sz w:val="20"/>
          <w:szCs w:val="20"/>
          <w:b w:val="1"/>
          <w:bCs w:val="1"/>
          <w:color w:val="auto"/>
        </w:rPr>
        <w:t>Net-Income-After-</w:t>
      </w:r>
    </w:p>
    <w:p>
      <w:pPr>
        <w:jc w:val="center"/>
        <w:ind w:right="1820"/>
        <w:spacing w:after="0"/>
        <w:rPr>
          <w:sz w:val="20"/>
          <w:szCs w:val="20"/>
          <w:color w:val="auto"/>
        </w:rPr>
      </w:pPr>
      <w:r>
        <w:rPr>
          <w:rFonts w:ascii="Arial" w:cs="Arial" w:eastAsia="Arial" w:hAnsi="Arial"/>
          <w:sz w:val="20"/>
          <w:szCs w:val="20"/>
          <w:b w:val="1"/>
          <w:bCs w:val="1"/>
          <w:color w:val="auto"/>
        </w:rPr>
        <w:t>Tax is Reduced/Increased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222631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12">
                      <a:extLst>
                        <a:ext uri="{28A0092B-C50C-407E-A947-70E740481C1C}"/>
                      </a:extLst>
                    </a:blip>
                    <a:srcRect/>
                    <a:stretch>
                      <a:fillRect/>
                    </a:stretch>
                  </pic:blipFill>
                  <pic:spPr bwMode="auto">
                    <a:xfrm>
                      <a:off x="0" y="0"/>
                      <a:ext cx="2226310" cy="825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No Performance Award</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5 times the percentage (negative) difference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between the actual achieved percentages of</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budgeted Revenue and Net-Income-After-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Tax targets and 100% of the Revenue and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Net-Income-After-Tax targets</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No Adjustment to Target Weighting</w:t>
      </w:r>
    </w:p>
    <w:p>
      <w:pPr>
        <w:spacing w:after="0" w:line="282" w:lineRule="exact"/>
        <w:rPr>
          <w:sz w:val="20"/>
          <w:szCs w:val="20"/>
          <w:color w:val="auto"/>
        </w:rPr>
      </w:pPr>
    </w:p>
    <w:p>
      <w:pPr>
        <w:spacing w:after="0"/>
        <w:tabs>
          <w:tab w:leader="none" w:pos="1000" w:val="left"/>
          <w:tab w:leader="none" w:pos="1560" w:val="left"/>
          <w:tab w:leader="none" w:pos="2220" w:val="left"/>
          <w:tab w:leader="none" w:pos="2820" w:val="left"/>
          <w:tab w:leader="none" w:pos="3280" w:val="left"/>
        </w:tabs>
        <w:rPr>
          <w:sz w:val="20"/>
          <w:szCs w:val="20"/>
          <w:color w:val="auto"/>
        </w:rPr>
      </w:pPr>
      <w:r>
        <w:rPr>
          <w:rFonts w:ascii="Arial" w:cs="Arial" w:eastAsia="Arial" w:hAnsi="Arial"/>
          <w:sz w:val="20"/>
          <w:szCs w:val="20"/>
          <w:color w:val="auto"/>
        </w:rPr>
        <w:t>(Amounts</w:t>
        <w:tab/>
        <w:t>over</w:t>
        <w:tab/>
        <w:t>110%</w:t>
        <w:tab/>
        <w:t>shall</w:t>
        <w:tab/>
        <w:t>not</w:t>
      </w:r>
      <w:r>
        <w:rPr>
          <w:sz w:val="20"/>
          <w:szCs w:val="20"/>
          <w:color w:val="auto"/>
        </w:rPr>
        <w:tab/>
      </w:r>
      <w:r>
        <w:rPr>
          <w:rFonts w:ascii="Arial" w:cs="Arial" w:eastAsia="Arial" w:hAnsi="Arial"/>
          <w:sz w:val="16"/>
          <w:szCs w:val="16"/>
          <w:color w:val="auto"/>
        </w:rPr>
        <w:t>be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considered for purposes of this calculation)</w:t>
      </w:r>
    </w:p>
    <w:p>
      <w:pPr>
        <w:spacing w:after="0" w:line="21" w:lineRule="exact"/>
        <w:rPr>
          <w:sz w:val="20"/>
          <w:szCs w:val="20"/>
          <w:color w:val="auto"/>
        </w:rPr>
      </w:pPr>
    </w:p>
    <w:p>
      <w:pPr>
        <w:spacing w:after="0"/>
        <w:tabs>
          <w:tab w:leader="none" w:pos="440" w:val="left"/>
          <w:tab w:leader="none" w:pos="1120" w:val="left"/>
          <w:tab w:leader="none" w:pos="1600" w:val="left"/>
          <w:tab w:leader="none" w:pos="2700" w:val="left"/>
        </w:tabs>
        <w:rPr>
          <w:sz w:val="20"/>
          <w:szCs w:val="20"/>
          <w:color w:val="auto"/>
        </w:rPr>
      </w:pPr>
      <w:r>
        <w:rPr>
          <w:rFonts w:ascii="Arial" w:cs="Arial" w:eastAsia="Arial" w:hAnsi="Arial"/>
          <w:sz w:val="20"/>
          <w:szCs w:val="20"/>
          <w:color w:val="auto"/>
        </w:rPr>
        <w:t>10</w:t>
        <w:tab/>
        <w:t>times</w:t>
        <w:tab/>
        <w:t>the</w:t>
        <w:tab/>
        <w:t>percentage</w:t>
      </w:r>
      <w:r>
        <w:rPr>
          <w:sz w:val="20"/>
          <w:szCs w:val="20"/>
          <w:color w:val="auto"/>
        </w:rPr>
        <w:tab/>
      </w:r>
      <w:r>
        <w:rPr>
          <w:rFonts w:ascii="Arial" w:cs="Arial" w:eastAsia="Arial" w:hAnsi="Arial"/>
          <w:sz w:val="18"/>
          <w:szCs w:val="18"/>
          <w:color w:val="auto"/>
        </w:rPr>
        <w:t>(positive)</w:t>
      </w:r>
    </w:p>
    <w:p>
      <w:pPr>
        <w:spacing w:after="0"/>
        <w:rPr>
          <w:sz w:val="20"/>
          <w:szCs w:val="20"/>
          <w:color w:val="auto"/>
        </w:rPr>
      </w:pPr>
      <w:r>
        <w:rPr>
          <w:rFonts w:ascii="Arial" w:cs="Arial" w:eastAsia="Arial" w:hAnsi="Arial"/>
          <w:sz w:val="18"/>
          <w:szCs w:val="18"/>
          <w:color w:val="auto"/>
        </w:rPr>
        <w:t>difference  between  the  actual  achieved</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percentages of budgeted Revenue (up to</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110%) and Net-Income-After-Tax targets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and 100% of the Revenue and Net-Income-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After-Tax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338455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720"/>
            <w:col w:w="5300"/>
          </w:cols>
          <w:pgMar w:left="320" w:top="337" w:right="339" w:bottom="1440" w:gutter="0" w:footer="0" w:header="0"/>
          <w:type w:val="continuous"/>
        </w:sectPr>
      </w:pPr>
    </w:p>
    <w:bookmarkStart w:id="156" w:name="page157"/>
    <w:bookmarkEnd w:id="156"/>
    <w:tbl>
      <w:tblPr>
        <w:tblLayout w:type="fixed"/>
        <w:tblInd w:w="0" w:type="dxa"/>
        <w:tblCellMar>
          <w:top w:w="0" w:type="dxa"/>
          <w:left w:w="0" w:type="dxa"/>
          <w:bottom w:w="0" w:type="dxa"/>
          <w:right w:w="0" w:type="dxa"/>
        </w:tblCellMar>
      </w:tblPr>
      <w:tr>
        <w:trPr>
          <w:trHeight w:val="256"/>
        </w:trPr>
        <w:tc>
          <w:tcPr>
            <w:tcW w:w="5600" w:type="dxa"/>
            <w:vAlign w:val="bottom"/>
            <w:gridSpan w:val="19"/>
          </w:tcPr>
          <w:p>
            <w:pPr>
              <w:spacing w:after="0"/>
              <w:rPr>
                <w:sz w:val="20"/>
                <w:szCs w:val="20"/>
                <w:color w:val="auto"/>
              </w:rPr>
            </w:pPr>
            <w:r>
              <w:rPr>
                <w:rFonts w:ascii="Arial" w:cs="Arial" w:eastAsia="Arial" w:hAnsi="Arial"/>
                <w:sz w:val="20"/>
                <w:szCs w:val="20"/>
                <w:b w:val="1"/>
                <w:bCs w:val="1"/>
                <w:color w:val="auto"/>
              </w:rPr>
              <w:t>Example A — Budget Performance (100% Target Payout)</w:t>
            </w: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01"/>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4"/>
          </w:tcPr>
          <w:p>
            <w:pPr>
              <w:jc w:val="center"/>
              <w:ind w:right="640"/>
              <w:spacing w:after="0"/>
              <w:rPr>
                <w:sz w:val="20"/>
                <w:szCs w:val="20"/>
                <w:color w:val="auto"/>
              </w:rPr>
            </w:pPr>
            <w:r>
              <w:rPr>
                <w:rFonts w:ascii="Arial" w:cs="Arial" w:eastAsia="Arial" w:hAnsi="Arial"/>
                <w:sz w:val="20"/>
                <w:szCs w:val="20"/>
                <w:b w:val="1"/>
                <w:bCs w:val="1"/>
                <w:color w:val="auto"/>
                <w:w w:val="85"/>
              </w:rPr>
              <w:t>Percentage</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4"/>
          </w:tcPr>
          <w:p>
            <w:pPr>
              <w:jc w:val="center"/>
              <w:ind w:right="640"/>
              <w:spacing w:after="0"/>
              <w:rPr>
                <w:sz w:val="20"/>
                <w:szCs w:val="20"/>
                <w:color w:val="auto"/>
              </w:rPr>
            </w:pPr>
            <w:r>
              <w:rPr>
                <w:rFonts w:ascii="Arial" w:cs="Arial" w:eastAsia="Arial" w:hAnsi="Arial"/>
                <w:sz w:val="20"/>
                <w:szCs w:val="20"/>
                <w:b w:val="1"/>
                <w:bCs w:val="1"/>
                <w:color w:val="auto"/>
                <w:w w:val="89"/>
              </w:rPr>
              <w:t>Difference</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4"/>
          </w:tcPr>
          <w:p>
            <w:pPr>
              <w:jc w:val="center"/>
              <w:ind w:right="620"/>
              <w:spacing w:after="0"/>
              <w:rPr>
                <w:sz w:val="20"/>
                <w:szCs w:val="20"/>
                <w:color w:val="auto"/>
              </w:rPr>
            </w:pPr>
            <w:r>
              <w:rPr>
                <w:rFonts w:ascii="Arial" w:cs="Arial" w:eastAsia="Arial" w:hAnsi="Arial"/>
                <w:sz w:val="20"/>
                <w:szCs w:val="20"/>
                <w:b w:val="1"/>
                <w:bCs w:val="1"/>
                <w:color w:val="auto"/>
                <w:w w:val="87"/>
              </w:rPr>
              <w:t>between</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3"/>
          </w:tcPr>
          <w:p>
            <w:pPr>
              <w:jc w:val="center"/>
              <w:ind w:right="500"/>
              <w:spacing w:after="0"/>
              <w:rPr>
                <w:sz w:val="20"/>
                <w:szCs w:val="20"/>
                <w:color w:val="auto"/>
              </w:rPr>
            </w:pPr>
            <w:r>
              <w:rPr>
                <w:rFonts w:ascii="Arial" w:cs="Arial" w:eastAsia="Arial" w:hAnsi="Arial"/>
                <w:sz w:val="20"/>
                <w:szCs w:val="20"/>
                <w:b w:val="1"/>
                <w:bCs w:val="1"/>
                <w:color w:val="auto"/>
                <w:w w:val="87"/>
              </w:rPr>
              <w:t>Percentage</w:t>
            </w: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560" w:type="dxa"/>
            <w:vAlign w:val="bottom"/>
            <w:vMerge w:val="restart"/>
          </w:tcPr>
          <w:p>
            <w:pPr>
              <w:spacing w:after="0"/>
              <w:rPr>
                <w:sz w:val="20"/>
                <w:szCs w:val="20"/>
                <w:color w:val="auto"/>
              </w:rPr>
            </w:pPr>
            <w:r>
              <w:rPr>
                <w:rFonts w:ascii="Arial" w:cs="Arial" w:eastAsia="Arial" w:hAnsi="Arial"/>
                <w:sz w:val="20"/>
                <w:szCs w:val="20"/>
                <w:b w:val="1"/>
                <w:bCs w:val="1"/>
                <w:color w:val="auto"/>
              </w:rPr>
              <w:t>Performance</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4"/>
          </w:tcPr>
          <w:p>
            <w:pPr>
              <w:jc w:val="center"/>
              <w:ind w:right="640"/>
              <w:spacing w:after="0"/>
              <w:rPr>
                <w:sz w:val="20"/>
                <w:szCs w:val="20"/>
                <w:color w:val="auto"/>
              </w:rPr>
            </w:pPr>
            <w:r>
              <w:rPr>
                <w:rFonts w:ascii="Arial" w:cs="Arial" w:eastAsia="Arial" w:hAnsi="Arial"/>
                <w:sz w:val="20"/>
                <w:szCs w:val="20"/>
                <w:b w:val="1"/>
                <w:bCs w:val="1"/>
                <w:color w:val="auto"/>
                <w:w w:val="91"/>
              </w:rPr>
              <w:t>Actual</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3"/>
          </w:tcPr>
          <w:p>
            <w:pPr>
              <w:jc w:val="center"/>
              <w:ind w:right="520"/>
              <w:spacing w:after="0"/>
              <w:rPr>
                <w:sz w:val="20"/>
                <w:szCs w:val="20"/>
                <w:color w:val="auto"/>
              </w:rPr>
            </w:pPr>
            <w:r>
              <w:rPr>
                <w:rFonts w:ascii="Arial" w:cs="Arial" w:eastAsia="Arial" w:hAnsi="Arial"/>
                <w:sz w:val="20"/>
                <w:szCs w:val="20"/>
                <w:b w:val="1"/>
                <w:bCs w:val="1"/>
                <w:color w:val="auto"/>
                <w:w w:val="90"/>
              </w:rPr>
              <w:t>Adjustment</w:t>
            </w: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4"/>
          </w:tcPr>
          <w:p>
            <w:pPr>
              <w:jc w:val="center"/>
              <w:ind w:right="640"/>
              <w:spacing w:after="0" w:line="203" w:lineRule="exact"/>
              <w:rPr>
                <w:sz w:val="20"/>
                <w:szCs w:val="20"/>
                <w:color w:val="auto"/>
              </w:rPr>
            </w:pPr>
            <w:r>
              <w:rPr>
                <w:rFonts w:ascii="Arial" w:cs="Arial" w:eastAsia="Arial" w:hAnsi="Arial"/>
                <w:sz w:val="20"/>
                <w:szCs w:val="20"/>
                <w:b w:val="1"/>
                <w:bCs w:val="1"/>
                <w:color w:val="auto"/>
                <w:w w:val="89"/>
              </w:rPr>
              <w:t>and</w:t>
            </w: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center"/>
              <w:ind w:right="500"/>
              <w:spacing w:after="0" w:line="203" w:lineRule="exact"/>
              <w:rPr>
                <w:sz w:val="20"/>
                <w:szCs w:val="20"/>
                <w:color w:val="auto"/>
              </w:rPr>
            </w:pPr>
            <w:r>
              <w:rPr>
                <w:rFonts w:ascii="Arial" w:cs="Arial" w:eastAsia="Arial" w:hAnsi="Arial"/>
                <w:sz w:val="20"/>
                <w:szCs w:val="20"/>
                <w:b w:val="1"/>
                <w:bCs w:val="1"/>
                <w:color w:val="auto"/>
                <w:w w:val="91"/>
              </w:rPr>
              <w:t>to Target</w:t>
            </w:r>
          </w:p>
        </w:tc>
        <w:tc>
          <w:tcPr>
            <w:tcW w:w="60" w:type="dxa"/>
            <w:vAlign w:val="bottom"/>
          </w:tcPr>
          <w:p>
            <w:pPr>
              <w:spacing w:after="0"/>
              <w:rPr>
                <w:sz w:val="17"/>
                <w:szCs w:val="17"/>
                <w:color w:val="auto"/>
              </w:rPr>
            </w:pPr>
          </w:p>
        </w:tc>
        <w:tc>
          <w:tcPr>
            <w:tcW w:w="1500" w:type="dxa"/>
            <w:vAlign w:val="bottom"/>
            <w:gridSpan w:val="3"/>
          </w:tcPr>
          <w:p>
            <w:pPr>
              <w:jc w:val="right"/>
              <w:ind w:right="700"/>
              <w:spacing w:after="0" w:line="203" w:lineRule="exact"/>
              <w:rPr>
                <w:sz w:val="20"/>
                <w:szCs w:val="20"/>
                <w:color w:val="auto"/>
              </w:rPr>
            </w:pPr>
            <w:r>
              <w:rPr>
                <w:rFonts w:ascii="Arial" w:cs="Arial" w:eastAsia="Arial" w:hAnsi="Arial"/>
                <w:sz w:val="20"/>
                <w:szCs w:val="20"/>
                <w:b w:val="1"/>
                <w:bCs w:val="1"/>
                <w:color w:val="auto"/>
              </w:rPr>
              <w:t>Target</w:t>
            </w:r>
          </w:p>
        </w:tc>
        <w:tc>
          <w:tcPr>
            <w:tcW w:w="1460" w:type="dxa"/>
            <w:vAlign w:val="bottom"/>
            <w:gridSpan w:val="2"/>
          </w:tcPr>
          <w:p>
            <w:pPr>
              <w:jc w:val="center"/>
              <w:ind w:right="300"/>
              <w:spacing w:after="0" w:line="203" w:lineRule="exact"/>
              <w:rPr>
                <w:sz w:val="20"/>
                <w:szCs w:val="20"/>
                <w:color w:val="auto"/>
              </w:rPr>
            </w:pPr>
            <w:r>
              <w:rPr>
                <w:rFonts w:ascii="Arial" w:cs="Arial" w:eastAsia="Arial" w:hAnsi="Arial"/>
                <w:sz w:val="20"/>
                <w:szCs w:val="20"/>
                <w:b w:val="1"/>
                <w:bCs w:val="1"/>
                <w:color w:val="auto"/>
                <w:w w:val="91"/>
              </w:rPr>
              <w:t>Actual</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Goals</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gridSpan w:val="5"/>
          </w:tcPr>
          <w:p>
            <w:pPr>
              <w:ind w:left="80"/>
              <w:spacing w:after="0"/>
              <w:rPr>
                <w:sz w:val="20"/>
                <w:szCs w:val="20"/>
                <w:color w:val="auto"/>
              </w:rPr>
            </w:pPr>
            <w:r>
              <w:rPr>
                <w:rFonts w:ascii="Arial" w:cs="Arial" w:eastAsia="Arial" w:hAnsi="Arial"/>
                <w:sz w:val="20"/>
                <w:szCs w:val="20"/>
                <w:b w:val="1"/>
                <w:bCs w:val="1"/>
                <w:color w:val="auto"/>
              </w:rPr>
              <w:t>Budget</w:t>
            </w:r>
          </w:p>
        </w:tc>
        <w:tc>
          <w:tcPr>
            <w:tcW w:w="1080" w:type="dxa"/>
            <w:vAlign w:val="bottom"/>
            <w:gridSpan w:val="5"/>
          </w:tcPr>
          <w:p>
            <w:pPr>
              <w:ind w:left="140"/>
              <w:spacing w:after="0"/>
              <w:rPr>
                <w:sz w:val="20"/>
                <w:szCs w:val="20"/>
                <w:color w:val="auto"/>
              </w:rPr>
            </w:pPr>
            <w:r>
              <w:rPr>
                <w:rFonts w:ascii="Arial" w:cs="Arial" w:eastAsia="Arial" w:hAnsi="Arial"/>
                <w:sz w:val="20"/>
                <w:szCs w:val="20"/>
                <w:b w:val="1"/>
                <w:bCs w:val="1"/>
                <w:color w:val="auto"/>
              </w:rPr>
              <w:t>Actual</w:t>
            </w:r>
          </w:p>
        </w:tc>
        <w:tc>
          <w:tcPr>
            <w:tcW w:w="160" w:type="dxa"/>
            <w:vAlign w:val="bottom"/>
          </w:tcPr>
          <w:p>
            <w:pPr>
              <w:spacing w:after="0"/>
              <w:rPr>
                <w:sz w:val="21"/>
                <w:szCs w:val="21"/>
                <w:color w:val="auto"/>
              </w:rPr>
            </w:pPr>
          </w:p>
        </w:tc>
        <w:tc>
          <w:tcPr>
            <w:tcW w:w="1560" w:type="dxa"/>
            <w:vAlign w:val="bottom"/>
            <w:gridSpan w:val="4"/>
          </w:tcPr>
          <w:p>
            <w:pPr>
              <w:jc w:val="center"/>
              <w:ind w:right="640"/>
              <w:spacing w:after="0"/>
              <w:rPr>
                <w:sz w:val="20"/>
                <w:szCs w:val="20"/>
                <w:color w:val="auto"/>
              </w:rPr>
            </w:pPr>
            <w:r>
              <w:rPr>
                <w:rFonts w:ascii="Arial" w:cs="Arial" w:eastAsia="Arial" w:hAnsi="Arial"/>
                <w:sz w:val="20"/>
                <w:szCs w:val="20"/>
                <w:b w:val="1"/>
                <w:bCs w:val="1"/>
                <w:color w:val="auto"/>
                <w:w w:val="87"/>
              </w:rPr>
              <w:t>Budget</w:t>
            </w:r>
          </w:p>
        </w:tc>
        <w:tc>
          <w:tcPr>
            <w:tcW w:w="900" w:type="dxa"/>
            <w:vAlign w:val="bottom"/>
            <w:gridSpan w:val="4"/>
          </w:tcPr>
          <w:p>
            <w:pPr>
              <w:ind w:left="20"/>
              <w:spacing w:after="0"/>
              <w:rPr>
                <w:sz w:val="20"/>
                <w:szCs w:val="20"/>
                <w:color w:val="auto"/>
              </w:rPr>
            </w:pPr>
            <w:r>
              <w:rPr>
                <w:rFonts w:ascii="Arial" w:cs="Arial" w:eastAsia="Arial" w:hAnsi="Arial"/>
                <w:sz w:val="20"/>
                <w:szCs w:val="20"/>
                <w:b w:val="1"/>
                <w:bCs w:val="1"/>
                <w:color w:val="auto"/>
              </w:rPr>
              <w:t>Factor</w:t>
            </w:r>
          </w:p>
        </w:tc>
        <w:tc>
          <w:tcPr>
            <w:tcW w:w="120" w:type="dxa"/>
            <w:vAlign w:val="bottom"/>
          </w:tcPr>
          <w:p>
            <w:pPr>
              <w:spacing w:after="0"/>
              <w:rPr>
                <w:sz w:val="21"/>
                <w:szCs w:val="21"/>
                <w:color w:val="auto"/>
              </w:rPr>
            </w:pPr>
          </w:p>
        </w:tc>
        <w:tc>
          <w:tcPr>
            <w:tcW w:w="1600" w:type="dxa"/>
            <w:vAlign w:val="bottom"/>
            <w:gridSpan w:val="3"/>
          </w:tcPr>
          <w:p>
            <w:pPr>
              <w:jc w:val="center"/>
              <w:ind w:right="500"/>
              <w:spacing w:after="0"/>
              <w:rPr>
                <w:sz w:val="20"/>
                <w:szCs w:val="20"/>
                <w:color w:val="auto"/>
              </w:rPr>
            </w:pPr>
            <w:r>
              <w:rPr>
                <w:rFonts w:ascii="Arial" w:cs="Arial" w:eastAsia="Arial" w:hAnsi="Arial"/>
                <w:sz w:val="20"/>
                <w:szCs w:val="20"/>
                <w:b w:val="1"/>
                <w:bCs w:val="1"/>
                <w:color w:val="auto"/>
                <w:w w:val="88"/>
              </w:rPr>
              <w:t>Weighting</w:t>
            </w:r>
          </w:p>
        </w:tc>
        <w:tc>
          <w:tcPr>
            <w:tcW w:w="60" w:type="dxa"/>
            <w:vAlign w:val="bottom"/>
          </w:tcPr>
          <w:p>
            <w:pPr>
              <w:spacing w:after="0"/>
              <w:rPr>
                <w:sz w:val="21"/>
                <w:szCs w:val="21"/>
                <w:color w:val="auto"/>
              </w:rPr>
            </w:pPr>
          </w:p>
        </w:tc>
        <w:tc>
          <w:tcPr>
            <w:tcW w:w="1500" w:type="dxa"/>
            <w:vAlign w:val="bottom"/>
            <w:gridSpan w:val="3"/>
          </w:tcPr>
          <w:p>
            <w:pPr>
              <w:jc w:val="right"/>
              <w:ind w:right="540"/>
              <w:spacing w:after="0"/>
              <w:rPr>
                <w:sz w:val="20"/>
                <w:szCs w:val="20"/>
                <w:color w:val="auto"/>
              </w:rPr>
            </w:pPr>
            <w:r>
              <w:rPr>
                <w:rFonts w:ascii="Arial" w:cs="Arial" w:eastAsia="Arial" w:hAnsi="Arial"/>
                <w:sz w:val="20"/>
                <w:szCs w:val="20"/>
                <w:b w:val="1"/>
                <w:bCs w:val="1"/>
                <w:color w:val="auto"/>
                <w:w w:val="97"/>
              </w:rPr>
              <w:t>Weighting</w:t>
            </w:r>
          </w:p>
        </w:tc>
        <w:tc>
          <w:tcPr>
            <w:tcW w:w="146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88"/>
              </w:rPr>
              <w:t>Weighting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20"/>
                <w:szCs w:val="20"/>
                <w:color w:val="auto"/>
              </w:rPr>
              <w:t>Revenue</w:t>
            </w:r>
          </w:p>
        </w:tc>
        <w:tc>
          <w:tcPr>
            <w:tcW w:w="300" w:type="dxa"/>
            <w:vAlign w:val="bottom"/>
            <w:gridSpan w:val="3"/>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100.00</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20"/>
                <w:szCs w:val="20"/>
                <w:color w:val="auto"/>
                <w:w w:val="93"/>
              </w:rPr>
              <w:t>$  100.00</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60" w:type="dxa"/>
            <w:vAlign w:val="bottom"/>
            <w:gridSpan w:val="4"/>
            <w:vMerge w:val="restart"/>
            <w:shd w:val="clear" w:color="auto" w:fill="CCEEFF"/>
          </w:tcPr>
          <w:p>
            <w:pPr>
              <w:jc w:val="right"/>
              <w:ind w:right="220"/>
              <w:spacing w:after="0"/>
              <w:rPr>
                <w:sz w:val="20"/>
                <w:szCs w:val="20"/>
                <w:color w:val="auto"/>
              </w:rPr>
            </w:pPr>
            <w:r>
              <w:rPr>
                <w:rFonts w:ascii="Arial" w:cs="Arial" w:eastAsia="Arial" w:hAnsi="Arial"/>
                <w:sz w:val="20"/>
                <w:szCs w:val="20"/>
                <w:color w:val="auto"/>
              </w:rPr>
              <w:t>0 %</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40" w:type="dxa"/>
            <w:vAlign w:val="bottom"/>
            <w:gridSpan w:val="3"/>
            <w:vMerge w:val="restart"/>
            <w:shd w:val="clear" w:color="auto" w:fill="CCEEFF"/>
          </w:tcPr>
          <w:p>
            <w:pPr>
              <w:ind w:left="340"/>
              <w:spacing w:after="0"/>
              <w:rPr>
                <w:sz w:val="20"/>
                <w:szCs w:val="20"/>
                <w:color w:val="auto"/>
              </w:rPr>
            </w:pPr>
            <w:r>
              <w:rPr>
                <w:rFonts w:ascii="Arial" w:cs="Arial" w:eastAsia="Arial" w:hAnsi="Arial"/>
                <w:sz w:val="20"/>
                <w:szCs w:val="20"/>
                <w:color w:val="auto"/>
              </w:rPr>
              <w:t>n/a</w:t>
            </w:r>
          </w:p>
        </w:tc>
        <w:tc>
          <w:tcPr>
            <w:tcW w:w="1720" w:type="dxa"/>
            <w:vAlign w:val="bottom"/>
            <w:gridSpan w:val="4"/>
            <w:vMerge w:val="restart"/>
            <w:shd w:val="clear" w:color="auto" w:fill="CCEEFF"/>
          </w:tcPr>
          <w:p>
            <w:pPr>
              <w:jc w:val="center"/>
              <w:ind w:left="901"/>
              <w:spacing w:after="0"/>
              <w:rPr>
                <w:sz w:val="20"/>
                <w:szCs w:val="20"/>
                <w:color w:val="auto"/>
              </w:rPr>
            </w:pPr>
            <w:r>
              <w:rPr>
                <w:rFonts w:ascii="Arial" w:cs="Arial" w:eastAsia="Arial" w:hAnsi="Arial"/>
                <w:sz w:val="20"/>
                <w:szCs w:val="20"/>
                <w:color w:val="auto"/>
                <w:w w:val="81"/>
              </w:rPr>
              <w:t>0 %</w:t>
            </w:r>
          </w:p>
        </w:tc>
        <w:tc>
          <w:tcPr>
            <w:tcW w:w="1560" w:type="dxa"/>
            <w:vAlign w:val="bottom"/>
            <w:gridSpan w:val="4"/>
            <w:vMerge w:val="restart"/>
            <w:shd w:val="clear" w:color="auto" w:fill="CCEEFF"/>
          </w:tcPr>
          <w:p>
            <w:pPr>
              <w:jc w:val="right"/>
              <w:ind w:right="220"/>
              <w:spacing w:after="0"/>
              <w:rPr>
                <w:sz w:val="20"/>
                <w:szCs w:val="20"/>
                <w:color w:val="auto"/>
              </w:rPr>
            </w:pPr>
            <w:r>
              <w:rPr>
                <w:rFonts w:ascii="Arial" w:cs="Arial" w:eastAsia="Arial" w:hAnsi="Arial"/>
                <w:sz w:val="20"/>
                <w:szCs w:val="20"/>
                <w:color w:val="auto"/>
              </w:rPr>
              <w:t>35 %</w:t>
            </w:r>
          </w:p>
        </w:tc>
        <w:tc>
          <w:tcPr>
            <w:tcW w:w="1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20"/>
                <w:szCs w:val="20"/>
                <w:color w:val="auto"/>
              </w:rPr>
              <w:t>35 %</w:t>
            </w: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300" w:type="dxa"/>
            <w:vAlign w:val="bottom"/>
            <w:gridSpan w:val="3"/>
            <w:vMerge w:val="continue"/>
            <w:shd w:val="clear" w:color="auto" w:fill="CCEEFF"/>
          </w:tcPr>
          <w:p>
            <w:pPr>
              <w:spacing w:after="0"/>
              <w:rPr>
                <w:sz w:val="20"/>
                <w:szCs w:val="20"/>
                <w:color w:val="auto"/>
              </w:rPr>
            </w:pPr>
          </w:p>
        </w:tc>
        <w:tc>
          <w:tcPr>
            <w:tcW w:w="66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gridSpan w:val="4"/>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gridSpan w:val="3"/>
            <w:vMerge w:val="continue"/>
            <w:shd w:val="clear" w:color="auto" w:fill="CCEEFF"/>
          </w:tcPr>
          <w:p>
            <w:pPr>
              <w:spacing w:after="0"/>
              <w:rPr>
                <w:sz w:val="20"/>
                <w:szCs w:val="20"/>
                <w:color w:val="auto"/>
              </w:rPr>
            </w:pPr>
          </w:p>
        </w:tc>
        <w:tc>
          <w:tcPr>
            <w:tcW w:w="1720" w:type="dxa"/>
            <w:vAlign w:val="bottom"/>
            <w:gridSpan w:val="4"/>
            <w:vMerge w:val="continue"/>
            <w:shd w:val="clear" w:color="auto" w:fill="CCEEFF"/>
          </w:tcPr>
          <w:p>
            <w:pPr>
              <w:spacing w:after="0"/>
              <w:rPr>
                <w:sz w:val="20"/>
                <w:szCs w:val="20"/>
                <w:color w:val="auto"/>
              </w:rPr>
            </w:pPr>
          </w:p>
        </w:tc>
        <w:tc>
          <w:tcPr>
            <w:tcW w:w="1560" w:type="dxa"/>
            <w:vAlign w:val="bottom"/>
            <w:gridSpan w:val="4"/>
            <w:vMerge w:val="continue"/>
            <w:shd w:val="clear" w:color="auto" w:fill="CCEEFF"/>
          </w:tcPr>
          <w:p>
            <w:pPr>
              <w:spacing w:after="0"/>
              <w:rPr>
                <w:sz w:val="20"/>
                <w:szCs w:val="20"/>
                <w:color w:val="auto"/>
              </w:rPr>
            </w:pPr>
          </w:p>
        </w:tc>
        <w:tc>
          <w:tcPr>
            <w:tcW w:w="14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560" w:type="dxa"/>
            <w:vAlign w:val="bottom"/>
          </w:tcPr>
          <w:p>
            <w:pPr>
              <w:spacing w:after="0"/>
              <w:rPr>
                <w:sz w:val="20"/>
                <w:szCs w:val="20"/>
                <w:color w:val="auto"/>
              </w:rPr>
            </w:pPr>
            <w:r>
              <w:rPr>
                <w:rFonts w:ascii="Arial" w:cs="Arial" w:eastAsia="Arial" w:hAnsi="Arial"/>
                <w:sz w:val="20"/>
                <w:szCs w:val="20"/>
                <w:color w:val="auto"/>
              </w:rPr>
              <w:t>Net Income</w:t>
            </w:r>
          </w:p>
        </w:tc>
        <w:tc>
          <w:tcPr>
            <w:tcW w:w="300" w:type="dxa"/>
            <w:vAlign w:val="bottom"/>
            <w:gridSpan w:val="3"/>
            <w:vMerge w:val="restart"/>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500" w:type="dxa"/>
            <w:vAlign w:val="bottom"/>
            <w:vMerge w:val="restart"/>
          </w:tcPr>
          <w:p>
            <w:pPr>
              <w:jc w:val="right"/>
              <w:spacing w:after="0"/>
              <w:rPr>
                <w:sz w:val="20"/>
                <w:szCs w:val="20"/>
                <w:color w:val="auto"/>
              </w:rPr>
            </w:pPr>
            <w:r>
              <w:rPr>
                <w:rFonts w:ascii="Arial" w:cs="Arial" w:eastAsia="Arial" w:hAnsi="Arial"/>
                <w:sz w:val="20"/>
                <w:szCs w:val="20"/>
                <w:color w:val="auto"/>
                <w:w w:val="91"/>
              </w:rPr>
              <w:t>10.00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120" w:type="dxa"/>
            <w:vAlign w:val="bottom"/>
          </w:tcPr>
          <w:p>
            <w:pPr>
              <w:spacing w:after="0"/>
              <w:rPr>
                <w:sz w:val="21"/>
                <w:szCs w:val="21"/>
                <w:color w:val="auto"/>
              </w:rPr>
            </w:pP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w w:val="99"/>
              </w:rPr>
              <w:t>10.00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4"/>
            <w:vMerge w:val="restart"/>
          </w:tcPr>
          <w:p>
            <w:pPr>
              <w:jc w:val="right"/>
              <w:ind w:right="220"/>
              <w:spacing w:after="0"/>
              <w:rPr>
                <w:sz w:val="20"/>
                <w:szCs w:val="20"/>
                <w:color w:val="auto"/>
              </w:rPr>
            </w:pPr>
            <w:r>
              <w:rPr>
                <w:rFonts w:ascii="Arial" w:cs="Arial" w:eastAsia="Arial" w:hAnsi="Arial"/>
                <w:sz w:val="20"/>
                <w:szCs w:val="20"/>
                <w:color w:val="auto"/>
              </w:rPr>
              <w:t>0 %</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3"/>
            <w:vMerge w:val="restart"/>
          </w:tcPr>
          <w:p>
            <w:pPr>
              <w:ind w:left="340"/>
              <w:spacing w:after="0"/>
              <w:rPr>
                <w:sz w:val="20"/>
                <w:szCs w:val="20"/>
                <w:color w:val="auto"/>
              </w:rPr>
            </w:pPr>
            <w:r>
              <w:rPr>
                <w:rFonts w:ascii="Arial" w:cs="Arial" w:eastAsia="Arial" w:hAnsi="Arial"/>
                <w:sz w:val="20"/>
                <w:szCs w:val="20"/>
                <w:color w:val="auto"/>
              </w:rPr>
              <w:t>n/a</w:t>
            </w:r>
          </w:p>
        </w:tc>
        <w:tc>
          <w:tcPr>
            <w:tcW w:w="1720" w:type="dxa"/>
            <w:vAlign w:val="bottom"/>
            <w:gridSpan w:val="4"/>
            <w:vMerge w:val="restart"/>
          </w:tcPr>
          <w:p>
            <w:pPr>
              <w:jc w:val="center"/>
              <w:ind w:left="901"/>
              <w:spacing w:after="0"/>
              <w:rPr>
                <w:sz w:val="20"/>
                <w:szCs w:val="20"/>
                <w:color w:val="auto"/>
              </w:rPr>
            </w:pPr>
            <w:r>
              <w:rPr>
                <w:rFonts w:ascii="Arial" w:cs="Arial" w:eastAsia="Arial" w:hAnsi="Arial"/>
                <w:sz w:val="20"/>
                <w:szCs w:val="20"/>
                <w:color w:val="auto"/>
                <w:w w:val="81"/>
              </w:rPr>
              <w:t>0 %</w:t>
            </w:r>
          </w:p>
        </w:tc>
        <w:tc>
          <w:tcPr>
            <w:tcW w:w="1560" w:type="dxa"/>
            <w:vAlign w:val="bottom"/>
            <w:gridSpan w:val="4"/>
            <w:vMerge w:val="restart"/>
          </w:tcPr>
          <w:p>
            <w:pPr>
              <w:jc w:val="right"/>
              <w:ind w:right="220"/>
              <w:spacing w:after="0"/>
              <w:rPr>
                <w:sz w:val="20"/>
                <w:szCs w:val="20"/>
                <w:color w:val="auto"/>
              </w:rPr>
            </w:pPr>
            <w:r>
              <w:rPr>
                <w:rFonts w:ascii="Arial" w:cs="Arial" w:eastAsia="Arial" w:hAnsi="Arial"/>
                <w:sz w:val="20"/>
                <w:szCs w:val="20"/>
                <w:color w:val="auto"/>
              </w:rPr>
              <w:t>65 %</w:t>
            </w:r>
          </w:p>
        </w:tc>
        <w:tc>
          <w:tcPr>
            <w:tcW w:w="1460" w:type="dxa"/>
            <w:vAlign w:val="bottom"/>
            <w:gridSpan w:val="2"/>
            <w:vMerge w:val="restart"/>
          </w:tcPr>
          <w:p>
            <w:pPr>
              <w:jc w:val="right"/>
              <w:ind w:right="140"/>
              <w:spacing w:after="0"/>
              <w:rPr>
                <w:sz w:val="20"/>
                <w:szCs w:val="20"/>
                <w:color w:val="auto"/>
              </w:rPr>
            </w:pPr>
            <w:r>
              <w:rPr>
                <w:rFonts w:ascii="Arial" w:cs="Arial" w:eastAsia="Arial" w:hAnsi="Arial"/>
                <w:sz w:val="20"/>
                <w:szCs w:val="20"/>
                <w:color w:val="auto"/>
              </w:rPr>
              <w:t>65 %</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0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4"/>
            <w:vMerge w:val="continue"/>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3"/>
            <w:vMerge w:val="continue"/>
          </w:tcPr>
          <w:p>
            <w:pPr>
              <w:spacing w:after="0"/>
              <w:rPr>
                <w:sz w:val="20"/>
                <w:szCs w:val="20"/>
                <w:color w:val="auto"/>
              </w:rPr>
            </w:pPr>
          </w:p>
        </w:tc>
        <w:tc>
          <w:tcPr>
            <w:tcW w:w="1720" w:type="dxa"/>
            <w:vAlign w:val="bottom"/>
            <w:gridSpan w:val="4"/>
            <w:vMerge w:val="continue"/>
          </w:tcPr>
          <w:p>
            <w:pPr>
              <w:spacing w:after="0"/>
              <w:rPr>
                <w:sz w:val="20"/>
                <w:szCs w:val="20"/>
                <w:color w:val="auto"/>
              </w:rPr>
            </w:pPr>
          </w:p>
        </w:tc>
        <w:tc>
          <w:tcPr>
            <w:tcW w:w="1560" w:type="dxa"/>
            <w:vAlign w:val="bottom"/>
            <w:gridSpan w:val="4"/>
            <w:vMerge w:val="continue"/>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20" w:type="dxa"/>
            <w:vAlign w:val="bottom"/>
            <w:shd w:val="clear" w:color="auto" w:fill="CCEEFF"/>
          </w:tcPr>
          <w:p>
            <w:pPr>
              <w:spacing w:after="0"/>
              <w:rPr>
                <w:sz w:val="24"/>
                <w:szCs w:val="24"/>
                <w:color w:val="auto"/>
              </w:rPr>
            </w:pPr>
          </w:p>
        </w:tc>
        <w:tc>
          <w:tcPr>
            <w:tcW w:w="5580" w:type="dxa"/>
            <w:vAlign w:val="bottom"/>
            <w:gridSpan w:val="18"/>
            <w:shd w:val="clear" w:color="auto" w:fill="CCEEFF"/>
          </w:tcPr>
          <w:p>
            <w:pPr>
              <w:spacing w:after="0"/>
              <w:rPr>
                <w:sz w:val="20"/>
                <w:szCs w:val="20"/>
                <w:color w:val="auto"/>
              </w:rPr>
            </w:pPr>
            <w:r>
              <w:rPr>
                <w:rFonts w:ascii="Arial" w:cs="Arial" w:eastAsia="Arial" w:hAnsi="Arial"/>
                <w:sz w:val="20"/>
                <w:szCs w:val="20"/>
                <w:b w:val="1"/>
                <w:bCs w:val="1"/>
                <w:color w:val="auto"/>
                <w:w w:val="89"/>
              </w:rPr>
              <w:t>Total percentage applied to individual target performance awards</w:t>
            </w: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b w:val="1"/>
                <w:bCs w:val="1"/>
                <w:color w:val="auto"/>
              </w:rPr>
              <w:t>100%</w:t>
            </w:r>
          </w:p>
        </w:tc>
        <w:tc>
          <w:tcPr>
            <w:tcW w:w="0" w:type="dxa"/>
            <w:vAlign w:val="bottom"/>
          </w:tcPr>
          <w:p>
            <w:pPr>
              <w:spacing w:after="0"/>
              <w:rPr>
                <w:sz w:val="1"/>
                <w:szCs w:val="1"/>
                <w:color w:val="auto"/>
              </w:rPr>
            </w:pPr>
          </w:p>
        </w:tc>
      </w:tr>
      <w:tr>
        <w:trPr>
          <w:trHeight w:val="557"/>
        </w:trPr>
        <w:tc>
          <w:tcPr>
            <w:tcW w:w="3080" w:type="dxa"/>
            <w:vAlign w:val="bottom"/>
            <w:gridSpan w:val="11"/>
          </w:tcPr>
          <w:p>
            <w:pPr>
              <w:spacing w:after="0"/>
              <w:rPr>
                <w:sz w:val="20"/>
                <w:szCs w:val="20"/>
                <w:color w:val="auto"/>
              </w:rPr>
            </w:pPr>
            <w:r>
              <w:rPr>
                <w:rFonts w:ascii="Arial" w:cs="Arial" w:eastAsia="Arial" w:hAnsi="Arial"/>
                <w:sz w:val="20"/>
                <w:szCs w:val="20"/>
                <w:b w:val="1"/>
                <w:bCs w:val="1"/>
                <w:color w:val="auto"/>
                <w:w w:val="94"/>
              </w:rPr>
              <w:t>Example B — 120% Target Payout</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1"/>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4"/>
          </w:tcPr>
          <w:p>
            <w:pPr>
              <w:jc w:val="center"/>
              <w:ind w:right="300"/>
              <w:spacing w:after="0"/>
              <w:rPr>
                <w:sz w:val="20"/>
                <w:szCs w:val="20"/>
                <w:color w:val="auto"/>
              </w:rPr>
            </w:pPr>
            <w:r>
              <w:rPr>
                <w:rFonts w:ascii="Arial" w:cs="Arial" w:eastAsia="Arial" w:hAnsi="Arial"/>
                <w:sz w:val="20"/>
                <w:szCs w:val="20"/>
                <w:b w:val="1"/>
                <w:bCs w:val="1"/>
                <w:color w:val="auto"/>
                <w:w w:val="87"/>
              </w:rPr>
              <w:t>Percentage</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4"/>
          </w:tcPr>
          <w:p>
            <w:pPr>
              <w:jc w:val="center"/>
              <w:ind w:right="320"/>
              <w:spacing w:after="0"/>
              <w:rPr>
                <w:sz w:val="20"/>
                <w:szCs w:val="20"/>
                <w:color w:val="auto"/>
              </w:rPr>
            </w:pPr>
            <w:r>
              <w:rPr>
                <w:rFonts w:ascii="Arial" w:cs="Arial" w:eastAsia="Arial" w:hAnsi="Arial"/>
                <w:sz w:val="20"/>
                <w:szCs w:val="20"/>
                <w:b w:val="1"/>
                <w:bCs w:val="1"/>
                <w:color w:val="auto"/>
                <w:w w:val="89"/>
              </w:rPr>
              <w:t>Difference</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4"/>
          </w:tcPr>
          <w:p>
            <w:pPr>
              <w:jc w:val="center"/>
              <w:ind w:right="300"/>
              <w:spacing w:after="0"/>
              <w:rPr>
                <w:sz w:val="20"/>
                <w:szCs w:val="20"/>
                <w:color w:val="auto"/>
              </w:rPr>
            </w:pPr>
            <w:r>
              <w:rPr>
                <w:rFonts w:ascii="Arial" w:cs="Arial" w:eastAsia="Arial" w:hAnsi="Arial"/>
                <w:sz w:val="20"/>
                <w:szCs w:val="20"/>
                <w:b w:val="1"/>
                <w:bCs w:val="1"/>
                <w:color w:val="auto"/>
                <w:w w:val="87"/>
              </w:rPr>
              <w:t>between</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3"/>
          </w:tcPr>
          <w:p>
            <w:pPr>
              <w:jc w:val="center"/>
              <w:ind w:right="280"/>
              <w:spacing w:after="0"/>
              <w:rPr>
                <w:sz w:val="20"/>
                <w:szCs w:val="20"/>
                <w:color w:val="auto"/>
              </w:rPr>
            </w:pPr>
            <w:r>
              <w:rPr>
                <w:rFonts w:ascii="Arial" w:cs="Arial" w:eastAsia="Arial" w:hAnsi="Arial"/>
                <w:sz w:val="20"/>
                <w:szCs w:val="20"/>
                <w:b w:val="1"/>
                <w:bCs w:val="1"/>
                <w:color w:val="auto"/>
                <w:w w:val="85"/>
              </w:rPr>
              <w:t>Percentage</w:t>
            </w: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560" w:type="dxa"/>
            <w:vAlign w:val="bottom"/>
            <w:vMerge w:val="restart"/>
          </w:tcPr>
          <w:p>
            <w:pPr>
              <w:spacing w:after="0"/>
              <w:rPr>
                <w:sz w:val="20"/>
                <w:szCs w:val="20"/>
                <w:color w:val="auto"/>
              </w:rPr>
            </w:pPr>
            <w:r>
              <w:rPr>
                <w:rFonts w:ascii="Arial" w:cs="Arial" w:eastAsia="Arial" w:hAnsi="Arial"/>
                <w:sz w:val="20"/>
                <w:szCs w:val="20"/>
                <w:b w:val="1"/>
                <w:bCs w:val="1"/>
                <w:color w:val="auto"/>
              </w:rPr>
              <w:t>Performance</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4"/>
          </w:tcPr>
          <w:p>
            <w:pPr>
              <w:jc w:val="center"/>
              <w:ind w:right="320"/>
              <w:spacing w:after="0"/>
              <w:rPr>
                <w:sz w:val="20"/>
                <w:szCs w:val="20"/>
                <w:color w:val="auto"/>
              </w:rPr>
            </w:pPr>
            <w:r>
              <w:rPr>
                <w:rFonts w:ascii="Arial" w:cs="Arial" w:eastAsia="Arial" w:hAnsi="Arial"/>
                <w:sz w:val="20"/>
                <w:szCs w:val="20"/>
                <w:b w:val="1"/>
                <w:bCs w:val="1"/>
                <w:color w:val="auto"/>
                <w:w w:val="91"/>
              </w:rPr>
              <w:t>Actual</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3"/>
          </w:tcPr>
          <w:p>
            <w:pPr>
              <w:jc w:val="center"/>
              <w:ind w:right="280"/>
              <w:spacing w:after="0"/>
              <w:rPr>
                <w:sz w:val="20"/>
                <w:szCs w:val="20"/>
                <w:color w:val="auto"/>
              </w:rPr>
            </w:pPr>
            <w:r>
              <w:rPr>
                <w:rFonts w:ascii="Arial" w:cs="Arial" w:eastAsia="Arial" w:hAnsi="Arial"/>
                <w:sz w:val="20"/>
                <w:szCs w:val="20"/>
                <w:b w:val="1"/>
                <w:bCs w:val="1"/>
                <w:color w:val="auto"/>
                <w:w w:val="90"/>
              </w:rPr>
              <w:t>Adjustment</w:t>
            </w: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4"/>
          </w:tcPr>
          <w:p>
            <w:pPr>
              <w:jc w:val="center"/>
              <w:ind w:right="320"/>
              <w:spacing w:after="0" w:line="203" w:lineRule="exact"/>
              <w:rPr>
                <w:sz w:val="20"/>
                <w:szCs w:val="20"/>
                <w:color w:val="auto"/>
              </w:rPr>
            </w:pPr>
            <w:r>
              <w:rPr>
                <w:rFonts w:ascii="Arial" w:cs="Arial" w:eastAsia="Arial" w:hAnsi="Arial"/>
                <w:sz w:val="20"/>
                <w:szCs w:val="20"/>
                <w:b w:val="1"/>
                <w:bCs w:val="1"/>
                <w:color w:val="auto"/>
                <w:w w:val="89"/>
              </w:rPr>
              <w:t>and</w:t>
            </w: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center"/>
              <w:ind w:right="280"/>
              <w:spacing w:after="0" w:line="203" w:lineRule="exact"/>
              <w:rPr>
                <w:sz w:val="20"/>
                <w:szCs w:val="20"/>
                <w:color w:val="auto"/>
              </w:rPr>
            </w:pPr>
            <w:r>
              <w:rPr>
                <w:rFonts w:ascii="Arial" w:cs="Arial" w:eastAsia="Arial" w:hAnsi="Arial"/>
                <w:sz w:val="20"/>
                <w:szCs w:val="20"/>
                <w:b w:val="1"/>
                <w:bCs w:val="1"/>
                <w:color w:val="auto"/>
                <w:w w:val="88"/>
              </w:rPr>
              <w:t>to Target</w:t>
            </w:r>
          </w:p>
        </w:tc>
        <w:tc>
          <w:tcPr>
            <w:tcW w:w="60" w:type="dxa"/>
            <w:vAlign w:val="bottom"/>
          </w:tcPr>
          <w:p>
            <w:pPr>
              <w:spacing w:after="0"/>
              <w:rPr>
                <w:sz w:val="17"/>
                <w:szCs w:val="17"/>
                <w:color w:val="auto"/>
              </w:rPr>
            </w:pPr>
          </w:p>
        </w:tc>
        <w:tc>
          <w:tcPr>
            <w:tcW w:w="1500" w:type="dxa"/>
            <w:vAlign w:val="bottom"/>
            <w:gridSpan w:val="3"/>
          </w:tcPr>
          <w:p>
            <w:pPr>
              <w:jc w:val="right"/>
              <w:ind w:right="660"/>
              <w:spacing w:after="0" w:line="203" w:lineRule="exact"/>
              <w:rPr>
                <w:sz w:val="20"/>
                <w:szCs w:val="20"/>
                <w:color w:val="auto"/>
              </w:rPr>
            </w:pPr>
            <w:r>
              <w:rPr>
                <w:rFonts w:ascii="Arial" w:cs="Arial" w:eastAsia="Arial" w:hAnsi="Arial"/>
                <w:sz w:val="20"/>
                <w:szCs w:val="20"/>
                <w:b w:val="1"/>
                <w:bCs w:val="1"/>
                <w:color w:val="auto"/>
              </w:rPr>
              <w:t>Target</w:t>
            </w:r>
          </w:p>
        </w:tc>
        <w:tc>
          <w:tcPr>
            <w:tcW w:w="1460" w:type="dxa"/>
            <w:vAlign w:val="bottom"/>
            <w:gridSpan w:val="2"/>
          </w:tcPr>
          <w:p>
            <w:pPr>
              <w:jc w:val="center"/>
              <w:ind w:right="300"/>
              <w:spacing w:after="0" w:line="203" w:lineRule="exact"/>
              <w:rPr>
                <w:sz w:val="20"/>
                <w:szCs w:val="20"/>
                <w:color w:val="auto"/>
              </w:rPr>
            </w:pPr>
            <w:r>
              <w:rPr>
                <w:rFonts w:ascii="Arial" w:cs="Arial" w:eastAsia="Arial" w:hAnsi="Arial"/>
                <w:sz w:val="20"/>
                <w:szCs w:val="20"/>
                <w:b w:val="1"/>
                <w:bCs w:val="1"/>
                <w:color w:val="auto"/>
                <w:w w:val="91"/>
              </w:rPr>
              <w:t>Actual</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Goals</w:t>
            </w:r>
          </w:p>
        </w:tc>
        <w:tc>
          <w:tcPr>
            <w:tcW w:w="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4"/>
          </w:tcPr>
          <w:p>
            <w:pPr>
              <w:ind w:left="120"/>
              <w:spacing w:after="0"/>
              <w:rPr>
                <w:sz w:val="20"/>
                <w:szCs w:val="20"/>
                <w:color w:val="auto"/>
              </w:rPr>
            </w:pPr>
            <w:r>
              <w:rPr>
                <w:rFonts w:ascii="Arial" w:cs="Arial" w:eastAsia="Arial" w:hAnsi="Arial"/>
                <w:sz w:val="20"/>
                <w:szCs w:val="20"/>
                <w:b w:val="1"/>
                <w:bCs w:val="1"/>
                <w:color w:val="auto"/>
              </w:rPr>
              <w:t>Budget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ind w:left="20"/>
              <w:spacing w:after="0"/>
              <w:rPr>
                <w:sz w:val="20"/>
                <w:szCs w:val="20"/>
                <w:color w:val="auto"/>
              </w:rPr>
            </w:pPr>
            <w:r>
              <w:rPr>
                <w:rFonts w:ascii="Arial" w:cs="Arial" w:eastAsia="Arial" w:hAnsi="Arial"/>
                <w:sz w:val="20"/>
                <w:szCs w:val="20"/>
                <w:b w:val="1"/>
                <w:bCs w:val="1"/>
                <w:color w:val="auto"/>
              </w:rPr>
              <w:t>Actual</w:t>
            </w:r>
          </w:p>
        </w:tc>
        <w:tc>
          <w:tcPr>
            <w:tcW w:w="160" w:type="dxa"/>
            <w:vAlign w:val="bottom"/>
          </w:tcPr>
          <w:p>
            <w:pPr>
              <w:spacing w:after="0"/>
              <w:rPr>
                <w:sz w:val="21"/>
                <w:szCs w:val="21"/>
                <w:color w:val="auto"/>
              </w:rPr>
            </w:pPr>
          </w:p>
        </w:tc>
        <w:tc>
          <w:tcPr>
            <w:tcW w:w="1560" w:type="dxa"/>
            <w:vAlign w:val="bottom"/>
            <w:gridSpan w:val="4"/>
          </w:tcPr>
          <w:p>
            <w:pPr>
              <w:jc w:val="center"/>
              <w:ind w:right="320"/>
              <w:spacing w:after="0"/>
              <w:rPr>
                <w:sz w:val="20"/>
                <w:szCs w:val="20"/>
                <w:color w:val="auto"/>
              </w:rPr>
            </w:pPr>
            <w:r>
              <w:rPr>
                <w:rFonts w:ascii="Arial" w:cs="Arial" w:eastAsia="Arial" w:hAnsi="Arial"/>
                <w:sz w:val="20"/>
                <w:szCs w:val="20"/>
                <w:b w:val="1"/>
                <w:bCs w:val="1"/>
                <w:color w:val="auto"/>
                <w:w w:val="87"/>
              </w:rPr>
              <w:t>Budget</w:t>
            </w:r>
          </w:p>
        </w:tc>
        <w:tc>
          <w:tcPr>
            <w:tcW w:w="60" w:type="dxa"/>
            <w:vAlign w:val="bottom"/>
          </w:tcPr>
          <w:p>
            <w:pPr>
              <w:spacing w:after="0"/>
              <w:rPr>
                <w:sz w:val="21"/>
                <w:szCs w:val="21"/>
                <w:color w:val="auto"/>
              </w:rPr>
            </w:pPr>
          </w:p>
        </w:tc>
        <w:tc>
          <w:tcPr>
            <w:tcW w:w="840" w:type="dxa"/>
            <w:vAlign w:val="bottom"/>
            <w:gridSpan w:val="3"/>
          </w:tcPr>
          <w:p>
            <w:pPr>
              <w:ind w:left="80"/>
              <w:spacing w:after="0"/>
              <w:rPr>
                <w:sz w:val="20"/>
                <w:szCs w:val="20"/>
                <w:color w:val="auto"/>
              </w:rPr>
            </w:pPr>
            <w:r>
              <w:rPr>
                <w:rFonts w:ascii="Arial" w:cs="Arial" w:eastAsia="Arial" w:hAnsi="Arial"/>
                <w:sz w:val="20"/>
                <w:szCs w:val="20"/>
                <w:b w:val="1"/>
                <w:bCs w:val="1"/>
                <w:color w:val="auto"/>
              </w:rPr>
              <w:t>Factor</w:t>
            </w:r>
          </w:p>
        </w:tc>
        <w:tc>
          <w:tcPr>
            <w:tcW w:w="120" w:type="dxa"/>
            <w:vAlign w:val="bottom"/>
          </w:tcPr>
          <w:p>
            <w:pPr>
              <w:spacing w:after="0"/>
              <w:rPr>
                <w:sz w:val="21"/>
                <w:szCs w:val="21"/>
                <w:color w:val="auto"/>
              </w:rPr>
            </w:pPr>
          </w:p>
        </w:tc>
        <w:tc>
          <w:tcPr>
            <w:tcW w:w="1600" w:type="dxa"/>
            <w:vAlign w:val="bottom"/>
            <w:gridSpan w:val="3"/>
          </w:tcPr>
          <w:p>
            <w:pPr>
              <w:jc w:val="center"/>
              <w:ind w:right="300"/>
              <w:spacing w:after="0"/>
              <w:rPr>
                <w:sz w:val="20"/>
                <w:szCs w:val="20"/>
                <w:color w:val="auto"/>
              </w:rPr>
            </w:pPr>
            <w:r>
              <w:rPr>
                <w:rFonts w:ascii="Arial" w:cs="Arial" w:eastAsia="Arial" w:hAnsi="Arial"/>
                <w:sz w:val="20"/>
                <w:szCs w:val="20"/>
                <w:b w:val="1"/>
                <w:bCs w:val="1"/>
                <w:color w:val="auto"/>
                <w:w w:val="88"/>
              </w:rPr>
              <w:t>Weighting</w:t>
            </w:r>
          </w:p>
        </w:tc>
        <w:tc>
          <w:tcPr>
            <w:tcW w:w="60" w:type="dxa"/>
            <w:vAlign w:val="bottom"/>
          </w:tcPr>
          <w:p>
            <w:pPr>
              <w:spacing w:after="0"/>
              <w:rPr>
                <w:sz w:val="21"/>
                <w:szCs w:val="21"/>
                <w:color w:val="auto"/>
              </w:rPr>
            </w:pPr>
          </w:p>
        </w:tc>
        <w:tc>
          <w:tcPr>
            <w:tcW w:w="1500" w:type="dxa"/>
            <w:vAlign w:val="bottom"/>
            <w:gridSpan w:val="3"/>
          </w:tcPr>
          <w:p>
            <w:pPr>
              <w:jc w:val="right"/>
              <w:ind w:right="500"/>
              <w:spacing w:after="0"/>
              <w:rPr>
                <w:sz w:val="20"/>
                <w:szCs w:val="20"/>
                <w:color w:val="auto"/>
              </w:rPr>
            </w:pPr>
            <w:r>
              <w:rPr>
                <w:rFonts w:ascii="Arial" w:cs="Arial" w:eastAsia="Arial" w:hAnsi="Arial"/>
                <w:sz w:val="20"/>
                <w:szCs w:val="20"/>
                <w:b w:val="1"/>
                <w:bCs w:val="1"/>
                <w:color w:val="auto"/>
              </w:rPr>
              <w:t>Weighting</w:t>
            </w:r>
          </w:p>
        </w:tc>
        <w:tc>
          <w:tcPr>
            <w:tcW w:w="146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88"/>
              </w:rPr>
              <w:t>Weighting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20"/>
                <w:szCs w:val="20"/>
                <w:color w:val="auto"/>
              </w:rPr>
              <w:t>Revenue</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100.00</w:t>
            </w:r>
          </w:p>
        </w:tc>
        <w:tc>
          <w:tcPr>
            <w:tcW w:w="100" w:type="dxa"/>
            <w:vAlign w:val="bottom"/>
            <w:shd w:val="clear" w:color="auto" w:fill="CCEEFF"/>
          </w:tcPr>
          <w:p>
            <w:pPr>
              <w:spacing w:after="0"/>
              <w:rPr>
                <w:sz w:val="21"/>
                <w:szCs w:val="21"/>
                <w:color w:val="auto"/>
              </w:rPr>
            </w:pP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102.00</w:t>
            </w:r>
          </w:p>
        </w:tc>
        <w:tc>
          <w:tcPr>
            <w:tcW w:w="100" w:type="dxa"/>
            <w:vAlign w:val="bottom"/>
            <w:shd w:val="clear" w:color="auto" w:fill="CCEEFF"/>
          </w:tcPr>
          <w:p>
            <w:pPr>
              <w:spacing w:after="0"/>
              <w:rPr>
                <w:sz w:val="21"/>
                <w:szCs w:val="21"/>
                <w:color w:val="auto"/>
              </w:rPr>
            </w:pPr>
          </w:p>
        </w:tc>
        <w:tc>
          <w:tcPr>
            <w:tcW w:w="166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20"/>
                <w:szCs w:val="20"/>
                <w:color w:val="auto"/>
              </w:rPr>
              <w:t>+2 %</w:t>
            </w:r>
          </w:p>
        </w:tc>
        <w:tc>
          <w:tcPr>
            <w:tcW w:w="60" w:type="dxa"/>
            <w:vAlign w:val="bottom"/>
            <w:shd w:val="clear" w:color="auto" w:fill="CCEEFF"/>
          </w:tcPr>
          <w:p>
            <w:pPr>
              <w:spacing w:after="0"/>
              <w:rPr>
                <w:sz w:val="21"/>
                <w:szCs w:val="21"/>
                <w:color w:val="auto"/>
              </w:rPr>
            </w:pPr>
          </w:p>
        </w:tc>
        <w:tc>
          <w:tcPr>
            <w:tcW w:w="7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20"/>
                <w:szCs w:val="20"/>
                <w:color w:val="auto"/>
              </w:rPr>
              <w:t>10</w:t>
            </w:r>
          </w:p>
        </w:tc>
        <w:tc>
          <w:tcPr>
            <w:tcW w:w="120" w:type="dxa"/>
            <w:vAlign w:val="bottom"/>
            <w:shd w:val="clear" w:color="auto" w:fill="CCEEFF"/>
          </w:tcPr>
          <w:p>
            <w:pPr>
              <w:spacing w:after="0"/>
              <w:rPr>
                <w:sz w:val="21"/>
                <w:szCs w:val="21"/>
                <w:color w:val="auto"/>
              </w:rPr>
            </w:pPr>
          </w:p>
        </w:tc>
        <w:tc>
          <w:tcPr>
            <w:tcW w:w="1720" w:type="dxa"/>
            <w:vAlign w:val="bottom"/>
            <w:gridSpan w:val="4"/>
            <w:vMerge w:val="restart"/>
            <w:shd w:val="clear" w:color="auto" w:fill="CCEEFF"/>
          </w:tcPr>
          <w:p>
            <w:pPr>
              <w:jc w:val="center"/>
              <w:ind w:left="921"/>
              <w:spacing w:after="0"/>
              <w:rPr>
                <w:sz w:val="20"/>
                <w:szCs w:val="20"/>
                <w:color w:val="auto"/>
              </w:rPr>
            </w:pPr>
            <w:r>
              <w:rPr>
                <w:rFonts w:ascii="Arial" w:cs="Arial" w:eastAsia="Arial" w:hAnsi="Arial"/>
                <w:sz w:val="20"/>
                <w:szCs w:val="20"/>
                <w:color w:val="auto"/>
                <w:w w:val="87"/>
              </w:rPr>
              <w:t>+20 %</w:t>
            </w:r>
          </w:p>
        </w:tc>
        <w:tc>
          <w:tcPr>
            <w:tcW w:w="156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35 %</w:t>
            </w:r>
          </w:p>
        </w:tc>
        <w:tc>
          <w:tcPr>
            <w:tcW w:w="1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20"/>
                <w:szCs w:val="20"/>
                <w:color w:val="auto"/>
              </w:rPr>
              <w:t>42 %</w:t>
            </w: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66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7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gridSpan w:val="4"/>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gridSpan w:val="3"/>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gridSpan w:val="4"/>
            <w:vMerge w:val="continue"/>
            <w:shd w:val="clear" w:color="auto" w:fill="CCEEFF"/>
          </w:tcPr>
          <w:p>
            <w:pPr>
              <w:spacing w:after="0"/>
              <w:rPr>
                <w:sz w:val="20"/>
                <w:szCs w:val="20"/>
                <w:color w:val="auto"/>
              </w:rPr>
            </w:pPr>
          </w:p>
        </w:tc>
        <w:tc>
          <w:tcPr>
            <w:tcW w:w="1560" w:type="dxa"/>
            <w:vAlign w:val="bottom"/>
            <w:gridSpan w:val="4"/>
            <w:vMerge w:val="continue"/>
            <w:shd w:val="clear" w:color="auto" w:fill="CCEEFF"/>
          </w:tcPr>
          <w:p>
            <w:pPr>
              <w:spacing w:after="0"/>
              <w:rPr>
                <w:sz w:val="20"/>
                <w:szCs w:val="20"/>
                <w:color w:val="auto"/>
              </w:rPr>
            </w:pPr>
          </w:p>
        </w:tc>
        <w:tc>
          <w:tcPr>
            <w:tcW w:w="14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560" w:type="dxa"/>
            <w:vAlign w:val="bottom"/>
          </w:tcPr>
          <w:p>
            <w:pPr>
              <w:spacing w:after="0"/>
              <w:rPr>
                <w:sz w:val="20"/>
                <w:szCs w:val="20"/>
                <w:color w:val="auto"/>
              </w:rPr>
            </w:pPr>
            <w:r>
              <w:rPr>
                <w:rFonts w:ascii="Arial" w:cs="Arial" w:eastAsia="Arial" w:hAnsi="Arial"/>
                <w:sz w:val="20"/>
                <w:szCs w:val="20"/>
                <w:color w:val="auto"/>
              </w:rPr>
              <w:t>Net Income</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660" w:type="dxa"/>
            <w:vAlign w:val="bottom"/>
            <w:gridSpan w:val="2"/>
            <w:vMerge w:val="restart"/>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1"/>
                <w:szCs w:val="21"/>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700" w:type="dxa"/>
            <w:vAlign w:val="bottom"/>
            <w:gridSpan w:val="2"/>
            <w:vMerge w:val="restart"/>
          </w:tcPr>
          <w:p>
            <w:pPr>
              <w:jc w:val="right"/>
              <w:spacing w:after="0"/>
              <w:rPr>
                <w:sz w:val="20"/>
                <w:szCs w:val="20"/>
                <w:color w:val="auto"/>
              </w:rPr>
            </w:pPr>
            <w:r>
              <w:rPr>
                <w:rFonts w:ascii="Arial" w:cs="Arial" w:eastAsia="Arial" w:hAnsi="Arial"/>
                <w:sz w:val="20"/>
                <w:szCs w:val="20"/>
                <w:color w:val="auto"/>
              </w:rPr>
              <w:t>10.20</w:t>
            </w:r>
          </w:p>
        </w:tc>
        <w:tc>
          <w:tcPr>
            <w:tcW w:w="100" w:type="dxa"/>
            <w:vAlign w:val="bottom"/>
          </w:tcPr>
          <w:p>
            <w:pPr>
              <w:spacing w:after="0"/>
              <w:rPr>
                <w:sz w:val="21"/>
                <w:szCs w:val="21"/>
                <w:color w:val="auto"/>
              </w:rPr>
            </w:pPr>
          </w:p>
        </w:tc>
        <w:tc>
          <w:tcPr>
            <w:tcW w:w="1660" w:type="dxa"/>
            <w:vAlign w:val="bottom"/>
            <w:gridSpan w:val="4"/>
            <w:vMerge w:val="restart"/>
          </w:tcPr>
          <w:p>
            <w:pPr>
              <w:jc w:val="right"/>
              <w:ind w:right="60"/>
              <w:spacing w:after="0"/>
              <w:rPr>
                <w:sz w:val="20"/>
                <w:szCs w:val="20"/>
                <w:color w:val="auto"/>
              </w:rPr>
            </w:pPr>
            <w:r>
              <w:rPr>
                <w:rFonts w:ascii="Arial" w:cs="Arial" w:eastAsia="Arial" w:hAnsi="Arial"/>
                <w:sz w:val="20"/>
                <w:szCs w:val="20"/>
                <w:color w:val="auto"/>
              </w:rPr>
              <w:t>+2 %</w:t>
            </w:r>
          </w:p>
        </w:tc>
        <w:tc>
          <w:tcPr>
            <w:tcW w:w="60" w:type="dxa"/>
            <w:vAlign w:val="bottom"/>
          </w:tcPr>
          <w:p>
            <w:pPr>
              <w:spacing w:after="0"/>
              <w:rPr>
                <w:sz w:val="21"/>
                <w:szCs w:val="21"/>
                <w:color w:val="auto"/>
              </w:rPr>
            </w:pPr>
          </w:p>
        </w:tc>
        <w:tc>
          <w:tcPr>
            <w:tcW w:w="780" w:type="dxa"/>
            <w:vAlign w:val="bottom"/>
            <w:gridSpan w:val="3"/>
            <w:vMerge w:val="restart"/>
          </w:tcPr>
          <w:p>
            <w:pPr>
              <w:jc w:val="right"/>
              <w:ind w:right="20"/>
              <w:spacing w:after="0"/>
              <w:rPr>
                <w:sz w:val="20"/>
                <w:szCs w:val="20"/>
                <w:color w:val="auto"/>
              </w:rPr>
            </w:pPr>
            <w:r>
              <w:rPr>
                <w:rFonts w:ascii="Arial" w:cs="Arial" w:eastAsia="Arial" w:hAnsi="Arial"/>
                <w:sz w:val="20"/>
                <w:szCs w:val="20"/>
                <w:color w:val="auto"/>
              </w:rPr>
              <w:t>10</w:t>
            </w:r>
          </w:p>
        </w:tc>
        <w:tc>
          <w:tcPr>
            <w:tcW w:w="120" w:type="dxa"/>
            <w:vAlign w:val="bottom"/>
          </w:tcPr>
          <w:p>
            <w:pPr>
              <w:spacing w:after="0"/>
              <w:rPr>
                <w:sz w:val="21"/>
                <w:szCs w:val="21"/>
                <w:color w:val="auto"/>
              </w:rPr>
            </w:pPr>
          </w:p>
        </w:tc>
        <w:tc>
          <w:tcPr>
            <w:tcW w:w="1720" w:type="dxa"/>
            <w:vAlign w:val="bottom"/>
            <w:gridSpan w:val="4"/>
            <w:vMerge w:val="restart"/>
          </w:tcPr>
          <w:p>
            <w:pPr>
              <w:jc w:val="center"/>
              <w:ind w:left="921"/>
              <w:spacing w:after="0"/>
              <w:rPr>
                <w:sz w:val="20"/>
                <w:szCs w:val="20"/>
                <w:color w:val="auto"/>
              </w:rPr>
            </w:pPr>
            <w:r>
              <w:rPr>
                <w:rFonts w:ascii="Arial" w:cs="Arial" w:eastAsia="Arial" w:hAnsi="Arial"/>
                <w:sz w:val="20"/>
                <w:szCs w:val="20"/>
                <w:color w:val="auto"/>
                <w:w w:val="87"/>
              </w:rPr>
              <w:t>+20 %</w:t>
            </w:r>
          </w:p>
        </w:tc>
        <w:tc>
          <w:tcPr>
            <w:tcW w:w="1560" w:type="dxa"/>
            <w:vAlign w:val="bottom"/>
            <w:gridSpan w:val="4"/>
            <w:vMerge w:val="restart"/>
          </w:tcPr>
          <w:p>
            <w:pPr>
              <w:jc w:val="right"/>
              <w:ind w:right="160"/>
              <w:spacing w:after="0"/>
              <w:rPr>
                <w:sz w:val="20"/>
                <w:szCs w:val="20"/>
                <w:color w:val="auto"/>
              </w:rPr>
            </w:pPr>
            <w:r>
              <w:rPr>
                <w:rFonts w:ascii="Arial" w:cs="Arial" w:eastAsia="Arial" w:hAnsi="Arial"/>
                <w:sz w:val="20"/>
                <w:szCs w:val="20"/>
                <w:color w:val="auto"/>
              </w:rPr>
              <w:t>65 %</w:t>
            </w:r>
          </w:p>
        </w:tc>
        <w:tc>
          <w:tcPr>
            <w:tcW w:w="1460" w:type="dxa"/>
            <w:vAlign w:val="bottom"/>
            <w:gridSpan w:val="2"/>
            <w:vMerge w:val="restart"/>
          </w:tcPr>
          <w:p>
            <w:pPr>
              <w:jc w:val="right"/>
              <w:ind w:right="140"/>
              <w:spacing w:after="0"/>
              <w:rPr>
                <w:sz w:val="20"/>
                <w:szCs w:val="20"/>
                <w:color w:val="auto"/>
              </w:rPr>
            </w:pPr>
            <w:r>
              <w:rPr>
                <w:rFonts w:ascii="Arial" w:cs="Arial" w:eastAsia="Arial" w:hAnsi="Arial"/>
                <w:sz w:val="20"/>
                <w:szCs w:val="20"/>
                <w:color w:val="auto"/>
              </w:rPr>
              <w:t>78 %</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4"/>
            <w:vMerge w:val="continue"/>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4"/>
            <w:vMerge w:val="continue"/>
          </w:tcPr>
          <w:p>
            <w:pPr>
              <w:spacing w:after="0"/>
              <w:rPr>
                <w:sz w:val="20"/>
                <w:szCs w:val="20"/>
                <w:color w:val="auto"/>
              </w:rPr>
            </w:pPr>
          </w:p>
        </w:tc>
        <w:tc>
          <w:tcPr>
            <w:tcW w:w="1560" w:type="dxa"/>
            <w:vAlign w:val="bottom"/>
            <w:gridSpan w:val="4"/>
            <w:vMerge w:val="continue"/>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20" w:type="dxa"/>
            <w:vAlign w:val="bottom"/>
            <w:shd w:val="clear" w:color="auto" w:fill="CCEEFF"/>
          </w:tcPr>
          <w:p>
            <w:pPr>
              <w:spacing w:after="0"/>
              <w:rPr>
                <w:sz w:val="24"/>
                <w:szCs w:val="24"/>
                <w:color w:val="auto"/>
              </w:rPr>
            </w:pPr>
          </w:p>
        </w:tc>
        <w:tc>
          <w:tcPr>
            <w:tcW w:w="5580" w:type="dxa"/>
            <w:vAlign w:val="bottom"/>
            <w:gridSpan w:val="18"/>
            <w:shd w:val="clear" w:color="auto" w:fill="CCEEFF"/>
          </w:tcPr>
          <w:p>
            <w:pPr>
              <w:spacing w:after="0"/>
              <w:rPr>
                <w:sz w:val="20"/>
                <w:szCs w:val="20"/>
                <w:color w:val="auto"/>
              </w:rPr>
            </w:pPr>
            <w:r>
              <w:rPr>
                <w:rFonts w:ascii="Arial" w:cs="Arial" w:eastAsia="Arial" w:hAnsi="Arial"/>
                <w:sz w:val="20"/>
                <w:szCs w:val="20"/>
                <w:b w:val="1"/>
                <w:bCs w:val="1"/>
                <w:color w:val="auto"/>
                <w:w w:val="89"/>
              </w:rPr>
              <w:t>Total percentage applied to individual target performance awards</w:t>
            </w: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b w:val="1"/>
                <w:bCs w:val="1"/>
                <w:color w:val="auto"/>
              </w:rPr>
              <w:t>120%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Example C — 90% Target Payout</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gridSpan w:val="3"/>
          </w:tcPr>
          <w:p>
            <w:pPr>
              <w:jc w:val="center"/>
              <w:ind w:right="400"/>
              <w:spacing w:after="0"/>
              <w:rPr>
                <w:sz w:val="20"/>
                <w:szCs w:val="20"/>
                <w:color w:val="auto"/>
              </w:rPr>
            </w:pPr>
            <w:r>
              <w:rPr>
                <w:rFonts w:ascii="Arial" w:cs="Arial" w:eastAsia="Arial" w:hAnsi="Arial"/>
                <w:sz w:val="20"/>
                <w:szCs w:val="20"/>
                <w:b w:val="1"/>
                <w:bCs w:val="1"/>
                <w:color w:val="auto"/>
                <w:w w:val="87"/>
              </w:rPr>
              <w:t>Percentage</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gridSpan w:val="3"/>
          </w:tcPr>
          <w:p>
            <w:pPr>
              <w:jc w:val="center"/>
              <w:ind w:right="380"/>
              <w:spacing w:after="0"/>
              <w:rPr>
                <w:sz w:val="20"/>
                <w:szCs w:val="20"/>
                <w:color w:val="auto"/>
              </w:rPr>
            </w:pPr>
            <w:r>
              <w:rPr>
                <w:rFonts w:ascii="Arial" w:cs="Arial" w:eastAsia="Arial" w:hAnsi="Arial"/>
                <w:sz w:val="20"/>
                <w:szCs w:val="20"/>
                <w:b w:val="1"/>
                <w:bCs w:val="1"/>
                <w:color w:val="auto"/>
                <w:w w:val="89"/>
              </w:rPr>
              <w:t>Difference</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gridSpan w:val="3"/>
          </w:tcPr>
          <w:p>
            <w:pPr>
              <w:jc w:val="center"/>
              <w:ind w:right="400"/>
              <w:spacing w:after="0"/>
              <w:rPr>
                <w:sz w:val="20"/>
                <w:szCs w:val="20"/>
                <w:color w:val="auto"/>
              </w:rPr>
            </w:pPr>
            <w:r>
              <w:rPr>
                <w:rFonts w:ascii="Arial" w:cs="Arial" w:eastAsia="Arial" w:hAnsi="Arial"/>
                <w:sz w:val="20"/>
                <w:szCs w:val="20"/>
                <w:b w:val="1"/>
                <w:bCs w:val="1"/>
                <w:color w:val="auto"/>
                <w:w w:val="87"/>
              </w:rPr>
              <w:t>between</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20" w:type="dxa"/>
            <w:vAlign w:val="bottom"/>
            <w:gridSpan w:val="3"/>
          </w:tcPr>
          <w:p>
            <w:pPr>
              <w:jc w:val="center"/>
              <w:ind w:right="380"/>
              <w:spacing w:after="0"/>
              <w:rPr>
                <w:sz w:val="20"/>
                <w:szCs w:val="20"/>
                <w:color w:val="auto"/>
              </w:rPr>
            </w:pPr>
            <w:r>
              <w:rPr>
                <w:rFonts w:ascii="Arial" w:cs="Arial" w:eastAsia="Arial" w:hAnsi="Arial"/>
                <w:sz w:val="20"/>
                <w:szCs w:val="20"/>
                <w:b w:val="1"/>
                <w:bCs w:val="1"/>
                <w:color w:val="auto"/>
                <w:w w:val="85"/>
              </w:rPr>
              <w:t>Percentage</w:t>
            </w: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80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Performance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gridSpan w:val="3"/>
          </w:tcPr>
          <w:p>
            <w:pPr>
              <w:jc w:val="center"/>
              <w:ind w:right="380"/>
              <w:spacing w:after="0"/>
              <w:rPr>
                <w:sz w:val="20"/>
                <w:szCs w:val="20"/>
                <w:color w:val="auto"/>
              </w:rPr>
            </w:pPr>
            <w:r>
              <w:rPr>
                <w:rFonts w:ascii="Arial" w:cs="Arial" w:eastAsia="Arial" w:hAnsi="Arial"/>
                <w:sz w:val="20"/>
                <w:szCs w:val="20"/>
                <w:b w:val="1"/>
                <w:bCs w:val="1"/>
                <w:color w:val="auto"/>
                <w:w w:val="91"/>
              </w:rPr>
              <w:t>Actual</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20" w:type="dxa"/>
            <w:vAlign w:val="bottom"/>
            <w:gridSpan w:val="3"/>
          </w:tcPr>
          <w:p>
            <w:pPr>
              <w:jc w:val="center"/>
              <w:ind w:right="380"/>
              <w:spacing w:after="0"/>
              <w:rPr>
                <w:sz w:val="20"/>
                <w:szCs w:val="20"/>
                <w:color w:val="auto"/>
              </w:rPr>
            </w:pPr>
            <w:r>
              <w:rPr>
                <w:rFonts w:ascii="Arial" w:cs="Arial" w:eastAsia="Arial" w:hAnsi="Arial"/>
                <w:sz w:val="20"/>
                <w:szCs w:val="20"/>
                <w:b w:val="1"/>
                <w:bCs w:val="1"/>
                <w:color w:val="auto"/>
                <w:w w:val="90"/>
              </w:rPr>
              <w:t>Adjustment</w:t>
            </w: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gridSpan w:val="3"/>
          </w:tcPr>
          <w:p>
            <w:pPr>
              <w:jc w:val="center"/>
              <w:ind w:right="380"/>
              <w:spacing w:after="0" w:line="203" w:lineRule="exact"/>
              <w:rPr>
                <w:sz w:val="20"/>
                <w:szCs w:val="20"/>
                <w:color w:val="auto"/>
              </w:rPr>
            </w:pPr>
            <w:r>
              <w:rPr>
                <w:rFonts w:ascii="Arial" w:cs="Arial" w:eastAsia="Arial" w:hAnsi="Arial"/>
                <w:sz w:val="20"/>
                <w:szCs w:val="20"/>
                <w:b w:val="1"/>
                <w:bCs w:val="1"/>
                <w:color w:val="auto"/>
                <w:w w:val="89"/>
              </w:rPr>
              <w:t>and</w:t>
            </w: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gridSpan w:val="3"/>
          </w:tcPr>
          <w:p>
            <w:pPr>
              <w:jc w:val="center"/>
              <w:ind w:right="380"/>
              <w:spacing w:after="0" w:line="203" w:lineRule="exact"/>
              <w:rPr>
                <w:sz w:val="20"/>
                <w:szCs w:val="20"/>
                <w:color w:val="auto"/>
              </w:rPr>
            </w:pPr>
            <w:r>
              <w:rPr>
                <w:rFonts w:ascii="Arial" w:cs="Arial" w:eastAsia="Arial" w:hAnsi="Arial"/>
                <w:sz w:val="20"/>
                <w:szCs w:val="20"/>
                <w:b w:val="1"/>
                <w:bCs w:val="1"/>
                <w:color w:val="auto"/>
                <w:w w:val="88"/>
              </w:rPr>
              <w:t>to Target</w:t>
            </w:r>
          </w:p>
        </w:tc>
        <w:tc>
          <w:tcPr>
            <w:tcW w:w="40" w:type="dxa"/>
            <w:vAlign w:val="bottom"/>
          </w:tcPr>
          <w:p>
            <w:pPr>
              <w:spacing w:after="0"/>
              <w:rPr>
                <w:sz w:val="17"/>
                <w:szCs w:val="17"/>
                <w:color w:val="auto"/>
              </w:rPr>
            </w:pPr>
          </w:p>
        </w:tc>
        <w:tc>
          <w:tcPr>
            <w:tcW w:w="1480" w:type="dxa"/>
            <w:vAlign w:val="bottom"/>
            <w:gridSpan w:val="3"/>
          </w:tcPr>
          <w:p>
            <w:pPr>
              <w:jc w:val="right"/>
              <w:ind w:right="660"/>
              <w:spacing w:after="0" w:line="203" w:lineRule="exact"/>
              <w:rPr>
                <w:sz w:val="20"/>
                <w:szCs w:val="20"/>
                <w:color w:val="auto"/>
              </w:rPr>
            </w:pPr>
            <w:r>
              <w:rPr>
                <w:rFonts w:ascii="Arial" w:cs="Arial" w:eastAsia="Arial" w:hAnsi="Arial"/>
                <w:sz w:val="20"/>
                <w:szCs w:val="20"/>
                <w:b w:val="1"/>
                <w:bCs w:val="1"/>
                <w:color w:val="auto"/>
              </w:rPr>
              <w:t>Target</w:t>
            </w:r>
          </w:p>
        </w:tc>
        <w:tc>
          <w:tcPr>
            <w:tcW w:w="20" w:type="dxa"/>
            <w:vAlign w:val="bottom"/>
          </w:tcPr>
          <w:p>
            <w:pPr>
              <w:spacing w:after="0"/>
              <w:rPr>
                <w:sz w:val="17"/>
                <w:szCs w:val="17"/>
                <w:color w:val="auto"/>
              </w:rPr>
            </w:pPr>
          </w:p>
        </w:tc>
        <w:tc>
          <w:tcPr>
            <w:tcW w:w="1460" w:type="dxa"/>
            <w:vAlign w:val="bottom"/>
            <w:gridSpan w:val="2"/>
          </w:tcPr>
          <w:p>
            <w:pPr>
              <w:jc w:val="center"/>
              <w:ind w:right="340"/>
              <w:spacing w:after="0" w:line="203" w:lineRule="exact"/>
              <w:rPr>
                <w:sz w:val="20"/>
                <w:szCs w:val="20"/>
                <w:color w:val="auto"/>
              </w:rPr>
            </w:pPr>
            <w:r>
              <w:rPr>
                <w:rFonts w:ascii="Arial" w:cs="Arial" w:eastAsia="Arial" w:hAnsi="Arial"/>
                <w:sz w:val="20"/>
                <w:szCs w:val="20"/>
                <w:b w:val="1"/>
                <w:bCs w:val="1"/>
                <w:color w:val="auto"/>
                <w:w w:val="91"/>
              </w:rPr>
              <w:t>Actual</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rPr>
              <w:t>Goals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20"/>
                <w:szCs w:val="20"/>
                <w:b w:val="1"/>
                <w:bCs w:val="1"/>
                <w:color w:val="auto"/>
                <w:w w:val="98"/>
              </w:rPr>
              <w:t>Budget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4"/>
          </w:tcPr>
          <w:p>
            <w:pPr>
              <w:ind w:left="80"/>
              <w:spacing w:after="0"/>
              <w:rPr>
                <w:sz w:val="20"/>
                <w:szCs w:val="20"/>
                <w:color w:val="auto"/>
              </w:rPr>
            </w:pPr>
            <w:r>
              <w:rPr>
                <w:rFonts w:ascii="Arial" w:cs="Arial" w:eastAsia="Arial" w:hAnsi="Arial"/>
                <w:sz w:val="20"/>
                <w:szCs w:val="20"/>
                <w:b w:val="1"/>
                <w:bCs w:val="1"/>
                <w:color w:val="auto"/>
              </w:rPr>
              <w:t>Actual</w:t>
            </w:r>
          </w:p>
        </w:tc>
        <w:tc>
          <w:tcPr>
            <w:tcW w:w="20" w:type="dxa"/>
            <w:vAlign w:val="bottom"/>
          </w:tcPr>
          <w:p>
            <w:pPr>
              <w:spacing w:after="0"/>
              <w:rPr>
                <w:sz w:val="21"/>
                <w:szCs w:val="21"/>
                <w:color w:val="auto"/>
              </w:rPr>
            </w:pPr>
          </w:p>
        </w:tc>
        <w:tc>
          <w:tcPr>
            <w:tcW w:w="1620" w:type="dxa"/>
            <w:vAlign w:val="bottom"/>
            <w:gridSpan w:val="3"/>
          </w:tcPr>
          <w:p>
            <w:pPr>
              <w:jc w:val="center"/>
              <w:ind w:right="380"/>
              <w:spacing w:after="0"/>
              <w:rPr>
                <w:sz w:val="20"/>
                <w:szCs w:val="20"/>
                <w:color w:val="auto"/>
              </w:rPr>
            </w:pPr>
            <w:r>
              <w:rPr>
                <w:rFonts w:ascii="Arial" w:cs="Arial" w:eastAsia="Arial" w:hAnsi="Arial"/>
                <w:sz w:val="20"/>
                <w:szCs w:val="20"/>
                <w:b w:val="1"/>
                <w:bCs w:val="1"/>
                <w:color w:val="auto"/>
                <w:w w:val="87"/>
              </w:rPr>
              <w:t>Budget</w:t>
            </w:r>
          </w:p>
        </w:tc>
        <w:tc>
          <w:tcPr>
            <w:tcW w:w="920" w:type="dxa"/>
            <w:vAlign w:val="bottom"/>
            <w:gridSpan w:val="3"/>
          </w:tcPr>
          <w:p>
            <w:pPr>
              <w:ind w:left="60"/>
              <w:spacing w:after="0"/>
              <w:rPr>
                <w:sz w:val="20"/>
                <w:szCs w:val="20"/>
                <w:color w:val="auto"/>
              </w:rPr>
            </w:pPr>
            <w:r>
              <w:rPr>
                <w:rFonts w:ascii="Arial" w:cs="Arial" w:eastAsia="Arial" w:hAnsi="Arial"/>
                <w:sz w:val="20"/>
                <w:szCs w:val="20"/>
                <w:b w:val="1"/>
                <w:bCs w:val="1"/>
                <w:color w:val="auto"/>
              </w:rPr>
              <w:t>Factor</w:t>
            </w:r>
          </w:p>
        </w:tc>
        <w:tc>
          <w:tcPr>
            <w:tcW w:w="40" w:type="dxa"/>
            <w:vAlign w:val="bottom"/>
          </w:tcPr>
          <w:p>
            <w:pPr>
              <w:spacing w:after="0"/>
              <w:rPr>
                <w:sz w:val="21"/>
                <w:szCs w:val="21"/>
                <w:color w:val="auto"/>
              </w:rPr>
            </w:pPr>
          </w:p>
        </w:tc>
        <w:tc>
          <w:tcPr>
            <w:tcW w:w="1620" w:type="dxa"/>
            <w:vAlign w:val="bottom"/>
            <w:gridSpan w:val="3"/>
          </w:tcPr>
          <w:p>
            <w:pPr>
              <w:jc w:val="center"/>
              <w:ind w:right="400"/>
              <w:spacing w:after="0"/>
              <w:rPr>
                <w:sz w:val="20"/>
                <w:szCs w:val="20"/>
                <w:color w:val="auto"/>
              </w:rPr>
            </w:pPr>
            <w:r>
              <w:rPr>
                <w:rFonts w:ascii="Arial" w:cs="Arial" w:eastAsia="Arial" w:hAnsi="Arial"/>
                <w:sz w:val="20"/>
                <w:szCs w:val="20"/>
                <w:b w:val="1"/>
                <w:bCs w:val="1"/>
                <w:color w:val="auto"/>
                <w:w w:val="88"/>
              </w:rPr>
              <w:t>Weighting</w:t>
            </w:r>
          </w:p>
        </w:tc>
        <w:tc>
          <w:tcPr>
            <w:tcW w:w="40" w:type="dxa"/>
            <w:vAlign w:val="bottom"/>
          </w:tcPr>
          <w:p>
            <w:pPr>
              <w:spacing w:after="0"/>
              <w:rPr>
                <w:sz w:val="21"/>
                <w:szCs w:val="21"/>
                <w:color w:val="auto"/>
              </w:rPr>
            </w:pPr>
          </w:p>
        </w:tc>
        <w:tc>
          <w:tcPr>
            <w:tcW w:w="1480" w:type="dxa"/>
            <w:vAlign w:val="bottom"/>
            <w:gridSpan w:val="3"/>
          </w:tcPr>
          <w:p>
            <w:pPr>
              <w:jc w:val="right"/>
              <w:ind w:right="500"/>
              <w:spacing w:after="0"/>
              <w:rPr>
                <w:sz w:val="20"/>
                <w:szCs w:val="20"/>
                <w:color w:val="auto"/>
              </w:rPr>
            </w:pPr>
            <w:r>
              <w:rPr>
                <w:rFonts w:ascii="Arial" w:cs="Arial" w:eastAsia="Arial" w:hAnsi="Arial"/>
                <w:sz w:val="20"/>
                <w:szCs w:val="20"/>
                <w:b w:val="1"/>
                <w:bCs w:val="1"/>
                <w:color w:val="auto"/>
                <w:w w:val="99"/>
              </w:rPr>
              <w:t>Weighting</w:t>
            </w:r>
          </w:p>
        </w:tc>
        <w:tc>
          <w:tcPr>
            <w:tcW w:w="20" w:type="dxa"/>
            <w:vAlign w:val="bottom"/>
          </w:tcPr>
          <w:p>
            <w:pPr>
              <w:spacing w:after="0"/>
              <w:rPr>
                <w:sz w:val="21"/>
                <w:szCs w:val="21"/>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20"/>
                <w:szCs w:val="20"/>
                <w:b w:val="1"/>
                <w:bCs w:val="1"/>
                <w:color w:val="auto"/>
                <w:w w:val="90"/>
              </w:rPr>
              <w:t>Weighting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Revenue</w:t>
            </w:r>
          </w:p>
        </w:tc>
        <w:tc>
          <w:tcPr>
            <w:tcW w:w="300" w:type="dxa"/>
            <w:vAlign w:val="bottom"/>
            <w:gridSpan w:val="3"/>
            <w:vMerge w:val="restart"/>
            <w:shd w:val="clear" w:color="auto" w:fill="CCEEFF"/>
          </w:tcPr>
          <w:p>
            <w:pPr>
              <w:ind w:left="180"/>
              <w:spacing w:after="0"/>
              <w:rPr>
                <w:sz w:val="20"/>
                <w:szCs w:val="20"/>
                <w:color w:val="auto"/>
              </w:rPr>
            </w:pPr>
            <w:r>
              <w:rPr>
                <w:rFonts w:ascii="Arial" w:cs="Arial" w:eastAsia="Arial" w:hAnsi="Arial"/>
                <w:sz w:val="20"/>
                <w:szCs w:val="20"/>
                <w:color w:val="auto"/>
                <w:w w:val="89"/>
              </w:rPr>
              <w:t>$</w:t>
            </w:r>
          </w:p>
        </w:tc>
        <w:tc>
          <w:tcPr>
            <w:tcW w:w="6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20"/>
                <w:szCs w:val="20"/>
                <w:color w:val="auto"/>
              </w:rPr>
              <w:t>100.00</w:t>
            </w:r>
          </w:p>
        </w:tc>
        <w:tc>
          <w:tcPr>
            <w:tcW w:w="400" w:type="dxa"/>
            <w:vAlign w:val="bottom"/>
            <w:gridSpan w:val="3"/>
            <w:vMerge w:val="restart"/>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98.00</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4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20"/>
                <w:szCs w:val="20"/>
                <w:color w:val="auto"/>
              </w:rPr>
              <w:t>-2 %</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60" w:type="dxa"/>
            <w:vAlign w:val="bottom"/>
            <w:gridSpan w:val="4"/>
            <w:vMerge w:val="restart"/>
            <w:shd w:val="clear" w:color="auto" w:fill="CCEEFF"/>
          </w:tcPr>
          <w:p>
            <w:pPr>
              <w:ind w:left="1040"/>
              <w:spacing w:after="0"/>
              <w:rPr>
                <w:sz w:val="20"/>
                <w:szCs w:val="20"/>
                <w:color w:val="auto"/>
              </w:rPr>
            </w:pPr>
            <w:r>
              <w:rPr>
                <w:rFonts w:ascii="Arial" w:cs="Arial" w:eastAsia="Arial" w:hAnsi="Arial"/>
                <w:sz w:val="20"/>
                <w:szCs w:val="20"/>
                <w:color w:val="auto"/>
              </w:rPr>
              <w:t>-10 %</w:t>
            </w:r>
          </w:p>
        </w:tc>
        <w:tc>
          <w:tcPr>
            <w:tcW w:w="152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20"/>
                <w:szCs w:val="20"/>
                <w:color w:val="auto"/>
              </w:rPr>
              <w:t>35 %</w:t>
            </w:r>
          </w:p>
        </w:tc>
        <w:tc>
          <w:tcPr>
            <w:tcW w:w="14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20"/>
                <w:szCs w:val="20"/>
                <w:color w:val="auto"/>
              </w:rPr>
              <w:t>31.5 %</w:t>
            </w: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gridSpan w:val="3"/>
            <w:vMerge w:val="continue"/>
            <w:shd w:val="clear" w:color="auto" w:fill="CCEEFF"/>
          </w:tcPr>
          <w:p>
            <w:pPr>
              <w:spacing w:after="0"/>
              <w:rPr>
                <w:sz w:val="20"/>
                <w:szCs w:val="20"/>
                <w:color w:val="auto"/>
              </w:rPr>
            </w:pPr>
          </w:p>
        </w:tc>
        <w:tc>
          <w:tcPr>
            <w:tcW w:w="680" w:type="dxa"/>
            <w:vAlign w:val="bottom"/>
            <w:gridSpan w:val="2"/>
            <w:vMerge w:val="continue"/>
            <w:shd w:val="clear" w:color="auto" w:fill="CCEEFF"/>
          </w:tcPr>
          <w:p>
            <w:pPr>
              <w:spacing w:after="0"/>
              <w:rPr>
                <w:sz w:val="20"/>
                <w:szCs w:val="20"/>
                <w:color w:val="auto"/>
              </w:rPr>
            </w:pPr>
          </w:p>
        </w:tc>
        <w:tc>
          <w:tcPr>
            <w:tcW w:w="400" w:type="dxa"/>
            <w:vAlign w:val="bottom"/>
            <w:gridSpan w:val="3"/>
            <w:vMerge w:val="continue"/>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40" w:type="dxa"/>
            <w:vAlign w:val="bottom"/>
            <w:gridSpan w:val="4"/>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gridSpan w:val="4"/>
            <w:vMerge w:val="continue"/>
            <w:shd w:val="clear" w:color="auto" w:fill="CCEEFF"/>
          </w:tcPr>
          <w:p>
            <w:pPr>
              <w:spacing w:after="0"/>
              <w:rPr>
                <w:sz w:val="20"/>
                <w:szCs w:val="20"/>
                <w:color w:val="auto"/>
              </w:rPr>
            </w:pPr>
          </w:p>
        </w:tc>
        <w:tc>
          <w:tcPr>
            <w:tcW w:w="1520" w:type="dxa"/>
            <w:vAlign w:val="bottom"/>
            <w:gridSpan w:val="4"/>
            <w:vMerge w:val="continue"/>
            <w:shd w:val="clear" w:color="auto" w:fill="CCEEFF"/>
          </w:tcPr>
          <w:p>
            <w:pPr>
              <w:spacing w:after="0"/>
              <w:rPr>
                <w:sz w:val="20"/>
                <w:szCs w:val="20"/>
                <w:color w:val="auto"/>
              </w:rPr>
            </w:pPr>
          </w:p>
        </w:tc>
        <w:tc>
          <w:tcPr>
            <w:tcW w:w="148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0" w:type="dxa"/>
            <w:vAlign w:val="bottom"/>
            <w:gridSpan w:val="2"/>
          </w:tcPr>
          <w:p>
            <w:pPr>
              <w:spacing w:after="0"/>
              <w:rPr>
                <w:sz w:val="20"/>
                <w:szCs w:val="20"/>
                <w:color w:val="auto"/>
              </w:rPr>
            </w:pPr>
            <w:r>
              <w:rPr>
                <w:rFonts w:ascii="Arial" w:cs="Arial" w:eastAsia="Arial" w:hAnsi="Arial"/>
                <w:sz w:val="20"/>
                <w:szCs w:val="20"/>
                <w:color w:val="auto"/>
              </w:rPr>
              <w:t>Net Income</w:t>
            </w:r>
          </w:p>
        </w:tc>
        <w:tc>
          <w:tcPr>
            <w:tcW w:w="300" w:type="dxa"/>
            <w:vAlign w:val="bottom"/>
            <w:gridSpan w:val="3"/>
            <w:vMerge w:val="restart"/>
          </w:tcPr>
          <w:p>
            <w:pPr>
              <w:ind w:left="180"/>
              <w:spacing w:after="0"/>
              <w:rPr>
                <w:sz w:val="20"/>
                <w:szCs w:val="20"/>
                <w:color w:val="auto"/>
              </w:rPr>
            </w:pPr>
            <w:r>
              <w:rPr>
                <w:rFonts w:ascii="Arial" w:cs="Arial" w:eastAsia="Arial" w:hAnsi="Arial"/>
                <w:sz w:val="20"/>
                <w:szCs w:val="20"/>
                <w:color w:val="auto"/>
                <w:w w:val="89"/>
              </w:rPr>
              <w:t>$</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20"/>
                <w:szCs w:val="20"/>
                <w:color w:val="auto"/>
              </w:rPr>
              <w:t>10.00</w:t>
            </w:r>
          </w:p>
        </w:tc>
        <w:tc>
          <w:tcPr>
            <w:tcW w:w="400" w:type="dxa"/>
            <w:vAlign w:val="bottom"/>
            <w:gridSpan w:val="3"/>
            <w:vMerge w:val="restart"/>
          </w:tcPr>
          <w:p>
            <w:pPr>
              <w:ind w:left="260"/>
              <w:spacing w:after="0"/>
              <w:rPr>
                <w:sz w:val="20"/>
                <w:szCs w:val="20"/>
                <w:color w:val="auto"/>
              </w:rPr>
            </w:pPr>
            <w:r>
              <w:rPr>
                <w:rFonts w:ascii="Arial" w:cs="Arial" w:eastAsia="Arial" w:hAnsi="Arial"/>
                <w:sz w:val="20"/>
                <w:szCs w:val="20"/>
                <w:color w:val="auto"/>
              </w:rPr>
              <w:t>$</w:t>
            </w:r>
          </w:p>
        </w:tc>
        <w:tc>
          <w:tcPr>
            <w:tcW w:w="560" w:type="dxa"/>
            <w:vAlign w:val="bottom"/>
            <w:vMerge w:val="restart"/>
          </w:tcPr>
          <w:p>
            <w:pPr>
              <w:jc w:val="right"/>
              <w:spacing w:after="0"/>
              <w:rPr>
                <w:sz w:val="20"/>
                <w:szCs w:val="20"/>
                <w:color w:val="auto"/>
              </w:rPr>
            </w:pPr>
            <w:r>
              <w:rPr>
                <w:rFonts w:ascii="Arial" w:cs="Arial" w:eastAsia="Arial" w:hAnsi="Arial"/>
                <w:sz w:val="20"/>
                <w:szCs w:val="20"/>
                <w:color w:val="auto"/>
              </w:rPr>
              <w:t>9.80</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gridSpan w:val="4"/>
            <w:vMerge w:val="restart"/>
          </w:tcPr>
          <w:p>
            <w:pPr>
              <w:jc w:val="right"/>
              <w:ind w:right="200"/>
              <w:spacing w:after="0"/>
              <w:rPr>
                <w:sz w:val="20"/>
                <w:szCs w:val="20"/>
                <w:color w:val="auto"/>
              </w:rPr>
            </w:pPr>
            <w:r>
              <w:rPr>
                <w:rFonts w:ascii="Arial" w:cs="Arial" w:eastAsia="Arial" w:hAnsi="Arial"/>
                <w:sz w:val="20"/>
                <w:szCs w:val="20"/>
                <w:color w:val="auto"/>
              </w:rPr>
              <w:t>-2 %</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5</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4"/>
            <w:vMerge w:val="restart"/>
          </w:tcPr>
          <w:p>
            <w:pPr>
              <w:ind w:left="1040"/>
              <w:spacing w:after="0"/>
              <w:rPr>
                <w:sz w:val="20"/>
                <w:szCs w:val="20"/>
                <w:color w:val="auto"/>
              </w:rPr>
            </w:pPr>
            <w:r>
              <w:rPr>
                <w:rFonts w:ascii="Arial" w:cs="Arial" w:eastAsia="Arial" w:hAnsi="Arial"/>
                <w:sz w:val="20"/>
                <w:szCs w:val="20"/>
                <w:color w:val="auto"/>
              </w:rPr>
              <w:t>-10 %</w:t>
            </w:r>
          </w:p>
        </w:tc>
        <w:tc>
          <w:tcPr>
            <w:tcW w:w="1520" w:type="dxa"/>
            <w:vAlign w:val="bottom"/>
            <w:gridSpan w:val="4"/>
            <w:vMerge w:val="restart"/>
          </w:tcPr>
          <w:p>
            <w:pPr>
              <w:jc w:val="right"/>
              <w:ind w:right="180"/>
              <w:spacing w:after="0"/>
              <w:rPr>
                <w:sz w:val="20"/>
                <w:szCs w:val="20"/>
                <w:color w:val="auto"/>
              </w:rPr>
            </w:pPr>
            <w:r>
              <w:rPr>
                <w:rFonts w:ascii="Arial" w:cs="Arial" w:eastAsia="Arial" w:hAnsi="Arial"/>
                <w:sz w:val="20"/>
                <w:szCs w:val="20"/>
                <w:color w:val="auto"/>
              </w:rPr>
              <w:t>65 %</w:t>
            </w:r>
          </w:p>
        </w:tc>
        <w:tc>
          <w:tcPr>
            <w:tcW w:w="1480" w:type="dxa"/>
            <w:vAlign w:val="bottom"/>
            <w:gridSpan w:val="3"/>
            <w:vMerge w:val="restart"/>
          </w:tcPr>
          <w:p>
            <w:pPr>
              <w:jc w:val="right"/>
              <w:ind w:right="140"/>
              <w:spacing w:after="0"/>
              <w:rPr>
                <w:sz w:val="20"/>
                <w:szCs w:val="20"/>
                <w:color w:val="auto"/>
              </w:rPr>
            </w:pPr>
            <w:r>
              <w:rPr>
                <w:rFonts w:ascii="Arial" w:cs="Arial" w:eastAsia="Arial" w:hAnsi="Arial"/>
                <w:sz w:val="20"/>
                <w:szCs w:val="20"/>
                <w:color w:val="auto"/>
              </w:rPr>
              <w:t>58.5 %</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gridSpan w:val="3"/>
            <w:vMerge w:val="continue"/>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400" w:type="dxa"/>
            <w:vAlign w:val="bottom"/>
            <w:gridSpan w:val="3"/>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4"/>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4"/>
            <w:vMerge w:val="continue"/>
          </w:tcPr>
          <w:p>
            <w:pPr>
              <w:spacing w:after="0"/>
              <w:rPr>
                <w:sz w:val="20"/>
                <w:szCs w:val="20"/>
                <w:color w:val="auto"/>
              </w:rPr>
            </w:pPr>
          </w:p>
        </w:tc>
        <w:tc>
          <w:tcPr>
            <w:tcW w:w="1520" w:type="dxa"/>
            <w:vAlign w:val="bottom"/>
            <w:gridSpan w:val="4"/>
            <w:vMerge w:val="continue"/>
          </w:tcPr>
          <w:p>
            <w:pPr>
              <w:spacing w:after="0"/>
              <w:rPr>
                <w:sz w:val="20"/>
                <w:szCs w:val="20"/>
                <w:color w:val="auto"/>
              </w:rPr>
            </w:pPr>
          </w:p>
        </w:tc>
        <w:tc>
          <w:tcPr>
            <w:tcW w:w="14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20" w:type="dxa"/>
            <w:vAlign w:val="bottom"/>
            <w:shd w:val="clear" w:color="auto" w:fill="CCEEFF"/>
          </w:tcPr>
          <w:p>
            <w:pPr>
              <w:spacing w:after="0"/>
              <w:rPr>
                <w:sz w:val="24"/>
                <w:szCs w:val="24"/>
                <w:color w:val="auto"/>
              </w:rPr>
            </w:pPr>
          </w:p>
        </w:tc>
        <w:tc>
          <w:tcPr>
            <w:tcW w:w="5640" w:type="dxa"/>
            <w:vAlign w:val="bottom"/>
            <w:gridSpan w:val="17"/>
            <w:shd w:val="clear" w:color="auto" w:fill="CCEEFF"/>
          </w:tcPr>
          <w:p>
            <w:pPr>
              <w:spacing w:after="0"/>
              <w:rPr>
                <w:sz w:val="20"/>
                <w:szCs w:val="20"/>
                <w:color w:val="auto"/>
              </w:rPr>
            </w:pPr>
            <w:r>
              <w:rPr>
                <w:rFonts w:ascii="Arial" w:cs="Arial" w:eastAsia="Arial" w:hAnsi="Arial"/>
                <w:sz w:val="20"/>
                <w:szCs w:val="20"/>
                <w:b w:val="1"/>
                <w:bCs w:val="1"/>
                <w:color w:val="auto"/>
                <w:w w:val="90"/>
              </w:rPr>
              <w:t>Total percentage applied to individual target performance awards</w:t>
            </w: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20"/>
                <w:szCs w:val="20"/>
                <w:b w:val="1"/>
                <w:bCs w:val="1"/>
                <w:color w:val="auto"/>
              </w:rPr>
              <w:t>90%</w:t>
            </w:r>
          </w:p>
        </w:tc>
        <w:tc>
          <w:tcPr>
            <w:tcW w:w="0" w:type="dxa"/>
            <w:vAlign w:val="bottom"/>
          </w:tcPr>
          <w:p>
            <w:pPr>
              <w:spacing w:after="0"/>
              <w:rPr>
                <w:sz w:val="1"/>
                <w:szCs w:val="1"/>
                <w:color w:val="auto"/>
              </w:rPr>
            </w:pPr>
          </w:p>
        </w:tc>
      </w:tr>
      <w:tr>
        <w:trPr>
          <w:trHeight w:val="557"/>
        </w:trPr>
        <w:tc>
          <w:tcPr>
            <w:tcW w:w="3200" w:type="dxa"/>
            <w:vAlign w:val="bottom"/>
            <w:gridSpan w:val="11"/>
          </w:tcPr>
          <w:p>
            <w:pPr>
              <w:spacing w:after="0"/>
              <w:rPr>
                <w:sz w:val="20"/>
                <w:szCs w:val="20"/>
                <w:color w:val="auto"/>
              </w:rPr>
            </w:pPr>
            <w:r>
              <w:rPr>
                <w:rFonts w:ascii="Arial" w:cs="Arial" w:eastAsia="Arial" w:hAnsi="Arial"/>
                <w:sz w:val="20"/>
                <w:szCs w:val="20"/>
                <w:b w:val="1"/>
                <w:bCs w:val="1"/>
                <w:color w:val="auto"/>
                <w:w w:val="93"/>
              </w:rPr>
              <w:t>Example D — 100.5% Target Payout</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1"/>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3"/>
          </w:tcPr>
          <w:p>
            <w:pPr>
              <w:jc w:val="center"/>
              <w:ind w:right="360"/>
              <w:spacing w:after="0"/>
              <w:rPr>
                <w:sz w:val="20"/>
                <w:szCs w:val="20"/>
                <w:color w:val="auto"/>
              </w:rPr>
            </w:pPr>
            <w:r>
              <w:rPr>
                <w:rFonts w:ascii="Arial" w:cs="Arial" w:eastAsia="Arial" w:hAnsi="Arial"/>
                <w:sz w:val="20"/>
                <w:szCs w:val="20"/>
                <w:b w:val="1"/>
                <w:bCs w:val="1"/>
                <w:color w:val="auto"/>
                <w:w w:val="87"/>
              </w:rPr>
              <w:t>Percentage</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gridSpan w:val="3"/>
          </w:tcPr>
          <w:p>
            <w:pPr>
              <w:jc w:val="center"/>
              <w:ind w:right="380"/>
              <w:spacing w:after="0"/>
              <w:rPr>
                <w:sz w:val="20"/>
                <w:szCs w:val="20"/>
                <w:color w:val="auto"/>
              </w:rPr>
            </w:pPr>
            <w:r>
              <w:rPr>
                <w:rFonts w:ascii="Arial" w:cs="Arial" w:eastAsia="Arial" w:hAnsi="Arial"/>
                <w:sz w:val="20"/>
                <w:szCs w:val="20"/>
                <w:b w:val="1"/>
                <w:bCs w:val="1"/>
                <w:color w:val="auto"/>
                <w:w w:val="89"/>
              </w:rPr>
              <w:t>Difference</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gridSpan w:val="3"/>
          </w:tcPr>
          <w:p>
            <w:pPr>
              <w:jc w:val="center"/>
              <w:ind w:right="360"/>
              <w:spacing w:after="0"/>
              <w:rPr>
                <w:sz w:val="20"/>
                <w:szCs w:val="20"/>
                <w:color w:val="auto"/>
              </w:rPr>
            </w:pPr>
            <w:r>
              <w:rPr>
                <w:rFonts w:ascii="Arial" w:cs="Arial" w:eastAsia="Arial" w:hAnsi="Arial"/>
                <w:sz w:val="20"/>
                <w:szCs w:val="20"/>
                <w:b w:val="1"/>
                <w:bCs w:val="1"/>
                <w:color w:val="auto"/>
                <w:w w:val="87"/>
              </w:rPr>
              <w:t>between</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20" w:type="dxa"/>
            <w:vAlign w:val="bottom"/>
            <w:gridSpan w:val="3"/>
          </w:tcPr>
          <w:p>
            <w:pPr>
              <w:jc w:val="center"/>
              <w:ind w:right="300"/>
              <w:spacing w:after="0"/>
              <w:rPr>
                <w:sz w:val="20"/>
                <w:szCs w:val="20"/>
                <w:color w:val="auto"/>
              </w:rPr>
            </w:pPr>
            <w:r>
              <w:rPr>
                <w:rFonts w:ascii="Arial" w:cs="Arial" w:eastAsia="Arial" w:hAnsi="Arial"/>
                <w:sz w:val="20"/>
                <w:szCs w:val="20"/>
                <w:b w:val="1"/>
                <w:bCs w:val="1"/>
                <w:color w:val="auto"/>
                <w:w w:val="85"/>
              </w:rPr>
              <w:t>Percentage</w:t>
            </w: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80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Performance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gridSpan w:val="3"/>
          </w:tcPr>
          <w:p>
            <w:pPr>
              <w:jc w:val="center"/>
              <w:ind w:right="380"/>
              <w:spacing w:after="0"/>
              <w:rPr>
                <w:sz w:val="20"/>
                <w:szCs w:val="20"/>
                <w:color w:val="auto"/>
              </w:rPr>
            </w:pPr>
            <w:r>
              <w:rPr>
                <w:rFonts w:ascii="Arial" w:cs="Arial" w:eastAsia="Arial" w:hAnsi="Arial"/>
                <w:sz w:val="20"/>
                <w:szCs w:val="20"/>
                <w:b w:val="1"/>
                <w:bCs w:val="1"/>
                <w:color w:val="auto"/>
                <w:w w:val="91"/>
              </w:rPr>
              <w:t>Actual</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20" w:type="dxa"/>
            <w:vAlign w:val="bottom"/>
            <w:gridSpan w:val="3"/>
          </w:tcPr>
          <w:p>
            <w:pPr>
              <w:jc w:val="center"/>
              <w:ind w:right="300"/>
              <w:spacing w:after="0"/>
              <w:rPr>
                <w:sz w:val="20"/>
                <w:szCs w:val="20"/>
                <w:color w:val="auto"/>
              </w:rPr>
            </w:pPr>
            <w:r>
              <w:rPr>
                <w:rFonts w:ascii="Arial" w:cs="Arial" w:eastAsia="Arial" w:hAnsi="Arial"/>
                <w:sz w:val="20"/>
                <w:szCs w:val="20"/>
                <w:b w:val="1"/>
                <w:bCs w:val="1"/>
                <w:color w:val="auto"/>
                <w:w w:val="90"/>
              </w:rPr>
              <w:t>Adjustment</w:t>
            </w: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gridSpan w:val="3"/>
          </w:tcPr>
          <w:p>
            <w:pPr>
              <w:jc w:val="center"/>
              <w:ind w:right="380"/>
              <w:spacing w:after="0" w:line="203" w:lineRule="exact"/>
              <w:rPr>
                <w:sz w:val="20"/>
                <w:szCs w:val="20"/>
                <w:color w:val="auto"/>
              </w:rPr>
            </w:pPr>
            <w:r>
              <w:rPr>
                <w:rFonts w:ascii="Arial" w:cs="Arial" w:eastAsia="Arial" w:hAnsi="Arial"/>
                <w:sz w:val="20"/>
                <w:szCs w:val="20"/>
                <w:b w:val="1"/>
                <w:bCs w:val="1"/>
                <w:color w:val="auto"/>
                <w:w w:val="89"/>
              </w:rPr>
              <w:t>and</w:t>
            </w: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gridSpan w:val="3"/>
          </w:tcPr>
          <w:p>
            <w:pPr>
              <w:jc w:val="center"/>
              <w:ind w:right="300"/>
              <w:spacing w:after="0" w:line="203" w:lineRule="exact"/>
              <w:rPr>
                <w:sz w:val="20"/>
                <w:szCs w:val="20"/>
                <w:color w:val="auto"/>
              </w:rPr>
            </w:pPr>
            <w:r>
              <w:rPr>
                <w:rFonts w:ascii="Arial" w:cs="Arial" w:eastAsia="Arial" w:hAnsi="Arial"/>
                <w:sz w:val="20"/>
                <w:szCs w:val="20"/>
                <w:b w:val="1"/>
                <w:bCs w:val="1"/>
                <w:color w:val="auto"/>
                <w:w w:val="88"/>
              </w:rPr>
              <w:t>to Target</w:t>
            </w:r>
          </w:p>
        </w:tc>
        <w:tc>
          <w:tcPr>
            <w:tcW w:w="40" w:type="dxa"/>
            <w:vAlign w:val="bottom"/>
          </w:tcPr>
          <w:p>
            <w:pPr>
              <w:spacing w:after="0"/>
              <w:rPr>
                <w:sz w:val="17"/>
                <w:szCs w:val="17"/>
                <w:color w:val="auto"/>
              </w:rPr>
            </w:pPr>
          </w:p>
        </w:tc>
        <w:tc>
          <w:tcPr>
            <w:tcW w:w="1480" w:type="dxa"/>
            <w:vAlign w:val="bottom"/>
            <w:gridSpan w:val="3"/>
          </w:tcPr>
          <w:p>
            <w:pPr>
              <w:jc w:val="right"/>
              <w:ind w:right="640"/>
              <w:spacing w:after="0" w:line="203" w:lineRule="exact"/>
              <w:rPr>
                <w:sz w:val="20"/>
                <w:szCs w:val="20"/>
                <w:color w:val="auto"/>
              </w:rPr>
            </w:pPr>
            <w:r>
              <w:rPr>
                <w:rFonts w:ascii="Arial" w:cs="Arial" w:eastAsia="Arial" w:hAnsi="Arial"/>
                <w:sz w:val="20"/>
                <w:szCs w:val="20"/>
                <w:b w:val="1"/>
                <w:bCs w:val="1"/>
                <w:color w:val="auto"/>
              </w:rPr>
              <w:t>Target</w:t>
            </w:r>
          </w:p>
        </w:tc>
        <w:tc>
          <w:tcPr>
            <w:tcW w:w="20" w:type="dxa"/>
            <w:vAlign w:val="bottom"/>
          </w:tcPr>
          <w:p>
            <w:pPr>
              <w:spacing w:after="0"/>
              <w:rPr>
                <w:sz w:val="17"/>
                <w:szCs w:val="17"/>
                <w:color w:val="auto"/>
              </w:rPr>
            </w:pPr>
          </w:p>
        </w:tc>
        <w:tc>
          <w:tcPr>
            <w:tcW w:w="1460" w:type="dxa"/>
            <w:vAlign w:val="bottom"/>
            <w:gridSpan w:val="2"/>
          </w:tcPr>
          <w:p>
            <w:pPr>
              <w:jc w:val="center"/>
              <w:ind w:right="300"/>
              <w:spacing w:after="0" w:line="203" w:lineRule="exact"/>
              <w:rPr>
                <w:sz w:val="20"/>
                <w:szCs w:val="20"/>
                <w:color w:val="auto"/>
              </w:rPr>
            </w:pPr>
            <w:r>
              <w:rPr>
                <w:rFonts w:ascii="Arial" w:cs="Arial" w:eastAsia="Arial" w:hAnsi="Arial"/>
                <w:sz w:val="20"/>
                <w:szCs w:val="20"/>
                <w:b w:val="1"/>
                <w:bCs w:val="1"/>
                <w:color w:val="auto"/>
                <w:w w:val="91"/>
              </w:rPr>
              <w:t>Actual</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Goals</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3"/>
          </w:tcPr>
          <w:p>
            <w:pPr>
              <w:ind w:left="20"/>
              <w:spacing w:after="0"/>
              <w:rPr>
                <w:sz w:val="20"/>
                <w:szCs w:val="20"/>
                <w:color w:val="auto"/>
              </w:rPr>
            </w:pPr>
            <w:r>
              <w:rPr>
                <w:rFonts w:ascii="Arial" w:cs="Arial" w:eastAsia="Arial" w:hAnsi="Arial"/>
                <w:sz w:val="20"/>
                <w:szCs w:val="20"/>
                <w:b w:val="1"/>
                <w:bCs w:val="1"/>
                <w:color w:val="auto"/>
              </w:rPr>
              <w:t>Budget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4"/>
          </w:tcPr>
          <w:p>
            <w:pPr>
              <w:ind w:left="40"/>
              <w:spacing w:after="0"/>
              <w:rPr>
                <w:sz w:val="20"/>
                <w:szCs w:val="20"/>
                <w:color w:val="auto"/>
              </w:rPr>
            </w:pPr>
            <w:r>
              <w:rPr>
                <w:rFonts w:ascii="Arial" w:cs="Arial" w:eastAsia="Arial" w:hAnsi="Arial"/>
                <w:sz w:val="20"/>
                <w:szCs w:val="20"/>
                <w:b w:val="1"/>
                <w:bCs w:val="1"/>
                <w:color w:val="auto"/>
              </w:rPr>
              <w:t>Actual</w:t>
            </w:r>
          </w:p>
        </w:tc>
        <w:tc>
          <w:tcPr>
            <w:tcW w:w="20" w:type="dxa"/>
            <w:vAlign w:val="bottom"/>
          </w:tcPr>
          <w:p>
            <w:pPr>
              <w:spacing w:after="0"/>
              <w:rPr>
                <w:sz w:val="21"/>
                <w:szCs w:val="21"/>
                <w:color w:val="auto"/>
              </w:rPr>
            </w:pPr>
          </w:p>
        </w:tc>
        <w:tc>
          <w:tcPr>
            <w:tcW w:w="1620" w:type="dxa"/>
            <w:vAlign w:val="bottom"/>
            <w:gridSpan w:val="3"/>
          </w:tcPr>
          <w:p>
            <w:pPr>
              <w:jc w:val="center"/>
              <w:ind w:right="380"/>
              <w:spacing w:after="0"/>
              <w:rPr>
                <w:sz w:val="20"/>
                <w:szCs w:val="20"/>
                <w:color w:val="auto"/>
              </w:rPr>
            </w:pPr>
            <w:r>
              <w:rPr>
                <w:rFonts w:ascii="Arial" w:cs="Arial" w:eastAsia="Arial" w:hAnsi="Arial"/>
                <w:sz w:val="20"/>
                <w:szCs w:val="20"/>
                <w:b w:val="1"/>
                <w:bCs w:val="1"/>
                <w:color w:val="auto"/>
                <w:w w:val="87"/>
              </w:rPr>
              <w:t>Budget</w:t>
            </w:r>
          </w:p>
        </w:tc>
        <w:tc>
          <w:tcPr>
            <w:tcW w:w="920" w:type="dxa"/>
            <w:vAlign w:val="bottom"/>
            <w:gridSpan w:val="3"/>
          </w:tcPr>
          <w:p>
            <w:pPr>
              <w:ind w:left="80"/>
              <w:spacing w:after="0"/>
              <w:rPr>
                <w:sz w:val="20"/>
                <w:szCs w:val="20"/>
                <w:color w:val="auto"/>
              </w:rPr>
            </w:pPr>
            <w:r>
              <w:rPr>
                <w:rFonts w:ascii="Arial" w:cs="Arial" w:eastAsia="Arial" w:hAnsi="Arial"/>
                <w:sz w:val="20"/>
                <w:szCs w:val="20"/>
                <w:b w:val="1"/>
                <w:bCs w:val="1"/>
                <w:color w:val="auto"/>
              </w:rPr>
              <w:t>Factor</w:t>
            </w:r>
          </w:p>
        </w:tc>
        <w:tc>
          <w:tcPr>
            <w:tcW w:w="40" w:type="dxa"/>
            <w:vAlign w:val="bottom"/>
          </w:tcPr>
          <w:p>
            <w:pPr>
              <w:spacing w:after="0"/>
              <w:rPr>
                <w:sz w:val="21"/>
                <w:szCs w:val="21"/>
                <w:color w:val="auto"/>
              </w:rPr>
            </w:pPr>
          </w:p>
        </w:tc>
        <w:tc>
          <w:tcPr>
            <w:tcW w:w="1620" w:type="dxa"/>
            <w:vAlign w:val="bottom"/>
            <w:gridSpan w:val="3"/>
          </w:tcPr>
          <w:p>
            <w:pPr>
              <w:jc w:val="center"/>
              <w:ind w:right="320"/>
              <w:spacing w:after="0"/>
              <w:rPr>
                <w:sz w:val="20"/>
                <w:szCs w:val="20"/>
                <w:color w:val="auto"/>
              </w:rPr>
            </w:pPr>
            <w:r>
              <w:rPr>
                <w:rFonts w:ascii="Arial" w:cs="Arial" w:eastAsia="Arial" w:hAnsi="Arial"/>
                <w:sz w:val="20"/>
                <w:szCs w:val="20"/>
                <w:b w:val="1"/>
                <w:bCs w:val="1"/>
                <w:color w:val="auto"/>
                <w:w w:val="88"/>
              </w:rPr>
              <w:t>Weighting</w:t>
            </w:r>
          </w:p>
        </w:tc>
        <w:tc>
          <w:tcPr>
            <w:tcW w:w="40" w:type="dxa"/>
            <w:vAlign w:val="bottom"/>
          </w:tcPr>
          <w:p>
            <w:pPr>
              <w:spacing w:after="0"/>
              <w:rPr>
                <w:sz w:val="21"/>
                <w:szCs w:val="21"/>
                <w:color w:val="auto"/>
              </w:rPr>
            </w:pPr>
          </w:p>
        </w:tc>
        <w:tc>
          <w:tcPr>
            <w:tcW w:w="1480" w:type="dxa"/>
            <w:vAlign w:val="bottom"/>
            <w:gridSpan w:val="3"/>
          </w:tcPr>
          <w:p>
            <w:pPr>
              <w:jc w:val="right"/>
              <w:ind w:right="480"/>
              <w:spacing w:after="0"/>
              <w:rPr>
                <w:sz w:val="20"/>
                <w:szCs w:val="20"/>
                <w:color w:val="auto"/>
              </w:rPr>
            </w:pPr>
            <w:r>
              <w:rPr>
                <w:rFonts w:ascii="Arial" w:cs="Arial" w:eastAsia="Arial" w:hAnsi="Arial"/>
                <w:sz w:val="20"/>
                <w:szCs w:val="20"/>
                <w:b w:val="1"/>
                <w:bCs w:val="1"/>
                <w:color w:val="auto"/>
              </w:rPr>
              <w:t>Weighting</w:t>
            </w:r>
          </w:p>
        </w:tc>
        <w:tc>
          <w:tcPr>
            <w:tcW w:w="20" w:type="dxa"/>
            <w:vAlign w:val="bottom"/>
          </w:tcPr>
          <w:p>
            <w:pPr>
              <w:spacing w:after="0"/>
              <w:rPr>
                <w:sz w:val="21"/>
                <w:szCs w:val="21"/>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88"/>
              </w:rPr>
              <w:t>Weighting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Revenue</w:t>
            </w:r>
          </w:p>
        </w:tc>
        <w:tc>
          <w:tcPr>
            <w:tcW w:w="300" w:type="dxa"/>
            <w:vAlign w:val="bottom"/>
            <w:gridSpan w:val="3"/>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91"/>
              </w:rPr>
              <w:t>100.00</w:t>
            </w:r>
          </w:p>
        </w:tc>
        <w:tc>
          <w:tcPr>
            <w:tcW w:w="100" w:type="dxa"/>
            <w:vAlign w:val="bottom"/>
            <w:shd w:val="clear" w:color="auto" w:fill="CCEEFF"/>
          </w:tcPr>
          <w:p>
            <w:pPr>
              <w:spacing w:after="0"/>
              <w:rPr>
                <w:sz w:val="21"/>
                <w:szCs w:val="21"/>
                <w:color w:val="auto"/>
              </w:rPr>
            </w:pPr>
          </w:p>
        </w:tc>
        <w:tc>
          <w:tcPr>
            <w:tcW w:w="400" w:type="dxa"/>
            <w:vAlign w:val="bottom"/>
            <w:gridSpan w:val="3"/>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w w:val="91"/>
              </w:rPr>
              <w:t>102.00</w:t>
            </w:r>
          </w:p>
        </w:tc>
        <w:tc>
          <w:tcPr>
            <w:tcW w:w="240" w:type="dxa"/>
            <w:vAlign w:val="bottom"/>
            <w:shd w:val="clear" w:color="auto" w:fill="CCEEFF"/>
          </w:tcPr>
          <w:p>
            <w:pPr>
              <w:spacing w:after="0"/>
              <w:rPr>
                <w:sz w:val="21"/>
                <w:szCs w:val="21"/>
                <w:color w:val="auto"/>
              </w:rPr>
            </w:pPr>
          </w:p>
        </w:tc>
        <w:tc>
          <w:tcPr>
            <w:tcW w:w="164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20"/>
                <w:szCs w:val="20"/>
                <w:color w:val="auto"/>
              </w:rPr>
              <w:t>+2 %</w:t>
            </w:r>
          </w:p>
        </w:tc>
        <w:tc>
          <w:tcPr>
            <w:tcW w:w="7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20"/>
                <w:szCs w:val="20"/>
                <w:color w:val="auto"/>
              </w:rPr>
              <w:t>10</w:t>
            </w:r>
          </w:p>
        </w:tc>
        <w:tc>
          <w:tcPr>
            <w:tcW w:w="200" w:type="dxa"/>
            <w:vAlign w:val="bottom"/>
            <w:shd w:val="clear" w:color="auto" w:fill="CCEEFF"/>
          </w:tcPr>
          <w:p>
            <w:pPr>
              <w:spacing w:after="0"/>
              <w:rPr>
                <w:sz w:val="21"/>
                <w:szCs w:val="21"/>
                <w:color w:val="auto"/>
              </w:rPr>
            </w:pPr>
          </w:p>
        </w:tc>
        <w:tc>
          <w:tcPr>
            <w:tcW w:w="1660" w:type="dxa"/>
            <w:vAlign w:val="bottom"/>
            <w:gridSpan w:val="4"/>
            <w:vMerge w:val="restart"/>
            <w:shd w:val="clear" w:color="auto" w:fill="CCEEFF"/>
          </w:tcPr>
          <w:p>
            <w:pPr>
              <w:ind w:left="1040"/>
              <w:spacing w:after="0"/>
              <w:rPr>
                <w:sz w:val="20"/>
                <w:szCs w:val="20"/>
                <w:color w:val="auto"/>
              </w:rPr>
            </w:pPr>
            <w:r>
              <w:rPr>
                <w:rFonts w:ascii="Arial" w:cs="Arial" w:eastAsia="Arial" w:hAnsi="Arial"/>
                <w:sz w:val="20"/>
                <w:szCs w:val="20"/>
                <w:color w:val="auto"/>
              </w:rPr>
              <w:t>+20 %</w:t>
            </w:r>
          </w:p>
        </w:tc>
        <w:tc>
          <w:tcPr>
            <w:tcW w:w="152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20"/>
                <w:szCs w:val="20"/>
                <w:color w:val="auto"/>
              </w:rPr>
              <w:t>35 %</w:t>
            </w:r>
          </w:p>
        </w:tc>
        <w:tc>
          <w:tcPr>
            <w:tcW w:w="14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20"/>
                <w:szCs w:val="20"/>
                <w:color w:val="auto"/>
              </w:rPr>
              <w:t>42 %</w:t>
            </w: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gridSpan w:val="3"/>
            <w:vMerge w:val="continue"/>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gridSpan w:val="3"/>
            <w:vMerge w:val="continue"/>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40" w:type="dxa"/>
            <w:vAlign w:val="bottom"/>
            <w:gridSpan w:val="4"/>
            <w:vMerge w:val="continue"/>
            <w:shd w:val="clear" w:color="auto" w:fill="CCEEFF"/>
          </w:tcPr>
          <w:p>
            <w:pPr>
              <w:spacing w:after="0"/>
              <w:rPr>
                <w:sz w:val="20"/>
                <w:szCs w:val="20"/>
                <w:color w:val="auto"/>
              </w:rPr>
            </w:pPr>
          </w:p>
        </w:tc>
        <w:tc>
          <w:tcPr>
            <w:tcW w:w="72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gridSpan w:val="4"/>
            <w:vMerge w:val="continue"/>
            <w:shd w:val="clear" w:color="auto" w:fill="CCEEFF"/>
          </w:tcPr>
          <w:p>
            <w:pPr>
              <w:spacing w:after="0"/>
              <w:rPr>
                <w:sz w:val="20"/>
                <w:szCs w:val="20"/>
                <w:color w:val="auto"/>
              </w:rPr>
            </w:pPr>
          </w:p>
        </w:tc>
        <w:tc>
          <w:tcPr>
            <w:tcW w:w="1520" w:type="dxa"/>
            <w:vAlign w:val="bottom"/>
            <w:gridSpan w:val="4"/>
            <w:vMerge w:val="continue"/>
            <w:shd w:val="clear" w:color="auto" w:fill="CCEEFF"/>
          </w:tcPr>
          <w:p>
            <w:pPr>
              <w:spacing w:after="0"/>
              <w:rPr>
                <w:sz w:val="20"/>
                <w:szCs w:val="20"/>
                <w:color w:val="auto"/>
              </w:rPr>
            </w:pPr>
          </w:p>
        </w:tc>
        <w:tc>
          <w:tcPr>
            <w:tcW w:w="148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0" w:type="dxa"/>
            <w:vAlign w:val="bottom"/>
            <w:gridSpan w:val="2"/>
          </w:tcPr>
          <w:p>
            <w:pPr>
              <w:spacing w:after="0"/>
              <w:rPr>
                <w:sz w:val="20"/>
                <w:szCs w:val="20"/>
                <w:color w:val="auto"/>
              </w:rPr>
            </w:pPr>
            <w:r>
              <w:rPr>
                <w:rFonts w:ascii="Arial" w:cs="Arial" w:eastAsia="Arial" w:hAnsi="Arial"/>
                <w:sz w:val="20"/>
                <w:szCs w:val="20"/>
                <w:color w:val="auto"/>
              </w:rPr>
              <w:t>Net Income</w:t>
            </w:r>
          </w:p>
        </w:tc>
        <w:tc>
          <w:tcPr>
            <w:tcW w:w="300" w:type="dxa"/>
            <w:vAlign w:val="bottom"/>
            <w:gridSpan w:val="3"/>
            <w:vMerge w:val="restart"/>
          </w:tcPr>
          <w:p>
            <w:pPr>
              <w:jc w:val="right"/>
              <w:ind w:right="21"/>
              <w:spacing w:after="0"/>
              <w:rPr>
                <w:sz w:val="20"/>
                <w:szCs w:val="20"/>
                <w:color w:val="auto"/>
              </w:rPr>
            </w:pPr>
            <w:r>
              <w:rPr>
                <w:rFonts w:ascii="Arial" w:cs="Arial" w:eastAsia="Arial" w:hAnsi="Arial"/>
                <w:sz w:val="20"/>
                <w:szCs w:val="20"/>
                <w:color w:val="auto"/>
              </w:rPr>
              <w:t>$</w:t>
            </w:r>
          </w:p>
        </w:tc>
        <w:tc>
          <w:tcPr>
            <w:tcW w:w="580" w:type="dxa"/>
            <w:vAlign w:val="bottom"/>
            <w:vMerge w:val="restart"/>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1"/>
                <w:szCs w:val="21"/>
                <w:color w:val="auto"/>
              </w:rPr>
            </w:pPr>
          </w:p>
        </w:tc>
        <w:tc>
          <w:tcPr>
            <w:tcW w:w="400" w:type="dxa"/>
            <w:vAlign w:val="bottom"/>
            <w:gridSpan w:val="3"/>
            <w:vMerge w:val="restart"/>
          </w:tcPr>
          <w:p>
            <w:pPr>
              <w:jc w:val="right"/>
              <w:ind w:right="21"/>
              <w:spacing w:after="0"/>
              <w:rPr>
                <w:sz w:val="20"/>
                <w:szCs w:val="20"/>
                <w:color w:val="auto"/>
              </w:rPr>
            </w:pPr>
            <w:r>
              <w:rPr>
                <w:rFonts w:ascii="Arial" w:cs="Arial" w:eastAsia="Arial" w:hAnsi="Arial"/>
                <w:sz w:val="20"/>
                <w:szCs w:val="20"/>
                <w:color w:val="auto"/>
              </w:rPr>
              <w:t>$</w:t>
            </w:r>
          </w:p>
        </w:tc>
        <w:tc>
          <w:tcPr>
            <w:tcW w:w="580" w:type="dxa"/>
            <w:vAlign w:val="bottom"/>
            <w:gridSpan w:val="2"/>
            <w:vMerge w:val="restart"/>
          </w:tcPr>
          <w:p>
            <w:pPr>
              <w:jc w:val="right"/>
              <w:spacing w:after="0"/>
              <w:rPr>
                <w:sz w:val="20"/>
                <w:szCs w:val="20"/>
                <w:color w:val="auto"/>
              </w:rPr>
            </w:pPr>
            <w:r>
              <w:rPr>
                <w:rFonts w:ascii="Arial" w:cs="Arial" w:eastAsia="Arial" w:hAnsi="Arial"/>
                <w:sz w:val="20"/>
                <w:szCs w:val="20"/>
                <w:color w:val="auto"/>
              </w:rPr>
              <w:t>9.80</w:t>
            </w:r>
          </w:p>
        </w:tc>
        <w:tc>
          <w:tcPr>
            <w:tcW w:w="240" w:type="dxa"/>
            <w:vAlign w:val="bottom"/>
          </w:tcPr>
          <w:p>
            <w:pPr>
              <w:spacing w:after="0"/>
              <w:rPr>
                <w:sz w:val="21"/>
                <w:szCs w:val="21"/>
                <w:color w:val="auto"/>
              </w:rPr>
            </w:pPr>
          </w:p>
        </w:tc>
        <w:tc>
          <w:tcPr>
            <w:tcW w:w="1640" w:type="dxa"/>
            <w:vAlign w:val="bottom"/>
            <w:gridSpan w:val="4"/>
            <w:vMerge w:val="restart"/>
          </w:tcPr>
          <w:p>
            <w:pPr>
              <w:jc w:val="right"/>
              <w:ind w:right="180"/>
              <w:spacing w:after="0"/>
              <w:rPr>
                <w:sz w:val="20"/>
                <w:szCs w:val="20"/>
                <w:color w:val="auto"/>
              </w:rPr>
            </w:pPr>
            <w:r>
              <w:rPr>
                <w:rFonts w:ascii="Arial" w:cs="Arial" w:eastAsia="Arial" w:hAnsi="Arial"/>
                <w:sz w:val="20"/>
                <w:szCs w:val="20"/>
                <w:color w:val="auto"/>
              </w:rPr>
              <w:t>-2 %</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20"/>
                <w:szCs w:val="20"/>
                <w:color w:val="auto"/>
              </w:rPr>
              <w:t>5</w:t>
            </w:r>
          </w:p>
        </w:tc>
        <w:tc>
          <w:tcPr>
            <w:tcW w:w="200" w:type="dxa"/>
            <w:vAlign w:val="bottom"/>
          </w:tcPr>
          <w:p>
            <w:pPr>
              <w:spacing w:after="0"/>
              <w:rPr>
                <w:sz w:val="21"/>
                <w:szCs w:val="21"/>
                <w:color w:val="auto"/>
              </w:rPr>
            </w:pPr>
          </w:p>
        </w:tc>
        <w:tc>
          <w:tcPr>
            <w:tcW w:w="1660" w:type="dxa"/>
            <w:vAlign w:val="bottom"/>
            <w:gridSpan w:val="4"/>
            <w:vMerge w:val="restart"/>
          </w:tcPr>
          <w:p>
            <w:pPr>
              <w:jc w:val="right"/>
              <w:ind w:right="120"/>
              <w:spacing w:after="0"/>
              <w:rPr>
                <w:sz w:val="20"/>
                <w:szCs w:val="20"/>
                <w:color w:val="auto"/>
              </w:rPr>
            </w:pPr>
            <w:r>
              <w:rPr>
                <w:rFonts w:ascii="Arial" w:cs="Arial" w:eastAsia="Arial" w:hAnsi="Arial"/>
                <w:sz w:val="20"/>
                <w:szCs w:val="20"/>
                <w:color w:val="auto"/>
              </w:rPr>
              <w:t>-10 %</w:t>
            </w:r>
          </w:p>
        </w:tc>
        <w:tc>
          <w:tcPr>
            <w:tcW w:w="1520" w:type="dxa"/>
            <w:vAlign w:val="bottom"/>
            <w:gridSpan w:val="4"/>
            <w:vMerge w:val="restart"/>
          </w:tcPr>
          <w:p>
            <w:pPr>
              <w:jc w:val="right"/>
              <w:ind w:right="140"/>
              <w:spacing w:after="0"/>
              <w:rPr>
                <w:sz w:val="20"/>
                <w:szCs w:val="20"/>
                <w:color w:val="auto"/>
              </w:rPr>
            </w:pPr>
            <w:r>
              <w:rPr>
                <w:rFonts w:ascii="Arial" w:cs="Arial" w:eastAsia="Arial" w:hAnsi="Arial"/>
                <w:sz w:val="20"/>
                <w:szCs w:val="20"/>
                <w:color w:val="auto"/>
              </w:rPr>
              <w:t>65 %</w:t>
            </w:r>
          </w:p>
        </w:tc>
        <w:tc>
          <w:tcPr>
            <w:tcW w:w="1480" w:type="dxa"/>
            <w:vAlign w:val="bottom"/>
            <w:gridSpan w:val="3"/>
            <w:vMerge w:val="restart"/>
          </w:tcPr>
          <w:p>
            <w:pPr>
              <w:jc w:val="right"/>
              <w:ind w:right="140"/>
              <w:spacing w:after="0"/>
              <w:rPr>
                <w:sz w:val="20"/>
                <w:szCs w:val="20"/>
                <w:color w:val="auto"/>
              </w:rPr>
            </w:pPr>
            <w:r>
              <w:rPr>
                <w:rFonts w:ascii="Arial" w:cs="Arial" w:eastAsia="Arial" w:hAnsi="Arial"/>
                <w:sz w:val="20"/>
                <w:szCs w:val="20"/>
                <w:color w:val="auto"/>
              </w:rPr>
              <w:t>58.5 %</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gridSpan w:val="3"/>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3"/>
            <w:vMerge w:val="continue"/>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4"/>
            <w:vMerge w:val="continue"/>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4"/>
            <w:vMerge w:val="continue"/>
          </w:tcPr>
          <w:p>
            <w:pPr>
              <w:spacing w:after="0"/>
              <w:rPr>
                <w:sz w:val="20"/>
                <w:szCs w:val="20"/>
                <w:color w:val="auto"/>
              </w:rPr>
            </w:pPr>
          </w:p>
        </w:tc>
        <w:tc>
          <w:tcPr>
            <w:tcW w:w="1520" w:type="dxa"/>
            <w:vAlign w:val="bottom"/>
            <w:gridSpan w:val="4"/>
            <w:vMerge w:val="continue"/>
          </w:tcPr>
          <w:p>
            <w:pPr>
              <w:spacing w:after="0"/>
              <w:rPr>
                <w:sz w:val="20"/>
                <w:szCs w:val="20"/>
                <w:color w:val="auto"/>
              </w:rPr>
            </w:pPr>
          </w:p>
        </w:tc>
        <w:tc>
          <w:tcPr>
            <w:tcW w:w="14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20" w:type="dxa"/>
            <w:vAlign w:val="bottom"/>
            <w:shd w:val="clear" w:color="auto" w:fill="CCEEFF"/>
          </w:tcPr>
          <w:p>
            <w:pPr>
              <w:spacing w:after="0"/>
              <w:rPr>
                <w:sz w:val="24"/>
                <w:szCs w:val="24"/>
                <w:color w:val="auto"/>
              </w:rPr>
            </w:pPr>
          </w:p>
        </w:tc>
        <w:tc>
          <w:tcPr>
            <w:tcW w:w="5640" w:type="dxa"/>
            <w:vAlign w:val="bottom"/>
            <w:gridSpan w:val="17"/>
            <w:shd w:val="clear" w:color="auto" w:fill="CCEEFF"/>
          </w:tcPr>
          <w:p>
            <w:pPr>
              <w:spacing w:after="0"/>
              <w:rPr>
                <w:sz w:val="20"/>
                <w:szCs w:val="20"/>
                <w:color w:val="auto"/>
              </w:rPr>
            </w:pPr>
            <w:r>
              <w:rPr>
                <w:rFonts w:ascii="Arial" w:cs="Arial" w:eastAsia="Arial" w:hAnsi="Arial"/>
                <w:sz w:val="20"/>
                <w:szCs w:val="20"/>
                <w:b w:val="1"/>
                <w:bCs w:val="1"/>
                <w:color w:val="auto"/>
                <w:w w:val="90"/>
              </w:rPr>
              <w:t>Total percentage applied to individual target performance awards</w:t>
            </w: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20"/>
                <w:szCs w:val="20"/>
                <w:b w:val="1"/>
                <w:bCs w:val="1"/>
                <w:color w:val="auto"/>
              </w:rPr>
              <w:t>100.5%</w:t>
            </w:r>
          </w:p>
        </w:tc>
        <w:tc>
          <w:tcPr>
            <w:tcW w:w="0" w:type="dxa"/>
            <w:vAlign w:val="bottom"/>
          </w:tcPr>
          <w:p>
            <w:pPr>
              <w:spacing w:after="0"/>
              <w:rPr>
                <w:sz w:val="1"/>
                <w:szCs w:val="1"/>
                <w:color w:val="auto"/>
              </w:rPr>
            </w:pPr>
          </w:p>
        </w:tc>
      </w:tr>
    </w:tbl>
    <w:p>
      <w:pPr>
        <w:sectPr>
          <w:pgSz w:w="11900" w:h="16838" w:orient="portrait"/>
          <w:cols w:equalWidth="0" w:num="1">
            <w:col w:w="11240"/>
          </w:cols>
          <w:pgMar w:left="320" w:top="656" w:right="339" w:bottom="141"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106680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8" w:name="page159"/>
    <w:bookmarkEnd w:id="158"/>
    <w:p>
      <w:pPr>
        <w:jc w:val="both"/>
        <w:ind w:firstLine="509"/>
        <w:spacing w:after="0" w:line="269" w:lineRule="auto"/>
        <w:rPr>
          <w:sz w:val="20"/>
          <w:szCs w:val="20"/>
          <w:color w:val="auto"/>
        </w:rPr>
      </w:pPr>
      <w:r>
        <w:rPr>
          <w:rFonts w:ascii="Arial" w:cs="Arial" w:eastAsia="Arial" w:hAnsi="Arial"/>
          <w:sz w:val="19"/>
          <w:szCs w:val="19"/>
          <w:color w:val="auto"/>
        </w:rPr>
        <w:t>Following final calculations of the Company’s financial performance during the relevant Plan Year, data shall be presented to the Chief Executive Officer which shall set forth the Participants’ Performance Awards calculated in accordance with the Plan. The Chief Executive Officer shall review the data for all Participants and then prepare final recommendations for the Committee.”</w:t>
      </w:r>
    </w:p>
    <w:p>
      <w:pPr>
        <w:spacing w:after="0" w:line="191" w:lineRule="exact"/>
        <w:rPr>
          <w:sz w:val="20"/>
          <w:szCs w:val="20"/>
          <w:color w:val="auto"/>
        </w:rPr>
      </w:pPr>
    </w:p>
    <w:p>
      <w:pPr>
        <w:ind w:left="1180" w:hanging="423"/>
        <w:spacing w:after="0"/>
        <w:tabs>
          <w:tab w:leader="none" w:pos="1180" w:val="left"/>
        </w:tabs>
        <w:numPr>
          <w:ilvl w:val="0"/>
          <w:numId w:val="65"/>
        </w:numPr>
        <w:rPr>
          <w:rFonts w:ascii="Arial" w:cs="Arial" w:eastAsia="Arial" w:hAnsi="Arial"/>
          <w:sz w:val="22"/>
          <w:szCs w:val="22"/>
          <w:color w:val="auto"/>
        </w:rPr>
      </w:pPr>
      <w:r>
        <w:rPr>
          <w:rFonts w:ascii="Arial" w:cs="Arial" w:eastAsia="Arial" w:hAnsi="Arial"/>
          <w:sz w:val="22"/>
          <w:szCs w:val="22"/>
          <w:color w:val="auto"/>
        </w:rPr>
        <w:t>Section 5.3 of the Plan is deleted in its entirety, and Section 5.4 is renumbered.</w:t>
      </w:r>
    </w:p>
    <w:p>
      <w:pPr>
        <w:spacing w:after="0" w:line="97" w:lineRule="exact"/>
        <w:rPr>
          <w:rFonts w:ascii="Arial" w:cs="Arial" w:eastAsia="Arial" w:hAnsi="Arial"/>
          <w:sz w:val="22"/>
          <w:szCs w:val="22"/>
          <w:color w:val="auto"/>
        </w:rPr>
      </w:pPr>
    </w:p>
    <w:p>
      <w:pPr>
        <w:ind w:right="20" w:firstLine="757"/>
        <w:spacing w:after="0" w:line="250" w:lineRule="auto"/>
        <w:tabs>
          <w:tab w:leader="none" w:pos="1180" w:val="left"/>
        </w:tabs>
        <w:numPr>
          <w:ilvl w:val="0"/>
          <w:numId w:val="65"/>
        </w:numPr>
        <w:rPr>
          <w:rFonts w:ascii="Arial" w:cs="Arial" w:eastAsia="Arial" w:hAnsi="Arial"/>
          <w:sz w:val="22"/>
          <w:szCs w:val="22"/>
          <w:color w:val="auto"/>
        </w:rPr>
      </w:pPr>
      <w:r>
        <w:rPr>
          <w:rFonts w:ascii="Arial" w:cs="Arial" w:eastAsia="Arial" w:hAnsi="Arial"/>
          <w:sz w:val="22"/>
          <w:szCs w:val="22"/>
          <w:color w:val="auto"/>
        </w:rPr>
        <w:t>Except as modified by this Amendment, all of the terms and conditions of the Plan shall remain valid and in full force and effect.</w:t>
      </w:r>
    </w:p>
    <w:p>
      <w:pPr>
        <w:spacing w:after="0" w:line="60" w:lineRule="exact"/>
        <w:rPr>
          <w:sz w:val="20"/>
          <w:szCs w:val="20"/>
          <w:color w:val="auto"/>
        </w:rPr>
      </w:pPr>
    </w:p>
    <w:p>
      <w:pPr>
        <w:ind w:right="20" w:firstLine="749"/>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undersigned, a duly authorized officer of the Company, has executed this instrument as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March 30, 2020, on behalf of the Company.</w:t>
      </w:r>
    </w:p>
    <w:p>
      <w:pPr>
        <w:spacing w:after="0" w:line="202"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THE GEO GROUP, INC.</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980" w:type="dxa"/>
            <w:vAlign w:val="bottom"/>
          </w:tcPr>
          <w:p>
            <w:pPr>
              <w:ind w:left="5080"/>
              <w:spacing w:after="0"/>
              <w:rPr>
                <w:sz w:val="20"/>
                <w:szCs w:val="20"/>
                <w:color w:val="auto"/>
              </w:rPr>
            </w:pPr>
            <w:r>
              <w:rPr>
                <w:rFonts w:ascii="Arial" w:cs="Arial" w:eastAsia="Arial" w:hAnsi="Arial"/>
                <w:sz w:val="22"/>
                <w:szCs w:val="22"/>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Brian R. Evans</w:t>
            </w:r>
          </w:p>
        </w:tc>
        <w:tc>
          <w:tcPr>
            <w:tcW w:w="20" w:type="dxa"/>
            <w:vAlign w:val="bottom"/>
          </w:tcPr>
          <w:p>
            <w:pPr>
              <w:spacing w:after="0"/>
              <w:rPr>
                <w:sz w:val="23"/>
                <w:szCs w:val="23"/>
                <w:color w:val="auto"/>
              </w:rPr>
            </w:pPr>
          </w:p>
        </w:tc>
      </w:tr>
      <w:tr>
        <w:trPr>
          <w:trHeight w:val="277"/>
        </w:trPr>
        <w:tc>
          <w:tcPr>
            <w:tcW w:w="5980" w:type="dxa"/>
            <w:vAlign w:val="bottom"/>
          </w:tcPr>
          <w:p>
            <w:pPr>
              <w:ind w:left="5080"/>
              <w:spacing w:after="0"/>
              <w:rPr>
                <w:sz w:val="20"/>
                <w:szCs w:val="20"/>
                <w:color w:val="auto"/>
              </w:rPr>
            </w:pPr>
            <w:r>
              <w:rPr>
                <w:rFonts w:ascii="Arial" w:cs="Arial" w:eastAsia="Arial" w:hAnsi="Arial"/>
                <w:sz w:val="22"/>
                <w:szCs w:val="22"/>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Brian R. Evans</w:t>
            </w:r>
          </w:p>
        </w:tc>
        <w:tc>
          <w:tcPr>
            <w:tcW w:w="20" w:type="dxa"/>
            <w:vAlign w:val="bottom"/>
          </w:tcPr>
          <w:p>
            <w:pPr>
              <w:spacing w:after="0"/>
              <w:rPr>
                <w:sz w:val="24"/>
                <w:szCs w:val="24"/>
                <w:color w:val="auto"/>
              </w:rPr>
            </w:pPr>
          </w:p>
        </w:tc>
      </w:tr>
      <w:tr>
        <w:trPr>
          <w:trHeight w:val="277"/>
        </w:trPr>
        <w:tc>
          <w:tcPr>
            <w:tcW w:w="5980" w:type="dxa"/>
            <w:vAlign w:val="bottom"/>
          </w:tcPr>
          <w:p>
            <w:pPr>
              <w:ind w:left="5080"/>
              <w:spacing w:after="0"/>
              <w:rPr>
                <w:sz w:val="20"/>
                <w:szCs w:val="20"/>
                <w:color w:val="auto"/>
              </w:rPr>
            </w:pPr>
            <w:r>
              <w:rPr>
                <w:rFonts w:ascii="Arial" w:cs="Arial" w:eastAsia="Arial" w:hAnsi="Arial"/>
                <w:sz w:val="22"/>
                <w:szCs w:val="22"/>
                <w:color w:val="auto"/>
              </w:rPr>
              <w:t>Title: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Sr. Vice President, &amp; CFO</w:t>
            </w:r>
          </w:p>
        </w:tc>
        <w:tc>
          <w:tcPr>
            <w:tcW w:w="20" w:type="dxa"/>
            <w:vAlign w:val="bottom"/>
          </w:tcPr>
          <w:p>
            <w:pPr>
              <w:spacing w:after="0"/>
              <w:rPr>
                <w:sz w:val="24"/>
                <w:szCs w:val="24"/>
                <w:color w:val="auto"/>
              </w:rPr>
            </w:pPr>
          </w:p>
        </w:tc>
      </w:tr>
      <w:tr>
        <w:trPr>
          <w:trHeight w:val="658"/>
        </w:trPr>
        <w:tc>
          <w:tcPr>
            <w:tcW w:w="5980" w:type="dxa"/>
            <w:vAlign w:val="bottom"/>
          </w:tcPr>
          <w:p>
            <w:pPr>
              <w:jc w:val="right"/>
              <w:ind w:right="217"/>
              <w:spacing w:after="0"/>
              <w:rPr>
                <w:sz w:val="20"/>
                <w:szCs w:val="20"/>
                <w:color w:val="auto"/>
              </w:rPr>
            </w:pPr>
            <w:r>
              <w:rPr>
                <w:rFonts w:ascii="Arial" w:cs="Arial" w:eastAsia="Arial" w:hAnsi="Arial"/>
                <w:sz w:val="18"/>
                <w:szCs w:val="18"/>
                <w:color w:val="auto"/>
              </w:rPr>
              <w:t>3</w:t>
            </w:r>
          </w:p>
        </w:tc>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980" w:type="dxa"/>
            <w:vAlign w:val="bottom"/>
            <w:tcBorders>
              <w:bottom w:val="single" w:sz="8" w:color="9A9A9A"/>
            </w:tcBorders>
          </w:tcPr>
          <w:p>
            <w:pPr>
              <w:spacing w:after="0"/>
              <w:rPr>
                <w:sz w:val="9"/>
                <w:szCs w:val="9"/>
                <w:color w:val="auto"/>
              </w:rPr>
            </w:pPr>
          </w:p>
        </w:tc>
        <w:tc>
          <w:tcPr>
            <w:tcW w:w="5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21.1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GEO Group, Inc. Subsidiaries</w:t>
      </w:r>
    </w:p>
    <w:p>
      <w:pPr>
        <w:spacing w:after="0" w:line="22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following is a list of the Company’s subsidiaries as of December 31, 2022 (except for certain subsidiaries that, in the aggregate, would not be a “significant subsidiary” as defined in Rule 1-02 (w) of Regulation S-X). Unless otherwise stated, the Company holds directly or indirectly 100% of the subsidiaries listed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B.I. Incorporated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CPT Operating Partnership L.P.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 Corrections Holdings, Inc. (FL)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 Secure Services, LLC (FL)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746125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22"/>
          <w:szCs w:val="22"/>
          <w:b w:val="1"/>
          <w:bCs w:val="1"/>
          <w:color w:val="auto"/>
        </w:rPr>
        <w:t>Exhibit 22.1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Guarantor Subsidiaries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is a list of the subsidiary guarantors to the outstanding senior notes issued by The GEO Group, Inc., specifically the 10.500% Public Second Lien Notes, 9.500% Private Second Lien Notes, 6.00% senior notes, and the 5.875% senior notes. Additionally, the following is a list of the subsidiary guarantors to the outstanding 6.50% exchangeable senior notes issued by GEO Corrections Holdings, Inc. The 6.50% exchangeable senior notes are also guaranteed by The GEO Group, Inc.</w:t>
      </w:r>
    </w:p>
    <w:p>
      <w:pPr>
        <w:spacing w:after="0" w:line="19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ADAPPT, LLC</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Arapahoe County Residential Center, LLC</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BI Incorporated</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Behavioral Acquisition Corp.</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Behavioral Holding Corp.</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BI Mobile Breath, Inc.</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BII Holding Corporation</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BII Holding I Corporation</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Broad Real Estate Holdings, LLC</w:t>
      </w:r>
    </w:p>
    <w:p>
      <w:pPr>
        <w:spacing w:after="0" w:line="36" w:lineRule="exact"/>
        <w:rPr>
          <w:sz w:val="20"/>
          <w:szCs w:val="20"/>
          <w:color w:val="auto"/>
        </w:rPr>
      </w:pPr>
    </w:p>
    <w:p>
      <w:pPr>
        <w:ind w:left="100" w:right="8820" w:firstLine="5"/>
        <w:spacing w:after="0" w:line="281" w:lineRule="auto"/>
        <w:tabs>
          <w:tab w:leader="none" w:pos="505" w:val="left"/>
        </w:tabs>
        <w:numPr>
          <w:ilvl w:val="0"/>
          <w:numId w:val="66"/>
        </w:numPr>
        <w:rPr>
          <w:rFonts w:ascii="Arial" w:cs="Arial" w:eastAsia="Arial" w:hAnsi="Arial"/>
          <w:sz w:val="18"/>
          <w:szCs w:val="18"/>
          <w:color w:val="auto"/>
        </w:rPr>
      </w:pPr>
      <w:r>
        <w:rPr>
          <w:rFonts w:ascii="Arial" w:cs="Arial" w:eastAsia="Arial" w:hAnsi="Arial"/>
          <w:sz w:val="18"/>
          <w:szCs w:val="18"/>
          <w:color w:val="auto"/>
        </w:rPr>
        <w:t>Wyoming Properties, LLC CCMAS, LLC</w:t>
      </w:r>
    </w:p>
    <w:p>
      <w:pPr>
        <w:ind w:left="100" w:right="8700"/>
        <w:spacing w:after="0" w:line="281" w:lineRule="auto"/>
        <w:rPr>
          <w:rFonts w:ascii="Arial" w:cs="Arial" w:eastAsia="Arial" w:hAnsi="Arial"/>
          <w:sz w:val="18"/>
          <w:szCs w:val="18"/>
          <w:color w:val="auto"/>
        </w:rPr>
      </w:pPr>
      <w:r>
        <w:rPr>
          <w:rFonts w:ascii="Arial" w:cs="Arial" w:eastAsia="Arial" w:hAnsi="Arial"/>
          <w:sz w:val="18"/>
          <w:szCs w:val="18"/>
          <w:color w:val="auto"/>
        </w:rPr>
        <w:t>CEC Intermediate Holdings, LLC CEC Parent Holdings, LLC CEC Staffing Solutions, LLC CiviGenics, Inc.</w:t>
      </w:r>
    </w:p>
    <w:p>
      <w:pPr>
        <w:spacing w:after="0" w:line="1" w:lineRule="exact"/>
        <w:rPr>
          <w:rFonts w:ascii="Arial" w:cs="Arial" w:eastAsia="Arial" w:hAnsi="Arial"/>
          <w:sz w:val="18"/>
          <w:szCs w:val="18"/>
          <w:color w:val="auto"/>
        </w:rPr>
      </w:pPr>
    </w:p>
    <w:p>
      <w:pPr>
        <w:ind w:left="100" w:right="8260"/>
        <w:spacing w:after="0" w:line="281" w:lineRule="auto"/>
        <w:rPr>
          <w:rFonts w:ascii="Arial" w:cs="Arial" w:eastAsia="Arial" w:hAnsi="Arial"/>
          <w:sz w:val="18"/>
          <w:szCs w:val="18"/>
          <w:color w:val="auto"/>
        </w:rPr>
      </w:pPr>
      <w:r>
        <w:rPr>
          <w:rFonts w:ascii="Arial" w:cs="Arial" w:eastAsia="Arial" w:hAnsi="Arial"/>
          <w:sz w:val="18"/>
          <w:szCs w:val="18"/>
          <w:color w:val="auto"/>
        </w:rPr>
        <w:t>CiviGenics Management Services, LLC CiviGenics-Texas, Inc.</w:t>
      </w:r>
    </w:p>
    <w:p>
      <w:pPr>
        <w:ind w:left="100" w:right="8540"/>
        <w:spacing w:after="0" w:line="281" w:lineRule="auto"/>
        <w:rPr>
          <w:rFonts w:ascii="Arial" w:cs="Arial" w:eastAsia="Arial" w:hAnsi="Arial"/>
          <w:sz w:val="18"/>
          <w:szCs w:val="18"/>
          <w:color w:val="auto"/>
        </w:rPr>
      </w:pPr>
      <w:r>
        <w:rPr>
          <w:rFonts w:ascii="Arial" w:cs="Arial" w:eastAsia="Arial" w:hAnsi="Arial"/>
          <w:sz w:val="18"/>
          <w:szCs w:val="18"/>
          <w:color w:val="auto"/>
        </w:rPr>
        <w:t>Clearstream Development, LLC Community Alternatives Community Corrections, LLC Community Education Centers, Inc. Cornell Companies Inc.</w:t>
      </w:r>
    </w:p>
    <w:p>
      <w:pPr>
        <w:spacing w:after="0" w:line="1" w:lineRule="exact"/>
        <w:rPr>
          <w:rFonts w:ascii="Arial" w:cs="Arial" w:eastAsia="Arial" w:hAnsi="Arial"/>
          <w:sz w:val="18"/>
          <w:szCs w:val="18"/>
          <w:color w:val="auto"/>
        </w:rPr>
      </w:pPr>
    </w:p>
    <w:p>
      <w:pPr>
        <w:ind w:left="100" w:right="7960"/>
        <w:spacing w:after="0" w:line="281" w:lineRule="auto"/>
        <w:rPr>
          <w:rFonts w:ascii="Arial" w:cs="Arial" w:eastAsia="Arial" w:hAnsi="Arial"/>
          <w:sz w:val="18"/>
          <w:szCs w:val="18"/>
          <w:color w:val="auto"/>
        </w:rPr>
      </w:pPr>
      <w:r>
        <w:rPr>
          <w:rFonts w:ascii="Arial" w:cs="Arial" w:eastAsia="Arial" w:hAnsi="Arial"/>
          <w:sz w:val="18"/>
          <w:szCs w:val="18"/>
          <w:color w:val="auto"/>
        </w:rPr>
        <w:t>Cornell Corrections Management LLC Cornell Corrections of Rhode Island, Inc. Cornell Corrections of Texas, Inc. Correctional Properties Prison Finance LLC Correctional Properties, LLC Correctional Services Corporation LLC Correctional Systems, LLC</w:t>
      </w:r>
    </w:p>
    <w:p>
      <w:pPr>
        <w:spacing w:after="0" w:line="2" w:lineRule="exact"/>
        <w:rPr>
          <w:rFonts w:ascii="Arial" w:cs="Arial" w:eastAsia="Arial" w:hAnsi="Arial"/>
          <w:sz w:val="18"/>
          <w:szCs w:val="18"/>
          <w:color w:val="auto"/>
        </w:rPr>
      </w:pPr>
    </w:p>
    <w:p>
      <w:pPr>
        <w:ind w:left="100" w:right="8860"/>
        <w:spacing w:after="0" w:line="281" w:lineRule="auto"/>
        <w:rPr>
          <w:rFonts w:ascii="Arial" w:cs="Arial" w:eastAsia="Arial" w:hAnsi="Arial"/>
          <w:sz w:val="18"/>
          <w:szCs w:val="18"/>
          <w:color w:val="auto"/>
        </w:rPr>
      </w:pPr>
      <w:r>
        <w:rPr>
          <w:rFonts w:ascii="Arial" w:cs="Arial" w:eastAsia="Arial" w:hAnsi="Arial"/>
          <w:sz w:val="18"/>
          <w:szCs w:val="18"/>
          <w:color w:val="auto"/>
        </w:rPr>
        <w:t>CPT Limited Partner, LLC CPT Operating Partnership L.P. Fenton Security, LLC</w:t>
      </w:r>
    </w:p>
    <w:p>
      <w:pPr>
        <w:spacing w:after="0" w:line="1" w:lineRule="exact"/>
        <w:rPr>
          <w:rFonts w:ascii="Arial" w:cs="Arial" w:eastAsia="Arial" w:hAnsi="Arial"/>
          <w:sz w:val="18"/>
          <w:szCs w:val="18"/>
          <w:color w:val="auto"/>
        </w:rPr>
      </w:pPr>
    </w:p>
    <w:p>
      <w:pPr>
        <w:ind w:left="100" w:right="9360"/>
        <w:spacing w:after="0" w:line="281" w:lineRule="auto"/>
        <w:rPr>
          <w:rFonts w:ascii="Arial" w:cs="Arial" w:eastAsia="Arial" w:hAnsi="Arial"/>
          <w:sz w:val="18"/>
          <w:szCs w:val="18"/>
          <w:color w:val="auto"/>
        </w:rPr>
      </w:pPr>
      <w:r>
        <w:rPr>
          <w:rFonts w:ascii="Arial" w:cs="Arial" w:eastAsia="Arial" w:hAnsi="Arial"/>
          <w:sz w:val="18"/>
          <w:szCs w:val="18"/>
          <w:color w:val="auto"/>
        </w:rPr>
        <w:t>GEO Acquisition II, Inc. GEO Care LLC</w:t>
      </w:r>
    </w:p>
    <w:p>
      <w:pPr>
        <w:ind w:left="100"/>
        <w:spacing w:after="0"/>
        <w:rPr>
          <w:rFonts w:ascii="Arial" w:cs="Arial" w:eastAsia="Arial" w:hAnsi="Arial"/>
          <w:sz w:val="18"/>
          <w:szCs w:val="18"/>
          <w:color w:val="auto"/>
        </w:rPr>
      </w:pPr>
      <w:r>
        <w:rPr>
          <w:rFonts w:ascii="Arial" w:cs="Arial" w:eastAsia="Arial" w:hAnsi="Arial"/>
          <w:sz w:val="18"/>
          <w:szCs w:val="18"/>
          <w:color w:val="auto"/>
        </w:rPr>
        <w:t>GEO CC3 Inc.</w:t>
      </w:r>
    </w:p>
    <w:p>
      <w:pPr>
        <w:spacing w:after="0" w:line="35" w:lineRule="exact"/>
        <w:rPr>
          <w:rFonts w:ascii="Arial" w:cs="Arial" w:eastAsia="Arial" w:hAnsi="Arial"/>
          <w:sz w:val="18"/>
          <w:szCs w:val="18"/>
          <w:color w:val="auto"/>
        </w:rPr>
      </w:pPr>
    </w:p>
    <w:p>
      <w:pPr>
        <w:ind w:left="100" w:right="8820"/>
        <w:spacing w:after="0" w:line="281" w:lineRule="auto"/>
        <w:rPr>
          <w:rFonts w:ascii="Arial" w:cs="Arial" w:eastAsia="Arial" w:hAnsi="Arial"/>
          <w:sz w:val="18"/>
          <w:szCs w:val="18"/>
          <w:color w:val="auto"/>
        </w:rPr>
      </w:pPr>
      <w:r>
        <w:rPr>
          <w:rFonts w:ascii="Arial" w:cs="Arial" w:eastAsia="Arial" w:hAnsi="Arial"/>
          <w:sz w:val="18"/>
          <w:szCs w:val="18"/>
          <w:color w:val="auto"/>
        </w:rPr>
        <w:t>GEO Secure Services, LLC GEO Corrections Holdings, Inc. GEO CPM, Inc.</w:t>
      </w:r>
    </w:p>
    <w:p>
      <w:pPr>
        <w:spacing w:after="0" w:line="1" w:lineRule="exact"/>
        <w:rPr>
          <w:rFonts w:ascii="Arial" w:cs="Arial" w:eastAsia="Arial" w:hAnsi="Arial"/>
          <w:sz w:val="18"/>
          <w:szCs w:val="18"/>
          <w:color w:val="auto"/>
        </w:rPr>
      </w:pPr>
    </w:p>
    <w:p>
      <w:pPr>
        <w:ind w:left="100" w:right="8760"/>
        <w:spacing w:after="0" w:line="308" w:lineRule="auto"/>
        <w:rPr>
          <w:rFonts w:ascii="Arial" w:cs="Arial" w:eastAsia="Arial" w:hAnsi="Arial"/>
          <w:sz w:val="18"/>
          <w:szCs w:val="18"/>
          <w:color w:val="auto"/>
        </w:rPr>
      </w:pPr>
      <w:r>
        <w:rPr>
          <w:rFonts w:ascii="Arial" w:cs="Arial" w:eastAsia="Arial" w:hAnsi="Arial"/>
          <w:sz w:val="18"/>
          <w:szCs w:val="18"/>
          <w:color w:val="auto"/>
        </w:rPr>
        <w:t>GEO Management Services, Inc. GEO Holdings 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t>GEO International Services,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GEO MCF LP, LLC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GEO Leasing, LLC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GEO Operations,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GEO RE Holdings LLC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GEO Reentry of Alaska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GEO Reentry Services, LLC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GEO Reentry,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GEO Transport,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GEO/DEL/R/02,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GEO/DEL/T/02,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Highpoint Investments, LLC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MCF GP, LLC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Minsec Companies, LLC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Minsec Treatment, LLC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Municipal Corrections Finance, L.P.</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Protocol Criminal Justice, Inc.</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Public Properties Development and Leasing LLC</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SECON,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WBP Leasing,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233045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381" w:right="1440"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issued our reports dated February 27, 2023, with respect to the consolidated financial statements and internal control over financial reporting included in the Annual Report of The GEO Group, Inc. on Form 10-K for the year ended December 31, 2022. We consent to the incorporation by reference of said reports in the Registration Statements of The GEO Group, Inc. on Form S-3 (File No. 333-249772) and on Forms S-8 (File No. 333-257116, File No. 333-224871, File No. 333-196504, File No. 333-181175, File No. 333-169198, File No.333-09981, and File No. 333-142589).</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 Gordo, certify that:</w:t>
      </w:r>
    </w:p>
    <w:p>
      <w:pPr>
        <w:spacing w:after="0" w:line="117" w:lineRule="exact"/>
        <w:rPr>
          <w:sz w:val="20"/>
          <w:szCs w:val="20"/>
          <w:color w:val="auto"/>
        </w:rPr>
      </w:pPr>
    </w:p>
    <w:p>
      <w:pPr>
        <w:ind w:left="380" w:hanging="372"/>
        <w:spacing w:after="0"/>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GEO Group, Inc.;</w:t>
      </w:r>
    </w:p>
    <w:p>
      <w:pPr>
        <w:spacing w:after="0" w:line="116" w:lineRule="exact"/>
        <w:rPr>
          <w:rFonts w:ascii="Arial" w:cs="Arial" w:eastAsia="Arial" w:hAnsi="Arial"/>
          <w:sz w:val="18"/>
          <w:szCs w:val="18"/>
          <w:color w:val="auto"/>
        </w:rPr>
      </w:pPr>
    </w:p>
    <w:p>
      <w:pPr>
        <w:jc w:val="both"/>
        <w:ind w:left="380" w:right="400" w:hanging="372"/>
        <w:spacing w:after="0" w:line="263" w:lineRule="auto"/>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380" w:right="360" w:hanging="372"/>
        <w:spacing w:after="0" w:line="307" w:lineRule="auto"/>
        <w:tabs>
          <w:tab w:leader="none" w:pos="3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380" w:right="400" w:hanging="372"/>
        <w:spacing w:after="0" w:line="263" w:lineRule="auto"/>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760" w:right="280" w:hanging="378"/>
        <w:spacing w:after="0" w:line="263" w:lineRule="auto"/>
        <w:tabs>
          <w:tab w:leader="none" w:pos="7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760" w:right="600" w:hanging="378"/>
        <w:spacing w:after="0" w:line="263" w:lineRule="auto"/>
        <w:tabs>
          <w:tab w:leader="none" w:pos="7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760" w:right="780" w:hanging="378"/>
        <w:spacing w:after="0" w:line="341" w:lineRule="auto"/>
        <w:tabs>
          <w:tab w:leader="none" w:pos="7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760" w:right="280" w:hanging="378"/>
        <w:spacing w:after="0" w:line="263" w:lineRule="auto"/>
        <w:tabs>
          <w:tab w:leader="none" w:pos="7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380" w:right="300" w:hanging="372"/>
        <w:spacing w:after="0" w:line="307" w:lineRule="auto"/>
        <w:tabs>
          <w:tab w:leader="none" w:pos="3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760" w:right="180" w:hanging="378"/>
        <w:spacing w:after="0" w:line="277" w:lineRule="auto"/>
        <w:tabs>
          <w:tab w:leader="none" w:pos="7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760" w:right="140" w:hanging="378"/>
        <w:spacing w:after="0" w:line="277" w:lineRule="auto"/>
        <w:tabs>
          <w:tab w:leader="none" w:pos="7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20"/>
        <w:spacing w:after="0"/>
        <w:tabs>
          <w:tab w:leader="none" w:pos="6220" w:val="left"/>
        </w:tabs>
        <w:rPr>
          <w:sz w:val="20"/>
          <w:szCs w:val="20"/>
          <w:color w:val="auto"/>
        </w:rPr>
      </w:pPr>
      <w:r>
        <w:rPr>
          <w:rFonts w:ascii="Arial" w:cs="Arial" w:eastAsia="Arial" w:hAnsi="Arial"/>
          <w:sz w:val="18"/>
          <w:szCs w:val="18"/>
          <w:color w:val="auto"/>
        </w:rPr>
        <w:t>Date: February 27, 2023</w:t>
      </w:r>
      <w:r>
        <w:rPr>
          <w:sz w:val="20"/>
          <w:szCs w:val="20"/>
          <w:color w:val="auto"/>
        </w:rPr>
        <w:tab/>
      </w:r>
      <w:r>
        <w:rPr>
          <w:rFonts w:ascii="Arial" w:cs="Arial" w:eastAsia="Arial" w:hAnsi="Arial"/>
          <w:sz w:val="15"/>
          <w:szCs w:val="15"/>
          <w:color w:val="auto"/>
        </w:rPr>
        <w:t>/s/ Jose Gordo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23495</wp:posOffset>
            </wp:positionV>
            <wp:extent cx="318516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21">
                      <a:extLst>
                        <a:ext uri="{28A0092B-C50C-407E-A947-70E740481C1C}"/>
                      </a:extLst>
                    </a:blip>
                    <a:srcRect/>
                    <a:stretch>
                      <a:fillRect/>
                    </a:stretch>
                  </pic:blipFill>
                  <pic:spPr bwMode="auto">
                    <a:xfrm>
                      <a:off x="0" y="0"/>
                      <a:ext cx="3185160" cy="8255"/>
                    </a:xfrm>
                    <a:prstGeom prst="rect">
                      <a:avLst/>
                    </a:prstGeom>
                    <a:noFill/>
                  </pic:spPr>
                </pic:pic>
              </a:graphicData>
            </a:graphic>
          </wp:anchor>
        </w:drawing>
      </w:r>
    </w:p>
    <w:p>
      <w:pPr>
        <w:spacing w:after="0" w:line="2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Jose Gordo</w:t>
      </w:r>
    </w:p>
    <w:p>
      <w:pPr>
        <w:spacing w:after="0" w:line="3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R. Evans, certify that:</w:t>
      </w:r>
    </w:p>
    <w:p>
      <w:pPr>
        <w:spacing w:after="0" w:line="117" w:lineRule="exact"/>
        <w:rPr>
          <w:sz w:val="20"/>
          <w:szCs w:val="20"/>
          <w:color w:val="auto"/>
        </w:rPr>
      </w:pPr>
    </w:p>
    <w:p>
      <w:pPr>
        <w:ind w:left="380" w:hanging="372"/>
        <w:spacing w:after="0"/>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GEO Group, Inc.;</w:t>
      </w:r>
    </w:p>
    <w:p>
      <w:pPr>
        <w:spacing w:after="0" w:line="116" w:lineRule="exact"/>
        <w:rPr>
          <w:rFonts w:ascii="Arial" w:cs="Arial" w:eastAsia="Arial" w:hAnsi="Arial"/>
          <w:sz w:val="18"/>
          <w:szCs w:val="18"/>
          <w:color w:val="auto"/>
        </w:rPr>
      </w:pPr>
    </w:p>
    <w:p>
      <w:pPr>
        <w:jc w:val="both"/>
        <w:ind w:left="380" w:right="400" w:hanging="372"/>
        <w:spacing w:after="0" w:line="263" w:lineRule="auto"/>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380" w:right="360" w:hanging="372"/>
        <w:spacing w:after="0" w:line="307" w:lineRule="auto"/>
        <w:tabs>
          <w:tab w:leader="none" w:pos="3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380" w:right="400" w:hanging="372"/>
        <w:spacing w:after="0" w:line="263" w:lineRule="auto"/>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760" w:right="280" w:hanging="378"/>
        <w:spacing w:after="0" w:line="263" w:lineRule="auto"/>
        <w:tabs>
          <w:tab w:leader="none" w:pos="7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760" w:right="600" w:hanging="378"/>
        <w:spacing w:after="0" w:line="263" w:lineRule="auto"/>
        <w:tabs>
          <w:tab w:leader="none" w:pos="7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760" w:right="780" w:hanging="378"/>
        <w:spacing w:after="0" w:line="341" w:lineRule="auto"/>
        <w:tabs>
          <w:tab w:leader="none" w:pos="7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760" w:right="280" w:hanging="378"/>
        <w:spacing w:after="0" w:line="263" w:lineRule="auto"/>
        <w:tabs>
          <w:tab w:leader="none" w:pos="7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380" w:right="300" w:hanging="372"/>
        <w:spacing w:after="0" w:line="307" w:lineRule="auto"/>
        <w:tabs>
          <w:tab w:leader="none" w:pos="3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760" w:right="180" w:hanging="378"/>
        <w:spacing w:after="0" w:line="277" w:lineRule="auto"/>
        <w:tabs>
          <w:tab w:leader="none" w:pos="7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760" w:right="140" w:hanging="378"/>
        <w:spacing w:after="0" w:line="277" w:lineRule="auto"/>
        <w:tabs>
          <w:tab w:leader="none" w:pos="7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20"/>
        <w:spacing w:after="0"/>
        <w:tabs>
          <w:tab w:leader="none" w:pos="6180" w:val="left"/>
        </w:tabs>
        <w:rPr>
          <w:sz w:val="20"/>
          <w:szCs w:val="20"/>
          <w:color w:val="auto"/>
        </w:rPr>
      </w:pPr>
      <w:r>
        <w:rPr>
          <w:rFonts w:ascii="Arial" w:cs="Arial" w:eastAsia="Arial" w:hAnsi="Arial"/>
          <w:sz w:val="18"/>
          <w:szCs w:val="18"/>
          <w:color w:val="auto"/>
        </w:rPr>
        <w:t>Date: February 27, 2023</w:t>
      </w:r>
      <w:r>
        <w:rPr>
          <w:sz w:val="20"/>
          <w:szCs w:val="20"/>
          <w:color w:val="auto"/>
        </w:rPr>
        <w:tab/>
      </w:r>
      <w:r>
        <w:rPr>
          <w:rFonts w:ascii="Arial" w:cs="Arial" w:eastAsia="Arial" w:hAnsi="Arial"/>
          <w:sz w:val="16"/>
          <w:szCs w:val="16"/>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23495</wp:posOffset>
            </wp:positionV>
            <wp:extent cx="321119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23">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2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Brian R. Evans</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jc w:val="both"/>
        <w:ind w:right="280" w:firstLine="509"/>
        <w:spacing w:after="0" w:line="286" w:lineRule="auto"/>
        <w:rPr>
          <w:sz w:val="20"/>
          <w:szCs w:val="20"/>
          <w:color w:val="auto"/>
        </w:rPr>
      </w:pPr>
      <w:r>
        <w:rPr>
          <w:rFonts w:ascii="Arial" w:cs="Arial" w:eastAsia="Arial" w:hAnsi="Arial"/>
          <w:sz w:val="17"/>
          <w:szCs w:val="17"/>
          <w:color w:val="auto"/>
        </w:rPr>
        <w:t>In connection with the Annual Report on Form 10-K of The GEO Group, Inc. (the “Company”) for the period ended December 31, 2022 as filed with the Securities and Exchange Commission on the date hereof (the “Report”), I, Jose Gordo, Chief Executive Officer of the Company, hereby certify, pursuant to 18 U.S.C. Section 1350, as adopted pursuant to Section 906 of the Sarbanes-Oxley Act of 2002 that:</w:t>
      </w:r>
    </w:p>
    <w:p>
      <w:pPr>
        <w:spacing w:after="0" w:line="56" w:lineRule="exact"/>
        <w:rPr>
          <w:sz w:val="20"/>
          <w:szCs w:val="20"/>
          <w:color w:val="auto"/>
        </w:rPr>
      </w:pPr>
    </w:p>
    <w:p>
      <w:pPr>
        <w:ind w:left="1020" w:hanging="504"/>
        <w:spacing w:after="0"/>
        <w:tabs>
          <w:tab w:leader="none" w:pos="10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20" w:right="620" w:hanging="504"/>
        <w:spacing w:after="0" w:line="277" w:lineRule="auto"/>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Jose Gordo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115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25">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Jose Gordo</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In connection with the Annual Report on Form 10-K of The GEO Group, Inc. (the “Company”) for the period ended December 31, 2022 as filed with the Securities and Exchange Commission on the date hereof (the “Report”), I, Brian R. Evans, Chief Financial Officer of the Company, hereby certify, pursuant to 18 U.S.C. Section 1350, as adopted pursuant to Section 906 of the Sarbanes-Oxley Act of 2002 that:</w:t>
      </w:r>
    </w:p>
    <w:p>
      <w:pPr>
        <w:spacing w:after="0" w:line="56" w:lineRule="exact"/>
        <w:rPr>
          <w:sz w:val="20"/>
          <w:szCs w:val="20"/>
          <w:color w:val="auto"/>
        </w:rPr>
      </w:pPr>
    </w:p>
    <w:p>
      <w:pPr>
        <w:ind w:left="1020" w:hanging="504"/>
        <w:spacing w:after="0"/>
        <w:tabs>
          <w:tab w:leader="none" w:pos="10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20" w:right="620" w:hanging="504"/>
        <w:spacing w:after="0" w:line="277"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115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7">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R. Evans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7" w:name="page168"/>
    <w:bookmarkEnd w:id="1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1)"/>
      <w:numFmt w:val="decimal"/>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1)"/>
      <w:numFmt w:val="lowerLetter"/>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5">
    <w:nsid w:val="70C6A529"/>
    <w:multiLevelType w:val="hybridMultilevel"/>
    <w:lvl w:ilvl="0">
      <w:lvlJc w:val="left"/>
      <w:lvlText w:val="[%1]"/>
      <w:numFmt w:val="decimal"/>
      <w:start w:val="1"/>
    </w:lvl>
  </w:abstractNum>
  <w:abstractNum w:abstractNumId="36">
    <w:nsid w:val="520EEDD1"/>
    <w:multiLevelType w:val="hybridMultilevel"/>
    <w:lvl w:ilvl="0">
      <w:lvlJc w:val="left"/>
      <w:lvlText w:val="%1."/>
      <w:numFmt w:val="decimal"/>
      <w:start w:val="1"/>
    </w:lvl>
  </w:abstractNum>
  <w:abstractNum w:abstractNumId="37">
    <w:nsid w:val="374A3FE6"/>
    <w:multiLevelType w:val="hybridMultilevel"/>
    <w:lvl w:ilvl="0">
      <w:lvlJc w:val="left"/>
      <w:lvlText w:val="[%1]"/>
      <w:numFmt w:val="decimal"/>
      <w:start w:val="1"/>
    </w:lvl>
  </w:abstractNum>
  <w:abstractNum w:abstractNumId="38">
    <w:nsid w:val="4F4EF005"/>
    <w:multiLevelType w:val="hybridMultilevel"/>
    <w:lvl w:ilvl="0">
      <w:lvlJc w:val="left"/>
      <w:lvlText w:val="%1."/>
      <w:numFmt w:val="decimal"/>
      <w:start w:val="2"/>
    </w:lvl>
  </w:abstractNum>
  <w:abstractNum w:abstractNumId="39">
    <w:nsid w:val="23F9C13C"/>
    <w:multiLevelType w:val="hybridMultilevel"/>
    <w:lvl w:ilvl="0">
      <w:lvlJc w:val="left"/>
      <w:lvlText w:val="%1."/>
      <w:numFmt w:val="decimal"/>
      <w:start w:val="3"/>
    </w:lvl>
  </w:abstractNum>
  <w:abstractNum w:abstractNumId="40">
    <w:nsid w:val="649BB77C"/>
    <w:multiLevelType w:val="hybridMultilevel"/>
    <w:lvl w:ilvl="0">
      <w:lvlJc w:val="left"/>
      <w:lvlText w:val="%1."/>
      <w:numFmt w:val="decimal"/>
      <w:start w:val="4"/>
    </w:lvl>
  </w:abstractNum>
  <w:abstractNum w:abstractNumId="41">
    <w:nsid w:val="275AC794"/>
    <w:multiLevelType w:val="hybridMultilevel"/>
    <w:lvl w:ilvl="0">
      <w:lvlJc w:val="left"/>
      <w:lvlText w:val="%1."/>
      <w:numFmt w:val="decimal"/>
      <w:start w:val="5"/>
    </w:lvl>
  </w:abstractNum>
  <w:abstractNum w:abstractNumId="42">
    <w:nsid w:val="39386575"/>
    <w:multiLevelType w:val="hybridMultilevel"/>
    <w:lvl w:ilvl="0">
      <w:lvlJc w:val="left"/>
      <w:lvlText w:val="%1."/>
      <w:numFmt w:val="decimal"/>
      <w:start w:val="6"/>
    </w:lvl>
  </w:abstractNum>
  <w:abstractNum w:abstractNumId="43">
    <w:nsid w:val="1CF10FD8"/>
    <w:multiLevelType w:val="hybridMultilevel"/>
    <w:lvl w:ilvl="0">
      <w:lvlJc w:val="left"/>
      <w:lvlText w:val="%1."/>
      <w:numFmt w:val="decimal"/>
      <w:start w:val="7"/>
    </w:lvl>
  </w:abstractNum>
  <w:abstractNum w:abstractNumId="44">
    <w:nsid w:val="180115BE"/>
    <w:multiLevelType w:val="hybridMultilevel"/>
    <w:lvl w:ilvl="0">
      <w:lvlJc w:val="left"/>
      <w:lvlText w:val="%1."/>
      <w:numFmt w:val="decimal"/>
      <w:start w:val="8"/>
    </w:lvl>
  </w:abstractNum>
  <w:abstractNum w:abstractNumId="45">
    <w:nsid w:val="235BA861"/>
    <w:multiLevelType w:val="hybridMultilevel"/>
    <w:lvl w:ilvl="0">
      <w:lvlJc w:val="left"/>
      <w:lvlText w:val="%1."/>
      <w:numFmt w:val="decimal"/>
      <w:start w:val="9"/>
    </w:lvl>
  </w:abstractNum>
  <w:abstractNum w:abstractNumId="46">
    <w:nsid w:val="47398C89"/>
    <w:multiLevelType w:val="hybridMultilevel"/>
    <w:lvl w:ilvl="0">
      <w:lvlJc w:val="left"/>
      <w:lvlText w:val="%1."/>
      <w:numFmt w:val="decimal"/>
      <w:start w:val="10"/>
    </w:lvl>
  </w:abstractNum>
  <w:abstractNum w:abstractNumId="47">
    <w:nsid w:val="354FE9F9"/>
    <w:multiLevelType w:val="hybridMultilevel"/>
    <w:lvl w:ilvl="0">
      <w:lvlJc w:val="left"/>
      <w:lvlText w:val="%1."/>
      <w:numFmt w:val="decimal"/>
      <w:start w:val="1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1)"/>
      <w:numFmt w:val="lowerRoman"/>
      <w:start w:val="6"/>
    </w:lvl>
  </w:abstractNum>
  <w:abstractNum w:abstractNumId="50">
    <w:nsid w:val="D34B6A8"/>
    <w:multiLevelType w:val="hybridMultilevel"/>
    <w:lvl w:ilvl="0">
      <w:lvlJc w:val="left"/>
      <w:lvlText w:val="%1."/>
      <w:numFmt w:val="decimal"/>
      <w:start w:val="13"/>
    </w:lvl>
  </w:abstractNum>
  <w:abstractNum w:abstractNumId="51">
    <w:nsid w:val="10233C99"/>
    <w:multiLevelType w:val="hybridMultilevel"/>
    <w:lvl w:ilvl="0">
      <w:lvlJc w:val="left"/>
      <w:lvlText w:val="%1."/>
      <w:numFmt w:val="decimal"/>
      <w:start w:val="14"/>
    </w:lvl>
  </w:abstractNum>
  <w:abstractNum w:abstractNumId="52">
    <w:nsid w:val="3F6AB60F"/>
    <w:multiLevelType w:val="hybridMultilevel"/>
    <w:lvl w:ilvl="0">
      <w:lvlJc w:val="left"/>
      <w:lvlText w:val="%1."/>
      <w:numFmt w:val="decimal"/>
      <w:start w:val="15"/>
    </w:lvl>
  </w:abstractNum>
  <w:abstractNum w:abstractNumId="53">
    <w:nsid w:val="61574095"/>
    <w:multiLevelType w:val="hybridMultilevel"/>
    <w:lvl w:ilvl="0">
      <w:lvlJc w:val="left"/>
      <w:lvlText w:val="%1."/>
      <w:numFmt w:val="decimal"/>
      <w:start w:val="16"/>
    </w:lvl>
  </w:abstractNum>
  <w:abstractNum w:abstractNumId="54">
    <w:nsid w:val="7E0C57B1"/>
    <w:multiLevelType w:val="hybridMultilevel"/>
    <w:lvl w:ilvl="0">
      <w:lvlJc w:val="left"/>
      <w:lvlText w:val="%1."/>
      <w:numFmt w:val="decimal"/>
      <w:start w:val="17"/>
    </w:lvl>
  </w:abstractNum>
  <w:abstractNum w:abstractNumId="55">
    <w:nsid w:val="77AE35EB"/>
    <w:multiLevelType w:val="hybridMultilevel"/>
    <w:lvl w:ilvl="0">
      <w:lvlJc w:val="left"/>
      <w:lvlText w:val="%1."/>
      <w:numFmt w:val="decimal"/>
      <w:start w:val="18"/>
    </w:lvl>
  </w:abstractNum>
  <w:abstractNum w:abstractNumId="56">
    <w:nsid w:val="579BE4F1"/>
    <w:multiLevelType w:val="hybridMultilevel"/>
    <w:lvl w:ilvl="0">
      <w:lvlJc w:val="left"/>
      <w:lvlText w:val="(%1)"/>
      <w:numFmt w:val="decimal"/>
      <w:start w:val="2"/>
    </w:lvl>
  </w:abstractNum>
  <w:abstractNum w:abstractNumId="57">
    <w:nsid w:val="310C50B3"/>
    <w:multiLevelType w:val="hybridMultilevel"/>
    <w:lvl w:ilvl="0">
      <w:lvlJc w:val="left"/>
      <w:lvlText w:val="(%1)"/>
      <w:numFmt w:val="decimal"/>
      <w:start w:val="3"/>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
      <w:numFmt w:val="bullet"/>
      <w:start w:val="1"/>
    </w:lvl>
  </w:abstractNum>
  <w:abstractNum w:abstractNumId="62">
    <w:nsid w:val="4AD084E9"/>
    <w:multiLevelType w:val="hybridMultilevel"/>
    <w:lvl w:ilvl="0">
      <w:lvlJc w:val="left"/>
      <w:lvlText w:val="•"/>
      <w:numFmt w:val="bullet"/>
      <w:start w:val="1"/>
    </w:lvl>
  </w:abstractNum>
  <w:abstractNum w:abstractNumId="63">
    <w:nsid w:val="1F48EAA1"/>
    <w:multiLevelType w:val="hybridMultilevel"/>
    <w:lvl w:ilvl="0">
      <w:lvlJc w:val="left"/>
      <w:lvlText w:val="%1."/>
      <w:numFmt w:val="decimal"/>
      <w:start w:val="1"/>
    </w:lvl>
  </w:abstractNum>
  <w:abstractNum w:abstractNumId="64">
    <w:nsid w:val="1381823A"/>
    <w:multiLevelType w:val="hybridMultilevel"/>
    <w:lvl w:ilvl="0">
      <w:lvlJc w:val="left"/>
      <w:lvlText w:val="%1."/>
      <w:numFmt w:val="decimal"/>
      <w:start w:val="3"/>
    </w:lvl>
  </w:abstractNum>
  <w:abstractNum w:abstractNumId="65">
    <w:nsid w:val="5DB70AE5"/>
    <w:multiLevelType w:val="hybridMultilevel"/>
    <w:lvl w:ilvl="0">
      <w:lvlJc w:val="left"/>
      <w:lvlText w:val="%1"/>
      <w:numFmt w:val="upperLetter"/>
      <w:start w:val="55"/>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7" Type="http://schemas.openxmlformats.org/officeDocument/2006/relationships/image" Target="media/image409.png"/><Relationship Id="rId423" Type="http://schemas.openxmlformats.org/officeDocument/2006/relationships/image" Target="media/image410.png"/><Relationship Id="rId424" Type="http://schemas.openxmlformats.org/officeDocument/2006/relationships/image" Target="media/image411.png"/><Relationship Id="rId425" Type="http://schemas.openxmlformats.org/officeDocument/2006/relationships/image" Target="media/image412.png"/><Relationship Id="rId428" Type="http://schemas.openxmlformats.org/officeDocument/2006/relationships/image" Target="media/image413.png"/><Relationship Id="rId430" Type="http://schemas.openxmlformats.org/officeDocument/2006/relationships/image" Target="media/image414.png"/><Relationship Id="rId431" Type="http://schemas.openxmlformats.org/officeDocument/2006/relationships/image" Target="media/image415.png"/><Relationship Id="rId433" Type="http://schemas.openxmlformats.org/officeDocument/2006/relationships/image" Target="media/image416.png"/><Relationship Id="rId434" Type="http://schemas.openxmlformats.org/officeDocument/2006/relationships/image" Target="media/image417.png"/><Relationship Id="rId436" Type="http://schemas.openxmlformats.org/officeDocument/2006/relationships/image" Target="media/image418.png"/><Relationship Id="rId440" Type="http://schemas.openxmlformats.org/officeDocument/2006/relationships/image" Target="media/image419.png"/><Relationship Id="rId441" Type="http://schemas.openxmlformats.org/officeDocument/2006/relationships/image" Target="media/image420.png"/><Relationship Id="rId444" Type="http://schemas.openxmlformats.org/officeDocument/2006/relationships/image" Target="media/image421.png"/><Relationship Id="rId446" Type="http://schemas.openxmlformats.org/officeDocument/2006/relationships/image" Target="media/image422.png"/><Relationship Id="rId448" Type="http://schemas.openxmlformats.org/officeDocument/2006/relationships/image" Target="media/image423.png"/><Relationship Id="rId449" Type="http://schemas.openxmlformats.org/officeDocument/2006/relationships/image" Target="media/image424.png"/><Relationship Id="rId457" Type="http://schemas.openxmlformats.org/officeDocument/2006/relationships/image" Target="media/image425.png"/><Relationship Id="rId458" Type="http://schemas.openxmlformats.org/officeDocument/2006/relationships/image" Target="media/image426.png"/><Relationship Id="rId459" Type="http://schemas.openxmlformats.org/officeDocument/2006/relationships/image" Target="media/image427.png"/><Relationship Id="rId465" Type="http://schemas.openxmlformats.org/officeDocument/2006/relationships/image" Target="media/image428.png"/><Relationship Id="rId466" Type="http://schemas.openxmlformats.org/officeDocument/2006/relationships/image" Target="media/image429.png"/><Relationship Id="rId467" Type="http://schemas.openxmlformats.org/officeDocument/2006/relationships/image" Target="media/image430.png"/><Relationship Id="rId468" Type="http://schemas.openxmlformats.org/officeDocument/2006/relationships/image" Target="media/image431.png"/><Relationship Id="rId471" Type="http://schemas.openxmlformats.org/officeDocument/2006/relationships/image" Target="media/image432.png"/><Relationship Id="rId473" Type="http://schemas.openxmlformats.org/officeDocument/2006/relationships/image" Target="media/image433.png"/><Relationship Id="rId474" Type="http://schemas.openxmlformats.org/officeDocument/2006/relationships/image" Target="media/image434.png"/><Relationship Id="rId480" Type="http://schemas.openxmlformats.org/officeDocument/2006/relationships/image" Target="media/image435.png"/><Relationship Id="rId481" Type="http://schemas.openxmlformats.org/officeDocument/2006/relationships/image" Target="media/image436.png"/><Relationship Id="rId487" Type="http://schemas.openxmlformats.org/officeDocument/2006/relationships/image" Target="media/image437.png"/><Relationship Id="rId488" Type="http://schemas.openxmlformats.org/officeDocument/2006/relationships/image" Target="media/image438.png"/><Relationship Id="rId492" Type="http://schemas.openxmlformats.org/officeDocument/2006/relationships/image" Target="media/image439.png"/><Relationship Id="rId493" Type="http://schemas.openxmlformats.org/officeDocument/2006/relationships/image" Target="media/image440.png"/><Relationship Id="rId494" Type="http://schemas.openxmlformats.org/officeDocument/2006/relationships/image" Target="media/image441.png"/><Relationship Id="rId495" Type="http://schemas.openxmlformats.org/officeDocument/2006/relationships/image" Target="media/image442.png"/><Relationship Id="rId496" Type="http://schemas.openxmlformats.org/officeDocument/2006/relationships/image" Target="media/image443.png"/><Relationship Id="rId497" Type="http://schemas.openxmlformats.org/officeDocument/2006/relationships/image" Target="media/image444.png"/><Relationship Id="rId498" Type="http://schemas.openxmlformats.org/officeDocument/2006/relationships/image" Target="media/image445.png"/><Relationship Id="rId499" Type="http://schemas.openxmlformats.org/officeDocument/2006/relationships/image" Target="media/image446.png"/><Relationship Id="rId500" Type="http://schemas.openxmlformats.org/officeDocument/2006/relationships/image" Target="media/image447.png"/><Relationship Id="rId501" Type="http://schemas.openxmlformats.org/officeDocument/2006/relationships/image" Target="media/image448.png"/><Relationship Id="rId502" Type="http://schemas.openxmlformats.org/officeDocument/2006/relationships/image" Target="media/image449.png"/><Relationship Id="rId503" Type="http://schemas.openxmlformats.org/officeDocument/2006/relationships/image" Target="media/image450.png"/><Relationship Id="rId504" Type="http://schemas.openxmlformats.org/officeDocument/2006/relationships/image" Target="media/image451.png"/><Relationship Id="rId505" Type="http://schemas.openxmlformats.org/officeDocument/2006/relationships/image" Target="media/image452.png"/><Relationship Id="rId506" Type="http://schemas.openxmlformats.org/officeDocument/2006/relationships/image" Target="media/image453.png"/><Relationship Id="rId507" Type="http://schemas.openxmlformats.org/officeDocument/2006/relationships/image" Target="media/image454.png"/><Relationship Id="rId508" Type="http://schemas.openxmlformats.org/officeDocument/2006/relationships/image" Target="media/image455.png"/><Relationship Id="rId509" Type="http://schemas.openxmlformats.org/officeDocument/2006/relationships/image" Target="media/image456.png"/><Relationship Id="rId510" Type="http://schemas.openxmlformats.org/officeDocument/2006/relationships/image" Target="media/image457.png"/><Relationship Id="rId511" Type="http://schemas.openxmlformats.org/officeDocument/2006/relationships/image" Target="media/image458.png"/><Relationship Id="rId512" Type="http://schemas.openxmlformats.org/officeDocument/2006/relationships/image" Target="media/image459.png"/><Relationship Id="rId513" Type="http://schemas.openxmlformats.org/officeDocument/2006/relationships/image" Target="media/image460.png"/><Relationship Id="rId514" Type="http://schemas.openxmlformats.org/officeDocument/2006/relationships/image" Target="media/image461.png"/><Relationship Id="rId515" Type="http://schemas.openxmlformats.org/officeDocument/2006/relationships/image" Target="media/image462.png"/><Relationship Id="rId516" Type="http://schemas.openxmlformats.org/officeDocument/2006/relationships/image" Target="media/image463.png"/><Relationship Id="rId517" Type="http://schemas.openxmlformats.org/officeDocument/2006/relationships/image" Target="media/image464.png"/><Relationship Id="rId518" Type="http://schemas.openxmlformats.org/officeDocument/2006/relationships/image" Target="media/image465.png"/><Relationship Id="rId519" Type="http://schemas.openxmlformats.org/officeDocument/2006/relationships/image" Target="media/image466.png"/><Relationship Id="rId520" Type="http://schemas.openxmlformats.org/officeDocument/2006/relationships/image" Target="media/image467.png"/><Relationship Id="rId521" Type="http://schemas.openxmlformats.org/officeDocument/2006/relationships/image" Target="media/image468.png"/><Relationship Id="rId522" Type="http://schemas.openxmlformats.org/officeDocument/2006/relationships/image" Target="media/image469.png"/><Relationship Id="rId523" Type="http://schemas.openxmlformats.org/officeDocument/2006/relationships/image" Target="media/image470.png"/><Relationship Id="rId524" Type="http://schemas.openxmlformats.org/officeDocument/2006/relationships/image" Target="media/image471.png"/><Relationship Id="rId525" Type="http://schemas.openxmlformats.org/officeDocument/2006/relationships/image" Target="media/image472.png"/><Relationship Id="rId526" Type="http://schemas.openxmlformats.org/officeDocument/2006/relationships/image" Target="media/image473.png"/><Relationship Id="rId527" Type="http://schemas.openxmlformats.org/officeDocument/2006/relationships/image" Target="media/image474.png"/><Relationship Id="rId528" Type="http://schemas.openxmlformats.org/officeDocument/2006/relationships/image" Target="media/image475.png"/><Relationship Id="rId416" Type="http://schemas.openxmlformats.org/officeDocument/2006/relationships/hyperlink" Target="https://www.sec.gov/Archives/edgar/data/923796/000119312514254491/d750635dex31.htm" TargetMode="External"/><Relationship Id="rId418" Type="http://schemas.openxmlformats.org/officeDocument/2006/relationships/hyperlink" Target="https://www.sec.gov/Archives/edgar/data/923796/000119312514254491/d750635dex32.htm" TargetMode="External"/><Relationship Id="rId419" Type="http://schemas.openxmlformats.org/officeDocument/2006/relationships/hyperlink" Target="https://www.sec.gov/Archives/edgar/data/923796/000119312517137344/d384798dex31.htm" TargetMode="External"/><Relationship Id="rId420" Type="http://schemas.openxmlformats.org/officeDocument/2006/relationships/hyperlink" Target="https://www.sec.gov/Archives/edgar/data/0000923796/000119312521195250/d192125dex31.htm" TargetMode="External"/><Relationship Id="rId421" Type="http://schemas.openxmlformats.org/officeDocument/2006/relationships/hyperlink" Target="https://www.sec.gov/Archives/edgar/data/0000923796/000119312522019826/d305099dex31.htm" TargetMode="External"/><Relationship Id="rId422" Type="http://schemas.openxmlformats.org/officeDocument/2006/relationships/hyperlink" Target="https://www.sec.gov/Archives/edgar/data/0000923796/000119312522045923/d106900dex31.htm" TargetMode="External"/><Relationship Id="rId426" Type="http://schemas.openxmlformats.org/officeDocument/2006/relationships/hyperlink" Target="https://www.sec.gov/Archives/edgar/data/923796/000119312522313783/d398856dex31.htm" TargetMode="External"/><Relationship Id="rId427" Type="http://schemas.openxmlformats.org/officeDocument/2006/relationships/hyperlink" Target="https://www.sec.gov/Archives/edgar/data/923796/000119312514360857/d795633dex41.htm" TargetMode="External"/><Relationship Id="rId429" Type="http://schemas.openxmlformats.org/officeDocument/2006/relationships/hyperlink" Target="https://www.sec.gov/Archives/edgar/data/923796/000119312514360857/d795633dex42.htm" TargetMode="External"/><Relationship Id="rId432" Type="http://schemas.openxmlformats.org/officeDocument/2006/relationships/hyperlink" Target="https://www.sec.gov/Archives/edgar/data/923796/000119312516545008/d172173dex41.htm" TargetMode="External"/><Relationship Id="rId435" Type="http://schemas.openxmlformats.org/officeDocument/2006/relationships/hyperlink" Target="https://www.sec.gov/Archives/edgar/data/0000923796/000119312521065641/d85561dex41.htm" TargetMode="External"/><Relationship Id="rId437" Type="http://schemas.openxmlformats.org/officeDocument/2006/relationships/hyperlink" Target="https://www.sec.gov/Archives/edgar/data/923796/000119312522230195/d392591dex41.htm" TargetMode="External"/><Relationship Id="rId438" Type="http://schemas.openxmlformats.org/officeDocument/2006/relationships/hyperlink" Target="https://www.sec.gov/Archives/edgar/data/923796/000119312522230195/d392591dex43.htm" TargetMode="External"/><Relationship Id="rId439" Type="http://schemas.openxmlformats.org/officeDocument/2006/relationships/hyperlink" Target="https://www.sec.gov/Archives/edgar/data/923796/000119312522230195/d392591dex46.htm" TargetMode="External"/><Relationship Id="rId442" Type="http://schemas.openxmlformats.org/officeDocument/2006/relationships/hyperlink" Target="https://www.sec.gov/Archives/edgar/data/923796/000119312522230195/d392591dex47.htm" TargetMode="External"/><Relationship Id="rId443" Type="http://schemas.openxmlformats.org/officeDocument/2006/relationships/hyperlink" Target="https://www.sec.gov/Archives/edgar/data/914670/000119312520282734/d12605dex41.htm" TargetMode="External"/><Relationship Id="rId445" Type="http://schemas.openxmlformats.org/officeDocument/2006/relationships/hyperlink" Target="https://www.sec.gov/Archives/edgar/data/914670/000119312520282734/d12605dex42.htm" TargetMode="External"/><Relationship Id="rId447" Type="http://schemas.openxmlformats.org/officeDocument/2006/relationships/hyperlink" Target="https://www.sec.gov/Archives/edgar/data/923796/000119312519050054/d663410dex103.htm" TargetMode="External"/><Relationship Id="rId450" Type="http://schemas.openxmlformats.org/officeDocument/2006/relationships/hyperlink" Target="https://www.sec.gov/Archives/edgar/data/923796/000095014409000110/g17230exv10w8.htm" TargetMode="External"/><Relationship Id="rId451" Type="http://schemas.openxmlformats.org/officeDocument/2006/relationships/hyperlink" Target="https://www.sec.gov/Archives/edgar/data/923796/000095012309028997/g19984exv10w1.htm" TargetMode="External"/><Relationship Id="rId452" Type="http://schemas.openxmlformats.org/officeDocument/2006/relationships/hyperlink" Target="https://www.sec.gov/Archives/edgar/data/923796/000095012311020922/g25405exv10w28.htm" TargetMode="External"/><Relationship Id="rId453" Type="http://schemas.openxmlformats.org/officeDocument/2006/relationships/hyperlink" Target="https://www.sec.gov/Archives/edgar/data/923796/000119312512090269/d259590dex1036.htm" TargetMode="External"/><Relationship Id="rId454" Type="http://schemas.openxmlformats.org/officeDocument/2006/relationships/hyperlink" Target="https://www.sec.gov/Archives/edgar/data/923796/000119312512090269/d259590dex1037.htm" TargetMode="External"/><Relationship Id="rId455" Type="http://schemas.openxmlformats.org/officeDocument/2006/relationships/hyperlink" Target="https://www.sec.gov/Archives/edgar/data/923796/000119312512090269/d259590dex1038.htm" TargetMode="External"/><Relationship Id="rId456" Type="http://schemas.openxmlformats.org/officeDocument/2006/relationships/hyperlink" Target="https://www.sec.gov/Archives/edgar/data/0000923796/000119312512090269/d259590dex1039.htm" TargetMode="External"/><Relationship Id="rId460" Type="http://schemas.openxmlformats.org/officeDocument/2006/relationships/hyperlink" Target="https://www.sec.gov/Archives/edgar/data/923796/000119312512090269/d259590dex1040.htm" TargetMode="External"/><Relationship Id="rId461" Type="http://schemas.openxmlformats.org/officeDocument/2006/relationships/hyperlink" Target="https://www.sec.gov/Archives/edgar/data/923796/000119312516690048/d247455dex101.htm" TargetMode="External"/><Relationship Id="rId462" Type="http://schemas.openxmlformats.org/officeDocument/2006/relationships/hyperlink" Target="https://www.sec.gov/Archives/edgar/data/923796/000119312517101954/d316743dex101.htm" TargetMode="External"/><Relationship Id="rId463" Type="http://schemas.openxmlformats.org/officeDocument/2006/relationships/hyperlink" Target="https://www.sec.gov/Archives/edgar/data/923796/000119312518152758/d564439dex101.htm" TargetMode="External"/><Relationship Id="rId464" Type="http://schemas.openxmlformats.org/officeDocument/2006/relationships/hyperlink" Target="https://www.sec.gov/Archives/edgar/data/923796/000119312519138425/d651801dex101.htm" TargetMode="External"/><Relationship Id="rId469" Type="http://schemas.openxmlformats.org/officeDocument/2006/relationships/hyperlink" Target="https://www.sec.gov/Archives/edgar/data/0000923796/000156459020021968/geo-10q_20200331.htm" TargetMode="External"/><Relationship Id="rId470" Type="http://schemas.openxmlformats.org/officeDocument/2006/relationships/hyperlink" Target="https://www.sec.gov/Archives/edgar/data/923796/000119312519212102/d759337dex101.htm" TargetMode="External"/><Relationship Id="rId472" Type="http://schemas.openxmlformats.org/officeDocument/2006/relationships/hyperlink" Target="https://www.sec.gov/Archives/edgar/data/923796/000119312522230195/d392591dex102.htm" TargetMode="External"/><Relationship Id="rId475" Type="http://schemas.openxmlformats.org/officeDocument/2006/relationships/hyperlink" Target="https://www.sec.gov/Archives/edgar/data/0000923796/000119312521124974/d79491dex101.htm" TargetMode="External"/><Relationship Id="rId476" Type="http://schemas.openxmlformats.org/officeDocument/2006/relationships/hyperlink" Target="https://www.sec.gov/Archives/edgar/data/0000923796/000119312521150222/d178751dex101.htm" TargetMode="External"/><Relationship Id="rId477" Type="http://schemas.openxmlformats.org/officeDocument/2006/relationships/hyperlink" Target="https://www.sec.gov/Archives/edgar/data/0000923796/000119312521150222/d178751dex102.htm" TargetMode="External"/><Relationship Id="rId478" Type="http://schemas.openxmlformats.org/officeDocument/2006/relationships/hyperlink" Target="https://www.sec.gov/Archives/edgar/data/0000923796/000119312521177770/d318382dex101.htm" TargetMode="External"/><Relationship Id="rId479" Type="http://schemas.openxmlformats.org/officeDocument/2006/relationships/hyperlink" Target="https://www.sec.gov/Archives/edgar/data/0000923796/000119312521177770/d318382dex102.htm" TargetMode="External"/><Relationship Id="rId482" Type="http://schemas.openxmlformats.org/officeDocument/2006/relationships/hyperlink" Target="https://www.sec.gov/Archives/edgar/data/0000923796/000119312521177770/d318382dex103.htm" TargetMode="External"/><Relationship Id="rId483" Type="http://schemas.openxmlformats.org/officeDocument/2006/relationships/hyperlink" Target="https://www.sec.gov/Archives/edgar/data/0000923796/000119312521177770/d318382dex104.htm" TargetMode="External"/><Relationship Id="rId484" Type="http://schemas.openxmlformats.org/officeDocument/2006/relationships/hyperlink" Target="https://www.sec.gov/Archives/edgar/data/923796/000119312522196691/d346175dex101.htm" TargetMode="External"/><Relationship Id="rId485" Type="http://schemas.openxmlformats.org/officeDocument/2006/relationships/hyperlink" Target="https://www.sec.gov/Archives/edgar/data/923796/000119312522230195/d392591dex103.htm" TargetMode="External"/><Relationship Id="rId486" Type="http://schemas.openxmlformats.org/officeDocument/2006/relationships/hyperlink" Target="https://www.sec.gov/Archives/edgar/data/923796/000119312522230195/d392591dex104.htm" TargetMode="External"/><Relationship Id="rId489" Type="http://schemas.openxmlformats.org/officeDocument/2006/relationships/hyperlink" Target="https://www.sec.gov/Archives/edgar/data/923796/000119312523003674/d416884dex101.htm" TargetMode="External"/><Relationship Id="rId490" Type="http://schemas.openxmlformats.org/officeDocument/2006/relationships/hyperlink" Target="https://www.sec.gov/Archives/edgar/data/923796/000119312523025645/d135134dex101.htm" TargetMode="External"/><Relationship Id="rId491" Type="http://schemas.openxmlformats.org/officeDocument/2006/relationships/hyperlink" Target="https://www.sec.gov/Archives/edgar/data/923796/000119312523040224/d41997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2023-02-27T21:07:35Z</dcterms:created>
  <dcterms:modified xsi:type="dcterms:W3CDTF">2023-02-27T21:07:35Z</dcterms:modified>
</cp:coreProperties>
</file>