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THE GEO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1-14260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65-0043078</w:t>
      </w:r>
    </w:p>
    <w:p>
      <w:pPr>
        <w:spacing w:after="0" w:line="23" w:lineRule="exact"/>
        <w:rPr>
          <w:sz w:val="24"/>
          <w:szCs w:val="24"/>
          <w:color w:val="auto"/>
        </w:rPr>
      </w:pPr>
    </w:p>
    <w:p>
      <w:pPr>
        <w:sectPr>
          <w:pgSz w:w="11900" w:h="16838" w:orient="portrait"/>
          <w:cols w:equalWidth="0" w:num="3">
            <w:col w:w="4604" w:space="720"/>
            <w:col w:w="27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ind w:left="1124"/>
        <w:spacing w:after="0"/>
        <w:rPr>
          <w:sz w:val="20"/>
          <w:szCs w:val="20"/>
          <w:color w:val="auto"/>
        </w:rPr>
      </w:pPr>
      <w:r>
        <w:rPr>
          <w:rFonts w:ascii="Times New Roman" w:cs="Times New Roman" w:eastAsia="Times New Roman" w:hAnsi="Times New Roman"/>
          <w:sz w:val="17"/>
          <w:szCs w:val="17"/>
          <w:b w:val="1"/>
          <w:bCs w:val="1"/>
          <w:color w:val="auto"/>
        </w:rPr>
        <w:t>4955 Technology Way, Boca Raton, Florida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33431</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(561) 893-0101</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GEO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7"/>
          <w:szCs w:val="17"/>
          <w:b w:val="1"/>
          <w:bCs w:val="1"/>
          <w:color w:val="auto"/>
        </w:rPr>
        <w:t>Section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Registrant’s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-220980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684" w:space="520"/>
            <w:col w:w="9820"/>
          </w:cols>
          <w:pgMar w:left="436" w:top="293" w:right="439" w:bottom="1440" w:gutter="0" w:footer="0" w:header="0"/>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Item 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ectPr>
          <w:pgSz w:w="11900" w:h="16838" w:orient="portrait"/>
          <w:cols w:equalWidth="0" w:num="2">
            <w:col w:w="704" w:space="500"/>
            <w:col w:w="9820"/>
          </w:cols>
          <w:pgMar w:left="436" w:top="293" w:right="439" w:bottom="1440" w:gutter="0" w:footer="0" w:header="0"/>
          <w:type w:val="continuous"/>
        </w:sect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On November 13, 2025, The GEO Group, Inc. (“GEO” or the “Company”) entered into that certain Second Amendment to Credit Agreement (the “Amendment”), by and among each of GEO and GEO Corrections Holdings, Inc., as the Borrowers, the guarantors named therein, Citizens Bank, N.A., as administrative agent, and the lenders party thereto. The Amendment effectively removes the 3.00 to 1.00 total leverage ratio hurdle from one-half of the $150.0 million general carve-out to the Credit Agreement’s restricted payments negative covenant. The foregoing summary is qualified in its entirety by reference to the full text of the Amendment, a copy of which is filed as Exhibit 10.1 hereto to this Current Report on Form 8-K (the “Form 8-K”) and incorporated by reference herein.</w:t>
      </w:r>
    </w:p>
    <w:p>
      <w:pPr>
        <w:sectPr>
          <w:pgSz w:w="11900" w:h="16838" w:orient="portrait"/>
          <w:cols w:equalWidth="0" w:num="1">
            <w:col w:w="11024"/>
          </w:cols>
          <w:pgMar w:left="436" w:top="293" w:right="439" w:bottom="1440" w:gutter="0" w:footer="0" w:header="0"/>
          <w:type w:val="continuous"/>
        </w:sectPr>
      </w:pPr>
    </w:p>
    <w:p>
      <w:pPr>
        <w:spacing w:after="0" w:line="3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Section 2</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Information</w:t>
      </w:r>
    </w:p>
    <w:p>
      <w:pPr>
        <w:spacing w:after="0" w:line="142" w:lineRule="exact"/>
        <w:rPr>
          <w:sz w:val="20"/>
          <w:szCs w:val="20"/>
          <w:color w:val="auto"/>
        </w:rPr>
      </w:pPr>
    </w:p>
    <w:p>
      <w:pPr>
        <w:sectPr>
          <w:pgSz w:w="11900" w:h="16838" w:orient="portrait"/>
          <w:cols w:equalWidth="0" w:num="2">
            <w:col w:w="684" w:space="520"/>
            <w:col w:w="9820"/>
          </w:cols>
          <w:pgMar w:left="436" w:top="293"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b w:val="1"/>
          <w:bCs w:val="1"/>
          <w:color w:val="auto"/>
        </w:rPr>
        <w:t>Item 2.03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33" w:lineRule="exact"/>
        <w:rPr>
          <w:sz w:val="20"/>
          <w:szCs w:val="20"/>
          <w:color w:val="auto"/>
        </w:rPr>
      </w:pPr>
    </w:p>
    <w:p>
      <w:pPr>
        <w:sectPr>
          <w:pgSz w:w="11900" w:h="16838" w:orient="portrait"/>
          <w:cols w:equalWidth="0" w:num="2">
            <w:col w:w="704" w:space="500"/>
            <w:col w:w="9820"/>
          </w:cols>
          <w:pgMar w:left="436" w:top="293"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The information set forth in Item 1.01 of this Form 8-K is incorporated herein by reference.</w:t>
      </w:r>
    </w:p>
    <w:p>
      <w:pPr>
        <w:sectPr>
          <w:pgSz w:w="11900" w:h="16838" w:orient="portrait"/>
          <w:cols w:equalWidth="0" w:num="1">
            <w:col w:w="11024"/>
          </w:cols>
          <w:pgMar w:left="436" w:top="293" w:right="439" w:bottom="1440" w:gutter="0" w:footer="0" w:header="0"/>
          <w:type w:val="continuous"/>
        </w:sect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Section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sectPr>
          <w:pgSz w:w="11900" w:h="16838" w:orient="portrait"/>
          <w:cols w:equalWidth="0" w:num="2">
            <w:col w:w="684" w:space="520"/>
            <w:col w:w="9820"/>
          </w:cols>
          <w:pgMar w:left="436" w:top="293"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130" w:lineRule="exact"/>
        <w:rPr>
          <w:sz w:val="20"/>
          <w:szCs w:val="20"/>
          <w:color w:val="auto"/>
        </w:rPr>
      </w:pPr>
    </w:p>
    <w:p>
      <w:pPr>
        <w:sectPr>
          <w:pgSz w:w="11900" w:h="16838" w:orient="portrait"/>
          <w:cols w:equalWidth="0" w:num="2">
            <w:col w:w="764" w:space="440"/>
            <w:col w:w="9820"/>
          </w:cols>
          <w:pgMar w:left="436" w:top="293" w:right="439" w:bottom="1440" w:gutter="0" w:footer="0" w:header="0"/>
          <w:type w:val="continuous"/>
        </w:sect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10140" w:type="dxa"/>
            <w:vAlign w:val="bottom"/>
            <w:gridSpan w:val="3"/>
            <w:vMerge w:val="restart"/>
          </w:tcPr>
          <w:p>
            <w:pPr>
              <w:ind w:left="47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014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3"/>
                <w:szCs w:val="23"/>
                <w:color w:val="auto"/>
              </w:rPr>
            </w:pPr>
          </w:p>
        </w:tc>
        <w:tc>
          <w:tcPr>
            <w:tcW w:w="98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Second Amendment to Credit Agreement, dated as of November 13, 2025, among The GEO Group, Inc. and GEO Corrections Holdings,</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3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Inc., as borrowers, Citizens Bank, N.A. as Administrative Agent, the other loan parties thereto and the other lender parties thereto.</w:t>
            </w:r>
          </w:p>
        </w:tc>
        <w:tc>
          <w:tcPr>
            <w:tcW w:w="7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220" w:hanging="424"/>
        <w:spacing w:after="0" w:line="26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have been omitted pursuant to Item 601 of Regulation S-K. The Company hereby undertakes to furnish copies of any of the omitted schedules or exhibits to the SEC upon request by the SEC; provided that the Company may request confidential treatment pursuant to Rule 24b-2 of the Securities Exchange Act of 1934, as amended, for any schedules or exhibits so furnished.</w:t>
      </w:r>
    </w:p>
    <w:p>
      <w:pPr>
        <w:sectPr>
          <w:pgSz w:w="11900" w:h="16838" w:orient="portrait"/>
          <w:cols w:equalWidth="0" w:num="1">
            <w:col w:w="11024"/>
          </w:cols>
          <w:pgMar w:left="436" w:top="293" w:right="4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8340" w:type="dxa"/>
            <w:vAlign w:val="bottom"/>
            <w:gridSpan w:val="2"/>
          </w:tcPr>
          <w:p>
            <w:pPr>
              <w:ind w:left="2940"/>
              <w:spacing w:after="0"/>
              <w:rPr>
                <w:sz w:val="20"/>
                <w:szCs w:val="20"/>
                <w:color w:val="auto"/>
              </w:rPr>
            </w:pPr>
            <w:r>
              <w:rPr>
                <w:rFonts w:ascii="Times New Roman" w:cs="Times New Roman" w:eastAsia="Times New Roman" w:hAnsi="Times New Roman"/>
                <w:sz w:val="18"/>
                <w:szCs w:val="18"/>
                <w:b w:val="1"/>
                <w:bCs w:val="1"/>
                <w:color w:val="auto"/>
              </w:rPr>
              <w:t>THE GEO GROUP, INC.</w:t>
            </w:r>
          </w:p>
        </w:tc>
      </w:tr>
      <w:tr>
        <w:trPr>
          <w:trHeight w:val="438"/>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November 18, 2025                   </w:t>
            </w:r>
          </w:p>
        </w:tc>
        <w:tc>
          <w:tcPr>
            <w:tcW w:w="8340" w:type="dxa"/>
            <w:vAlign w:val="bottom"/>
            <w:gridSpan w:val="2"/>
          </w:tcPr>
          <w:p>
            <w:pPr>
              <w:ind w:left="2940"/>
              <w:spacing w:after="0"/>
              <w:rPr>
                <w:sz w:val="20"/>
                <w:szCs w:val="20"/>
                <w:color w:val="auto"/>
              </w:rPr>
            </w:pPr>
            <w:r>
              <w:rPr>
                <w:rFonts w:ascii="Times New Roman" w:cs="Times New Roman" w:eastAsia="Times New Roman" w:hAnsi="Times New Roman"/>
                <w:sz w:val="18"/>
                <w:szCs w:val="18"/>
                <w:color w:val="auto"/>
              </w:rPr>
              <w:t>By:  /s/ Mark J. Suchinski</w:t>
            </w:r>
          </w:p>
        </w:tc>
      </w:tr>
      <w:tr>
        <w:trPr>
          <w:trHeight w:val="198"/>
        </w:trPr>
        <w:tc>
          <w:tcPr>
            <w:tcW w:w="2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w:t>
            </w:r>
          </w:p>
        </w:tc>
        <w:tc>
          <w:tcPr>
            <w:tcW w:w="3380" w:type="dxa"/>
            <w:vAlign w:val="bottom"/>
          </w:tcPr>
          <w:p>
            <w:pPr>
              <w:spacing w:after="0"/>
              <w:rPr>
                <w:sz w:val="17"/>
                <w:szCs w:val="17"/>
                <w:color w:val="auto"/>
              </w:rPr>
            </w:pPr>
          </w:p>
        </w:tc>
        <w:tc>
          <w:tcPr>
            <w:tcW w:w="49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Mark J. Suchinski</w:t>
            </w:r>
          </w:p>
        </w:tc>
      </w:tr>
      <w:tr>
        <w:trPr>
          <w:trHeight w:val="216"/>
        </w:trPr>
        <w:tc>
          <w:tcPr>
            <w:tcW w:w="26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26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SECOND AMENDMENT TO CREDIT AGREEMENT</w:t>
      </w:r>
    </w:p>
    <w:p>
      <w:pPr>
        <w:spacing w:after="0" w:line="229"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This SECOND AMENDMENT TO CREDIT AGREEMENT, dated as of November 13, 2025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among THE GEO GROUP, INC., a Florida corporation (“</w:t>
      </w:r>
      <w:r>
        <w:rPr>
          <w:rFonts w:ascii="Times New Roman" w:cs="Times New Roman" w:eastAsia="Times New Roman" w:hAnsi="Times New Roman"/>
          <w:sz w:val="18"/>
          <w:szCs w:val="18"/>
          <w:u w:val="single" w:color="auto"/>
          <w:color w:val="auto"/>
        </w:rPr>
        <w:t>GEO</w:t>
      </w:r>
      <w:r>
        <w:rPr>
          <w:rFonts w:ascii="Times New Roman" w:cs="Times New Roman" w:eastAsia="Times New Roman" w:hAnsi="Times New Roman"/>
          <w:sz w:val="18"/>
          <w:szCs w:val="18"/>
          <w:color w:val="auto"/>
        </w:rPr>
        <w:t>”), GEO CORRECTIONS HOLDINGS, INC., a Florida corporation (“</w:t>
      </w:r>
      <w:r>
        <w:rPr>
          <w:rFonts w:ascii="Times New Roman" w:cs="Times New Roman" w:eastAsia="Times New Roman" w:hAnsi="Times New Roman"/>
          <w:sz w:val="18"/>
          <w:szCs w:val="18"/>
          <w:u w:val="single" w:color="auto"/>
          <w:color w:val="auto"/>
        </w:rPr>
        <w:t>Corrections</w:t>
      </w:r>
      <w:r>
        <w:rPr>
          <w:rFonts w:ascii="Times New Roman" w:cs="Times New Roman" w:eastAsia="Times New Roman" w:hAnsi="Times New Roman"/>
          <w:sz w:val="18"/>
          <w:szCs w:val="18"/>
          <w:color w:val="auto"/>
        </w:rPr>
        <w:t>” and, together with GEO,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other Loan Parties party hereto, CITIZENS BANK, N.A., as administrative agent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and each Lender party hereto pursuant to a Lender Addendum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Lender Addendum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PRELIMINARY STATEMENTS</w:t>
      </w:r>
    </w:p>
    <w:p>
      <w:pPr>
        <w:spacing w:after="0" w:line="225" w:lineRule="exact"/>
        <w:rPr>
          <w:sz w:val="20"/>
          <w:szCs w:val="20"/>
          <w:color w:val="auto"/>
        </w:rPr>
      </w:pPr>
    </w:p>
    <w:p>
      <w:pPr>
        <w:ind w:left="4" w:right="4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Borrowers, the Lenders party thereto and the Administrative Agent are party to that certain Credit Agreement, dated as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April 18, 2024 (as amended, restated, amended and restated, supplemented or otherwise modified from time to time, the “</w:t>
      </w:r>
      <w:r>
        <w:rPr>
          <w:rFonts w:ascii="Times New Roman" w:cs="Times New Roman" w:eastAsia="Times New Roman" w:hAnsi="Times New Roman"/>
          <w:sz w:val="17"/>
          <w:szCs w:val="17"/>
          <w:u w:val="single" w:color="auto"/>
          <w:color w:val="auto"/>
        </w:rPr>
        <w:t>Credit Agreement</w:t>
      </w:r>
      <w:r>
        <w:rPr>
          <w:rFonts w:ascii="Times New Roman" w:cs="Times New Roman" w:eastAsia="Times New Roman" w:hAnsi="Times New Roman"/>
          <w:sz w:val="17"/>
          <w:szCs w:val="17"/>
          <w:color w:val="auto"/>
        </w:rPr>
        <w:t>”); and</w:t>
      </w:r>
    </w:p>
    <w:p>
      <w:pPr>
        <w:spacing w:after="0" w:line="132" w:lineRule="exact"/>
        <w:rPr>
          <w:sz w:val="20"/>
          <w:szCs w:val="20"/>
          <w:color w:val="auto"/>
        </w:rPr>
      </w:pPr>
    </w:p>
    <w:p>
      <w:pPr>
        <w:ind w:left="4"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Borrowers have requested that certain amendments be made to the Credit Agreement, and the Administrative Agent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Lenders party hereto have agreed to such amendments, subject to the terms and conditions set forth herein.</w:t>
      </w:r>
    </w:p>
    <w:p>
      <w:pPr>
        <w:spacing w:after="0" w:line="15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undertakings set forth herein and other good and valuable consideration, the receipt and sufficiency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is hereby acknowledged, the parties hereto hereby agree as follows:</w:t>
      </w:r>
    </w:p>
    <w:p>
      <w:pPr>
        <w:spacing w:after="0" w:line="159" w:lineRule="exact"/>
        <w:rPr>
          <w:sz w:val="20"/>
          <w:szCs w:val="20"/>
          <w:color w:val="auto"/>
        </w:rPr>
      </w:pPr>
    </w:p>
    <w:p>
      <w:pPr>
        <w:ind w:left="4" w:right="160" w:firstLine="436"/>
        <w:spacing w:after="0" w:line="261" w:lineRule="auto"/>
        <w:tabs>
          <w:tab w:leader="none" w:pos="6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 Interpretation; Etc</w:t>
      </w:r>
      <w:r>
        <w:rPr>
          <w:rFonts w:ascii="Times New Roman" w:cs="Times New Roman" w:eastAsia="Times New Roman" w:hAnsi="Times New Roman"/>
          <w:sz w:val="18"/>
          <w:szCs w:val="18"/>
          <w:color w:val="auto"/>
        </w:rPr>
        <w:t>. Capitalized terms used and not defined herein shall have the meanings assigned to such terms in the Credit Agreement. Each reference to “hereof,” “hereunder,” “herein,” and “hereby” and each other similar reference and each reference to “this Agreement” and each other similar reference contained in the Credit Agreement shall from and after the date hereof refer to the Credit Agreement as amended hereby.</w:t>
      </w:r>
    </w:p>
    <w:p>
      <w:pPr>
        <w:spacing w:after="0" w:line="17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6.05(g) of the Credit Agreement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984" w:right="40" w:firstLine="408"/>
        <w:spacing w:after="0" w:line="261" w:lineRule="auto"/>
        <w:tabs>
          <w:tab w:leader="none" w:pos="1640" w:val="left"/>
        </w:tabs>
        <w:numPr>
          <w:ilvl w:val="3"/>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or Event of Default shall have occurred and be continuing or would result therefrom and the Total Leverage Ratio on a </w:t>
      </w:r>
      <w:r>
        <w:rPr>
          <w:rFonts w:ascii="Times New Roman" w:cs="Times New Roman" w:eastAsia="Times New Roman" w:hAnsi="Times New Roman"/>
          <w:sz w:val="18"/>
          <w:szCs w:val="18"/>
          <w:i w:val="1"/>
          <w:iCs w:val="1"/>
          <w:color w:val="auto"/>
        </w:rPr>
        <w:t>pro forma basis</w:t>
      </w:r>
      <w:r>
        <w:rPr>
          <w:rFonts w:ascii="Times New Roman" w:cs="Times New Roman" w:eastAsia="Times New Roman" w:hAnsi="Times New Roman"/>
          <w:sz w:val="18"/>
          <w:szCs w:val="18"/>
          <w:color w:val="auto"/>
        </w:rPr>
        <w:t xml:space="preserve"> does not exceed 3.00:1.00, GEO may declare and make Restricted Payments in an aggregate amount that, when taken together with all other Restricted Payments made (or to be made as a result of a declaration thereof) pursuant to this clause (g), shall not exceed $75,000,000.</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6.05 of the Credit Agreement is hereby amended to add the following additional clause (h) immediately following clause</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206" w:lineRule="exact"/>
        <w:rPr>
          <w:rFonts w:ascii="Times New Roman" w:cs="Times New Roman" w:eastAsia="Times New Roman" w:hAnsi="Times New Roman"/>
          <w:sz w:val="18"/>
          <w:szCs w:val="18"/>
          <w:color w:val="auto"/>
        </w:rPr>
      </w:pPr>
    </w:p>
    <w:p>
      <w:pPr>
        <w:jc w:val="both"/>
        <w:ind w:left="984" w:right="240" w:firstLine="408"/>
        <w:spacing w:after="0" w:line="261" w:lineRule="auto"/>
        <w:tabs>
          <w:tab w:leader="none" w:pos="1640" w:val="left"/>
        </w:tabs>
        <w:numPr>
          <w:ilvl w:val="3"/>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Default or Event of Default shall have occurred and be continuing or would result therefrom and GEO shall be in compliance, on a pro forma basis, with the covenants contained in Section 6.09, GEO may declare and make Restricted Payments in an aggregate amount that, when taken together with all other Restricted Payments made (or to be made as a result of a declaration thereof) pursuant to this clause (h), shall not exceed $75,000,000.</w:t>
      </w:r>
    </w:p>
    <w:p>
      <w:pPr>
        <w:sectPr>
          <w:pgSz w:w="11900" w:h="16838" w:orient="portrait"/>
          <w:cols w:equalWidth="0" w:num="1">
            <w:col w:w="11024"/>
          </w:cols>
          <w:pgMar w:left="436" w:top="117" w:right="439" w:bottom="1440" w:gutter="0" w:footer="0" w:header="0"/>
        </w:sectPr>
      </w:pPr>
    </w:p>
    <w:bookmarkStart w:id="4" w:name="page5"/>
    <w:bookmarkEnd w:id="4"/>
    <w:p>
      <w:pPr>
        <w:ind w:right="720" w:firstLine="436"/>
        <w:spacing w:after="0" w:line="312" w:lineRule="auto"/>
        <w:tabs>
          <w:tab w:leader="none" w:pos="6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Precedent</w:t>
      </w:r>
      <w:r>
        <w:rPr>
          <w:rFonts w:ascii="Times New Roman" w:cs="Times New Roman" w:eastAsia="Times New Roman" w:hAnsi="Times New Roman"/>
          <w:sz w:val="17"/>
          <w:szCs w:val="17"/>
          <w:color w:val="auto"/>
        </w:rPr>
        <w:t>. This Amendment shall become effective on the date (the “</w:t>
      </w:r>
      <w:r>
        <w:rPr>
          <w:rFonts w:ascii="Times New Roman" w:cs="Times New Roman" w:eastAsia="Times New Roman" w:hAnsi="Times New Roman"/>
          <w:sz w:val="17"/>
          <w:szCs w:val="17"/>
          <w:u w:val="single" w:color="auto"/>
          <w:color w:val="auto"/>
        </w:rPr>
        <w:t>Second Amendment Effective Date</w:t>
      </w:r>
      <w:r>
        <w:rPr>
          <w:rFonts w:ascii="Times New Roman" w:cs="Times New Roman" w:eastAsia="Times New Roman" w:hAnsi="Times New Roman"/>
          <w:sz w:val="17"/>
          <w:szCs w:val="17"/>
          <w:color w:val="auto"/>
        </w:rPr>
        <w:t>”) that each of the following conditions precedent is satisfied, each of which shall be reasonably satisfactory to the Administrative Agent in form and substance:</w:t>
      </w:r>
    </w:p>
    <w:p>
      <w:pPr>
        <w:spacing w:after="0" w:line="139"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Executed Counterparts</w:t>
      </w:r>
      <w:r>
        <w:rPr>
          <w:rFonts w:ascii="Times New Roman" w:cs="Times New Roman" w:eastAsia="Times New Roman" w:hAnsi="Times New Roman"/>
          <w:sz w:val="17"/>
          <w:szCs w:val="17"/>
          <w:color w:val="auto"/>
        </w:rPr>
        <w:t>. The Administrative Agent shall have received counterparts of the following documents signed by the following</w:t>
      </w:r>
    </w:p>
    <w:p>
      <w:pPr>
        <w:spacing w:after="0" w:line="38" w:lineRule="exact"/>
        <w:rPr>
          <w:rFonts w:ascii="Times New Roman" w:cs="Times New Roman" w:eastAsia="Times New Roman" w:hAnsi="Times New Roman"/>
          <w:sz w:val="17"/>
          <w:szCs w:val="17"/>
          <w:color w:val="auto"/>
        </w:rPr>
      </w:pPr>
    </w:p>
    <w:p>
      <w:pPr>
        <w:ind w:right="3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parties: (i) from each of the Borrowers, each other Loan Party and the Administrative Agent, this Amendment and (ii) from Lenders constituting the Required Lenders, a Second Amendment Lender Addendum.</w:t>
      </w:r>
    </w:p>
    <w:p>
      <w:pPr>
        <w:spacing w:after="0" w:line="181" w:lineRule="exact"/>
        <w:rPr>
          <w:rFonts w:ascii="Times New Roman" w:cs="Times New Roman" w:eastAsia="Times New Roman" w:hAnsi="Times New Roman"/>
          <w:sz w:val="17"/>
          <w:szCs w:val="17"/>
          <w:color w:val="auto"/>
        </w:rPr>
      </w:pPr>
    </w:p>
    <w:p>
      <w:pPr>
        <w:jc w:val="both"/>
        <w:ind w:right="220" w:firstLine="987"/>
        <w:spacing w:after="0" w:line="266" w:lineRule="auto"/>
        <w:tabs>
          <w:tab w:leader="none" w:pos="124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The Administrative Agent shall have received evidence that GEO shall have paid (or caused to be paid) all fees, costs and expenses of the Administrative Agent in connection with the preparation, negotiation, and execution of this Amendment, including, without limitation, the fees, disbursements and other charges of counsel to the Administrative Agent.</w:t>
      </w:r>
    </w:p>
    <w:p>
      <w:pPr>
        <w:spacing w:after="0" w:line="176"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the conditions specified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each Lender that has signed a Second Amendment Lender Addendum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Second Amendment Effective Date specifying its objection thereto.</w:t>
      </w:r>
    </w:p>
    <w:p>
      <w:pPr>
        <w:spacing w:after="0" w:line="180" w:lineRule="exact"/>
        <w:rPr>
          <w:sz w:val="20"/>
          <w:szCs w:val="20"/>
          <w:color w:val="auto"/>
        </w:rPr>
      </w:pPr>
    </w:p>
    <w:p>
      <w:pPr>
        <w:ind w:right="80" w:firstLine="436"/>
        <w:spacing w:after="0" w:line="282" w:lineRule="auto"/>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By its execution of this Amendment, each of the Loan Parties hereby represents and warrants, on and as of the Second Amendment Effective Date, that:</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representations and warranties of the Loan Parties set forth in the Credit Agreement and in the other Loan Documents are true and correct in all material respects (provided that any such representations and warranties qualified as to materiality, “Material Adverse Effect” or similar language are true and correct in all respects), in each case as of the Second Amendment Effective Date (or, to the extent such representations and warranties specifically refer to an earlier date or time, as of such earlier date or time);</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exists or will result from the execution of this Amendment;</w:t>
      </w:r>
    </w:p>
    <w:p>
      <w:pPr>
        <w:spacing w:after="0" w:line="225" w:lineRule="exact"/>
        <w:rPr>
          <w:rFonts w:ascii="Times New Roman" w:cs="Times New Roman" w:eastAsia="Times New Roman" w:hAnsi="Times New Roman"/>
          <w:sz w:val="18"/>
          <w:szCs w:val="18"/>
          <w:color w:val="auto"/>
        </w:rPr>
      </w:pPr>
    </w:p>
    <w:p>
      <w:pPr>
        <w:ind w:right="20" w:firstLine="987"/>
        <w:spacing w:after="0" w:line="256" w:lineRule="auto"/>
        <w:tabs>
          <w:tab w:leader="none" w:pos="123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has all requisite power and authority to execute, deliver and perform its obligations under this Amendment. The execution, delivery and performance of this Amendment (i) are within such Loan Party’s corporate or other powers, (ii) have been duly authorized by all necessary corporate or other organizational action, and (iii) do not (A) contravene the terms of any of such Person’s charter, by-laws or other organizational documents, (B) violate any applicable law, or (C) conflict with or result in any breach or contravention of, or the creation of any Lien under, any indenture, agreement or other instrument binding upon GEO or any of its Subsidiaries or assets, or give rise to a right thereunder to require any payment to be made by any such Person;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100" w:right="340" w:firstLine="987"/>
        <w:spacing w:after="0" w:line="266" w:lineRule="auto"/>
        <w:tabs>
          <w:tab w:leader="none" w:pos="114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has been duly executed and delivered by each Loan Party that is a party hereto and constitutes a legal, valid and binding obligation of such Loan Party, enforceable against each Loan Party that is a party hereto in accordance with its terms, except as such enforceability may be limited by Debtor Relief Laws and by general principles of equity; and</w:t>
      </w:r>
    </w:p>
    <w:p>
      <w:pPr>
        <w:spacing w:after="0" w:line="175" w:lineRule="exact"/>
        <w:rPr>
          <w:rFonts w:ascii="Times New Roman" w:cs="Times New Roman" w:eastAsia="Times New Roman" w:hAnsi="Times New Roman"/>
          <w:sz w:val="18"/>
          <w:szCs w:val="18"/>
          <w:color w:val="auto"/>
        </w:rPr>
      </w:pPr>
    </w:p>
    <w:p>
      <w:pPr>
        <w:ind w:left="-100" w:right="20" w:firstLine="987"/>
        <w:spacing w:after="0" w:line="261" w:lineRule="auto"/>
        <w:tabs>
          <w:tab w:leader="none" w:pos="1136"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Amendment, except for the approvals, consents, exemptions, authorizations, actions, notices and filings which have been duly obtained, taken, given or made and are in full force and effect.</w:t>
      </w:r>
    </w:p>
    <w:p>
      <w:pPr>
        <w:spacing w:after="0" w:line="179" w:lineRule="exact"/>
        <w:rPr>
          <w:rFonts w:ascii="Times New Roman" w:cs="Times New Roman" w:eastAsia="Times New Roman" w:hAnsi="Times New Roman"/>
          <w:sz w:val="18"/>
          <w:szCs w:val="18"/>
          <w:color w:val="auto"/>
        </w:rPr>
      </w:pPr>
    </w:p>
    <w:p>
      <w:pPr>
        <w:ind w:left="-100" w:right="60" w:firstLine="436"/>
        <w:spacing w:after="0" w:line="25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w:t>
      </w:r>
      <w:r>
        <w:rPr>
          <w:rFonts w:ascii="Times New Roman" w:cs="Times New Roman" w:eastAsia="Times New Roman" w:hAnsi="Times New Roman"/>
          <w:sz w:val="18"/>
          <w:szCs w:val="18"/>
          <w:color w:val="auto"/>
        </w:rPr>
        <w:t>. To induce the Lenders and the Administrative Agent to enter into this Amendment, each of the Loan Parties hereby acknowledges and reaffirms its obligations under each Loan Document to which it is a party, including, without limitation, any grant, pledge or collateral assignment of a lien or security interest, as applicable, contained therein, in each case as amended, restated, amended and restated, supplemented or otherwise modified prior to or as of the date hereof. Each Borrower acknowledges and agrees that each of the Loan Documents to which it is a party or otherwise bound shall continue in full force and effect and that all of its obligations thereunder shall not be impaired or limited by the execution or effectiveness of this Amendment.</w:t>
      </w:r>
    </w:p>
    <w:p>
      <w:pPr>
        <w:spacing w:after="0" w:line="187" w:lineRule="exact"/>
        <w:rPr>
          <w:rFonts w:ascii="Times New Roman" w:cs="Times New Roman" w:eastAsia="Times New Roman" w:hAnsi="Times New Roman"/>
          <w:sz w:val="18"/>
          <w:szCs w:val="18"/>
          <w:color w:val="auto"/>
        </w:rPr>
      </w:pPr>
    </w:p>
    <w:p>
      <w:pPr>
        <w:ind w:left="520" w:hanging="184"/>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Integration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00" w:firstLine="987"/>
        <w:spacing w:after="0" w:line="274" w:lineRule="auto"/>
        <w:tabs>
          <w:tab w:leader="none" w:pos="113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set forth herein or in the Credit Agreement, this Amendment shall not by implication or otherwise limit, impair, constitute a waiver of or otherwise affect the rights and remedies of the Lenders or the Administrative Agent under the Credit Agreement or any other Loan Document, and shall not alter, modify, amend or in any way affect any of the terms, conditions, obligations, covenants or agreements contained in any Loan Document (other than the Credit Agreement), all of which are ratified and affirmed in all respects and shall continue in full force and effect. Nothing herein shall be deemed to entitle the Loan Parties to a consent to, or a waiver, amendment, modification or other change of, any of the terms, conditions, obligations, covenants or agreements contained in the Credit Agreement or any other Loan Document in similar or different circumstances.</w:t>
      </w:r>
    </w:p>
    <w:p>
      <w:pPr>
        <w:spacing w:after="0" w:line="172" w:lineRule="exact"/>
        <w:rPr>
          <w:rFonts w:ascii="Times New Roman" w:cs="Times New Roman" w:eastAsia="Times New Roman" w:hAnsi="Times New Roman"/>
          <w:sz w:val="17"/>
          <w:szCs w:val="17"/>
          <w:color w:val="auto"/>
        </w:rPr>
      </w:pPr>
    </w:p>
    <w:p>
      <w:pPr>
        <w:ind w:left="-100" w:firstLine="987"/>
        <w:spacing w:after="0" w:line="282" w:lineRule="auto"/>
        <w:tabs>
          <w:tab w:leader="none" w:pos="114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a Loan Document, and together with the other Loan Documents, incorporates all negotiations of the parties hereto with respect to the subject matter hereof and is the final expression and agreement of the parties hereto with respect to the subject matter hereof.</w:t>
      </w:r>
    </w:p>
    <w:p>
      <w:pPr>
        <w:spacing w:after="0" w:line="161" w:lineRule="exact"/>
        <w:rPr>
          <w:rFonts w:ascii="Times New Roman" w:cs="Times New Roman" w:eastAsia="Times New Roman" w:hAnsi="Times New Roman"/>
          <w:sz w:val="18"/>
          <w:szCs w:val="18"/>
          <w:color w:val="auto"/>
        </w:rPr>
      </w:pPr>
    </w:p>
    <w:p>
      <w:pPr>
        <w:ind w:left="-100" w:right="80" w:firstLine="987"/>
        <w:spacing w:after="0" w:line="282" w:lineRule="auto"/>
        <w:tabs>
          <w:tab w:leader="none" w:pos="11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Second Amendment Effective Date, each reference in any Loan Document, and in any other document or instrument incidental thereto, to the Credit Agreement shall mean and be a reference to the Credit Agreement as amended hereby.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0"/>
          </w:cols>
          <w:pgMar w:left="540" w:top="270" w:right="539" w:bottom="1440" w:gutter="0" w:footer="0" w:header="0"/>
        </w:sectPr>
      </w:pPr>
    </w:p>
    <w:bookmarkStart w:id="6" w:name="page7"/>
    <w:bookmarkEnd w:id="6"/>
    <w:p>
      <w:pPr>
        <w:ind w:left="620" w:hanging="184"/>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any claim, controversy or dispute arising under or related to this Amendment, whether in tort, contract (at law or in equity) or otherwise, shall be construed in accordance with and governed by the laws of the State of New York.</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irrevocably and unconditionally submits, for itself and its property, to the exclusive jurisdiction of the Supreme Court of the State of New York and of the United States District Court for the Southern District of New York, in each case sitting in New York County, and any appellate court from any thereof, in any action or proceeding arising out of or relating to this Amendment, or for recognition or enforcement of any judgment, and each of the parties hereto hereby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or any Lender may otherwise have to bring any action or proceeding relating to any Loan Document against the Loan Parties or their respective properties in the courts of any jurisdiction.</w:t>
      </w:r>
    </w:p>
    <w:p>
      <w:pPr>
        <w:spacing w:after="0" w:line="188" w:lineRule="exact"/>
        <w:rPr>
          <w:rFonts w:ascii="Times New Roman" w:cs="Times New Roman" w:eastAsia="Times New Roman" w:hAnsi="Times New Roman"/>
          <w:sz w:val="18"/>
          <w:szCs w:val="18"/>
          <w:color w:val="auto"/>
        </w:rPr>
      </w:pPr>
    </w:p>
    <w:p>
      <w:pPr>
        <w:jc w:val="both"/>
        <w:ind w:right="20" w:firstLine="987"/>
        <w:spacing w:after="0" w:line="261" w:lineRule="auto"/>
        <w:tabs>
          <w:tab w:leader="none" w:pos="123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irrevocably and unconditionally waives, to the fullest extent permitted by applicable law, any objection that it may now or hereafter have to the laying of venue of any action or proceeding arising out of or relating to this Amendment or any other Loan Document in any court referred to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above. Each of the parties hereto hereby irrevocably waives, to the fullest extent permitted by applicable law, the defense of an inconvenient forum to the maintenance of such action or proceeding in any such court.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to this Amendment irrevocably consents to service of process in the manner provided for notices in </w:t>
      </w:r>
      <w:r>
        <w:rPr>
          <w:rFonts w:ascii="Times New Roman" w:cs="Times New Roman" w:eastAsia="Times New Roman" w:hAnsi="Times New Roman"/>
          <w:sz w:val="18"/>
          <w:szCs w:val="18"/>
          <w:u w:val="single" w:color="auto"/>
          <w:color w:val="auto"/>
        </w:rPr>
        <w:t>Sections 9.01</w:t>
      </w:r>
      <w:r>
        <w:rPr>
          <w:rFonts w:ascii="Times New Roman" w:cs="Times New Roman" w:eastAsia="Times New Roman" w:hAnsi="Times New Roman"/>
          <w:sz w:val="18"/>
          <w:szCs w:val="18"/>
          <w:color w:val="auto"/>
        </w:rPr>
        <w:t xml:space="preserve"> and</w:t>
      </w:r>
    </w:p>
    <w:p>
      <w:pPr>
        <w:spacing w:after="0" w:line="27"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u w:val="single" w:color="auto"/>
          <w:color w:val="auto"/>
        </w:rPr>
        <w:t>9.09(d)</w:t>
      </w:r>
      <w:r>
        <w:rPr>
          <w:rFonts w:ascii="Times New Roman" w:cs="Times New Roman" w:eastAsia="Times New Roman" w:hAnsi="Times New Roman"/>
          <w:sz w:val="18"/>
          <w:szCs w:val="18"/>
          <w:color w:val="auto"/>
        </w:rPr>
        <w:t xml:space="preserve"> of the Credit Agreement. Nothing in any Loan Document will affect the right of any party to this Amendment to serve process in any other manner permitted by applicable law.</w:t>
      </w:r>
    </w:p>
    <w:p>
      <w:pPr>
        <w:spacing w:after="0" w:line="181" w:lineRule="exact"/>
        <w:rPr>
          <w:sz w:val="20"/>
          <w:szCs w:val="20"/>
          <w:color w:val="auto"/>
        </w:rPr>
      </w:pPr>
    </w:p>
    <w:p>
      <w:pPr>
        <w:ind w:right="80" w:firstLine="436"/>
        <w:spacing w:after="0" w:line="254" w:lineRule="auto"/>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LAW, ANY RIGHT IT MAY HAVE TO A TRIAL BY JURY IN ANY LEGAL PROCEEDING DIRECTLY OR INDIRECTLY ARISING OUT OF OR RELATING TO THIS AMENDMENT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AMENDMENT BY, AMONG OTHER THINGS, THE MUTUAL WAIVERS AND CERTIFICATIONS IN THIS SECTION.</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7" w:name="page8"/>
    <w:bookmarkEnd w:id="7"/>
    <w:p>
      <w:pPr>
        <w:ind w:left="-60" w:firstLine="436"/>
        <w:spacing w:after="0" w:line="256" w:lineRule="auto"/>
        <w:tabs>
          <w:tab w:leader="none" w:pos="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Severability</w:t>
      </w:r>
      <w:r>
        <w:rPr>
          <w:rFonts w:ascii="Times New Roman" w:cs="Times New Roman" w:eastAsia="Times New Roman" w:hAnsi="Times New Roman"/>
          <w:sz w:val="18"/>
          <w:szCs w:val="18"/>
          <w:color w:val="auto"/>
        </w:rPr>
        <w:t>. Any term or provision of this Amendment held to be invalid, illegal or unenforceable in any jurisdiction shall, as to such jurisdiction, be ineffective to the extent of such invalidity, illegality or unenforceability without affecting the validity, legality or enforceability of the remaining terms and provisions of this Amendment or affecting the validity or enforceability of any of the terms or provisions of this Amendment, and the invalidity of a particular term or provision in a particular jurisdiction shall not invalidate such term or provision in any other jurisdiction. If any term or provision of this Amendment is so broad as to be unenforceable, the term or provision shall be interpreted to be only so broad as would be enforceable.</w:t>
      </w:r>
    </w:p>
    <w:p>
      <w:pPr>
        <w:spacing w:after="0" w:line="187" w:lineRule="exact"/>
        <w:rPr>
          <w:rFonts w:ascii="Times New Roman" w:cs="Times New Roman" w:eastAsia="Times New Roman" w:hAnsi="Times New Roman"/>
          <w:sz w:val="18"/>
          <w:szCs w:val="18"/>
          <w:color w:val="auto"/>
        </w:rPr>
      </w:pPr>
    </w:p>
    <w:p>
      <w:pPr>
        <w:jc w:val="both"/>
        <w:ind w:left="-60" w:firstLine="436"/>
        <w:spacing w:after="0" w:line="266" w:lineRule="auto"/>
        <w:tabs>
          <w:tab w:leader="none" w:pos="65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including any Second Amendment Lender Addenda, each of which shall be deemed to be an original, but all of which shall constitute a single agreement. Delivery of an executed counterpart of a signature page to this Agreement by telecopy or in “Portable Document Format” shall be effective as delivery of a manually executed counterpart of this Agreement.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500" w:top="270" w:right="519" w:bottom="1440" w:gutter="0" w:footer="0" w:header="0"/>
        </w:sectPr>
      </w:pPr>
    </w:p>
    <w:bookmarkStart w:id="8" w:name="page9"/>
    <w:bookmarkEnd w:id="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undersigned has caused its duly authorized officer to execute and deliver this Amendment as of the date first set forth above.</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CITIZENS BANK</w:t>
      </w:r>
      <w:r>
        <w:rPr>
          <w:rFonts w:ascii="Times New Roman" w:cs="Times New Roman" w:eastAsia="Times New Roman" w:hAnsi="Times New Roman"/>
          <w:sz w:val="18"/>
          <w:szCs w:val="18"/>
          <w:color w:val="auto"/>
        </w:rPr>
        <w:t>, as Administrative Agent</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Andy Zayas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Andy Zayas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The GEO Group, Inc. – Second Amendment to Credit Agreement</w:t>
      </w:r>
    </w:p>
    <w:p>
      <w:pPr>
        <w:sectPr>
          <w:pgSz w:w="11900" w:h="16838" w:orient="portrait"/>
          <w:cols w:equalWidth="0" w:num="1">
            <w:col w:w="10740"/>
          </w:cols>
          <w:pgMar w:left="440" w:top="270" w:right="719" w:bottom="1440" w:gutter="0" w:footer="0" w:header="0"/>
        </w:sectPr>
      </w:pPr>
    </w:p>
    <w:bookmarkStart w:id="9" w:name="page10"/>
    <w:bookmarkEnd w:id="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GEO GROUP, INC.</w:t>
      </w:r>
      <w:r>
        <w:rPr>
          <w:rFonts w:ascii="Times New Roman" w:cs="Times New Roman" w:eastAsia="Times New Roman" w:hAnsi="Times New Roman"/>
          <w:sz w:val="18"/>
          <w:szCs w:val="18"/>
          <w:color w:val="auto"/>
        </w:rPr>
        <w:t>, as a Borrower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Executive Vice President, Finance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GEO CORRECTIONS HOLDINGS, INC.</w:t>
      </w:r>
      <w:r>
        <w:rPr>
          <w:rFonts w:ascii="Times New Roman" w:cs="Times New Roman" w:eastAsia="Times New Roman" w:hAnsi="Times New Roman"/>
          <w:sz w:val="17"/>
          <w:szCs w:val="17"/>
          <w:color w:val="auto"/>
        </w:rPr>
        <w:t>, as a Borrower</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ADAPPT,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ARAPAHOE COUNTY RESIDENTIAL CENTER,</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as a 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BEHAVIORAL ACQUISITION CORP</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GEO Group, Inc. – Second Amendment to Credit Agreement</w:t>
      </w:r>
    </w:p>
    <w:p>
      <w:pPr>
        <w:sectPr>
          <w:pgSz w:w="11900" w:h="16838" w:orient="portrait"/>
          <w:cols w:equalWidth="0" w:num="1">
            <w:col w:w="9980"/>
          </w:cols>
          <w:pgMar w:left="1440" w:top="266" w:right="479" w:bottom="1440" w:gutter="0" w:footer="0" w:header="0"/>
        </w:sectPr>
      </w:pPr>
    </w:p>
    <w:bookmarkStart w:id="10" w:name="page11"/>
    <w:bookmarkEnd w:id="1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BEHAVIORAL HOLDING CORP</w:t>
      </w:r>
      <w:r>
        <w:rPr>
          <w:rFonts w:ascii="Times New Roman" w:cs="Times New Roman" w:eastAsia="Times New Roman" w:hAnsi="Times New Roman"/>
          <w:sz w:val="17"/>
          <w:szCs w:val="17"/>
          <w:color w:val="auto"/>
        </w:rPr>
        <w:t>., as a Guarantor</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B.I. INCORPORATED</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BI MOBILE BREATH,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BII HOLDING CORPORATION</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BII HOLDING I CORPORATION</w:t>
      </w:r>
      <w:r>
        <w:rPr>
          <w:rFonts w:ascii="Times New Roman" w:cs="Times New Roman" w:eastAsia="Times New Roman" w:hAnsi="Times New Roman"/>
          <w:sz w:val="17"/>
          <w:szCs w:val="17"/>
          <w:color w:val="auto"/>
        </w:rPr>
        <w:t>., as a Guarantor</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BROAD REAL ESTATE HOLDINGS LLC</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GEO Group, Inc. – Second Amendment to Credit Agreement</w:t>
      </w:r>
    </w:p>
    <w:p>
      <w:pPr>
        <w:sectPr>
          <w:pgSz w:w="11900" w:h="16838" w:orient="portrait"/>
          <w:cols w:equalWidth="0" w:num="1">
            <w:col w:w="9480"/>
          </w:cols>
          <w:pgMar w:left="1440" w:top="266" w:right="979" w:bottom="1440" w:gutter="0" w:footer="0" w:header="0"/>
        </w:sectPr>
      </w:pPr>
    </w:p>
    <w:bookmarkStart w:id="11" w:name="page12"/>
    <w:bookmarkEnd w:id="1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CCC WYOMING PROPERTIES, LLC</w:t>
      </w:r>
      <w:r>
        <w:rPr>
          <w:rFonts w:ascii="Times New Roman" w:cs="Times New Roman" w:eastAsia="Times New Roman" w:hAnsi="Times New Roman"/>
          <w:sz w:val="17"/>
          <w:szCs w:val="17"/>
          <w:color w:val="auto"/>
        </w:rPr>
        <w:t>, as a Guarantor</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CCMAS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CEC INTERMEDIATE HOLDINGS LLC</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CEC PARENT HOLDINGS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CEC STAFFING SOLUTIONS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CIVIGENICS,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GEO Group, Inc. – Second Amendment to Credit Agreement</w:t>
      </w:r>
    </w:p>
    <w:p>
      <w:pPr>
        <w:sectPr>
          <w:pgSz w:w="11900" w:h="16838" w:orient="portrait"/>
          <w:cols w:equalWidth="0" w:num="1">
            <w:col w:w="9800"/>
          </w:cols>
          <w:pgMar w:left="1440" w:top="266" w:right="659" w:bottom="1440" w:gutter="0" w:footer="0" w:header="0"/>
        </w:sectPr>
      </w:pPr>
    </w:p>
    <w:bookmarkStart w:id="12" w:name="page13"/>
    <w:bookmarkEnd w:id="12"/>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CIVIGENICS MANAGEMENT SERVICES, LLC</w:t>
      </w:r>
      <w:r>
        <w:rPr>
          <w:rFonts w:ascii="Times New Roman" w:cs="Times New Roman" w:eastAsia="Times New Roman" w:hAnsi="Times New Roman"/>
          <w:sz w:val="17"/>
          <w:szCs w:val="17"/>
          <w:color w:val="auto"/>
        </w:rPr>
        <w:t>, 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CIVIGENICS-TEXAS,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CLEARSTREAM DEVELOPMENT LLC</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COMMUNITY ALTERNATIVES</w:t>
      </w:r>
      <w:r>
        <w:rPr>
          <w:rFonts w:ascii="Times New Roman" w:cs="Times New Roman" w:eastAsia="Times New Roman" w:hAnsi="Times New Roman"/>
          <w:sz w:val="18"/>
          <w:szCs w:val="18"/>
          <w:color w:val="auto"/>
        </w:rPr>
        <w:t>, as a Guarantor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Community Education Centers, Inc., its Manager</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COMMUNITY CORRECTIONS,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GEO Group, Inc. – Second Amendment to Credit Agreement</w:t>
      </w:r>
    </w:p>
    <w:p>
      <w:pPr>
        <w:sectPr>
          <w:pgSz w:w="11900" w:h="16838" w:orient="portrait"/>
          <w:cols w:equalWidth="0" w:num="1">
            <w:col w:w="9860"/>
          </w:cols>
          <w:pgMar w:left="1440" w:top="266" w:right="599" w:bottom="1440" w:gutter="0" w:footer="0" w:header="0"/>
        </w:sectPr>
      </w:pPr>
    </w:p>
    <w:bookmarkStart w:id="13" w:name="page14"/>
    <w:bookmarkEnd w:id="1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COMMUNITY EDUCATION CENTERS, INC</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CORNELL COMPANIES,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CORNELL CORRECTIONS MANAGEMENT, LLC</w:t>
      </w:r>
      <w:r>
        <w:rPr>
          <w:rFonts w:ascii="Times New Roman" w:cs="Times New Roman" w:eastAsia="Times New Roman" w:hAnsi="Times New Roman"/>
          <w:sz w:val="17"/>
          <w:szCs w:val="17"/>
          <w:color w:val="auto"/>
        </w:rPr>
        <w:t>, 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CORNELL CORRECTIONS OF RHODE ISLAND,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as a 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CORNELL CORRECTIONS OF TEXAS, INC</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GEO Group, Inc. – Second Amendment to Credit Agreement</w:t>
      </w:r>
    </w:p>
    <w:p>
      <w:pPr>
        <w:sectPr>
          <w:pgSz w:w="11900" w:h="16838" w:orient="portrait"/>
          <w:cols w:equalWidth="0" w:num="1">
            <w:col w:w="9980"/>
          </w:cols>
          <w:pgMar w:left="1440" w:top="266" w:right="479" w:bottom="1440" w:gutter="0" w:footer="0" w:header="0"/>
        </w:sectPr>
      </w:pPr>
    </w:p>
    <w:bookmarkStart w:id="14" w:name="page15"/>
    <w:bookmarkEnd w:id="1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CORRECTIONAL PROPERTIES,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CORRECTIONAL PROPERTIES PRISON FINANCE</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as a 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CORRECTIONAL SERVICES CORPORATION, LLC</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CORRECTIONAL SYSTEMS,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CPT LIMITED PARTNER,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GEO Group, Inc. – Second Amendment to Credit Agreement</w:t>
      </w:r>
    </w:p>
    <w:p>
      <w:pPr>
        <w:sectPr>
          <w:pgSz w:w="11900" w:h="16838" w:orient="portrait"/>
          <w:cols w:equalWidth="0" w:num="1">
            <w:col w:w="9940"/>
          </w:cols>
          <w:pgMar w:left="1440" w:top="266" w:right="519" w:bottom="1440" w:gutter="0" w:footer="0" w:header="0"/>
        </w:sectPr>
      </w:pPr>
    </w:p>
    <w:bookmarkStart w:id="15" w:name="page16"/>
    <w:bookmarkEnd w:id="1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CPT OPERATING PARTNERSHIP L.P.</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FENTON SECURITY,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GEO ACQUISITION II,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GEO CARE SERVICES, LLC (f/k/a GEO CARE, LLC)</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GEO CPM,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GEO CC3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GEO Group, Inc. – Second Amendment to Credit Agreement</w:t>
      </w:r>
    </w:p>
    <w:p>
      <w:pPr>
        <w:sectPr>
          <w:pgSz w:w="11900" w:h="16838" w:orient="portrait"/>
          <w:cols w:equalWidth="0" w:num="1">
            <w:col w:w="9980"/>
          </w:cols>
          <w:pgMar w:left="1440" w:top="266" w:right="479" w:bottom="1440" w:gutter="0" w:footer="0" w:header="0"/>
        </w:sectPr>
      </w:pPr>
    </w:p>
    <w:bookmarkStart w:id="16" w:name="page17"/>
    <w:bookmarkEnd w:id="1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GEO HOLDINGS I,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GEO INTERNATIONAL SERVICES, INC.</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GEO LEASING,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GEO MANAGEMENT SERVICES, INC</w:t>
      </w:r>
      <w:r>
        <w:rPr>
          <w:rFonts w:ascii="Times New Roman" w:cs="Times New Roman" w:eastAsia="Times New Roman" w:hAnsi="Times New Roman"/>
          <w:sz w:val="17"/>
          <w:szCs w:val="17"/>
          <w:color w:val="auto"/>
        </w:rPr>
        <w:t>., as a Guarantor</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GEO MCF LP,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GEO RE HOLDINGS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Assistant Treasurer</w:t>
      </w:r>
    </w:p>
    <w:p>
      <w:pPr>
        <w:spacing w:after="0" w:line="1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GEO Group, Inc. – Second Amendment to Credit Agreement</w:t>
      </w:r>
    </w:p>
    <w:p>
      <w:pPr>
        <w:sectPr>
          <w:pgSz w:w="11900" w:h="16838" w:orient="portrait"/>
          <w:cols w:equalWidth="0" w:num="1">
            <w:col w:w="9960"/>
          </w:cols>
          <w:pgMar w:left="1440" w:top="266" w:right="499" w:bottom="1440" w:gutter="0" w:footer="0" w:header="0"/>
        </w:sectPr>
      </w:pPr>
    </w:p>
    <w:bookmarkStart w:id="17" w:name="page18"/>
    <w:bookmarkEnd w:id="1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GEO REENTRY,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GEO REENTRY OF ALASKA, INC.</w:t>
      </w:r>
      <w:r>
        <w:rPr>
          <w:rFonts w:ascii="Times New Roman" w:cs="Times New Roman" w:eastAsia="Times New Roman" w:hAnsi="Times New Roman"/>
          <w:sz w:val="17"/>
          <w:szCs w:val="17"/>
          <w:color w:val="auto"/>
        </w:rPr>
        <w:t>, as a Guarantor</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GEO REENTRY SERVICES,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GEO SECURE SERVICES,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GEO TRANSPORT,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Assistant Treasurer</w:t>
      </w:r>
    </w:p>
    <w:p>
      <w:pPr>
        <w:spacing w:after="0" w:line="1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GEO Group, Inc. – Second Amendment to Credit Agreement</w:t>
      </w:r>
    </w:p>
    <w:p>
      <w:pPr>
        <w:sectPr>
          <w:pgSz w:w="11900" w:h="16838" w:orient="portrait"/>
          <w:cols w:equalWidth="0" w:num="1">
            <w:col w:w="9620"/>
          </w:cols>
          <w:pgMar w:left="1440" w:top="266" w:right="839" w:bottom="1440" w:gutter="0" w:footer="0" w:header="0"/>
        </w:sectPr>
      </w:pPr>
    </w:p>
    <w:bookmarkStart w:id="18" w:name="page19"/>
    <w:bookmarkEnd w:id="1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GEO/DEL/R/02,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GEO/DEL/T/02,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HIGHPOINT INVESTMENTS LLC</w:t>
      </w:r>
      <w:r>
        <w:rPr>
          <w:rFonts w:ascii="Times New Roman" w:cs="Times New Roman" w:eastAsia="Times New Roman" w:hAnsi="Times New Roman"/>
          <w:sz w:val="17"/>
          <w:szCs w:val="17"/>
          <w:color w:val="auto"/>
        </w:rPr>
        <w:t>, as a Guarantor</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MCF GP,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MINSEC COMPANIES,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MINSEC TREATMENT,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GEO Group, Inc. – Second Amendment to Credit Agreement</w:t>
      </w:r>
    </w:p>
    <w:p>
      <w:pPr>
        <w:sectPr>
          <w:pgSz w:w="11900" w:h="16838" w:orient="portrait"/>
          <w:cols w:equalWidth="0" w:num="1">
            <w:col w:w="9580"/>
          </w:cols>
          <w:pgMar w:left="1440" w:top="266" w:right="879" w:bottom="1440" w:gutter="0" w:footer="0" w:header="0"/>
        </w:sectPr>
      </w:pPr>
    </w:p>
    <w:bookmarkStart w:id="19" w:name="page20"/>
    <w:bookmarkEnd w:id="1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MUNICIPAL CORRECTIONS FINANCE L.P</w:t>
      </w:r>
      <w:r>
        <w:rPr>
          <w:rFonts w:ascii="Times New Roman" w:cs="Times New Roman" w:eastAsia="Times New Roman" w:hAnsi="Times New Roman"/>
          <w:sz w:val="17"/>
          <w:szCs w:val="17"/>
          <w:color w:val="auto"/>
        </w:rPr>
        <w:t>., 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PROTOCOL CRIMINAL JUSTICE, INC.</w:t>
      </w:r>
      <w:r>
        <w:rPr>
          <w:rFonts w:ascii="Times New Roman" w:cs="Times New Roman" w:eastAsia="Times New Roman" w:hAnsi="Times New Roman"/>
          <w:sz w:val="18"/>
          <w:szCs w:val="18"/>
          <w:color w:val="auto"/>
        </w:rPr>
        <w:t>, 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PUBLIC PROPERTIES DEVELOPMENT AND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LEASING LLC</w:t>
      </w:r>
      <w:r>
        <w:rPr>
          <w:rFonts w:ascii="Times New Roman" w:cs="Times New Roman" w:eastAsia="Times New Roman" w:hAnsi="Times New Roman"/>
          <w:sz w:val="18"/>
          <w:szCs w:val="18"/>
          <w:color w:val="auto"/>
        </w:rPr>
        <w:t>, as a Guarantor</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SECON,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WBP LEASING, LLC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GEO CARE, INC.</w:t>
      </w:r>
      <w:r>
        <w:rPr>
          <w:rFonts w:ascii="Times New Roman" w:cs="Times New Roman" w:eastAsia="Times New Roman" w:hAnsi="Times New Roman"/>
          <w:sz w:val="18"/>
          <w:szCs w:val="18"/>
          <w:color w:val="auto"/>
        </w:rPr>
        <w:t>, as a Guarantor</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Shayn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Shayn P. March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139"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color w:val="auto"/>
        </w:rPr>
        <w:t>The GEO Group, Inc. – Second Amendment to Credit Agreement</w:t>
      </w:r>
    </w:p>
    <w:p>
      <w:pPr>
        <w:sectPr>
          <w:pgSz w:w="11900" w:h="16838" w:orient="portrait"/>
          <w:cols w:equalWidth="0" w:num="1">
            <w:col w:w="9640"/>
          </w:cols>
          <w:pgMar w:left="1440" w:top="266" w:right="81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of Second Amendment Lender Addendum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[attached]</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7"/>
    </w:lvl>
  </w:abstractNum>
  <w:abstractNum w:abstractNumId="4">
    <w:nsid w:val="515F007C"/>
    <w:multiLevelType w:val="hybridMultilevel"/>
    <w:lvl w:ilvl="0">
      <w:lvlJc w:val="left"/>
      <w:lvlText w:val="(%1)"/>
      <w:numFmt w:val="lowerLetter"/>
      <w:start w:val="7"/>
    </w:lvl>
    <w:lvl w:ilvl="1">
      <w:lvlJc w:val="left"/>
      <w:lvlText w:val="%2"/>
      <w:numFmt w:val="decimal"/>
      <w:start w:val="1"/>
    </w:lvl>
    <w:lvl w:ilvl="2">
      <w:lvlJc w:val="left"/>
      <w:lvlText w:val="%3"/>
      <w:numFmt w:val="lowerLetter"/>
      <w:start w:val="1"/>
    </w:lvl>
    <w:lvl w:ilvl="3">
      <w:lvlJc w:val="left"/>
      <w:lvlText w:val="(%4)"/>
      <w:numFmt w:val="lowerLetter"/>
      <w:start w:val="8"/>
    </w:lvl>
  </w:abstractNum>
  <w:abstractNum w:abstractNumId="5">
    <w:nsid w:val="5BD062C2"/>
    <w:multiLevelType w:val="hybridMultilevel"/>
    <w:lvl w:ilvl="0">
      <w:lvlJc w:val="left"/>
      <w:lvlText w:val="%1."/>
      <w:numFmt w:val="decimal"/>
      <w:start w:val="3"/>
    </w:lvl>
    <w:lvl w:ilvl="1">
      <w:lvlJc w:val="left"/>
      <w:lvlText w:val="(%2)"/>
      <w:numFmt w:val="lowerLetter"/>
      <w:start w:val="1"/>
    </w:lvl>
  </w:abstractNum>
  <w:abstractNum w:abstractNumId="6">
    <w:nsid w:val="12200854"/>
    <w:multiLevelType w:val="hybridMultilevel"/>
    <w:lvl w:ilvl="0">
      <w:lvlJc w:val="left"/>
      <w:lvlText w:val="%1."/>
      <w:numFmt w:val="decimal"/>
      <w:start w:val="4"/>
    </w:lvl>
    <w:lvl w:ilvl="1">
      <w:lvlJc w:val="left"/>
      <w:lvlText w:val="(%2)"/>
      <w:numFmt w:val="lowerLetter"/>
      <w:start w:val="1"/>
    </w:lvl>
  </w:abstractNum>
  <w:abstractNum w:abstractNumId="7">
    <w:nsid w:val="4DB127F8"/>
    <w:multiLevelType w:val="hybridMultilevel"/>
    <w:lvl w:ilvl="0">
      <w:lvlJc w:val="left"/>
      <w:lvlText w:val="%1"/>
      <w:numFmt w:val="decimal"/>
      <w:start w:val="1"/>
    </w:lvl>
    <w:lvl w:ilvl="1">
      <w:lvlJc w:val="left"/>
      <w:lvlText w:val="(%2)"/>
      <w:numFmt w:val="lowerLetter"/>
      <w:start w:val="4"/>
    </w:lvl>
  </w:abstractNum>
  <w:abstractNum w:abstractNumId="8">
    <w:nsid w:val="216231B"/>
    <w:multiLevelType w:val="hybridMultilevel"/>
    <w:lvl w:ilvl="0">
      <w:lvlJc w:val="left"/>
      <w:lvlText w:val="%1."/>
      <w:numFmt w:val="decimal"/>
      <w:start w:val="5"/>
    </w:lvl>
    <w:lvl w:ilvl="1">
      <w:lvlJc w:val="left"/>
      <w:lvlText w:val="(%2)"/>
      <w:numFmt w:val="lowerLetter"/>
      <w:start w:val="1"/>
    </w:lvl>
  </w:abstractNum>
  <w:abstractNum w:abstractNumId="9">
    <w:nsid w:val="1F16E9E8"/>
    <w:multiLevelType w:val="hybridMultilevel"/>
    <w:lvl w:ilvl="0">
      <w:lvlJc w:val="left"/>
      <w:lvlText w:val="%1."/>
      <w:numFmt w:val="decimal"/>
      <w:start w:val="7"/>
    </w:lvl>
    <w:lvl w:ilvl="1">
      <w:lvlJc w:val="left"/>
      <w:lvlText w:val="(%2)"/>
      <w:numFmt w:val="lowerLetter"/>
      <w:start w:val="1"/>
    </w:lvl>
  </w:abstractNum>
  <w:abstractNum w:abstractNumId="10">
    <w:nsid w:val="1190CDE7"/>
    <w:multiLevelType w:val="hybridMultilevel"/>
    <w:lvl w:ilvl="0">
      <w:lvlJc w:val="left"/>
      <w:lvlText w:val="%1."/>
      <w:numFmt w:val="decimal"/>
      <w:start w:val="8"/>
    </w:lvl>
  </w:abstractNum>
  <w:abstractNum w:abstractNumId="11">
    <w:nsid w:val="66EF438D"/>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2025-11-18T05:39:30Z</dcterms:created>
  <dcterms:modified xsi:type="dcterms:W3CDTF">2025-11-18T05:39:30Z</dcterms:modified>
</cp:coreProperties>
</file>