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August 15, 2022</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333-266208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810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681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109855</wp:posOffset>
            </wp:positionV>
            <wp:extent cx="1427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AMENDMENT NO. 1</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S-4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112395</wp:posOffset>
            </wp:positionV>
            <wp:extent cx="1427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GEO GROUP,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and the Subsidiary Guarantors listed on Schedule A hereto</w:t>
      </w: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issuer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107950</wp:posOffset>
            </wp:positionV>
            <wp:extent cx="1427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Florida</w:t>
      </w: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6798</w:t>
      </w:r>
    </w:p>
    <w:p>
      <w:pPr>
        <w:jc w:val="center"/>
        <w:spacing w:after="0"/>
        <w:rPr>
          <w:sz w:val="20"/>
          <w:szCs w:val="20"/>
          <w:color w:val="auto"/>
        </w:rPr>
      </w:pPr>
      <w:r>
        <w:rPr>
          <w:rFonts w:ascii="Times New Roman" w:cs="Times New Roman" w:eastAsia="Times New Roman" w:hAnsi="Times New Roman"/>
          <w:sz w:val="14"/>
          <w:szCs w:val="14"/>
          <w:b w:val="1"/>
          <w:bCs w:val="1"/>
          <w:color w:val="auto"/>
        </w:rPr>
        <w:t>(Primary Standard Industrial Classification Code Number)</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65-0043078</w:t>
      </w:r>
    </w:p>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4955 Technology Way</w:t>
      </w:r>
    </w:p>
    <w:p>
      <w:pPr>
        <w:jc w:val="center"/>
        <w:spacing w:after="0" w:line="226" w:lineRule="auto"/>
        <w:rPr>
          <w:sz w:val="20"/>
          <w:szCs w:val="20"/>
          <w:color w:val="auto"/>
        </w:rPr>
      </w:pPr>
      <w:r>
        <w:rPr>
          <w:rFonts w:ascii="Times New Roman" w:cs="Times New Roman" w:eastAsia="Times New Roman" w:hAnsi="Times New Roman"/>
          <w:sz w:val="15"/>
          <w:szCs w:val="15"/>
          <w:b w:val="1"/>
          <w:bCs w:val="1"/>
          <w:color w:val="auto"/>
        </w:rPr>
        <w:t>Boca Raton, Florida 33431</w:t>
      </w:r>
    </w:p>
    <w:p>
      <w:pPr>
        <w:jc w:val="center"/>
        <w:spacing w:after="0" w:line="212" w:lineRule="auto"/>
        <w:rPr>
          <w:sz w:val="20"/>
          <w:szCs w:val="20"/>
          <w:color w:val="auto"/>
        </w:rPr>
      </w:pPr>
      <w:r>
        <w:rPr>
          <w:rFonts w:ascii="Times New Roman" w:cs="Times New Roman" w:eastAsia="Times New Roman" w:hAnsi="Times New Roman"/>
          <w:sz w:val="15"/>
          <w:szCs w:val="15"/>
          <w:b w:val="1"/>
          <w:bCs w:val="1"/>
          <w:color w:val="auto"/>
        </w:rPr>
        <w:t>(561) 893-0101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Joe Negron, Esq.</w:t>
      </w:r>
    </w:p>
    <w:p>
      <w:pPr>
        <w:jc w:val="center"/>
        <w:spacing w:after="0" w:line="226" w:lineRule="auto"/>
        <w:rPr>
          <w:sz w:val="20"/>
          <w:szCs w:val="20"/>
          <w:color w:val="auto"/>
        </w:rPr>
      </w:pPr>
      <w:r>
        <w:rPr>
          <w:rFonts w:ascii="Times New Roman" w:cs="Times New Roman" w:eastAsia="Times New Roman" w:hAnsi="Times New Roman"/>
          <w:sz w:val="15"/>
          <w:szCs w:val="15"/>
          <w:b w:val="1"/>
          <w:bCs w:val="1"/>
          <w:color w:val="auto"/>
        </w:rPr>
        <w:t>General Counsel and Secretary</w:t>
      </w:r>
    </w:p>
    <w:p>
      <w:pPr>
        <w:jc w:val="center"/>
        <w:spacing w:after="0" w:line="220" w:lineRule="auto"/>
        <w:rPr>
          <w:sz w:val="20"/>
          <w:szCs w:val="20"/>
          <w:color w:val="auto"/>
        </w:rPr>
      </w:pPr>
      <w:r>
        <w:rPr>
          <w:rFonts w:ascii="Times New Roman" w:cs="Times New Roman" w:eastAsia="Times New Roman" w:hAnsi="Times New Roman"/>
          <w:sz w:val="15"/>
          <w:szCs w:val="15"/>
          <w:b w:val="1"/>
          <w:bCs w:val="1"/>
          <w:color w:val="auto"/>
        </w:rPr>
        <w:t>The GEO Group, Inc.</w:t>
      </w:r>
    </w:p>
    <w:p>
      <w:pPr>
        <w:jc w:val="center"/>
        <w:spacing w:after="0" w:line="219" w:lineRule="auto"/>
        <w:rPr>
          <w:sz w:val="20"/>
          <w:szCs w:val="20"/>
          <w:color w:val="auto"/>
        </w:rPr>
      </w:pPr>
      <w:r>
        <w:rPr>
          <w:rFonts w:ascii="Times New Roman" w:cs="Times New Roman" w:eastAsia="Times New Roman" w:hAnsi="Times New Roman"/>
          <w:sz w:val="15"/>
          <w:szCs w:val="15"/>
          <w:b w:val="1"/>
          <w:bCs w:val="1"/>
          <w:color w:val="auto"/>
        </w:rPr>
        <w:t>4955 Technology Way</w:t>
      </w:r>
    </w:p>
    <w:p>
      <w:pPr>
        <w:jc w:val="center"/>
        <w:spacing w:after="0" w:line="220" w:lineRule="auto"/>
        <w:rPr>
          <w:sz w:val="20"/>
          <w:szCs w:val="20"/>
          <w:color w:val="auto"/>
        </w:rPr>
      </w:pPr>
      <w:r>
        <w:rPr>
          <w:rFonts w:ascii="Times New Roman" w:cs="Times New Roman" w:eastAsia="Times New Roman" w:hAnsi="Times New Roman"/>
          <w:sz w:val="15"/>
          <w:szCs w:val="15"/>
          <w:b w:val="1"/>
          <w:bCs w:val="1"/>
          <w:color w:val="auto"/>
        </w:rPr>
        <w:t>Boca Raton, Florida 33431</w:t>
      </w:r>
    </w:p>
    <w:p>
      <w:pPr>
        <w:jc w:val="center"/>
        <w:spacing w:after="0" w:line="212" w:lineRule="auto"/>
        <w:rPr>
          <w:sz w:val="20"/>
          <w:szCs w:val="20"/>
          <w:color w:val="auto"/>
        </w:rPr>
      </w:pPr>
      <w:r>
        <w:rPr>
          <w:rFonts w:ascii="Times New Roman" w:cs="Times New Roman" w:eastAsia="Times New Roman" w:hAnsi="Times New Roman"/>
          <w:sz w:val="15"/>
          <w:szCs w:val="15"/>
          <w:b w:val="1"/>
          <w:bCs w:val="1"/>
          <w:color w:val="auto"/>
        </w:rPr>
        <w:t>(561) 893-0101</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102235</wp:posOffset>
            </wp:positionV>
            <wp:extent cx="1427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5" w:lineRule="exact"/>
        <w:rPr>
          <w:sz w:val="24"/>
          <w:szCs w:val="24"/>
          <w:color w:val="auto"/>
        </w:rPr>
      </w:pPr>
    </w:p>
    <w:tbl>
      <w:tblPr>
        <w:tblLayout w:type="fixed"/>
        <w:tblInd w:w="860" w:type="dxa"/>
        <w:tblCellMar>
          <w:top w:w="0" w:type="dxa"/>
          <w:left w:w="0" w:type="dxa"/>
          <w:bottom w:w="0" w:type="dxa"/>
          <w:right w:w="0" w:type="dxa"/>
        </w:tblCellMar>
      </w:tblPr>
      <w:tr>
        <w:trPr>
          <w:trHeight w:val="197"/>
        </w:trPr>
        <w:tc>
          <w:tcPr>
            <w:tcW w:w="2560" w:type="dxa"/>
            <w:vAlign w:val="bottom"/>
          </w:tcPr>
          <w:p>
            <w:pPr>
              <w:spacing w:after="0"/>
              <w:rPr>
                <w:sz w:val="17"/>
                <w:szCs w:val="17"/>
                <w:color w:val="auto"/>
              </w:rPr>
            </w:pPr>
          </w:p>
        </w:tc>
        <w:tc>
          <w:tcPr>
            <w:tcW w:w="3780" w:type="dxa"/>
            <w:vAlign w:val="bottom"/>
          </w:tcPr>
          <w:p>
            <w:pPr>
              <w:ind w:left="1480"/>
              <w:spacing w:after="0"/>
              <w:rPr>
                <w:sz w:val="20"/>
                <w:szCs w:val="20"/>
                <w:color w:val="auto"/>
              </w:rPr>
            </w:pPr>
            <w:r>
              <w:rPr>
                <w:rFonts w:ascii="Times New Roman" w:cs="Times New Roman" w:eastAsia="Times New Roman" w:hAnsi="Times New Roman"/>
                <w:sz w:val="15"/>
                <w:szCs w:val="15"/>
                <w:b w:val="1"/>
                <w:bCs w:val="1"/>
                <w:i w:val="1"/>
                <w:iCs w:val="1"/>
                <w:color w:val="auto"/>
              </w:rPr>
              <w:t>With copies to:</w:t>
            </w:r>
          </w:p>
        </w:tc>
        <w:tc>
          <w:tcPr>
            <w:tcW w:w="3300" w:type="dxa"/>
            <w:vAlign w:val="bottom"/>
          </w:tcPr>
          <w:p>
            <w:pPr>
              <w:spacing w:after="0"/>
              <w:rPr>
                <w:sz w:val="17"/>
                <w:szCs w:val="17"/>
                <w:color w:val="auto"/>
              </w:rPr>
            </w:pPr>
          </w:p>
        </w:tc>
      </w:tr>
      <w:tr>
        <w:trPr>
          <w:trHeight w:val="184"/>
        </w:trPr>
        <w:tc>
          <w:tcPr>
            <w:tcW w:w="2560" w:type="dxa"/>
            <w:vAlign w:val="bottom"/>
          </w:tcPr>
          <w:p>
            <w:pPr>
              <w:jc w:val="center"/>
              <w:ind w:right="566"/>
              <w:spacing w:after="0"/>
              <w:rPr>
                <w:sz w:val="20"/>
                <w:szCs w:val="20"/>
                <w:color w:val="auto"/>
              </w:rPr>
            </w:pPr>
            <w:r>
              <w:rPr>
                <w:rFonts w:ascii="Times New Roman" w:cs="Times New Roman" w:eastAsia="Times New Roman" w:hAnsi="Times New Roman"/>
                <w:sz w:val="15"/>
                <w:szCs w:val="15"/>
                <w:b w:val="1"/>
                <w:bCs w:val="1"/>
                <w:color w:val="auto"/>
                <w:w w:val="98"/>
              </w:rPr>
              <w:t>Stephen K. Roddenberry, Esq.</w:t>
            </w:r>
          </w:p>
        </w:tc>
        <w:tc>
          <w:tcPr>
            <w:tcW w:w="3780" w:type="dxa"/>
            <w:vAlign w:val="bottom"/>
          </w:tcPr>
          <w:p>
            <w:pPr>
              <w:jc w:val="center"/>
              <w:ind w:left="246"/>
              <w:spacing w:after="0"/>
              <w:rPr>
                <w:sz w:val="20"/>
                <w:szCs w:val="20"/>
                <w:color w:val="auto"/>
              </w:rPr>
            </w:pPr>
            <w:r>
              <w:rPr>
                <w:rFonts w:ascii="Times New Roman" w:cs="Times New Roman" w:eastAsia="Times New Roman" w:hAnsi="Times New Roman"/>
                <w:sz w:val="15"/>
                <w:szCs w:val="15"/>
                <w:b w:val="1"/>
                <w:bCs w:val="1"/>
                <w:color w:val="auto"/>
                <w:w w:val="99"/>
              </w:rPr>
              <w:t>David J. Goldschmidt, Esq.</w:t>
            </w:r>
          </w:p>
        </w:tc>
        <w:tc>
          <w:tcPr>
            <w:tcW w:w="3300" w:type="dxa"/>
            <w:vAlign w:val="bottom"/>
          </w:tcPr>
          <w:p>
            <w:pPr>
              <w:jc w:val="center"/>
              <w:ind w:left="246"/>
              <w:spacing w:after="0"/>
              <w:rPr>
                <w:sz w:val="20"/>
                <w:szCs w:val="20"/>
                <w:color w:val="auto"/>
              </w:rPr>
            </w:pPr>
            <w:r>
              <w:rPr>
                <w:rFonts w:ascii="Times New Roman" w:cs="Times New Roman" w:eastAsia="Times New Roman" w:hAnsi="Times New Roman"/>
                <w:sz w:val="15"/>
                <w:szCs w:val="15"/>
                <w:b w:val="1"/>
                <w:bCs w:val="1"/>
                <w:color w:val="auto"/>
                <w:w w:val="99"/>
              </w:rPr>
              <w:t>Daniel J. Bursky, Esq.</w:t>
            </w:r>
          </w:p>
        </w:tc>
      </w:tr>
      <w:tr>
        <w:trPr>
          <w:trHeight w:val="158"/>
        </w:trPr>
        <w:tc>
          <w:tcPr>
            <w:tcW w:w="2560" w:type="dxa"/>
            <w:vAlign w:val="bottom"/>
          </w:tcPr>
          <w:p>
            <w:pPr>
              <w:jc w:val="center"/>
              <w:ind w:right="566"/>
              <w:spacing w:after="0" w:line="158" w:lineRule="exact"/>
              <w:rPr>
                <w:sz w:val="20"/>
                <w:szCs w:val="20"/>
                <w:color w:val="auto"/>
              </w:rPr>
            </w:pPr>
            <w:r>
              <w:rPr>
                <w:rFonts w:ascii="Times New Roman" w:cs="Times New Roman" w:eastAsia="Times New Roman" w:hAnsi="Times New Roman"/>
                <w:sz w:val="15"/>
                <w:szCs w:val="15"/>
                <w:b w:val="1"/>
                <w:bCs w:val="1"/>
                <w:color w:val="auto"/>
                <w:w w:val="99"/>
              </w:rPr>
              <w:t>William C. Arnhols, Esq.</w:t>
            </w:r>
          </w:p>
        </w:tc>
        <w:tc>
          <w:tcPr>
            <w:tcW w:w="3780" w:type="dxa"/>
            <w:vAlign w:val="bottom"/>
          </w:tcPr>
          <w:p>
            <w:pPr>
              <w:jc w:val="center"/>
              <w:ind w:left="266"/>
              <w:spacing w:after="0" w:line="158" w:lineRule="exact"/>
              <w:rPr>
                <w:sz w:val="20"/>
                <w:szCs w:val="20"/>
                <w:color w:val="auto"/>
              </w:rPr>
            </w:pPr>
            <w:r>
              <w:rPr>
                <w:rFonts w:ascii="Times New Roman" w:cs="Times New Roman" w:eastAsia="Times New Roman" w:hAnsi="Times New Roman"/>
                <w:sz w:val="15"/>
                <w:szCs w:val="15"/>
                <w:b w:val="1"/>
                <w:bCs w:val="1"/>
                <w:color w:val="auto"/>
                <w:w w:val="99"/>
              </w:rPr>
              <w:t>Skadden, Arps, Slate, Meagher &amp; Flom LLP</w:t>
            </w:r>
          </w:p>
        </w:tc>
        <w:tc>
          <w:tcPr>
            <w:tcW w:w="3300" w:type="dxa"/>
            <w:vAlign w:val="bottom"/>
          </w:tcPr>
          <w:p>
            <w:pPr>
              <w:jc w:val="center"/>
              <w:ind w:left="246"/>
              <w:spacing w:after="0" w:line="158" w:lineRule="exact"/>
              <w:rPr>
                <w:sz w:val="20"/>
                <w:szCs w:val="20"/>
                <w:color w:val="auto"/>
              </w:rPr>
            </w:pPr>
            <w:r>
              <w:rPr>
                <w:rFonts w:ascii="Times New Roman" w:cs="Times New Roman" w:eastAsia="Times New Roman" w:hAnsi="Times New Roman"/>
                <w:sz w:val="15"/>
                <w:szCs w:val="15"/>
                <w:b w:val="1"/>
                <w:bCs w:val="1"/>
                <w:color w:val="auto"/>
                <w:w w:val="99"/>
              </w:rPr>
              <w:t>Joshua T. Coleman, Esq.</w:t>
            </w:r>
          </w:p>
        </w:tc>
      </w:tr>
      <w:tr>
        <w:trPr>
          <w:trHeight w:val="158"/>
        </w:trPr>
        <w:tc>
          <w:tcPr>
            <w:tcW w:w="2560" w:type="dxa"/>
            <w:vAlign w:val="bottom"/>
          </w:tcPr>
          <w:p>
            <w:pPr>
              <w:jc w:val="center"/>
              <w:ind w:right="566"/>
              <w:spacing w:after="0" w:line="158" w:lineRule="exact"/>
              <w:rPr>
                <w:sz w:val="20"/>
                <w:szCs w:val="20"/>
                <w:color w:val="auto"/>
              </w:rPr>
            </w:pPr>
            <w:r>
              <w:rPr>
                <w:rFonts w:ascii="Times New Roman" w:cs="Times New Roman" w:eastAsia="Times New Roman" w:hAnsi="Times New Roman"/>
                <w:sz w:val="15"/>
                <w:szCs w:val="15"/>
                <w:b w:val="1"/>
                <w:bCs w:val="1"/>
                <w:color w:val="auto"/>
                <w:w w:val="98"/>
              </w:rPr>
              <w:t>Esther L. Moreno, Esq.</w:t>
            </w:r>
          </w:p>
        </w:tc>
        <w:tc>
          <w:tcPr>
            <w:tcW w:w="3780" w:type="dxa"/>
            <w:vAlign w:val="bottom"/>
          </w:tcPr>
          <w:p>
            <w:pPr>
              <w:jc w:val="center"/>
              <w:ind w:left="266"/>
              <w:spacing w:after="0" w:line="158" w:lineRule="exact"/>
              <w:rPr>
                <w:sz w:val="20"/>
                <w:szCs w:val="20"/>
                <w:color w:val="auto"/>
              </w:rPr>
            </w:pPr>
            <w:r>
              <w:rPr>
                <w:rFonts w:ascii="Times New Roman" w:cs="Times New Roman" w:eastAsia="Times New Roman" w:hAnsi="Times New Roman"/>
                <w:sz w:val="15"/>
                <w:szCs w:val="15"/>
                <w:b w:val="1"/>
                <w:bCs w:val="1"/>
                <w:color w:val="auto"/>
                <w:w w:val="98"/>
              </w:rPr>
              <w:t>One Manhattan West</w:t>
            </w:r>
          </w:p>
        </w:tc>
        <w:tc>
          <w:tcPr>
            <w:tcW w:w="3300" w:type="dxa"/>
            <w:vAlign w:val="bottom"/>
          </w:tcPr>
          <w:p>
            <w:pPr>
              <w:jc w:val="center"/>
              <w:ind w:left="246"/>
              <w:spacing w:after="0" w:line="158" w:lineRule="exact"/>
              <w:rPr>
                <w:sz w:val="20"/>
                <w:szCs w:val="20"/>
                <w:color w:val="auto"/>
              </w:rPr>
            </w:pPr>
            <w:r>
              <w:rPr>
                <w:rFonts w:ascii="Times New Roman" w:cs="Times New Roman" w:eastAsia="Times New Roman" w:hAnsi="Times New Roman"/>
                <w:sz w:val="15"/>
                <w:szCs w:val="15"/>
                <w:b w:val="1"/>
                <w:bCs w:val="1"/>
                <w:color w:val="auto"/>
                <w:w w:val="99"/>
              </w:rPr>
              <w:t>Fried, Frank, Harris, Shriver &amp; Jacobson LLP</w:t>
            </w:r>
          </w:p>
        </w:tc>
      </w:tr>
      <w:tr>
        <w:trPr>
          <w:trHeight w:val="158"/>
        </w:trPr>
        <w:tc>
          <w:tcPr>
            <w:tcW w:w="2560" w:type="dxa"/>
            <w:vAlign w:val="bottom"/>
          </w:tcPr>
          <w:p>
            <w:pPr>
              <w:jc w:val="center"/>
              <w:ind w:right="566"/>
              <w:spacing w:after="0" w:line="158" w:lineRule="exact"/>
              <w:rPr>
                <w:sz w:val="20"/>
                <w:szCs w:val="20"/>
                <w:color w:val="auto"/>
              </w:rPr>
            </w:pPr>
            <w:r>
              <w:rPr>
                <w:rFonts w:ascii="Times New Roman" w:cs="Times New Roman" w:eastAsia="Times New Roman" w:hAnsi="Times New Roman"/>
                <w:sz w:val="15"/>
                <w:szCs w:val="15"/>
                <w:b w:val="1"/>
                <w:bCs w:val="1"/>
                <w:color w:val="auto"/>
                <w:w w:val="98"/>
              </w:rPr>
              <w:t>Akerman LLP</w:t>
            </w:r>
          </w:p>
        </w:tc>
        <w:tc>
          <w:tcPr>
            <w:tcW w:w="3780" w:type="dxa"/>
            <w:vAlign w:val="bottom"/>
          </w:tcPr>
          <w:p>
            <w:pPr>
              <w:jc w:val="center"/>
              <w:ind w:left="246"/>
              <w:spacing w:after="0" w:line="158" w:lineRule="exact"/>
              <w:rPr>
                <w:sz w:val="20"/>
                <w:szCs w:val="20"/>
                <w:color w:val="auto"/>
              </w:rPr>
            </w:pPr>
            <w:r>
              <w:rPr>
                <w:rFonts w:ascii="Times New Roman" w:cs="Times New Roman" w:eastAsia="Times New Roman" w:hAnsi="Times New Roman"/>
                <w:sz w:val="15"/>
                <w:szCs w:val="15"/>
                <w:b w:val="1"/>
                <w:bCs w:val="1"/>
                <w:color w:val="auto"/>
                <w:w w:val="96"/>
              </w:rPr>
              <w:t>New York, New York 10001</w:t>
            </w:r>
          </w:p>
        </w:tc>
        <w:tc>
          <w:tcPr>
            <w:tcW w:w="3300" w:type="dxa"/>
            <w:vAlign w:val="bottom"/>
          </w:tcPr>
          <w:p>
            <w:pPr>
              <w:jc w:val="center"/>
              <w:ind w:left="266"/>
              <w:spacing w:after="0" w:line="158" w:lineRule="exact"/>
              <w:rPr>
                <w:sz w:val="20"/>
                <w:szCs w:val="20"/>
                <w:color w:val="auto"/>
              </w:rPr>
            </w:pPr>
            <w:r>
              <w:rPr>
                <w:rFonts w:ascii="Times New Roman" w:cs="Times New Roman" w:eastAsia="Times New Roman" w:hAnsi="Times New Roman"/>
                <w:sz w:val="15"/>
                <w:szCs w:val="15"/>
                <w:b w:val="1"/>
                <w:bCs w:val="1"/>
                <w:color w:val="auto"/>
                <w:w w:val="98"/>
              </w:rPr>
              <w:t>One New York Plaza</w:t>
            </w:r>
          </w:p>
        </w:tc>
      </w:tr>
      <w:tr>
        <w:trPr>
          <w:trHeight w:val="158"/>
        </w:trPr>
        <w:tc>
          <w:tcPr>
            <w:tcW w:w="2560" w:type="dxa"/>
            <w:vAlign w:val="bottom"/>
          </w:tcPr>
          <w:p>
            <w:pPr>
              <w:jc w:val="center"/>
              <w:ind w:right="566"/>
              <w:spacing w:after="0" w:line="158" w:lineRule="exact"/>
              <w:rPr>
                <w:sz w:val="20"/>
                <w:szCs w:val="20"/>
                <w:color w:val="auto"/>
              </w:rPr>
            </w:pPr>
            <w:r>
              <w:rPr>
                <w:rFonts w:ascii="Times New Roman" w:cs="Times New Roman" w:eastAsia="Times New Roman" w:hAnsi="Times New Roman"/>
                <w:sz w:val="15"/>
                <w:szCs w:val="15"/>
                <w:b w:val="1"/>
                <w:bCs w:val="1"/>
                <w:color w:val="auto"/>
                <w:w w:val="99"/>
              </w:rPr>
              <w:t>98 Southeast Seventh Street,</w:t>
            </w:r>
          </w:p>
        </w:tc>
        <w:tc>
          <w:tcPr>
            <w:tcW w:w="3780" w:type="dxa"/>
            <w:vAlign w:val="bottom"/>
          </w:tcPr>
          <w:p>
            <w:pPr>
              <w:jc w:val="center"/>
              <w:ind w:left="266"/>
              <w:spacing w:after="0" w:line="158" w:lineRule="exact"/>
              <w:rPr>
                <w:sz w:val="20"/>
                <w:szCs w:val="20"/>
                <w:color w:val="auto"/>
              </w:rPr>
            </w:pPr>
            <w:r>
              <w:rPr>
                <w:rFonts w:ascii="Times New Roman" w:cs="Times New Roman" w:eastAsia="Times New Roman" w:hAnsi="Times New Roman"/>
                <w:sz w:val="15"/>
                <w:szCs w:val="15"/>
                <w:b w:val="1"/>
                <w:bCs w:val="1"/>
                <w:color w:val="auto"/>
                <w:w w:val="97"/>
              </w:rPr>
              <w:t>Tel: (212) 735-3000</w:t>
            </w:r>
          </w:p>
        </w:tc>
        <w:tc>
          <w:tcPr>
            <w:tcW w:w="3300" w:type="dxa"/>
            <w:vAlign w:val="bottom"/>
          </w:tcPr>
          <w:p>
            <w:pPr>
              <w:jc w:val="center"/>
              <w:ind w:left="246"/>
              <w:spacing w:after="0" w:line="158" w:lineRule="exact"/>
              <w:rPr>
                <w:sz w:val="20"/>
                <w:szCs w:val="20"/>
                <w:color w:val="auto"/>
              </w:rPr>
            </w:pPr>
            <w:r>
              <w:rPr>
                <w:rFonts w:ascii="Times New Roman" w:cs="Times New Roman" w:eastAsia="Times New Roman" w:hAnsi="Times New Roman"/>
                <w:sz w:val="15"/>
                <w:szCs w:val="15"/>
                <w:b w:val="1"/>
                <w:bCs w:val="1"/>
                <w:color w:val="auto"/>
                <w:w w:val="96"/>
              </w:rPr>
              <w:t>New York, New York 10004</w:t>
            </w:r>
          </w:p>
        </w:tc>
      </w:tr>
      <w:tr>
        <w:trPr>
          <w:trHeight w:val="158"/>
        </w:trPr>
        <w:tc>
          <w:tcPr>
            <w:tcW w:w="2560" w:type="dxa"/>
            <w:vAlign w:val="bottom"/>
          </w:tcPr>
          <w:p>
            <w:pPr>
              <w:jc w:val="center"/>
              <w:ind w:right="566"/>
              <w:spacing w:after="0" w:line="158" w:lineRule="exact"/>
              <w:rPr>
                <w:sz w:val="20"/>
                <w:szCs w:val="20"/>
                <w:color w:val="auto"/>
              </w:rPr>
            </w:pPr>
            <w:r>
              <w:rPr>
                <w:rFonts w:ascii="Times New Roman" w:cs="Times New Roman" w:eastAsia="Times New Roman" w:hAnsi="Times New Roman"/>
                <w:sz w:val="15"/>
                <w:szCs w:val="15"/>
                <w:b w:val="1"/>
                <w:bCs w:val="1"/>
                <w:color w:val="auto"/>
                <w:w w:val="96"/>
              </w:rPr>
              <w:t>Suite 1100</w:t>
            </w:r>
          </w:p>
        </w:tc>
        <w:tc>
          <w:tcPr>
            <w:tcW w:w="3780" w:type="dxa"/>
            <w:vAlign w:val="bottom"/>
          </w:tcPr>
          <w:p>
            <w:pPr>
              <w:jc w:val="center"/>
              <w:ind w:left="246"/>
              <w:spacing w:after="0" w:line="158" w:lineRule="exact"/>
              <w:rPr>
                <w:sz w:val="20"/>
                <w:szCs w:val="20"/>
                <w:color w:val="auto"/>
              </w:rPr>
            </w:pPr>
            <w:r>
              <w:rPr>
                <w:rFonts w:ascii="Times New Roman" w:cs="Times New Roman" w:eastAsia="Times New Roman" w:hAnsi="Times New Roman"/>
                <w:sz w:val="15"/>
                <w:szCs w:val="15"/>
                <w:b w:val="1"/>
                <w:bCs w:val="1"/>
                <w:color w:val="auto"/>
                <w:w w:val="99"/>
              </w:rPr>
              <w:t>Fax: (212) 735-2000</w:t>
            </w:r>
          </w:p>
        </w:tc>
        <w:tc>
          <w:tcPr>
            <w:tcW w:w="3300" w:type="dxa"/>
            <w:vAlign w:val="bottom"/>
          </w:tcPr>
          <w:p>
            <w:pPr>
              <w:jc w:val="center"/>
              <w:ind w:left="246"/>
              <w:spacing w:after="0" w:line="158" w:lineRule="exact"/>
              <w:rPr>
                <w:sz w:val="20"/>
                <w:szCs w:val="20"/>
                <w:color w:val="auto"/>
              </w:rPr>
            </w:pPr>
            <w:r>
              <w:rPr>
                <w:rFonts w:ascii="Times New Roman" w:cs="Times New Roman" w:eastAsia="Times New Roman" w:hAnsi="Times New Roman"/>
                <w:sz w:val="15"/>
                <w:szCs w:val="15"/>
                <w:b w:val="1"/>
                <w:bCs w:val="1"/>
                <w:color w:val="auto"/>
                <w:w w:val="98"/>
              </w:rPr>
              <w:t>Tel: (212) 859-8000</w:t>
            </w:r>
          </w:p>
        </w:tc>
      </w:tr>
      <w:tr>
        <w:trPr>
          <w:trHeight w:val="158"/>
        </w:trPr>
        <w:tc>
          <w:tcPr>
            <w:tcW w:w="2560" w:type="dxa"/>
            <w:vAlign w:val="bottom"/>
          </w:tcPr>
          <w:p>
            <w:pPr>
              <w:jc w:val="center"/>
              <w:ind w:right="546"/>
              <w:spacing w:after="0" w:line="158" w:lineRule="exact"/>
              <w:rPr>
                <w:sz w:val="20"/>
                <w:szCs w:val="20"/>
                <w:color w:val="auto"/>
              </w:rPr>
            </w:pPr>
            <w:r>
              <w:rPr>
                <w:rFonts w:ascii="Times New Roman" w:cs="Times New Roman" w:eastAsia="Times New Roman" w:hAnsi="Times New Roman"/>
                <w:sz w:val="15"/>
                <w:szCs w:val="15"/>
                <w:b w:val="1"/>
                <w:bCs w:val="1"/>
                <w:color w:val="auto"/>
                <w:w w:val="99"/>
              </w:rPr>
              <w:t>Miami, Florida 33131</w:t>
            </w:r>
          </w:p>
        </w:tc>
        <w:tc>
          <w:tcPr>
            <w:tcW w:w="378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97"/>
        </w:trPr>
        <w:tc>
          <w:tcPr>
            <w:tcW w:w="2560" w:type="dxa"/>
            <w:vAlign w:val="bottom"/>
          </w:tcPr>
          <w:p>
            <w:pPr>
              <w:jc w:val="center"/>
              <w:ind w:right="566"/>
              <w:spacing w:after="0"/>
              <w:rPr>
                <w:sz w:val="20"/>
                <w:szCs w:val="20"/>
                <w:color w:val="auto"/>
              </w:rPr>
            </w:pPr>
            <w:r>
              <w:rPr>
                <w:rFonts w:ascii="Times New Roman" w:cs="Times New Roman" w:eastAsia="Times New Roman" w:hAnsi="Times New Roman"/>
                <w:sz w:val="15"/>
                <w:szCs w:val="15"/>
                <w:b w:val="1"/>
                <w:bCs w:val="1"/>
                <w:color w:val="auto"/>
                <w:w w:val="97"/>
              </w:rPr>
              <w:t>Tel: (305) 374-5600</w:t>
            </w:r>
          </w:p>
        </w:tc>
        <w:tc>
          <w:tcPr>
            <w:tcW w:w="3780" w:type="dxa"/>
            <w:vAlign w:val="bottom"/>
          </w:tcPr>
          <w:p>
            <w:pPr>
              <w:spacing w:after="0"/>
              <w:rPr>
                <w:sz w:val="17"/>
                <w:szCs w:val="17"/>
                <w:color w:val="auto"/>
              </w:rPr>
            </w:pPr>
          </w:p>
        </w:tc>
        <w:tc>
          <w:tcPr>
            <w:tcW w:w="33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105410</wp:posOffset>
            </wp:positionV>
            <wp:extent cx="142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91" w:lineRule="exact"/>
        <w:rPr>
          <w:sz w:val="24"/>
          <w:szCs w:val="24"/>
          <w:color w:val="auto"/>
        </w:rPr>
      </w:pPr>
    </w:p>
    <w:p>
      <w:pPr>
        <w:ind w:right="720"/>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 xml:space="preserve">Approximate date of commencement of proposed sale of the securities to the public: </w:t>
      </w:r>
      <w:r>
        <w:rPr>
          <w:rFonts w:ascii="Times New Roman" w:cs="Times New Roman" w:eastAsia="Times New Roman" w:hAnsi="Times New Roman"/>
          <w:sz w:val="15"/>
          <w:szCs w:val="15"/>
          <w:color w:val="auto"/>
        </w:rPr>
        <w:t>The offering of the securities will commence promptly following the filing of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Registration Statement. No tendered securities will be accepted for exchange until after this Registration Statement has been declared effective.</w:t>
      </w:r>
    </w:p>
    <w:p>
      <w:pPr>
        <w:spacing w:after="0" w:line="8" w:lineRule="exact"/>
        <w:rPr>
          <w:sz w:val="24"/>
          <w:szCs w:val="24"/>
          <w:color w:val="auto"/>
        </w:rPr>
      </w:pPr>
    </w:p>
    <w:p>
      <w:pPr>
        <w:ind w:right="120"/>
        <w:spacing w:after="0" w:line="190" w:lineRule="exact"/>
        <w:rPr>
          <w:sz w:val="20"/>
          <w:szCs w:val="20"/>
          <w:color w:val="auto"/>
        </w:rPr>
      </w:pPr>
      <w:r>
        <w:rPr>
          <w:rFonts w:ascii="Times New Roman" w:cs="Times New Roman" w:eastAsia="Times New Roman" w:hAnsi="Times New Roman"/>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spacing w:after="0" w:line="15" w:lineRule="exact"/>
        <w:rPr>
          <w:sz w:val="24"/>
          <w:szCs w:val="24"/>
          <w:color w:val="auto"/>
        </w:rPr>
      </w:pPr>
    </w:p>
    <w:p>
      <w:pPr>
        <w:ind w:right="60"/>
        <w:spacing w:after="0" w:line="190"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5" w:lineRule="exact"/>
        <w:rPr>
          <w:sz w:val="24"/>
          <w:szCs w:val="24"/>
          <w:color w:val="auto"/>
        </w:rPr>
      </w:pPr>
    </w:p>
    <w:p>
      <w:pPr>
        <w:ind w:right="40"/>
        <w:spacing w:after="0" w:line="190"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0720"/>
          </w:cols>
          <w:pgMar w:left="580" w:top="223" w:right="599" w:bottom="1440" w:gutter="0" w:footer="0" w:header="0"/>
        </w:sectPr>
      </w:pPr>
    </w:p>
    <w:p>
      <w:pPr>
        <w:spacing w:after="0" w:line="25" w:lineRule="exact"/>
        <w:rPr>
          <w:sz w:val="24"/>
          <w:szCs w:val="24"/>
          <w:color w:val="auto"/>
        </w:rPr>
      </w:pPr>
    </w:p>
    <w:p>
      <w:pPr>
        <w:spacing w:after="0" w:line="173" w:lineRule="exact"/>
        <w:tabs>
          <w:tab w:leader="none" w:pos="1620" w:val="left"/>
          <w:tab w:leader="none" w:pos="858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17" w:lineRule="exact"/>
        <w:rPr>
          <w:sz w:val="24"/>
          <w:szCs w:val="24"/>
          <w:color w:val="auto"/>
        </w:rPr>
      </w:pPr>
    </w:p>
    <w:p>
      <w:pPr>
        <w:spacing w:after="0" w:line="173" w:lineRule="exact"/>
        <w:tabs>
          <w:tab w:leader="none" w:pos="1620" w:val="left"/>
          <w:tab w:leader="none" w:pos="858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53"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38" w:lineRule="exact"/>
        <w:rPr>
          <w:sz w:val="24"/>
          <w:szCs w:val="24"/>
          <w:color w:val="auto"/>
        </w:rPr>
      </w:pPr>
    </w:p>
    <w:p>
      <w:pPr>
        <w:spacing w:after="0" w:line="19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If applicable, place an X in the box to designate the appropriate rule provision relied upon in conducting this transaction:</w:t>
      </w:r>
    </w:p>
    <w:p>
      <w:pPr>
        <w:spacing w:after="0" w:line="3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13e-4(i) (Cross Border Issuer Tender Offer) </w:t>
      </w:r>
      <w:r>
        <w:rPr>
          <w:rFonts w:ascii="MS PGothic" w:cs="MS PGothic" w:eastAsia="MS PGothic" w:hAnsi="MS PGothic"/>
          <w:sz w:val="15"/>
          <w:szCs w:val="15"/>
          <w:color w:val="auto"/>
        </w:rPr>
        <w:t>☐</w:t>
      </w:r>
    </w:p>
    <w:p>
      <w:pPr>
        <w:spacing w:after="0" w:line="5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14d-1(d) (Cross Border Third Party Tender Offer)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141605</wp:posOffset>
            </wp:positionV>
            <wp:extent cx="1427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30" w:lineRule="exact"/>
        <w:rPr>
          <w:sz w:val="24"/>
          <w:szCs w:val="24"/>
          <w:color w:val="auto"/>
        </w:rPr>
      </w:pPr>
    </w:p>
    <w:p>
      <w:pPr>
        <w:sectPr>
          <w:pgSz w:w="11900" w:h="16838" w:orient="portrait"/>
          <w:cols w:equalWidth="0" w:num="2">
            <w:col w:w="10340" w:space="180"/>
            <w:col w:w="200"/>
          </w:cols>
          <w:pgMar w:left="580" w:top="223" w:right="599" w:bottom="1440" w:gutter="0" w:footer="0" w:header="0"/>
          <w:type w:val="continuous"/>
        </w:sectPr>
      </w:pPr>
    </w:p>
    <w:p>
      <w:pPr>
        <w:spacing w:after="0" w:line="81" w:lineRule="exact"/>
        <w:rPr>
          <w:sz w:val="24"/>
          <w:szCs w:val="24"/>
          <w:color w:val="auto"/>
        </w:rPr>
      </w:pPr>
    </w:p>
    <w:p>
      <w:pPr>
        <w:ind w:right="80"/>
        <w:spacing w:after="0" w:line="233" w:lineRule="auto"/>
        <w:rPr>
          <w:sz w:val="20"/>
          <w:szCs w:val="20"/>
          <w:color w:val="auto"/>
        </w:rPr>
      </w:pPr>
      <w:r>
        <w:rPr>
          <w:rFonts w:ascii="Times New Roman" w:cs="Times New Roman" w:eastAsia="Times New Roman" w:hAnsi="Times New Roman"/>
          <w:sz w:val="15"/>
          <w:szCs w:val="15"/>
          <w:b w:val="1"/>
          <w:bCs w:val="1"/>
          <w:color w:val="auto"/>
        </w:rPr>
        <w:t>Each Registrant hereby amends this Registration Statement on such date or dates as may be necessary to delay its effective date until each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810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6810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8255"/>
                    </a:xfrm>
                    <a:prstGeom prst="rect">
                      <a:avLst/>
                    </a:prstGeom>
                    <a:noFill/>
                  </pic:spPr>
                </pic:pic>
              </a:graphicData>
            </a:graphic>
          </wp:anchor>
        </w:drawing>
      </w:r>
    </w:p>
    <w:p>
      <w:pPr>
        <w:sectPr>
          <w:pgSz w:w="11900" w:h="16838" w:orient="portrait"/>
          <w:cols w:equalWidth="0" w:num="1">
            <w:col w:w="10720"/>
          </w:cols>
          <w:pgMar w:left="580" w:top="223" w:right="5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A — Table of Subsidiary Guarantors</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State or Other</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I.R.S.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Jurisdiction of</w:t>
            </w:r>
          </w:p>
        </w:tc>
        <w:tc>
          <w:tcPr>
            <w:tcW w:w="12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0" w:type="dxa"/>
            <w:vAlign w:val="bottom"/>
          </w:tcPr>
          <w:p>
            <w:pPr>
              <w:spacing w:after="0"/>
              <w:rPr>
                <w:sz w:val="1"/>
                <w:szCs w:val="1"/>
                <w:color w:val="auto"/>
              </w:rPr>
            </w:pPr>
          </w:p>
        </w:tc>
      </w:tr>
      <w:tr>
        <w:trPr>
          <w:trHeight w:val="145"/>
        </w:trPr>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Exact Name of Subsidiary Guarantor</w:t>
            </w:r>
          </w:p>
        </w:tc>
        <w:tc>
          <w:tcPr>
            <w:tcW w:w="166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Incorporation or</w:t>
            </w:r>
          </w:p>
        </w:tc>
        <w:tc>
          <w:tcPr>
            <w:tcW w:w="12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Identification</w:t>
            </w:r>
          </w:p>
        </w:tc>
        <w:tc>
          <w:tcPr>
            <w:tcW w:w="0" w:type="dxa"/>
            <w:vAlign w:val="bottom"/>
          </w:tcPr>
          <w:p>
            <w:pPr>
              <w:spacing w:after="0"/>
              <w:rPr>
                <w:sz w:val="1"/>
                <w:szCs w:val="1"/>
                <w:color w:val="auto"/>
              </w:rPr>
            </w:pPr>
          </w:p>
        </w:tc>
      </w:tr>
      <w:tr>
        <w:trPr>
          <w:trHeight w:val="176"/>
        </w:trPr>
        <w:tc>
          <w:tcPr>
            <w:tcW w:w="5300" w:type="dxa"/>
            <w:vAlign w:val="bottom"/>
            <w:gridSpan w:val="3"/>
            <w:vMerge w:val="continue"/>
          </w:tcPr>
          <w:p>
            <w:pPr>
              <w:spacing w:after="0"/>
              <w:rPr>
                <w:sz w:val="15"/>
                <w:szCs w:val="15"/>
                <w:color w:val="auto"/>
              </w:rPr>
            </w:pPr>
          </w:p>
        </w:tc>
        <w:tc>
          <w:tcPr>
            <w:tcW w:w="1660" w:type="dxa"/>
            <w:vAlign w:val="bottom"/>
            <w:gridSpan w:val="2"/>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rPr>
              <w:t>Formation</w:t>
            </w:r>
          </w:p>
        </w:tc>
        <w:tc>
          <w:tcPr>
            <w:tcW w:w="1200" w:type="dxa"/>
            <w:vAlign w:val="bottom"/>
            <w:gridSpan w:val="2"/>
          </w:tcPr>
          <w:p>
            <w:pPr>
              <w:jc w:val="center"/>
              <w:ind w:right="60"/>
              <w:spacing w:after="0" w:line="156"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ADAPPT, LLC</w:t>
            </w:r>
          </w:p>
        </w:tc>
        <w:tc>
          <w:tcPr>
            <w:tcW w:w="30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Pennsylvania</w:t>
            </w: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23-2653056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Arapahoe County Residential Center,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Colorado</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84-1145631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 Incorporated</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Colorado</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84-0769926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Behavioral Acquisition Corp.</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22-3746193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Behavioral Holding Corp.</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20-4244005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 Mobile Breath, Inc.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27-1931247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BII Holding Corporation</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26-3064495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BII Holding I Corporation</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26-3334669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 Real Estate Holdings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Wyoming Properties,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Wyoming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06-1531669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CCMAS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32-0393183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 Intermediate Holdings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CEC Parent Holdings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47-3464615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 Staffing Solutions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New Jersey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47-4539867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CiviGenics,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Massachusetts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04-3266429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CiviGenics Management Services,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Massachusetts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04-3353973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CiviGenics-Texas,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Texas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74-2870249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Clearstream Development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82-1455265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Alternatives</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Wyoming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06-1536351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Corrections,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Colorado</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84-0984354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Education Centers,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22-3457238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Cornell Companies, Inc.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76-0433642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Cornell Corrections Management,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74-2650655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Cornell Corrections of Rhode Island, Inc.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74-2650654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Cornell Corrections of Texas,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74-2650651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Correctional Properties Prison Finance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Correctional Properties,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47-2920630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Correctional Services Corporation,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11-3182580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Correctional Systems,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33-0607766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CPT Limited Partner,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CPT Operating Partnership L.P.</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Fenton Security,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Pennsylvania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23-2216896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Acquisition II,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01-0882442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Care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47-3529923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CC3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47-3573145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Secure Services,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Florida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46-1258100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Corrections Holdings,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Florida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46-1972528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CPM, Inc.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Management Services,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47-3556698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Holdings I, Inc.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56-2635779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International Services, Inc.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47-3510903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MCF LP, LLC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Leasing,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Florida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46-1288456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Operations, Inc.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Florida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36-4868763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RE Holdings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65-0853089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Reentry of Alaska, Inc.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Alaska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76-0578707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Reentry Services, LLC</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Florida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46-1260559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Reentry, Inc.</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47-3703578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12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Transport, Inc.</w:t>
            </w:r>
          </w:p>
        </w:tc>
        <w:tc>
          <w:tcPr>
            <w:tcW w:w="2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Florida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56-2677868</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GEO/DEL/R/02, Inc.</w:t>
            </w:r>
          </w:p>
        </w:tc>
        <w:tc>
          <w:tcPr>
            <w:tcW w:w="24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GEO/DEL/T/02, Inc.</w:t>
            </w:r>
          </w:p>
        </w:tc>
        <w:tc>
          <w:tcPr>
            <w:tcW w:w="2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47-3516062</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Highpoint Investments LLC</w:t>
            </w:r>
          </w:p>
        </w:tc>
        <w:tc>
          <w:tcPr>
            <w:tcW w:w="24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MCF GP, LLC</w:t>
            </w:r>
          </w:p>
        </w:tc>
        <w:tc>
          <w:tcPr>
            <w:tcW w:w="2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Minsec Companies, LLC</w:t>
            </w:r>
          </w:p>
        </w:tc>
        <w:tc>
          <w:tcPr>
            <w:tcW w:w="24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Pennsylvania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20-4798404</w:t>
            </w: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Minsec Treatment, LLC</w:t>
            </w:r>
          </w:p>
        </w:tc>
        <w:tc>
          <w:tcPr>
            <w:tcW w:w="2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Pennsylvania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20-8432898</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Municipal Corrections Finance, L.P.</w:t>
            </w:r>
          </w:p>
        </w:tc>
        <w:tc>
          <w:tcPr>
            <w:tcW w:w="24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Protocol Criminal Justice, Inc.</w:t>
            </w:r>
          </w:p>
        </w:tc>
        <w:tc>
          <w:tcPr>
            <w:tcW w:w="2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Florida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90-1031969</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Public Properties Development and Leasing LLC</w:t>
            </w:r>
          </w:p>
        </w:tc>
        <w:tc>
          <w:tcPr>
            <w:tcW w:w="24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 Inc.</w:t>
            </w:r>
          </w:p>
        </w:tc>
        <w:tc>
          <w:tcPr>
            <w:tcW w:w="2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Massachusetts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04-3308048</w:t>
            </w:r>
          </w:p>
        </w:tc>
      </w:tr>
      <w:tr>
        <w:trPr>
          <w:trHeight w:val="228"/>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WBP Leasing, LLC</w:t>
            </w:r>
          </w:p>
        </w:tc>
        <w:tc>
          <w:tcPr>
            <w:tcW w:w="24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76-0546892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4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applicable as these entities are disregarded for federal income tax purposes</w:t>
      </w:r>
    </w:p>
    <w:p>
      <w:pPr>
        <w:sectPr>
          <w:pgSz w:w="11900" w:h="16838" w:orient="portrait"/>
          <w:cols w:equalWidth="0" w:num="1">
            <w:col w:w="9879"/>
          </w:cols>
          <w:pgMar w:left="580" w:top="284"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EXPLANATORY NOTE</w:t>
      </w:r>
    </w:p>
    <w:p>
      <w:pPr>
        <w:spacing w:after="0" w:line="2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This Amendment No. 1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to the Registration Statement on Form S-4 (File No. 333-266208) of The GEO Group, Inc. is being filed solely for the purpose of filing certain exhibits as indicated in Part II of this Amendment No. 1. This Amendment No. 1 does not modify any provision of the prospectus that forms a part of the Registration Statement. Accordingly, the prospectus has been omitted.</w:t>
      </w:r>
    </w:p>
    <w:p>
      <w:pPr>
        <w:sectPr>
          <w:pgSz w:w="11900" w:h="16838" w:orient="portrait"/>
          <w:cols w:equalWidth="0" w:num="1">
            <w:col w:w="10680"/>
          </w:cols>
          <w:pgMar w:left="580" w:top="264" w:right="6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PART II</w:t>
      </w:r>
    </w:p>
    <w:p>
      <w:pPr>
        <w:spacing w:after="0" w:line="21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20. Indemnification of Directors and Officers.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incorporated as corporations in Florida</w:t>
      </w:r>
    </w:p>
    <w:p>
      <w:pPr>
        <w:spacing w:after="0" w:line="1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i w:val="1"/>
          <w:iCs w:val="1"/>
          <w:color w:val="auto"/>
        </w:rPr>
        <w:t>Florida Business Corporation Act</w:t>
      </w:r>
      <w:r>
        <w:rPr>
          <w:rFonts w:ascii="Times New Roman" w:cs="Times New Roman" w:eastAsia="Times New Roman" w:hAnsi="Times New Roman"/>
          <w:sz w:val="18"/>
          <w:szCs w:val="18"/>
          <w:color w:val="auto"/>
        </w:rPr>
        <w:t>. Subsection (1) of Section 607.0850 of the Florida Business Corporation Act (“</w:t>
      </w:r>
      <w:r>
        <w:rPr>
          <w:rFonts w:ascii="Times New Roman" w:cs="Times New Roman" w:eastAsia="Times New Roman" w:hAnsi="Times New Roman"/>
          <w:sz w:val="18"/>
          <w:szCs w:val="18"/>
          <w:b w:val="1"/>
          <w:bCs w:val="1"/>
          <w:color w:val="auto"/>
        </w:rPr>
        <w:t>Florida Corporate Law</w:t>
      </w:r>
      <w:r>
        <w:rPr>
          <w:rFonts w:ascii="Times New Roman" w:cs="Times New Roman" w:eastAsia="Times New Roman" w:hAnsi="Times New Roman"/>
          <w:sz w:val="18"/>
          <w:szCs w:val="18"/>
          <w:color w:val="auto"/>
        </w:rPr>
        <w:t>”) empowers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corporation to indemnify any person who was or is a party to any proceeding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liability incurred in connection with such proceeding, including any appeal thereof,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proceeding by judgment, order, settlement, or conviction or upon a plea of nolo contendere or its equivalent shall not, of itself, create a presumption that the person did not act in good faith and in a manner which he or she reasonably believed to be in, or not opposed to, the best interests of the corporation or, with respect to any criminal action or proceeding, had reasonable cause to believe that his or her conduct was unlawful.</w:t>
      </w:r>
    </w:p>
    <w:p>
      <w:pPr>
        <w:spacing w:after="0" w:line="19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Subsection (2) of Section 607.0850 of the Florida Corporate Law empowers a corporation to indemnify any person, who was or is a party to any proceeding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Such indemnification shall be authorized if such person acted in good faith and in a manner he or she reasonably believed to be in, or not opposed to, the best interests of the corporation, except that no indemnification shall be made under this subsection in respect of any claim, issue, or matter as to which such person shall have been adjudged to be liable unless, and only to the extent that, the court in which such proceeding was brought, or any other court of competent jurisdiction, shall determine upon application that, despite the adjudication of liability but in view of all circumstances of the case, such person is fairly and reasonably entitled to indemnity for such expenses which such court shall deem proper.</w:t>
      </w:r>
    </w:p>
    <w:p>
      <w:pPr>
        <w:spacing w:after="0" w:line="19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Subsection (4) of Section 607.0850 of the Florida Corporate Law provides that any indemnification under subsection (1) or subsection (2) of Section 607.0850, unless pursuant to a determination by a court, shall be made by the corporation only as authorized in the specific case upon a determination that indemnification of the director, officer, employee, or agent is proper in the circumstances because he or she has met the applicable standard of conduct set forth in subsection (1) or subsection (2) of Section 607.0850. Such determination shall be made, (a) by the board of directors by a majority vote of a quorum consisting of directors who were not parties to such proceeding; or (b) if such a quorum is not obtainable or, even if obtainable, by majority vote of a committee duly designated by the board of directors (in which directors who are parties may participate) consisting solely of two or more directors not at the time parties to the proceeding; or (c) by independent legal counsel (i) selected by the board of directors prescribed in paragraph (a) or the committee prescribed in paragraph (b); or (ii) if a quorum of the directors cannot be obtained for paragraph (a) and the committee cannot be designated under paragraph (b), selected by majority vote of the full board of directors (in which directors who are parties may participate); or (d) by the shareholders by a majority vote of a quorum consisting of shareholders who were not parties to such proceeding or, if no such quorum is obtainable, by a majority vote of shareholders who were not parties to such proceeding.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720"/>
          </w:cols>
          <w:pgMar w:left="580" w:top="264" w:right="599" w:bottom="1440" w:gutter="0" w:footer="0" w:header="0"/>
        </w:sectPr>
      </w:pPr>
    </w:p>
    <w:bookmarkStart w:id="5" w:name="page6"/>
    <w:bookmarkEnd w:id="5"/>
    <w:p>
      <w:pPr>
        <w:jc w:val="both"/>
        <w:ind w:right="40"/>
        <w:spacing w:after="0" w:line="30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Subsection (5) of Section 607.0850 indicates that the evaluation of the reasonableness of expenses and authorization of indemnification shall be made in the same manner as the determination that indemnification is permissible. However, if the determination of permissibility is made by independent legal counsel, persons specified by Subsection (4)(c) of Section 607.0850 shall evaluate the reasonableness of expenses and may authorize indemnification.</w:t>
      </w:r>
    </w:p>
    <w:p>
      <w:pPr>
        <w:spacing w:after="0" w:line="14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Section 607.0850 of the Florida Corporate Law further provides that to the extent that a director, officer, employee, or agent of a corporation has been successful on the merits or otherwise in defense of any proceeding referred to in subsection (1) of Section 607.0850 or subsection (2) of</w:t>
      </w:r>
    </w:p>
    <w:p>
      <w:pPr>
        <w:ind w:right="140"/>
        <w:spacing w:after="0" w:line="282" w:lineRule="auto"/>
        <w:rPr>
          <w:sz w:val="20"/>
          <w:szCs w:val="20"/>
          <w:color w:val="auto"/>
        </w:rPr>
      </w:pPr>
      <w:r>
        <w:rPr>
          <w:rFonts w:ascii="Times New Roman" w:cs="Times New Roman" w:eastAsia="Times New Roman" w:hAnsi="Times New Roman"/>
          <w:sz w:val="16"/>
          <w:szCs w:val="16"/>
          <w:color w:val="auto"/>
        </w:rPr>
        <w:t>Section 607.0850, or in defense of any claim, issue, or matter therein, he or she shall be indemnified against expenses actually and reasonably incurred by him or her in connection therewith and that such expenses incurred by an officer or director in defending a civil or criminal proceeding may be paid by the corporation in advance of the final disposition of such proceeding upon receipt of an undertaking by or on behalf of such director or officer to repay such amount if he or she is ultimately found not to be entitled to indemnification by the corporation pursuant to Section 607.0850. Expenses incurred by other employees and agents may be paid in advance upon such terms or conditions that the board of directors deems appropriate.</w:t>
      </w:r>
    </w:p>
    <w:p>
      <w:pPr>
        <w:spacing w:after="0" w:line="1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Florida Corporate Law further provides that the indemnification and advancement of expenses provided pursuant to Section 607.0850 are not exclusive, and a corporation may make any other or further indemnification or advancement of expenses of any of its directors, officers, employees, or agents, under any bylaw, agreement, vote of shareholders or disinterested directors, or otherwise, both as to action in his or her official capacity and as to action in another capacity while holding such office. However, indemnification or advancement of expenses shall not be made to or on behalf of any director, officer, employee, or agent if a judgment or other final adjudication establishes that his or her actions, or omissions to act, were material to the cause of action so adjudicated and constitute (a) a violation of the criminal law, unless the director, officer, employee, or agent had reasonable cause to believe his or her conduct was lawful or had no reasonable cause to believe his or her conduct was unlawful; (b) a transaction from which the director, officer, employee, or agent derived an improper personal benefit; (c) in the case of a director, a circumstance under which the liability provisions of Section 607.0834 are applicable; or (d) willful misconduct or a conscious disregard for the best interests of the corporation in a proceeding by or in the right of the corporation to procure a judgment in its favor or in a proceeding by or in the right of a shareholder.</w:t>
      </w:r>
    </w:p>
    <w:p>
      <w:pPr>
        <w:spacing w:after="0" w:line="3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Subsection (8) of Section 607.0850 of the Florida Corporate Law provides that indemnification and advancement of expenses as provided in Section 607.0850 shall continue as, unless otherwise provided when authorized or ratified, to a person who has ceased to be a director, officer, employee, or agent and shall inure to the benefit of the heirs, executors, and administrators of such a person, unless otherwise provided when authorized or ratified.</w:t>
      </w:r>
    </w:p>
    <w:p>
      <w:pPr>
        <w:spacing w:after="0" w:line="18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Subsection (9) of Section 607.0850 of the Florida Corporate Law also provides that unless the corporation’s articles of incorporation provide otherwise, notwithstanding the failure of a corporation to provide indemnification, and despite any contrary determination of the board or of the shareholders in the specific case, a director, officer, employee, or agent of the corporation who is or was a party to a proceeding may apply for indemnification or advancement of expenses, or both, to the court conducting the proceeding, to the circuit court, or to another court of competent jurisdiction. On receipt of an application, the court, after giving any notice that it considers necessary, may order indemnification and advancement of expenses, including expenses incurred in seeking court-ordered indemnification or advancement of expenses, if it determines that (a) the director, officer, employee, or agent is entitled to mandatory indemnification under subsection (3) of Section 607.0850, in which case the court shall also order the corporation to pay the director reasonable expenses incurred in obtaining court-ordered indemnification or advancement of expenses; (b) the director, officer, employee, or agent is entitled to indemnification or advancement of expenses, or both, by virtue of the exercise by the corporation of its power pursuant to subsection</w:t>
      </w:r>
    </w:p>
    <w:p>
      <w:pPr>
        <w:spacing w:after="0" w:line="6" w:lineRule="exact"/>
        <w:rPr>
          <w:sz w:val="20"/>
          <w:szCs w:val="20"/>
          <w:color w:val="auto"/>
        </w:rPr>
      </w:pPr>
    </w:p>
    <w:p>
      <w:pPr>
        <w:ind w:right="120" w:firstLine="1"/>
        <w:spacing w:after="0" w:line="245" w:lineRule="auto"/>
        <w:tabs>
          <w:tab w:leader="none" w:pos="2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607.0850; or (c) the director, officer, employee, or agent is fairly and reasonably entitled to indemnification or advancement of expenses, or both, in view of all the relevant circumstances, regardless of whether such person met the standard of conduct set forth in subsection (1) of Section 607.0850, subsection (2) of Section 607.0850, or subsection (7) of Section 607.0850.</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720"/>
          </w:cols>
          <w:pgMar w:left="580" w:top="266" w:right="599" w:bottom="1440" w:gutter="0" w:footer="0" w:header="0"/>
        </w:sectPr>
      </w:pPr>
    </w:p>
    <w:bookmarkStart w:id="6" w:name="page7"/>
    <w:bookmarkEnd w:id="6"/>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Subsection (12) of Section 607.0850 stipulates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him or her in any such capacity or arising out of his or her status as such, whether or not the corporation would have the power to indemnify the person against such liability under the provisions of Section 607.0850.</w:t>
      </w:r>
    </w:p>
    <w:p>
      <w:pPr>
        <w:spacing w:after="0" w:line="18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i w:val="1"/>
          <w:iCs w:val="1"/>
          <w:color w:val="auto"/>
        </w:rPr>
        <w:t>Amended Articles</w:t>
      </w:r>
      <w:r>
        <w:rPr>
          <w:rFonts w:ascii="Times New Roman" w:cs="Times New Roman" w:eastAsia="Times New Roman" w:hAnsi="Times New Roman"/>
          <w:sz w:val="18"/>
          <w:szCs w:val="18"/>
          <w:color w:val="auto"/>
        </w:rPr>
        <w:t>. Article X of the Amended Articles provide that the Company shall indemnify and shall advance expenses on behalf of its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the fullest extent permitted by law as it presently exists or may hereafter be amended.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Bylaws</w:t>
      </w:r>
    </w:p>
    <w:p>
      <w:pPr>
        <w:spacing w:after="0" w:line="10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i w:val="1"/>
          <w:iCs w:val="1"/>
          <w:color w:val="auto"/>
        </w:rPr>
        <w:t>Amended Bylaws</w:t>
      </w:r>
      <w:r>
        <w:rPr>
          <w:rFonts w:ascii="Times New Roman" w:cs="Times New Roman" w:eastAsia="Times New Roman" w:hAnsi="Times New Roman"/>
          <w:sz w:val="18"/>
          <w:szCs w:val="18"/>
          <w:color w:val="auto"/>
        </w:rPr>
        <w:t>. The Company’s Amended Bylaws provide that the Company shall indemnify any person who was or is made a party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by reason of the fact that he or she was or is a director or an officer of the corporation, or a director or an officer of the corporation serving as a trustee or fiduciary of an employee benefit plan of the corporation and the board of directors may indemnify any employee of the corporation with respect to such circumstances by resolution, against any liability incurred in connection with such proceeding, including an appeal thereof. The corporation shall pay reasonable expenses, on a conditional basis, in advance of final disposition subject to the provisions of applicable law. The Company’s Amended Bylaws further provide that such right of indemnification shall not be exclusive of any right to which any director, officer, employee, agent or controlling shareholder of the Company may be entitled as a matter of law.</w:t>
      </w:r>
    </w:p>
    <w:p>
      <w:pPr>
        <w:spacing w:after="0" w:line="18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GEO Transport, Inc.’s bylaws provide that any person made, or threatened to be made, a party to any threatened, pending, or contemplated action or proceeding, whether civil, criminal, administrative, or investigative, arising out of or related to such person’s service as a director, officer, employee, or agent of GEO Transport, Inc. (or arising out of or related to such person’s service with respect to any other corporation or other enterprise in any such capacity at the request of GEO Transport, Inc.), shall be indemnified by GEO Transport, Inc., and GEO Transport, Inc. may advance to such person related expenses incurred in defense of such action, to the fullest extent permitted by applicable law. For purposes of this paragraph, “person” shall include such person’s heirs and personal representatives.</w:t>
      </w:r>
    </w:p>
    <w:p>
      <w:pPr>
        <w:spacing w:after="0" w:line="189"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GEO Corrections Holdings, Inc.’s bylaws provide that any person made, or threatened to be made, a party to any threatened, pending, or contemplated action or proceeding, whether civil, criminal, administrative, or investigative, arising out of or related to such person’s service as a director, officer, employee, or agent of GEO Corrections Holdings, Inc. (or arising out of or related to such person’s service with respect to any other corporation or other enterprise in any such capacity at the request of GEO Corrections Holdings, Inc.), shall be indemnified by GEO Corrections Holdings, Inc., and GEO Corrections Holdings, Inc. may advance to such person related expenses incurred in defense of such action, to the fullest extent permitted by applicable law. For purposes of this paragraph, “person” shall include such person’s heirs and personal representatives.</w:t>
      </w:r>
    </w:p>
    <w:p>
      <w:pPr>
        <w:spacing w:after="0" w:line="16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Protocol Criminal Justice, Inc.’s bylaws provide that each person who is or was a director or officer of Protocol Criminal Justice, Inc. shall be indemnified to the fullest extent permitted or authorized by current or future legislation or judicial or administrative decision against all fines, liabilities, costs and expenses, including attorneys’ fees, arising out of his or her status as a director, officer, agent, employee or representative. The foregoing right of indemnification shall not be exclusive of other rights to which those seeking an indemnification may be entitled. Protocol Criminal Justice, Inc. may maintain insurance, at its expense, to protect itself and all officers and directors against fines, liabilities, costs and expenses, whether or not Protocol Criminal Justice, Inc. would have the legal power to indemnify them directly against such liability. Protocol Criminal Justice, Inc. shall pay in advance of the final disposition of a civil or criminal proceeding the costs, charges and expenses (including attorneys’ fees) incurred by such person for such proceedings upon receipt of an undertaking to repay all amounts advanced if it is ultimately determined that the person is not entitled to be indemnified by Protocol Criminal Justice, Inc.</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720"/>
          </w:cols>
          <w:pgMar w:left="580" w:top="266" w:right="599" w:bottom="1440" w:gutter="0" w:footer="0" w:header="0"/>
        </w:sectPr>
      </w:pPr>
    </w:p>
    <w:bookmarkStart w:id="7" w:name="page8"/>
    <w:bookmarkEnd w:id="7"/>
    <w:p>
      <w:pPr>
        <w:ind w:right="8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GEO Operations, Inc.’s By-laws provide that any person made, or threatened to be made, a party to any threatened, pending, or contemplated action or proceeding, whether civil, criminal, administrative, or investigative, arising out of or related to such person’s service as a director, officer, employee, or agent of GEO Operations, Inc. (or arising out of or related to such person’s service with respect to any other corporation or other enterprise in any such capacity at the request of GEO Operations, Inc.), shall be indemnified by GEO Operations, Inc., and GEO Operations, Inc. may advance to such person related expenses incurred in defense of such action, to the fullest extent permitted by applicable law. For purposes hereof, “person” shall include such person’s heirs and personal representatives.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formed as limited liability companies in Florida</w:t>
      </w:r>
    </w:p>
    <w:p>
      <w:pPr>
        <w:spacing w:after="0" w:line="10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Section 608.4229 of the Florida Limited Liability Company Act (“</w:t>
      </w:r>
      <w:r>
        <w:rPr>
          <w:rFonts w:ascii="Times New Roman" w:cs="Times New Roman" w:eastAsia="Times New Roman" w:hAnsi="Times New Roman"/>
          <w:sz w:val="16"/>
          <w:szCs w:val="16"/>
          <w:b w:val="1"/>
          <w:bCs w:val="1"/>
          <w:color w:val="auto"/>
        </w:rPr>
        <w:t>FLLCA</w:t>
      </w:r>
      <w:r>
        <w:rPr>
          <w:rFonts w:ascii="Times New Roman" w:cs="Times New Roman" w:eastAsia="Times New Roman" w:hAnsi="Times New Roman"/>
          <w:sz w:val="16"/>
          <w:szCs w:val="16"/>
          <w:color w:val="auto"/>
        </w:rPr>
        <w:t>”) permits, but does not require, subject to standards and restrictions, if any, in its articles of organization or operating agreement, a limited liability company to indemnify and hold harmless any member or manager or other person from and against any and all claims and demands whatsoever. However, indemnification or advancement of expenses shall not be made to or on behalf of any member, manager, managing member, officer, employee, or agent if a judgment or other final adjudication establishes that the actions, or omissions to act, of such member, manager, managing member, officer, employee, or agent were material to the cause of action so adjudicated and constitute any of the following: (a) a violation of criminal law, unless the member, manager, managing member, officer, employee, or agent had no reasonable cause to believe such conduct was unlawful; (b) a transaction from which the member, manager, managing member, officer, employee, or agent derived an improper personal benefit; (c) in the case of a manager or managing member, a circumstance under which the liability attaches for unlawful distribution; and (d) willful misconduct or a conscious disregard for the best interests of the limited liability company in a proceeding by or in the right of the limited liability company to procure a judgment in its favor or in a proceeding by or in the right of a member.</w:t>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GEO Leasing, LLC’s Operating Agreement, as amended, provides that each manager, an officer, and the member, each of the foregoing persons referred to as a “</w:t>
      </w:r>
      <w:r>
        <w:rPr>
          <w:rFonts w:ascii="Times New Roman" w:cs="Times New Roman" w:eastAsia="Times New Roman" w:hAnsi="Times New Roman"/>
          <w:sz w:val="16"/>
          <w:szCs w:val="16"/>
          <w:b w:val="1"/>
          <w:bCs w:val="1"/>
          <w:color w:val="auto"/>
        </w:rPr>
        <w:t>Covered Person</w:t>
      </w:r>
      <w:r>
        <w:rPr>
          <w:rFonts w:ascii="Times New Roman" w:cs="Times New Roman" w:eastAsia="Times New Roman" w:hAnsi="Times New Roman"/>
          <w:sz w:val="16"/>
          <w:szCs w:val="16"/>
          <w:color w:val="auto"/>
        </w:rPr>
        <w:t>,” shall be indemnified by GEO Leasing,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Leasing, LLC, the disposition of liability of GEO Leasing, LLC or the conduct of its business. Expenses incurred by any Covered Person in connection with the preparation and presentation of a defense or response to any claim, action, suit or proceeding shall be paid by GEO Leasing, LLC; provided, however, that any indemnity under this paragraph shall be provided out of and to the extent of GEO Leasing, LLC assets only, and neither the member nor any manager nor any other person shall have any personal liability on account thereof.</w:t>
      </w:r>
    </w:p>
    <w:p>
      <w:pPr>
        <w:spacing w:after="0" w:line="16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GEO Secure Services, LLC’s Operating Agreement provides that each manager, an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GEO Secure Services,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Secure Services, LLC, the disposition of liability of GEO Secure Services, LLC or the conduct of its business. Expenses incurred by any Covered Person in connection with the preparation and presentation of a defense or response to any claim, action, suit or proceeding shall be paid by GEO Secure Services, LLC; provided, however, that any indemnity under this paragraph shall be provided out of and to the extent of GEO Secure Services, LLC assets only, and neither the member nor any manager nor any other person shall have any personal liability on account thereof.</w:t>
      </w:r>
    </w:p>
    <w:p>
      <w:pPr>
        <w:spacing w:after="0" w:line="19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GEO Reentry Services, LLC’s Operating Agreement provides that each manager, an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GEO Reentry Services,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700"/>
          </w:cols>
          <w:pgMar w:left="580" w:top="266" w:right="619" w:bottom="1440" w:gutter="0" w:footer="0" w:header="0"/>
        </w:sectPr>
      </w:pPr>
    </w:p>
    <w:bookmarkStart w:id="8" w:name="page9"/>
    <w:bookmarkEnd w:id="8"/>
    <w:p>
      <w:pPr>
        <w:ind w:right="8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Reentry Services, LLC, the disposition of liability of GEO Reentry Services, LLC or the conduct of its business. Expenses incurred by any Covered Person in connection with the preparation and presentation of a defense or response to any claim, action, suit or proceeding shall be paid by GEO Reentry Services, LLC; provided, however, that any indemnity under this paragraph shall be provided out of and to the extent of GEO Reentry Services, LLC assets only, and neither the member nor any manager nor any other person shall have any personal liability on account thereof.</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incorporated as corporations in Delaware</w:t>
      </w:r>
    </w:p>
    <w:p>
      <w:pPr>
        <w:spacing w:after="0" w:line="10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i w:val="1"/>
          <w:iCs w:val="1"/>
          <w:color w:val="auto"/>
        </w:rPr>
        <w:t>Delaware General Corporation Law</w:t>
      </w:r>
      <w:r>
        <w:rPr>
          <w:rFonts w:ascii="Times New Roman" w:cs="Times New Roman" w:eastAsia="Times New Roman" w:hAnsi="Times New Roman"/>
          <w:sz w:val="18"/>
          <w:szCs w:val="18"/>
          <w:color w:val="auto"/>
        </w:rPr>
        <w:t>. Section 145(a)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provides that a Delaware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GEO Acquisition II, Inc., GEO Holdings I, Inc., Cornell Companies, Inc., Cornell Corrections of Texas, Inc., Cornell Corrections of Rhode Island, Inc., BII Holding Corporation, BII Holding I Corporation, Behavioral Holding Corp., Behavioral Acquisition Corp., GEO/DEL/R/02, Inc., GEO International Services, Inc., GEO/DEL/T/02, Inc., GEO Reentry, Inc., GEO CPM, Inc., GEO Management Services, Inc., GEO CC3 Inc., BI Mobile Breath, Inc., and Community Education Centers, Inc.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6"/>
          <w:szCs w:val="16"/>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subsections of DGCL Section 145 provide that:</w:t>
      </w:r>
    </w:p>
    <w:p>
      <w:pPr>
        <w:spacing w:after="0" w:line="122" w:lineRule="exact"/>
        <w:rPr>
          <w:sz w:val="20"/>
          <w:szCs w:val="20"/>
          <w:color w:val="auto"/>
        </w:rPr>
      </w:pPr>
    </w:p>
    <w:p>
      <w:pPr>
        <w:ind w:left="940" w:right="160" w:hanging="413"/>
        <w:spacing w:after="0" w:line="252"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90" w:lineRule="exact"/>
        <w:rPr>
          <w:rFonts w:ascii="Times New Roman" w:cs="Times New Roman" w:eastAsia="Times New Roman" w:hAnsi="Times New Roman"/>
          <w:sz w:val="18"/>
          <w:szCs w:val="18"/>
          <w:color w:val="auto"/>
        </w:rPr>
      </w:pPr>
    </w:p>
    <w:p>
      <w:pPr>
        <w:ind w:left="940" w:hanging="413"/>
        <w:spacing w:after="0" w:line="256"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720"/>
          </w:cols>
          <w:pgMar w:left="580" w:top="266" w:right="599" w:bottom="1440" w:gutter="0" w:footer="0" w:header="0"/>
        </w:sectPr>
      </w:pPr>
    </w:p>
    <w:bookmarkStart w:id="9" w:name="page10"/>
    <w:bookmarkEnd w:id="9"/>
    <w:p>
      <w:pPr>
        <w:ind w:left="940" w:right="100" w:hanging="413"/>
        <w:spacing w:after="0" w:line="249"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86"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As used in this Item 20, 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threatened, pending, or completed action, suit, or proceeding, whether or not by or in the right of Registrant, and whether civil, criminal, administrative, investigative or otherwise.</w:t>
      </w:r>
    </w:p>
    <w:p>
      <w:pPr>
        <w:spacing w:after="0" w:line="16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Section 145 of the DGCL makes provision for the indemnification of officers and directors in terms sufficiently broad to indemnify officers and directors of each of the registrants incorporated in Delaware under certain circumstances from liabilities (including reimbursement for expenses incurred) arising under the Securities Act of 1933, as amended (the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Each of the registrants incorporated in Delaware may, in their discretion, similarly indemnify their employees and agents. The Bylaws of each of the registrants incorporated in Delaware provide, in effect, that, to the fullest extent and under the circumstances permitted by Section 145 of the DGCL, each of the registrants incorporated in Delaware will indemnify any and all of its officers, directors, employees and agents. In addition, the Certificate of Incorporation of each of the registrants incorporated in Delaware relieves its directors from monetary damages to it or its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failure to act in good faith,</w:t>
      </w:r>
    </w:p>
    <w:p>
      <w:pPr>
        <w:spacing w:after="0" w:line="6" w:lineRule="exact"/>
        <w:rPr>
          <w:sz w:val="20"/>
          <w:szCs w:val="20"/>
          <w:color w:val="auto"/>
        </w:rPr>
      </w:pPr>
    </w:p>
    <w:p>
      <w:pPr>
        <w:ind w:right="120" w:firstLine="1"/>
        <w:spacing w:after="0" w:line="245" w:lineRule="auto"/>
        <w:tabs>
          <w:tab w:leader="none" w:pos="3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intentional misconduct or knowing violation of law, (iv) for willful or negligent violations of certain provisions in the DGCL imposing certain requirements with respect to stock repurchases, redemptions and dividends, or (v) for any transactions from which the director derived an improper personal benefit.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formed as limited liability companies in Delaware</w:t>
      </w:r>
    </w:p>
    <w:p>
      <w:pPr>
        <w:spacing w:after="0" w:line="11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Section 18-108 of the Delaware Limited Liability Company Act provides that, subject to such standards and restrictions, if any, as are set forth in its limited liability company agreement, a Delaware limited liability company, such as Correctional Services Corporation, LLC, Correctional Properties Prison Finance LLC, CPT Limited Partner, LLC, Public Properties Development and Leasing LLC, GEO RE Holdings LLC, Cornell Corrections Management, LLC, Correctional Systems, LLC, MCF GP, LLC, GEO MCF LP, LLC, WBP Leasing, LLC, Correctional Properties, LLC, Highpoint Investments LLC, GEO Care LLC, Clearstream Development LLC, CEC Parent Holdings LLC, CEC Intermediate Holdings LLC, CCMAS LLC and Broad Real Estate Holdings LLC and has the power to, indemnify and hold harmless any member or manager or other person from and against any and all claims and demands whatsoever.</w:t>
      </w:r>
    </w:p>
    <w:p>
      <w:pPr>
        <w:spacing w:after="0" w:line="19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Correctional Properties Prison Finance LLC’s operating agreement provides that, to the fullest extent provided by applicable law, a member, special member, officer, director, employee or agent of Correctional Properties Prison Finance LLC and any employee, representative, agent or affiliate of the member or special member shall be entitled to indemnification for any loss, damage or claim incurred by such person by reason of any act or omission performed or omitted by such person in good faith on behalf of Correctional Properties Prison Finance LLC and in a manner reasonably believed to be within the scope of the authority conferred on such person, except for any loss, damage or claim incurred by such person by reason of such person’s gross negligence or willful misconduct with respect to such acts or omissions. To the fullest extent permitted by applicable law, expenses (including reasonable legal fees) incurred by such person defending any claim, demand, action, suit or proceeding shall, from time to time, be advanced by Correctional Properties Prison Finance LLC prior to the final disposition of such claim, demand, action, suit or proceeding upon receipt by Correctional Properties Prison Finance LLC of an undertaking by or on behalf of such person to repay such amount if it shall be determined that such person is not entitled to be indemnified.</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640"/>
          </w:cols>
          <w:pgMar w:left="580" w:top="266" w:right="679" w:bottom="1440" w:gutter="0" w:footer="0" w:header="0"/>
        </w:sectPr>
      </w:pPr>
    </w:p>
    <w:bookmarkStart w:id="10" w:name="page11"/>
    <w:bookmarkEnd w:id="10"/>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CPT Limited Partner, LLC’s operating agreement provides that CPT Limited Partner, LLC shall indemnify and hold harmless its member, officers and employees, and the affiliates of each of the foregoing, to the fullest extent permitted by law against losses, judgments, liabilities, expenses and amounts incurred or paid, including attorneys’ fees, costs, judgments, amounts paid in settlement, fines, penalties and other liabilities, by such person in connection with any claim, action suit or proceeding in which such person becomes involved as a party or otherwise, or with which such person shall be threatened, in connection with the conduct of CPT Limited Partner, LLC’s affairs. Expenses incurred by any such person in connection with the preparation and presentation of a defense or response to any claims covered hereby shall be paid by CPT Limited Partner, LLC. Such right of indemnity shall apply with respect to all actions taken by such person which they believe to be in the best interest of CPT Limited Partner, LLC in accordance with the business judgment rule, other than actions which constitute willful misconduct or gross negligence.</w:t>
      </w:r>
    </w:p>
    <w:p>
      <w:pPr>
        <w:spacing w:after="0" w:line="18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Public Properties Development and Leasing LLC’s operating agreement provides that Public Properties Development and Leasing LLC shall indemnify and hold harmless its member, officers and employees, and the affiliates of each of the foregoing, to the fullest extent permitted by law against losses, judgments, liabilities, expenses and amounts incurred or paid, including attorneys’ fees, costs, judgments, amounts paid in settlement, fines, penalties and other liabilities, by such person in connection with any claim, action suit or proceeding in which such person becomes involved as a party or otherwise, or with which such person shall be threatened, in connection with the conduct of Public Properties Development and Leasing LLC’s affairs. Expenses incurred by any such person in connection with the preparation and presentation of a defense or response to any claims covered hereby shall be paid by Public Properties Development and Leasing LLC. Such right of indemnity shall apply with respect to all actions taken by such person which they believe to be in the best interest of Public Properties Development and Leasing LLC in accordance with the business judgment rule, other than actions which constitute willful misconduct or gross negligence.</w:t>
      </w:r>
    </w:p>
    <w:p>
      <w:pPr>
        <w:spacing w:after="0" w:line="194"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8"/>
          <w:szCs w:val="18"/>
          <w:color w:val="auto"/>
        </w:rPr>
        <w:t>GEO RE Holdings LLC’s operating agreement is silent with respect to indemnification. However, see the discussion regarding indemnification provisions in the Delaware Limited Liability Company Act.</w:t>
      </w:r>
    </w:p>
    <w:p>
      <w:pPr>
        <w:spacing w:after="0" w:line="16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Correctional Services Corporation, LLC’s Operating Agreement provides that each manager, an officer, and the member, each of the foregoing persons referred to as a “</w:t>
      </w:r>
      <w:r>
        <w:rPr>
          <w:rFonts w:ascii="Times New Roman" w:cs="Times New Roman" w:eastAsia="Times New Roman" w:hAnsi="Times New Roman"/>
          <w:sz w:val="16"/>
          <w:szCs w:val="16"/>
          <w:b w:val="1"/>
          <w:bCs w:val="1"/>
          <w:color w:val="auto"/>
        </w:rPr>
        <w:t>Covered Person</w:t>
      </w:r>
      <w:r>
        <w:rPr>
          <w:rFonts w:ascii="Times New Roman" w:cs="Times New Roman" w:eastAsia="Times New Roman" w:hAnsi="Times New Roman"/>
          <w:sz w:val="16"/>
          <w:szCs w:val="16"/>
          <w:color w:val="auto"/>
        </w:rPr>
        <w:t>,” shall be indemnified by Correctional Services Corporation,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Correctional Services Corporation, LLC, the disposition of liability of Correctional Services Corporation, LLC or the conduct of its business. Expenses incurred by any Covered Person in connection with the preparation and presentation of a defense or response to any claim, action, suit or proceeding shall be paid by Correctional Services Corporation, LLC.</w:t>
      </w:r>
    </w:p>
    <w:p>
      <w:pPr>
        <w:spacing w:after="0" w:line="16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color w:val="auto"/>
        </w:rPr>
        <w:t>Cornell Corrections Management, LLC’s Operating Agreement provides that each manager, an officer, and the member, each of the foregoing persons referred to as a “</w:t>
      </w:r>
      <w:r>
        <w:rPr>
          <w:rFonts w:ascii="Times New Roman" w:cs="Times New Roman" w:eastAsia="Times New Roman" w:hAnsi="Times New Roman"/>
          <w:sz w:val="16"/>
          <w:szCs w:val="16"/>
          <w:b w:val="1"/>
          <w:bCs w:val="1"/>
          <w:color w:val="auto"/>
        </w:rPr>
        <w:t>Covered Person</w:t>
      </w:r>
      <w:r>
        <w:rPr>
          <w:rFonts w:ascii="Times New Roman" w:cs="Times New Roman" w:eastAsia="Times New Roman" w:hAnsi="Times New Roman"/>
          <w:sz w:val="16"/>
          <w:szCs w:val="16"/>
          <w:color w:val="auto"/>
        </w:rPr>
        <w:t>,” shall be indemnified by Cornell Corrections Management,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Cornell Corrections Management, LLC, the disposition of liability of Cornell Corrections Management, LLC or the conduct of its business. Expenses incurred by any Covered Person in connection with the preparation and presentation of a defense or response to any claim, action, suit or proceeding shall be paid by Cornell Corrections Management, LLC.</w:t>
      </w:r>
    </w:p>
    <w:p>
      <w:pPr>
        <w:spacing w:after="0" w:line="16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Correctional Systems, LLC’s Operating Agreement provides that each manager, an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Correctional Systems, LLC</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0700"/>
          </w:cols>
          <w:pgMar w:left="580" w:top="266" w:right="619" w:bottom="1440" w:gutter="0" w:footer="0" w:header="0"/>
        </w:sectPr>
      </w:pPr>
    </w:p>
    <w:bookmarkStart w:id="11" w:name="page12"/>
    <w:bookmarkEnd w:id="11"/>
    <w:p>
      <w:pPr>
        <w:ind w:right="20"/>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Correctional Systems, LLC, the disposition of liability of Correctional Systems, LLC or the conduct of its business. Expenses incurred by any Covered Person in connection with the preparation and presentation of a defense or response to any claim, action, suit or proceeding shall be paid by Correctional Systems,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WBP Leasing, LLC’s Operating Agreement provides that each manager, an officer, and the member, each of the foregoing persons referred to as a</w:t>
      </w:r>
    </w:p>
    <w:p>
      <w:pPr>
        <w:spacing w:after="0" w:line="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WBP Leasing,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WBP Leasing, LLC, the disposition of liability of WBP Leasing, LLC or the conduct of its business. Expenses incurred by any Covered Person in connection with the preparation and presentation of a defense or response to any claim, action, suit or proceeding shall be paid by WBP Leasing, LLC.</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color w:val="auto"/>
        </w:rPr>
        <w:t>MCF GP, LLC’s Operating Agreement provides that each manager, an officer, and the member, each of the foregoing persons referred to as a “</w:t>
      </w:r>
      <w:r>
        <w:rPr>
          <w:rFonts w:ascii="Times New Roman" w:cs="Times New Roman" w:eastAsia="Times New Roman" w:hAnsi="Times New Roman"/>
          <w:sz w:val="16"/>
          <w:szCs w:val="16"/>
          <w:b w:val="1"/>
          <w:bCs w:val="1"/>
          <w:color w:val="auto"/>
        </w:rPr>
        <w:t>Covered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shall be indemnified by MCF GP, LLC to the fullest extent permitted by law against losses, judgments, liabilities, expenses and amounts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MCF GP, LLC, the disposition of liability of MCF GP, LLC or the conduct of its business. Expenses incurred by any Covered Person in connection with the preparation and presentation of a defense or response to any claim, action, suit or proceeding shall be paid by MCF GP, LLC.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MCF LP, LLC’s Operating Agreement provides that each manager, an officer, and the member, each of the foregoing persons referred to as a</w:t>
      </w:r>
    </w:p>
    <w:p>
      <w:pPr>
        <w:spacing w:after="0" w:line="21"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GEO MCF LP,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MCF LP, LLC, the disposition of liability of GEO MCF LP, LLC or the conduct of its business. Expenses incurred by any Covered Person in connection with the preparation and presentation of a defense or response to any claim, action, suit or proceeding shall be paid by GEO MCF LP, LLC.</w:t>
      </w:r>
    </w:p>
    <w:p>
      <w:pPr>
        <w:spacing w:after="0" w:line="19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Correctional Properties, LLC’s Operating Agreement provides that each manager,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Correctional Properties,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Correctional Properties, LLC, the disposition of liability of Correctional Properties, LLC or the conduct of its business. Expenses incurred by any Covered Person in connection with the preparation and presentation of a defense or response to any claim, action, suit or proceeding shall be paid by Correctional Properties, LLC.</w:t>
      </w:r>
    </w:p>
    <w:p>
      <w:pPr>
        <w:spacing w:after="0" w:line="191"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color w:val="auto"/>
        </w:rPr>
        <w:t>Highpoint Investments LLC’s Operating Agreement provides that each manager, officer, and the member, each of the foregoing persons referred to as a “</w:t>
      </w:r>
      <w:r>
        <w:rPr>
          <w:rFonts w:ascii="Times New Roman" w:cs="Times New Roman" w:eastAsia="Times New Roman" w:hAnsi="Times New Roman"/>
          <w:sz w:val="16"/>
          <w:szCs w:val="16"/>
          <w:b w:val="1"/>
          <w:bCs w:val="1"/>
          <w:color w:val="auto"/>
        </w:rPr>
        <w:t>Covered Person</w:t>
      </w:r>
      <w:r>
        <w:rPr>
          <w:rFonts w:ascii="Times New Roman" w:cs="Times New Roman" w:eastAsia="Times New Roman" w:hAnsi="Times New Roman"/>
          <w:sz w:val="16"/>
          <w:szCs w:val="16"/>
          <w:color w:val="auto"/>
        </w:rPr>
        <w:t>,” shall be indemnified by Highpoint Investments LLC to the fullest extent permitted by law against losses, judgments, liabilities, expenses and amounts incurred or paid, including attorneys’ fees, costs, judgments, amounts paid in settlement, fines, penalties and other liabilities,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0720"/>
          </w:cols>
          <w:pgMar w:left="580" w:top="266" w:right="59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by the Covered Person in connection with any claim, action, suit or proceeding in which such Covered Person shall be threatened, in connection with the acquisition of property or assets by Highpoint Investments LLC, the disposition of liability of Highpoint Investments LLC or the conduct of its business. Expenses incurred by any Covered Person in connection with the preparation and presentation of a defense or response to any claim, action, suit or proceeding shall be paid by Highpoint Investments LLC.</w:t>
      </w:r>
    </w:p>
    <w:p>
      <w:pPr>
        <w:spacing w:after="0" w:line="1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color w:val="auto"/>
        </w:rPr>
        <w:t>GEO Care LLC’s Operating Agreement provides that each manager, officer, and the member, each of the foregoing persons referred to as a “</w:t>
      </w:r>
      <w:r>
        <w:rPr>
          <w:rFonts w:ascii="Times New Roman" w:cs="Times New Roman" w:eastAsia="Times New Roman" w:hAnsi="Times New Roman"/>
          <w:sz w:val="16"/>
          <w:szCs w:val="16"/>
          <w:b w:val="1"/>
          <w:bCs w:val="1"/>
          <w:color w:val="auto"/>
        </w:rPr>
        <w:t>Covered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shall be indemnified by GEO Care LLC to the fullest extent permitted by law against losses, judgments, liabilities, expenses and amounts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GEO Care LLC, the disposition of liability of GEO Care LLC or the conduct of its business. Expenses incurred by any Covered Person in connection with the preparation and presentation of a defense or response to any claim, action, suit or proceeding shall be paid by GEO Care LLC.</w:t>
      </w:r>
    </w:p>
    <w:p>
      <w:pPr>
        <w:spacing w:after="0" w:line="15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Clearstream Development LLC’s Operating Agreement provides that each manager,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Clearstream Development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Clearstream Development LLC, the disposition of liability of Clearstream Development LLC or the conduct of its business. Expenses incurred by any Covered Person in connection with the preparation and presentation of a defense or response to any claim, action, suit or proceeding shall be paid by Clearstream Development LLC.</w:t>
      </w:r>
    </w:p>
    <w:p>
      <w:pPr>
        <w:spacing w:after="0" w:line="19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CEC Parent Holdings LLC’s Third Amended and Restated Operating Agreement provides that no officer, manager, member, any of the respective affiliates of the foregoing or any of the respective shareholders, officers, directors, partners, members, managers, employees and agents of the foregoing, in each case, in their capacities as such (collectively, the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shall be liable to CEC Parent Holdings LLC, the member or to any other person for any act or omission taken or suffered by such Covered Person in good faith and in the belief that such act or omission was in or was not opposed to the best interests of CEC Parent Holdings LLC; provided, however, that such act or omission did not constitute fraud or willful misconduct. No Covered Person shall be liable to CEC Parent Holdings LLC, the member or any other person for any action taken by the member, nor shall any Covered Person be liable to CEC Parent Holdings LLC, the member or any other person for any action of any employee or agent of the Covered Person that does not meet the requirements for exculpation set forth in the preceding sentence, so long as the Covered Person seeking exculpation meets such requirements.</w:t>
      </w:r>
    </w:p>
    <w:p>
      <w:pPr>
        <w:spacing w:after="0" w:line="19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CEC Intermediate Holdings LLC’s Operating Agreement provides that each person who was or is made a party or is threatened to be made a party to or is otherwise involved in any action, suit or proceeding, whether civil, criminal, administrative, or investigative by reason of the fact that he or she is or was a managing member or an officer of CEC Intermediate Holdings LLC, or is or was serving at the request of CEC Intermediate Holdings LLC as a manager, director, officer, employee, or agent of another limited liability company or of a corporation, partnership, joint venture, trust, or other enterprise, including a service with respect to an employee benefit plan, whether the basis of such a proceeding is alleged action in an official capacity as a managing member, officer, employee, or agent of CEC Intermediate Holdings LLC or in any other capacity while serving as a managing member, officer, employee or agent of CEC Intermediate Holdings LLC, shall be indemnified and held harmless by CEC Intermediate Holdings LLC to the fullest extent permitted by law (including indemnification for negligence or gross negligence but excluding indemnification (i) for acts or omissions involving actual fraud or willful misconduct or (ii) with respect to any transaction from which the indemnitee derived an improper personal benefit), against all expense, liability, and loss (including reasonable attorneys’ fees, judgments, fines, excise taxes or penalties and amounts paid in settlement) reasonably incurred or suffered by such indemnitee in connection therewith.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0720"/>
          </w:cols>
          <w:pgMar w:left="580" w:top="266" w:right="599" w:bottom="1440" w:gutter="0" w:footer="0" w:header="0"/>
        </w:sectPr>
      </w:pPr>
    </w:p>
    <w:bookmarkStart w:id="13" w:name="page14"/>
    <w:bookmarkEnd w:id="13"/>
    <w:p>
      <w:pPr>
        <w:ind w:right="14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CCMAS LLC’s Amended and Restated Operating Agreement provides that each manager,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CCMAS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CCMAS LLC, the disposition of liability of CCMAS LLC or the conduct of its business. Expenses incurred by any Covered Person in connection with the preparation and presentation of a defense or response to any claim, action, suit or proceeding shall be paid by CCMAS LLC.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 organized as a limited partnership in Delaware</w:t>
      </w:r>
    </w:p>
    <w:p>
      <w:pPr>
        <w:spacing w:after="0" w:line="1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17-107 of the Delaware Revised Uniform Limited Partnership Act provides that, subject to such standards and restrictions, if any, as are set forth in its partnership agreement, a limited partnership, such as CPT Operating Partnership L.P. and Municipal Corrections Finance, L.P., has the power to, indemnify and hold harmless any partner or other person from and against any and all claims and demands whatsoever.</w:t>
      </w:r>
    </w:p>
    <w:p>
      <w:pPr>
        <w:spacing w:after="0" w:line="179"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The Amended and Restated Agreement of Limited Partnership of Municipal Corrections Finance, L.P. provides that no general partner or manager or officer of the general partner or of the partnership (collectively “</w:t>
      </w:r>
      <w:r>
        <w:rPr>
          <w:rFonts w:ascii="Times New Roman" w:cs="Times New Roman" w:eastAsia="Times New Roman" w:hAnsi="Times New Roman"/>
          <w:sz w:val="16"/>
          <w:szCs w:val="16"/>
          <w:b w:val="1"/>
          <w:bCs w:val="1"/>
          <w:color w:val="auto"/>
        </w:rPr>
        <w:t>Indemnified Persons</w:t>
      </w:r>
      <w:r>
        <w:rPr>
          <w:rFonts w:ascii="Times New Roman" w:cs="Times New Roman" w:eastAsia="Times New Roman" w:hAnsi="Times New Roman"/>
          <w:sz w:val="16"/>
          <w:szCs w:val="16"/>
          <w:color w:val="auto"/>
        </w:rPr>
        <w:t>” or singularly “</w:t>
      </w:r>
      <w:r>
        <w:rPr>
          <w:rFonts w:ascii="Times New Roman" w:cs="Times New Roman" w:eastAsia="Times New Roman" w:hAnsi="Times New Roman"/>
          <w:sz w:val="16"/>
          <w:szCs w:val="16"/>
          <w:b w:val="1"/>
          <w:bCs w:val="1"/>
          <w:color w:val="auto"/>
        </w:rPr>
        <w:t>Indemnified Person</w:t>
      </w:r>
      <w:r>
        <w:rPr>
          <w:rFonts w:ascii="Times New Roman" w:cs="Times New Roman" w:eastAsia="Times New Roman" w:hAnsi="Times New Roman"/>
          <w:sz w:val="16"/>
          <w:szCs w:val="16"/>
          <w:color w:val="auto"/>
        </w:rPr>
        <w:t>”) shall have any liability to the partnership or the partners for any loss sustained or liabilities incurred as a result of any act or omission of such Indemnified Person if (1) the Indemnified Person acted in good faith in a manner he, she or it reasonably believed to be in, or not opposed to, the interests of the partnership, and</w:t>
      </w:r>
    </w:p>
    <w:p>
      <w:pPr>
        <w:ind w:firstLine="1"/>
        <w:spacing w:after="0" w:line="276" w:lineRule="auto"/>
        <w:tabs>
          <w:tab w:leader="none" w:pos="24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conduct of the Indemnified Person did not constitute actual fraud, gross negligence, bad faith or willful misconduct. The partnership shall indemnify an Indemnified Person from and against any and all losses, claims, damages, liabilities, joint or several, expenses (including reasonable legal fees and expenses), judgments, fines, settlements, and other amounts arising from any and all claims, demands, actions, suits or proceedings, civil, criminal, administrative or investigative, that relate to the operations of the partnership as set forth in the agreement in which an Indemnified Person may be involved, or is threatened to be involved, as a party or otherwise, regardless of whether arising from any act or omission which constituted the sole, partial or concurrent negligence (whether active or passive) of the Indemnified Person, if (1) the Indemnified Person acted in good faith in a manner he, she or it reasonably believed to be in, or not opposed to, the interests of the partnership and (2) the conduct of the Indemnified Person did not constitute actual fraud, gross negligence, bad faith or willful misconduct. The termination of any proceeding by judgment, order or settlement does not create a presumption that the Indemnified Person did not meet the requisite standard of conduct set forth in this paragraph. The termination of any proceeding by conviction or upon a plea of nolo contendere or its equivalent, or an entry of an order of probation prior to judgment, creates a rebuttable presumption that the Indemnified Person acted in a manner contrary to that specified in this paragraph. Any indemnification pursuant to this paragraph shall be made only out of the assets of the partnership, including insurance proceeds, if any, and not from the assets of any partner, provided, however, that to the fullest extent permitted by law, indemnity under this paragraph shall not constitute a claim against the partnership in the event that the partnership’s cash flow is insufficient to pay its obligations. The indemnification provided by this paragraph shall be in addition to any other rights to which the Indemnified Person may be entitled under any agreement, as a matter of law or otherwise.</w:t>
      </w:r>
    </w:p>
    <w:p>
      <w:pPr>
        <w:spacing w:after="0" w:line="385"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auto"/>
        </w:rPr>
        <w:t>CPT Operating Partnership L.P.’s limited partnership agreement provides that, to the fullest extent permitted by Delaware law, CPT Operating Partnership L.P. shall indemnify the general partner and its affiliates and any person acting on their behalf from and against any and all losses, claims, damages, liabilities, joint or several, expenses (including, without limitation, reasonable attorneys’ fees and other legal fees and expenses), judgments, fines, settlements and other amounts arising from any and all claims, demands, actions, suits or proceedings, civil, criminal, administrative or investigative, that relate to the operations of CPT Operating Partnership L.P. in which such person may be involved, or is threatened to be involved, as a party or otherwise, except to the extent it is finally determined by a court of competent jurisdiction, from which no further appeal may be taken, that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0720"/>
          </w:cols>
          <w:pgMar w:left="580" w:top="266" w:right="599" w:bottom="1440" w:gutter="0" w:footer="0" w:header="0"/>
        </w:sectPr>
      </w:pPr>
    </w:p>
    <w:bookmarkStart w:id="14" w:name="page15"/>
    <w:bookmarkEnd w:id="1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such person’s action constituted intentional acts or omissions constituting willful misconduct or fraud. Reasonable expenses incurred by such person who is a party to a proceeding shall be paid or reimbursed by CPT Operating Partnership L.P. in advance of the final disposition of the proceeding. Such right of indemnification shall not be exclusive of any right to which any such person may be entitled as a matter of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 organized as a corporation in Alaska</w:t>
      </w:r>
    </w:p>
    <w:p>
      <w:pPr>
        <w:spacing w:after="0" w:line="1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Alaska statute Sec. 10.06.490 provides that a corporation, such as GEO Reentry of Alaska, Inc., may (a) indemnify a person who was, is, or is threatened to be made a party to a completed, pending, or threatened action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Indemnification may include reimbursement of expenses, attorney fees, judgments, fines, and amounts paid in settlement actually and reasonably incurred by the person in connection with the action or proceeding if the person acted in good faith and in a manner the person reasonably believed to be in or not opposed to the best interests of the corporation, and, with respect to a criminal action or proceeding, the person had no reasonable cause to believe the conduct was unlawful. The termination of an action or proceeding by judgment, order, settlement, conviction, or upon a plea of nolo contendere or its equivalent, does not create a presumption that the person did not act in good faith and in a manner which the person reasonably believed to be in or not opposed to the best interests of the corporation, and, with respect to a criminal action or proceeding, the person had reasonable cause to believe that the conduct was unlawful. (b) A corporation may indemnify a person who was, is, or is threatened to be made a party to a completed, pending, or threatened action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Indemnification may include reimbursement for expenses and attorney fees actually and reasonably incurred by the person in connection with the defense or settlement of the action if the person acted in good faith and in a manner the person reasonably believed to be in or not opposed to the best interests of the corporation. Indemnification may not be made in respect of any claim, issue, or matter as to which the person has been adjudged to be liable for negligence or misconduct in the performance of the person’s duty to the corporation except to the extent that the court in which the action was brought determines upon application that, despite the adjudication of liability, in view of all the circumstances of the case, the person is fairly and reasonably entitled to indemnity for expenses that the court considers proper. (c) To the extent that a director, officer, employee, or agent of a corporation has been successful on the merits or otherwise in defense of an action or proceeding referred to in (a) or (b) of this section, or in defense of a claim, issue, or matter in the action or proceeding, the director, officer, employee, or agent shall be indemnified against expenses and attorney fees actually and reasonably incurred in connection with the defense.</w:t>
      </w:r>
    </w:p>
    <w:p>
      <w:pPr>
        <w:spacing w:after="0" w:line="185" w:lineRule="exact"/>
        <w:rPr>
          <w:sz w:val="20"/>
          <w:szCs w:val="20"/>
          <w:color w:val="auto"/>
        </w:rPr>
      </w:pPr>
    </w:p>
    <w:p>
      <w:pPr>
        <w:ind w:right="220" w:firstLine="1"/>
        <w:spacing w:after="0" w:line="274" w:lineRule="auto"/>
        <w:tabs>
          <w:tab w:leader="none" w:pos="24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ordered by a court, indemnification under (a) or (b) of this section may only be made by a corporation upon a determination that indemnification of the director, officer, employee, or agent is proper in the circumstances because the director, officer, employee, or agent has met the applicable standard of conduct set out in (a) and (b) of this section. The determination shall be made by (1) the board by a majority vote of a quorum consisting of directors who were not parties to the action or proceeding; or (2) independent legal counsel in a written opinion if a quorum under (1) of this subsection is (A) not obtainable; or (B) obtainable but a majority of disinterested directors so directs; or (3) approval of the outstanding shares.</w:t>
      </w:r>
    </w:p>
    <w:p>
      <w:pPr>
        <w:spacing w:after="0" w:line="1" w:lineRule="exact"/>
        <w:rPr>
          <w:rFonts w:ascii="Times New Roman" w:cs="Times New Roman" w:eastAsia="Times New Roman" w:hAnsi="Times New Roman"/>
          <w:sz w:val="16"/>
          <w:szCs w:val="16"/>
          <w:color w:val="auto"/>
        </w:rPr>
      </w:pPr>
    </w:p>
    <w:p>
      <w:pPr>
        <w:ind w:firstLine="1"/>
        <w:spacing w:after="0" w:line="244" w:lineRule="auto"/>
        <w:tabs>
          <w:tab w:leader="none" w:pos="2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pay or reimburse the reasonable expenses incurred in defending a civil or criminal action or proceeding in advance of the final disposition in the manner provided in (d) of this section if (1) in the case of a director or officer, the director or officer furnishes the corporation with a written affirmation of a good faith belief that the standard of conduct described in AS 10.06.450 (b) or 10.06.483(e) has been met; (2) the director, officer, employee, or agent furnishes the corporation a written unlimited general undertaking, executed personally or on behalf of the individual, to repay the advance if it is ultimately determined that an applicable standard of conduct was not met; and (3) a determination is made that the facts then known to those making the determination would not preclude indemnification under this chapter. (f) The indemnification provided by this section is not exclusive of any other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w:t>
      </w:r>
    </w:p>
    <w:p>
      <w:pPr>
        <w:sectPr>
          <w:pgSz w:w="11900" w:h="16838" w:orient="portrait"/>
          <w:cols w:equalWidth="0" w:num="1">
            <w:col w:w="10720"/>
          </w:cols>
          <w:pgMar w:left="580" w:top="266" w:right="599" w:bottom="1440" w:gutter="0" w:footer="0" w:header="0"/>
        </w:sectPr>
      </w:pPr>
    </w:p>
    <w:bookmarkStart w:id="15" w:name="page16"/>
    <w:bookmarkEnd w:id="15"/>
    <w:p>
      <w:pPr>
        <w:ind w:right="40"/>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rights to which a person seeking indemnification may be entitled under a bylaw, agreement, vote of shareholders or disinterested directors, or otherwise, both as to action in the official capacity of the person and as to action in another capacity while holding the office. The right to indemnification continues as to a person who has ceased to be a director, officer, employee, or agent, and inures to the benefit of the heirs, executors, and administrators of the person. (g) A corporation may purchase and maintain insurance on behalf of a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that capacity, or arising out of that status, whether or not the corporation has the power to indemnify the person against the liability under the provisions of this section.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i w:val="1"/>
          <w:iCs w:val="1"/>
          <w:color w:val="auto"/>
        </w:rPr>
        <w:t>Articles of Incorporation</w:t>
      </w:r>
      <w:r>
        <w:rPr>
          <w:rFonts w:ascii="Times New Roman" w:cs="Times New Roman" w:eastAsia="Times New Roman" w:hAnsi="Times New Roman"/>
          <w:sz w:val="16"/>
          <w:szCs w:val="16"/>
          <w:color w:val="auto"/>
        </w:rPr>
        <w:t>. GEO Reentry of Alaska, Inc.’s Articles of Incorporation provide that Directors of GEO Reentry of Alaska, Inc. shall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personally liable to GEO Reentry of Alaska, Inc. or its shareholders for monetary damages for acts or omissions that occur after the effective date of the Articles of Incorporation for the breach of their fiduciary duty as a Director, provided, however, that such exemption from liability shall not apply to</w:t>
      </w:r>
    </w:p>
    <w:p>
      <w:pPr>
        <w:spacing w:after="0" w:line="2" w:lineRule="exact"/>
        <w:rPr>
          <w:sz w:val="20"/>
          <w:szCs w:val="20"/>
          <w:color w:val="auto"/>
        </w:rPr>
      </w:pPr>
    </w:p>
    <w:p>
      <w:pPr>
        <w:ind w:right="120" w:firstLine="1"/>
        <w:spacing w:after="0" w:line="245" w:lineRule="auto"/>
        <w:tabs>
          <w:tab w:leader="none" w:pos="2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 Director’s duty of loyalty to the Corporation or its shareholders; (ii) acts or omissions not in good faith or that involve intentional misconduct or a knowing violation of law; (iii) willful or negligent conduct involved in the payment of dividends or the repurchase of stock from other than lawfully available funds; or (iv) a transaction from which the Director derived improper personal benefit.</w:t>
      </w:r>
    </w:p>
    <w:p>
      <w:pPr>
        <w:spacing w:after="0" w:line="18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GEO Reentry of Alaska, Inc.’s bylaws are silent with respect to indemnification. However, see the discussion regarding indemnification provisions in the Alaska statutes.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 organized as a corporation in Colorado</w:t>
      </w:r>
    </w:p>
    <w:p>
      <w:pPr>
        <w:spacing w:after="0" w:line="10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i w:val="1"/>
          <w:iCs w:val="1"/>
          <w:color w:val="auto"/>
        </w:rPr>
        <w:t>The Colorado Business Corporations Act</w:t>
      </w:r>
      <w:r>
        <w:rPr>
          <w:rFonts w:ascii="Times New Roman" w:cs="Times New Roman" w:eastAsia="Times New Roman" w:hAnsi="Times New Roman"/>
          <w:sz w:val="16"/>
          <w:szCs w:val="16"/>
          <w:color w:val="auto"/>
        </w:rPr>
        <w:t>. Section 7-109-101 et seq. of the Colorado Business Corporations Act empowers a Colorado corporation,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B.I. Incorporated, to indemnify its directors, officers, employees and agents under certain circumstances. A corporation must indemnify a person who was wholly successful, on the merits or otherwise, in the defense of any proceeding to which the person was a party because the person is or was a director, officer, employee, fiduciary or agent, against reasonable expenses incurred by him or her in connection with the proceeding. A corporation may indemnify a person made a party to a proceeding because the person is or was a director, officer, employee, fiduciary or agent if the person conducted himself or herself in good faith and the person reasonably believed that his or her conduct was in or not opposed to the best interests of the corporation (or in the case of a criminal proceeding, had a reasonable belief that his or her conduct was not unlawful), except that no indemnification is allowed in connection with a proceeding by or in the right of the corporation in which the person seeking indemnification was adjudged to be liable to the corporation or in connection with any other proceeding in which the person was adjudged liable on the basis that he or she derived an improper personal benefit. A corporation may purchase and maintain insurance on behalf of a person who is or was a director, officer, employee, fiduciary or agent of the corporation, or who, while a director, officer, employee, fiduciary or agent of another domestic or foreign corporation or other person or an employee benefit plan, against liability asserted against or incurred by the person in that capacity or arising from his or her status as a director, officer, employee, fiduciary, or agent, whether or not the corporation would have power to indemnify the person against the same liability under Section 7-109-101 et seq.</w:t>
      </w:r>
    </w:p>
    <w:p>
      <w:pPr>
        <w:spacing w:after="0" w:line="16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B.I. Incorporated’s bylaws are silent with respect to indemnification. However, see the discussion regarding indemnification provisions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Colorado statutes.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formed as limited liability companies in Colorado</w:t>
      </w:r>
    </w:p>
    <w:p>
      <w:pPr>
        <w:spacing w:after="0" w:line="11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Section 7-80-104(1)(k) of the Colorado Limited Liability Company Act permits a company to indemnify a member or manager or former member or manager of the limited liability company as provided in Section 7-80-407. Under Section 7-80-407, a limited liability company shall reimburse a member or manager for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II-12</w:t>
      </w:r>
    </w:p>
    <w:p>
      <w:pPr>
        <w:sectPr>
          <w:pgSz w:w="11900" w:h="16838" w:orient="portrait"/>
          <w:cols w:equalWidth="0" w:num="1">
            <w:col w:w="10700"/>
          </w:cols>
          <w:pgMar w:left="580" w:top="266" w:right="619" w:bottom="1440" w:gutter="0" w:footer="0" w:header="0"/>
        </w:sectPr>
      </w:pPr>
    </w:p>
    <w:bookmarkStart w:id="16" w:name="page17"/>
    <w:bookmarkEnd w:id="16"/>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payments made, and indemnify a member or manager for liabilities incurred by the member or manager, in the ordinary conduct of the business of the limited liability company or for the preservation of its business or property if such payments were made or liabilities incurred without violation of the member’s or manager’s duties to the limited liability company.</w:t>
      </w:r>
    </w:p>
    <w:p>
      <w:pPr>
        <w:spacing w:after="0" w:line="1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Community Corrections, LLC’s Operating Agreement provides that each manager,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Community Corrections,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Community Corrections, LLC, the disposition of liability of Community Corrections, LLC or the conduct of its business. Expenses incurred by any Covered Person in connection with the preparation and presentation of a defense or response to any claim, action, suit or proceeding shall be paid by Community Corrections, LLC.</w:t>
      </w:r>
    </w:p>
    <w:p>
      <w:pPr>
        <w:spacing w:after="0" w:line="19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Arapahoe County Residential Center, LLC’s Operating Agreement provides that each manager, officer and the member, each of the foregoing persons referred to as a “</w:t>
      </w:r>
      <w:r>
        <w:rPr>
          <w:rFonts w:ascii="Times New Roman" w:cs="Times New Roman" w:eastAsia="Times New Roman" w:hAnsi="Times New Roman"/>
          <w:sz w:val="16"/>
          <w:szCs w:val="16"/>
          <w:b w:val="1"/>
          <w:bCs w:val="1"/>
          <w:color w:val="auto"/>
        </w:rPr>
        <w:t>Covered Person</w:t>
      </w:r>
      <w:r>
        <w:rPr>
          <w:rFonts w:ascii="Times New Roman" w:cs="Times New Roman" w:eastAsia="Times New Roman" w:hAnsi="Times New Roman"/>
          <w:sz w:val="16"/>
          <w:szCs w:val="16"/>
          <w:color w:val="auto"/>
        </w:rPr>
        <w:t>,” shall be indemnified by Arapahoe County Residential Center,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Arapahoe County Residential Center, LLC, the disposition of liability of Arapahoe County Residential Center, LLC or the conduct of its business. Expenses incurred by any Covered Person in connection with the preparation and presentation of a defense or response to any claim, action, suit or proceeding shall be paid by Arapahoe County Residential Center, LLC.</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incorporated as corporations in Massachusetts</w:t>
      </w:r>
    </w:p>
    <w:p>
      <w:pPr>
        <w:spacing w:after="0" w:line="10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Section 8.51 of the Massachusetts Business Corporation Act (“</w:t>
      </w:r>
      <w:r>
        <w:rPr>
          <w:rFonts w:ascii="Times New Roman" w:cs="Times New Roman" w:eastAsia="Times New Roman" w:hAnsi="Times New Roman"/>
          <w:sz w:val="16"/>
          <w:szCs w:val="16"/>
          <w:b w:val="1"/>
          <w:bCs w:val="1"/>
          <w:color w:val="auto"/>
        </w:rPr>
        <w:t>MBCA</w:t>
      </w:r>
      <w:r>
        <w:rPr>
          <w:rFonts w:ascii="Times New Roman" w:cs="Times New Roman" w:eastAsia="Times New Roman" w:hAnsi="Times New Roman"/>
          <w:sz w:val="16"/>
          <w:szCs w:val="16"/>
          <w:color w:val="auto"/>
        </w:rPr>
        <w:t>”) provides that a corporation may indemnify its directors against expenses (including attorneys’ fees), judgments, fines and amounts paid in settlement reasonably incurred in connection with any litigation or other legal proceeding brought against any director by virtue of his position as a director of the corporation unless he is deemed to have not acted in good faith in the reasonable belief that his action was in the best interest of the corporation. Section 8.52 of the MBCA provides that a corporation must indemnify a director who is wholly successful, on the merits or otherwise, in the defense of any proceeding to which the director was a party because he was a director of the corporation against reasonable expenses incurred by him in connection with the proceeding. Section 8.56 of the MBCA provides that a corporation may indemnify its officers to the same extent as its directors and, for officers that are not directors, to the extent provided by (i) the articles of organization, (ii) the bylaws, (iii) a vote of the board of directors or (iv) a contract. Section 8.57 of the MBCA authorizes a corporation to purchase and maintain insurance on behalf of an individual who is a director or officer of the corporation, or who, while a director or officer of the corporation, serves at the corporation’s request as a director, officer, partner, trustee, employee, or agent of another domestic or foreign corporation, partnership, joint venture, trust, employee benefit plan, or other entity, against liability asserted against or incurred by him in that capacity or arising from his status as a director or officer, whether or not the corporation would have power to indemnify or advance expenses to him against such liability.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Bylaws</w:t>
      </w:r>
    </w:p>
    <w:p>
      <w:pPr>
        <w:spacing w:after="0" w:line="110"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color w:val="auto"/>
        </w:rPr>
        <w:t>CiviGenics, Inc.’s By-laws provide that except as otherwise provided in the By-laws, CiviGenics, Inc. shall indemnify to the fullest extent permitted by law an individual who is a party to a proceeding because he or she is a director or officer against liability incurred in the proceeding if: (1)(i) he or she conducted himself or herself in good faith; and (ii) he or she reasonably believed that his or her conduct was in the best interests of CiviGenics,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II-13</w:t>
      </w:r>
    </w:p>
    <w:p>
      <w:pPr>
        <w:sectPr>
          <w:pgSz w:w="11900" w:h="16838" w:orient="portrait"/>
          <w:cols w:equalWidth="0" w:num="1">
            <w:col w:w="10720"/>
          </w:cols>
          <w:pgMar w:left="580" w:top="266" w:right="599" w:bottom="1440" w:gutter="0" w:footer="0" w:header="0"/>
        </w:sectPr>
      </w:pPr>
    </w:p>
    <w:bookmarkStart w:id="17" w:name="page18"/>
    <w:bookmarkEnd w:id="17"/>
    <w:p>
      <w:pPr>
        <w:ind w:right="2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 or that his or her conduct was at least not opposed to the best interests of CiviGenics, Inc.; and (iii) in the case of any criminal proceeding, he or she had no reasonable cause to believe his or her conduct was unlawful; or (2) he or she engaged in conduct for which he or she shall not be liable under a provision of the Articles of Organization authorized by Section 2.02(b)(4) of the MBCA or any successor provision to such section. The By-laws further provides that a director’s or officer’s conduct with respect to an employee benefit plan for a purpose he or she reasonably believed to be in the interests of the participants in, and the beneficiaries of, the plan is conduct that satisfies the requirement that his or her conduct was at least not opposed to the best interests of CiviGenics, Inc. The By-laws also provide that the termination of a proceeding by judgment, order, settlement, or conviction, or upon a plea of nolo contendere or its equivalent, is not, of itself, determinative that the director or officer did not meet the relevant standard of conduct described in the By-laws. The By-laws also provide that unless ordered by a court, CiviGenics, Inc. may not indemnify a director or officer under the By-laws if his or her conduct did not satisfy the standards set forth above.</w:t>
      </w:r>
    </w:p>
    <w:p>
      <w:pPr>
        <w:spacing w:after="0" w:line="19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SECON, Inc.’s By-laws provide that except as otherwise provided in the By-laws, SECON, Inc. shall indemnify to the fullest extent permitted by law an individual who is a party to a proceeding because he or she is a director or officer against liability incurred in the proceeding if: (1)(i) he or she conducted himself or herself in good faith; and (ii) he or she reasonably believed that is or her conduct was in the best interests of SECON, Inc. or that his or her conduct was at least not opposed to the best interest of SECON, Inc.; and (iii) in the case of any criminal proceeding, he or she had no reasonable cause to believe his or her conduct was unlawful; or (2) he or she engaged in conduct for which he or she shall not be liable under a provision of the Articles of Organization authorized by Section 2.02(b)(4) of the MBCA or any successor provision to such section. The By-laws further provides that a director’s or officer’s conduct with respect to an employee benefit plan for a purpose he or she reasonably believed to be in the interest of the participants in, and the beneficiaries of, the plan is conduct that satisfies the requirement that his or her conduct was at least not opposed to the best interests of SECON, Inc. The By-laws also provide that the termination of a proceeding by judgment, order, settlement, or conviction, or upon a plea of nolo contendere or its equivalent, is not, of itself, determinative that the director or officer did not meet the relevant standard of conduct described in the By-laws. The By-laws also provide that unless ordered by a court, SECON, Inc. may not indemnify a director or officer under the By-laws if his or her conduct did not satisfy the standards set forth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formed as limited liability companies in Massachusetts</w:t>
      </w:r>
    </w:p>
    <w:p>
      <w:pPr>
        <w:spacing w:after="0" w:line="11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Section 8 of the Massachusetts Limited Liability Company Act provides that subject to such standards and restrictions, if any, as are set forth in its certificate of organization or a written operating agreement, a limited liability company may, and shall have the power to, indemnify and hold harmless any member or manager or other person from and against any and all claims and demands whatsoever. Such indemnification may include payment by the limited liability company of expenses incurred in defending a civil or criminal action or proceeding in advance of the final disposition of such action or proceeding, upon receipt of an undertaking by the person indemnified to repay such payment if he shall be adjudicated to be not entitled to indemnification under the section of the Massachusetts Limited Liability Company Act which undertaking may be accepted without reference to the financial ability of such person to make repayment. Any such indemnification may be provided although the person to be indemnified is no longer a member or manager. No indemnification shall be provided for any person with respect to any matter as to which he shall have been adjudicated in any proceeding not to have acted in good faith in the reasonable belief that his action was in the best interest of the limited liability company. The certificate of organization or a written operating agreement may eliminate or limit the personal liability of a member or manager for breach of any duty to the limited liability company or to another member or manager.</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CiviGenics Management Services, LLC’s Operating Agreement provides that each manager,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CiviGenics Management Services, LLC to the fullest extent permitted by law against losses, judgments, liabilities, expenses and amounts incurred or paid, including attorneys’ fees, costs, judgments, amounts paid in settlement, fines,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II-14</w:t>
      </w:r>
    </w:p>
    <w:p>
      <w:pPr>
        <w:sectPr>
          <w:pgSz w:w="11900" w:h="16838" w:orient="portrait"/>
          <w:cols w:equalWidth="0" w:num="1">
            <w:col w:w="10720"/>
          </w:cols>
          <w:pgMar w:left="580" w:top="266" w:right="599" w:bottom="1440" w:gutter="0" w:footer="0" w:header="0"/>
        </w:sectPr>
      </w:pPr>
    </w:p>
    <w:bookmarkStart w:id="18" w:name="page19"/>
    <w:bookmarkEnd w:id="18"/>
    <w:p>
      <w:pPr>
        <w:ind w:right="8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penalties and other liabilities, by the Covered Person in connection with any claim, action, suit or proceeding in which such Covered Person shall be threatened, in connection with the acquisition of property or assets by CiviGenics Management Services, LLC, the disposition of liability of CiviGenics Management Services, LLC or the conduct of its business. Expenses incurred by any Covered Person in connection with the preparation and presentation of a defense or response to any claim, action, suit or proceeding shall be paid by CiviGenics Management Services,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formed as limited liability companies in New Jersey</w:t>
      </w:r>
    </w:p>
    <w:p>
      <w:pPr>
        <w:spacing w:after="0" w:line="1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Section 42:2C-38 of the Revised Uniform Limited Liability Company Act of New Jersey provides that a limited liability company shall indemnify a person who is a member of a member-managed company, a manager of a manager-managed company, officer, employee or agent of the indemnifying company or of any constituent company, a company agent, against expenses to the extent that the company agent is successful on the merits or otherwise in any proceeding brought against the company agent by reason of the company agent serving as a company agent or serving another enterprise at the request of the limited liability company. A limited liability company shall indemnify a company agent against any debt, obligation, expense or other liability incurred by that company agent in the course of the company agent’s activities on behalf of the limited liability company or another enterprise at the request of the limited liability company, if, in making the payment or incurring the debt, obligation, expense or other liability, the company agent complied with the duties stated in sections of the act regarding limitations on distribution and standards of conduct for members and managers.</w:t>
      </w:r>
    </w:p>
    <w:p>
      <w:pPr>
        <w:spacing w:after="0" w:line="16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CEC Staffing Solutions LLC’s Amended and Restated Operating Agreement provides that each manager,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CEC Staffing Solutions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CEC Staffing Solutions LLC, the disposition of liability of CEC Staffing Solutions LLC or the conduct of its business. Expenses incurred by any Covered Person in connection with the preparation and presentation of a defense or response to any claim, action, suit or proceeding shall be paid by CEC Staffing Solutions LLC.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formed as limited liability companies in Pennsylvania</w:t>
      </w:r>
    </w:p>
    <w:p>
      <w:pPr>
        <w:spacing w:after="0" w:line="11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Chapter 88, Subchapter D, Section 8848 of the Pennsylvania Uniform Limited Liability Company Law provides that a Pennsylvania limited liability company, such as Minsec Companies, LLC, Minsec Treatment, LLC, Fenton Security, LLC, and ADAPPT, LLC, shall indemnify and hold harmless a person with respect to any claim or demand against the person and any debt, obligation or other liability incurred by the person by reason of the person’s former or present capacity as a member or manager, if the claim, demand, debt, obligation or other liability does not arise from the person’s breach of the statutory provisions relating to limitations on distributions, management of the limited liability company, standards of conduct for members or standards of conduct for managers. Such indemnification shall not be made in any case where the act giving rise to the claim for indemnification is determined by a court to constitute recklessness, willful misconduct or a knowing violation of law.</w:t>
      </w:r>
    </w:p>
    <w:p>
      <w:pPr>
        <w:spacing w:after="0" w:line="19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Minsec Companies, LLC’s Second Amended and Restated Operating Agreement provides that each manager,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Minsec Companies,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Minsec Companies, LLC, the disposition of liability of Minsec Companies, LLC or the conduct of its business. Expenses incurred by any Covered Person in connection with the preparation and presentation of a defense or response to any claim, action, suit or proceeding shall be paid by Minsec Companies, LLC.</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ectPr>
          <w:pgSz w:w="11900" w:h="16838" w:orient="portrait"/>
          <w:cols w:equalWidth="0" w:num="1">
            <w:col w:w="10720"/>
          </w:cols>
          <w:pgMar w:left="580" w:top="266" w:right="599" w:bottom="1440" w:gutter="0" w:footer="0" w:header="0"/>
        </w:sectPr>
      </w:pPr>
    </w:p>
    <w:bookmarkStart w:id="19" w:name="page20"/>
    <w:bookmarkEnd w:id="19"/>
    <w:p>
      <w:pPr>
        <w:ind w:right="8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Minsec Treatment, LLC’s Second Amended and Restated Operating Agreement provides that each manager, officer and the member, each of the foregoing persons referred to as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Minsec Treatment,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Minsec Treatment, LLC, the disposition of liability of Minsec Treatment, LLC or the conduct of its business. Expenses incurred by any Covered Person in connection with the preparation and presentation of a defense or response to any claim, action, suit or proceeding shall be paid by Minsec Treatment, LLC.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Fenton Security, LLC’s Operating Agreement provides that each manager, officer and the member, each of the foregoing persons referred to as a</w:t>
      </w:r>
    </w:p>
    <w:p>
      <w:pPr>
        <w:spacing w:after="0" w:line="2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shall be indemnified by Fenton Security, LLC to the fullest extent permitted by law against losses, judgments, liabilities, expenses and amounts 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Fenton Security, LLC, the disposition of liability of Fenton Security, LLC or the conduct of its business. Expenses incurred by any Covered Person in connection with the preparation and presentation of a defense or response to any claim, action, suit or proceeding shall be paid by Fenton Security, LLC.</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color w:val="auto"/>
        </w:rPr>
        <w:t>ADAPPT, LLC’s Operating Agreement provides that each manager, officer and the member, each of the foregoing persons referred to as a “</w:t>
      </w:r>
      <w:r>
        <w:rPr>
          <w:rFonts w:ascii="Times New Roman" w:cs="Times New Roman" w:eastAsia="Times New Roman" w:hAnsi="Times New Roman"/>
          <w:sz w:val="16"/>
          <w:szCs w:val="16"/>
          <w:b w:val="1"/>
          <w:bCs w:val="1"/>
          <w:color w:val="auto"/>
        </w:rPr>
        <w:t>Covered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shall be indemnified by ADAPPT, LLC to the fullest extent permitted by law against losses, judgments, liabilities, expenses and amounts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incurred or paid, including attorneys’ fees, costs, judgments, amounts paid in settlement, fines, penalties and other liabilities, by the Covered Person in connection with any claim, action, suit or proceeding in which such Covered Person shall be threatened, in connection with the acquisition of property or assets by ADAPPT, LLC, the disposition of liability of ADAPPT, LLC or the conduct of its business. Expenses incurred by any Covered Person in connection with the preparation and presentation of a defense or response to any claim, action, suit or proceeding shall be paid by ADAPPT, LLC.</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incorporated as corporations in Texas</w:t>
      </w:r>
    </w:p>
    <w:p>
      <w:pPr>
        <w:spacing w:after="0" w:line="10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Title 1, Chapter 8 of the Texas Business Organizations Code (“</w:t>
      </w:r>
      <w:r>
        <w:rPr>
          <w:rFonts w:ascii="Times New Roman" w:cs="Times New Roman" w:eastAsia="Times New Roman" w:hAnsi="Times New Roman"/>
          <w:sz w:val="18"/>
          <w:szCs w:val="18"/>
          <w:b w:val="1"/>
          <w:bCs w:val="1"/>
          <w:color w:val="auto"/>
        </w:rPr>
        <w:t>TBOC</w:t>
      </w:r>
      <w:r>
        <w:rPr>
          <w:rFonts w:ascii="Times New Roman" w:cs="Times New Roman" w:eastAsia="Times New Roman" w:hAnsi="Times New Roman"/>
          <w:sz w:val="18"/>
          <w:szCs w:val="18"/>
          <w:color w:val="auto"/>
        </w:rPr>
        <w:t>”) provides CiviGenics-Texas, Inc. broad powers and authority to indemnify its directors and officers and to purchase and maintain insurance for such purposes. The TBOC provides that, subject to certain limitations, a corporation may indemnify a governing person, former governing person, or delegate who was, is, or is threatened to be made a respondent in a proceeding, to the extent that it is determined that the person acted in good faith; that the person reasonably believed, in the case of conduct in the person’s official capacity, that the person’s conduct was in the corporation’s best interests; and, in any other case, that the person’s conduct was not opposed to the corporation’s best interests; and in the case of a criminal proceeding, did not have a reasonable cause to believe the person’s conduct was unlawful. With respect to expenses, the amount of expenses other than a judgment must be reasonable.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Articles of Incorporation</w:t>
      </w:r>
    </w:p>
    <w:p>
      <w:pPr>
        <w:spacing w:after="0" w:line="11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CiviGenics-Texas, Inc.’s Articles of Incorporation provide that the liability of directors of CiviGenics-Texas, Inc. is eliminated to the fullest extent permitted by the provisions of the Texas Business Corporation Act (“</w:t>
      </w:r>
      <w:r>
        <w:rPr>
          <w:rFonts w:ascii="Times New Roman" w:cs="Times New Roman" w:eastAsia="Times New Roman" w:hAnsi="Times New Roman"/>
          <w:sz w:val="18"/>
          <w:szCs w:val="18"/>
          <w:b w:val="1"/>
          <w:bCs w:val="1"/>
          <w:color w:val="auto"/>
        </w:rPr>
        <w:t>TBCA</w:t>
      </w:r>
      <w:r>
        <w:rPr>
          <w:rFonts w:ascii="Times New Roman" w:cs="Times New Roman" w:eastAsia="Times New Roman" w:hAnsi="Times New Roman"/>
          <w:sz w:val="18"/>
          <w:szCs w:val="18"/>
          <w:color w:val="auto"/>
        </w:rPr>
        <w:t>”) and by the provisions of the Texas Miscellaneous Corporation Laws Act, as the same may be amended and supplemented. The Articles of Incorporation further provide that CiviGenics-Texas, Inc. shall, to the fullest extent permitted by the provisions of Article 2.02-1 of TBCA, as the same may be amended and supplemented, indemnify any and all persons whom CiviGenics-Texas, Inc. shall have the power to indemnify under said article from and against any and all of the expenses, liabilities, or other matters referred to or covered by said article.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II-16</w:t>
      </w:r>
    </w:p>
    <w:p>
      <w:pPr>
        <w:sectPr>
          <w:pgSz w:w="11900" w:h="16838" w:orient="portrait"/>
          <w:cols w:equalWidth="0" w:num="1">
            <w:col w:w="10700"/>
          </w:cols>
          <w:pgMar w:left="580" w:top="266" w:right="6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By-laws</w:t>
      </w:r>
    </w:p>
    <w:p>
      <w:pPr>
        <w:spacing w:after="0" w:line="110" w:lineRule="exact"/>
        <w:rPr>
          <w:sz w:val="20"/>
          <w:szCs w:val="20"/>
          <w:color w:val="auto"/>
        </w:rPr>
      </w:pPr>
    </w:p>
    <w:p>
      <w:pPr>
        <w:jc w:val="both"/>
        <w:ind w:right="60"/>
        <w:spacing w:after="0" w:line="285" w:lineRule="auto"/>
        <w:rPr>
          <w:sz w:val="20"/>
          <w:szCs w:val="20"/>
          <w:color w:val="auto"/>
        </w:rPr>
      </w:pPr>
      <w:r>
        <w:rPr>
          <w:rFonts w:ascii="Times New Roman" w:cs="Times New Roman" w:eastAsia="Times New Roman" w:hAnsi="Times New Roman"/>
          <w:sz w:val="16"/>
          <w:szCs w:val="16"/>
          <w:color w:val="auto"/>
        </w:rPr>
        <w:t>CiviGenics-Texas, Inc.’s By-laws provide that except as otherwise provided in the By-laws, CiviGenics-Texas, Inc. shall indemnify to the fullest extent permitted by law an individual who is a party to a proceeding because he or she is a director or officer against liability incurred in the proceeding if: (1)</w:t>
      </w:r>
    </w:p>
    <w:p>
      <w:pPr>
        <w:spacing w:after="0" w:line="1" w:lineRule="exact"/>
        <w:rPr>
          <w:sz w:val="20"/>
          <w:szCs w:val="20"/>
          <w:color w:val="auto"/>
        </w:rPr>
      </w:pPr>
    </w:p>
    <w:p>
      <w:pPr>
        <w:ind w:right="20" w:firstLine="1"/>
        <w:spacing w:after="0" w:line="244" w:lineRule="auto"/>
        <w:tabs>
          <w:tab w:leader="none" w:pos="2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conducted himself or herself in good faith; and (ii) he or she reasonably believed that his or her conduct was in the best interests of CiviGenics-Texas, Inc. or that his or her conduct was at least not opposed to the best interests of CiviGenics-Texas, Inc.; and (iii) in the case of any criminal proceeding, he or she had no reasonable cause to believe his or her conduct was unlawful; or (2) he or she engaged in conduct for which he or she shall not be liable under a provision of the Articles of Incorporation authorized by the TBCA or any successor provision. The By-laws further provides that a director’s or officer’s conduct with respect to an employee benefit plan for a purpose he or she reasonably believed to be in the interests of the participants in, and the beneficiaries of, the plan is conduct that satisfies the requirement that his or her conduct was at least not opposed to the best interests of CiviGenics-Texas, Inc. The By-laws also provide that the termination of a proceeding by judgment, order, settlement, or conviction, or upon a plea of nolo contendere or its equivalent, is not, of itself, determinative that the director or officer did not meet the relevant standard of conduct described in the By-laws. The By-laws also provide that unless ordered by a court, CiviGenics-Texas, Inc. may not indemnify a director or officer under the By-laws if his or her conduct did not satisfy the standards set forth above.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formed as limited liability companies in Wyoming</w:t>
      </w:r>
    </w:p>
    <w:p>
      <w:pPr>
        <w:spacing w:after="0" w:line="10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Section 17-29-408 of the Wyoming Limited Liability Company Act (“</w:t>
      </w:r>
      <w:r>
        <w:rPr>
          <w:rFonts w:ascii="Times New Roman" w:cs="Times New Roman" w:eastAsia="Times New Roman" w:hAnsi="Times New Roman"/>
          <w:sz w:val="18"/>
          <w:szCs w:val="18"/>
          <w:b w:val="1"/>
          <w:bCs w:val="1"/>
          <w:color w:val="auto"/>
        </w:rPr>
        <w:t>Wyoming LLC Act</w:t>
      </w:r>
      <w:r>
        <w:rPr>
          <w:rFonts w:ascii="Times New Roman" w:cs="Times New Roman" w:eastAsia="Times New Roman" w:hAnsi="Times New Roman"/>
          <w:sz w:val="18"/>
          <w:szCs w:val="18"/>
          <w:color w:val="auto"/>
        </w:rPr>
        <w:t>”) provides that a limited liability company shall indemnify for any debt, obligation or other liability incurred by a member of a member-managed company or a manager of a manager-managed company in the course of the member’s or manager’s activities on behalf of the company, if, in incurring such debt, obligation or other liability, the member or manager complied with the duties stated in the Wyoming LLC Act. The Wyoming LLC Act also provides that a limited liability company may purchase and maintain insurance on behalf of a member or manager of the company against liability asserted against or incurred by the member or manager in that capacity or arising from that status.</w:t>
      </w:r>
    </w:p>
    <w:p>
      <w:pPr>
        <w:spacing w:after="0" w:line="186" w:lineRule="exact"/>
        <w:rPr>
          <w:sz w:val="20"/>
          <w:szCs w:val="20"/>
          <w:color w:val="auto"/>
        </w:rPr>
      </w:pPr>
    </w:p>
    <w:p>
      <w:pPr>
        <w:ind w:right="40" w:firstLine="1"/>
        <w:spacing w:after="0" w:line="285" w:lineRule="auto"/>
        <w:tabs>
          <w:tab w:leader="none" w:pos="39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Wyoming Properties, LLC’s Operating Agreement provides that CCC Wyoming Properties, LLC shall indemnify its members for all costs, losses, liabilities, and damages paid or accrued by its members (either as members or as agents) in connection with the business of CCC Wyoming Properties, LLC or because such person is a member, to the fullest extent provided or allowed by the law of the State of Wyoming. In addition, CCC Wyoming Properties, LLC shall advance costs of participation in any proceeding to the members. The members may indemnify all other employees and agents of CCC Wyoming Properties, LLC for all costs, losses, liabilities, and damages paid or accrued by the agent or employee in connection with the business of CCC Wyoming Properties, LLC or because such person is an agent or employee, to the fullest extent provided or allowed by the laws of Wyoming.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formed as general partnerships in Wyoming</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Section 17-21-306 of the Wyoming Uniform Partnership Act (“</w:t>
      </w:r>
      <w:r>
        <w:rPr>
          <w:rFonts w:ascii="Times New Roman" w:cs="Times New Roman" w:eastAsia="Times New Roman" w:hAnsi="Times New Roman"/>
          <w:sz w:val="16"/>
          <w:szCs w:val="16"/>
          <w:b w:val="1"/>
          <w:bCs w:val="1"/>
          <w:color w:val="auto"/>
        </w:rPr>
        <w:t>Wyoming UPA</w:t>
      </w:r>
      <w:r>
        <w:rPr>
          <w:rFonts w:ascii="Times New Roman" w:cs="Times New Roman" w:eastAsia="Times New Roman" w:hAnsi="Times New Roman"/>
          <w:sz w:val="16"/>
          <w:szCs w:val="16"/>
          <w:color w:val="auto"/>
        </w:rPr>
        <w:t>”) provides that all partners are liable jointly and severally for all obligations of the partnership unless otherwise agreed by the claimant or provided by law. Section 17-21-309 of the Wyoming UPA holds a person admitted as a partner into a partnership is liable for all obligations of the partnership arising before the person’s admission as if the person had been a partner when the obligations were incurred, but that liability may only be satisfied out of partnership property. Section 17-21-103(a) states that except as provided in subsection (b) of that section, a partnership agreement governs relations among the partners and between the partners and the partnership.</w:t>
      </w:r>
    </w:p>
    <w:p>
      <w:pPr>
        <w:spacing w:after="0" w:line="15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Amended and Restated Partnership Agreement of Community Alternatives provides that except as otherwise expressly provided by Wyoming law, the debts, obligations and liabilities of the partnership, whether arising in</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II-17</w:t>
      </w:r>
    </w:p>
    <w:p>
      <w:pPr>
        <w:sectPr>
          <w:pgSz w:w="11900" w:h="16838" w:orient="portrait"/>
          <w:cols w:equalWidth="0" w:num="1">
            <w:col w:w="10680"/>
          </w:cols>
          <w:pgMar w:left="580" w:top="264" w:right="639" w:bottom="1440" w:gutter="0" w:footer="0" w:header="0"/>
        </w:sectPr>
      </w:pPr>
    </w:p>
    <w:bookmarkStart w:id="21" w:name="page22"/>
    <w:bookmarkEnd w:id="21"/>
    <w:p>
      <w:pPr>
        <w:ind w:right="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contract, tort or otherwise, shall be the debts, obligations and liabilities solely of the partnership, and the manager shall not be obligated personally for any such debt, obligation or liability of the partnership solely by reason of being the manager of the partnership. The Amended and Restated Partnership Agreement of Community Alternatives also provides that the partnership may purchase and maintain insurance, on behalf of the partners and such other persons as the partners shall determine, against any liability that may be asserted against or expense that may be incurred by, such persons in connection with the business or activities of the partnership.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21. Exhibits and Financial Statement Schedules.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80" w:type="dxa"/>
            <w:vAlign w:val="bottom"/>
            <w:gridSpan w:val="23"/>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48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520" w:type="dxa"/>
            <w:vAlign w:val="bottom"/>
          </w:tcPr>
          <w:p>
            <w:pPr>
              <w:spacing w:after="0"/>
              <w:rPr>
                <w:sz w:val="22"/>
                <w:szCs w:val="22"/>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Amended and Restated Articles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80" w:type="dxa"/>
            <w:vAlign w:val="bottom"/>
            <w:tcBorders>
              <w:top w:val="single" w:sz="8" w:color="0000EE"/>
            </w:tcBorders>
            <w:gridSpan w:val="9"/>
          </w:tcPr>
          <w:p>
            <w:pPr>
              <w:spacing w:after="0" w:line="190"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8-K, filed on June 30, 2014).</w:t>
              </w:r>
            </w:hyperlink>
          </w:p>
        </w:tc>
        <w:tc>
          <w:tcPr>
            <w:tcW w:w="84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52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Articles of Merger, effective as of June 27, 2014 (incorporated by reference to Exhibit 3.2 to the Company’s Current Report on Form</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80" w:type="dxa"/>
            <w:vAlign w:val="bottom"/>
            <w:tcBorders>
              <w:top w:val="single" w:sz="8" w:color="0000EE"/>
            </w:tcBorders>
            <w:gridSpan w:val="9"/>
          </w:tcPr>
          <w:p>
            <w:pPr>
              <w:spacing w:after="0" w:line="190"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8-K, filed on June 30, 2014).</w:t>
              </w:r>
            </w:hyperlink>
          </w:p>
        </w:tc>
        <w:tc>
          <w:tcPr>
            <w:tcW w:w="84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52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Articles of Amendment to the Amended and Restated Articles of Incorporation of The GEO Group, Inc. (incorporated by reference to</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920" w:type="dxa"/>
            <w:vAlign w:val="bottom"/>
            <w:tcBorders>
              <w:top w:val="single" w:sz="8" w:color="0000EE"/>
              <w:bottom w:val="single" w:sz="8" w:color="0000EE"/>
            </w:tcBorders>
            <w:gridSpan w:val="10"/>
          </w:tcPr>
          <w:p>
            <w:pPr>
              <w:spacing w:after="0" w:line="190" w:lineRule="exact"/>
              <w:rPr>
                <w:rFonts w:ascii="Times New Roman" w:cs="Times New Roman" w:eastAsia="Times New Roman" w:hAnsi="Times New Roman"/>
                <w:sz w:val="18"/>
                <w:szCs w:val="18"/>
                <w:color w:val="0000EE"/>
                <w:w w:val="96"/>
              </w:rPr>
            </w:pPr>
            <w:hyperlink r:id="rId42">
              <w:r>
                <w:rPr>
                  <w:rFonts w:ascii="Times New Roman" w:cs="Times New Roman" w:eastAsia="Times New Roman" w:hAnsi="Times New Roman"/>
                  <w:sz w:val="18"/>
                  <w:szCs w:val="18"/>
                  <w:color w:val="0000EE"/>
                  <w:w w:val="96"/>
                </w:rPr>
                <w:t>Exhibit 3.1 to the Company’s Current Report on Form 8-K, filed on April 26, 2017).</w:t>
              </w:r>
            </w:hyperlink>
          </w:p>
        </w:tc>
        <w:tc>
          <w:tcPr>
            <w:tcW w:w="3460" w:type="dxa"/>
            <w:vAlign w:val="bottom"/>
            <w:tcBorders>
              <w:top w:val="single" w:sz="8" w:color="0000EE"/>
            </w:tcBorders>
            <w:gridSpan w:val="11"/>
          </w:tcPr>
          <w:p>
            <w:pPr>
              <w:spacing w:after="0"/>
              <w:rPr>
                <w:sz w:val="16"/>
                <w:szCs w:val="16"/>
                <w:color w:val="auto"/>
              </w:rPr>
            </w:pPr>
          </w:p>
        </w:tc>
        <w:tc>
          <w:tcPr>
            <w:tcW w:w="2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52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Third Amended and Restated Bylaws of The GEO Group, Inc. (incorporated by reference to Exhibit 3.1 to the Company’s Current</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80" w:type="dxa"/>
            <w:vAlign w:val="bottom"/>
            <w:tcBorders>
              <w:top w:val="single" w:sz="8" w:color="0000EE"/>
            </w:tcBorders>
            <w:gridSpan w:val="9"/>
          </w:tcPr>
          <w:p>
            <w:pPr>
              <w:spacing w:after="0" w:line="190"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Report on Form 8-K, filed on June 21, 2021).</w:t>
              </w:r>
            </w:hyperlink>
          </w:p>
        </w:tc>
        <w:tc>
          <w:tcPr>
            <w:tcW w:w="84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520" w:type="dxa"/>
            <w:vAlign w:val="bottom"/>
          </w:tcPr>
          <w:p>
            <w:pPr>
              <w:spacing w:after="0"/>
              <w:rPr>
                <w:sz w:val="24"/>
                <w:szCs w:val="24"/>
                <w:color w:val="auto"/>
              </w:rPr>
            </w:pPr>
          </w:p>
        </w:tc>
        <w:tc>
          <w:tcPr>
            <w:tcW w:w="5080" w:type="dxa"/>
            <w:vAlign w:val="bottom"/>
            <w:gridSpan w:val="9"/>
          </w:tcPr>
          <w:p>
            <w:pPr>
              <w:spacing w:after="0"/>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Amendment to Third Amended and Restated Bylaws, effective January</w:t>
              </w:r>
            </w:hyperlink>
          </w:p>
        </w:tc>
        <w:tc>
          <w:tcPr>
            <w:tcW w:w="4580" w:type="dxa"/>
            <w:vAlign w:val="bottom"/>
            <w:gridSpan w:val="17"/>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21, 2022 (incorporated by reference to Exhibit 3.1 to the</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80" w:type="dxa"/>
            <w:vAlign w:val="bottom"/>
            <w:tcBorders>
              <w:top w:val="single" w:sz="8" w:color="0000EE"/>
            </w:tcBorders>
            <w:gridSpan w:val="9"/>
          </w:tcPr>
          <w:p>
            <w:pPr>
              <w:spacing w:after="0" w:line="190"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Company’s Current Report on Form 8-K filed on January 27, 2022).</w:t>
              </w:r>
            </w:hyperlink>
          </w:p>
        </w:tc>
        <w:tc>
          <w:tcPr>
            <w:tcW w:w="84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520" w:type="dxa"/>
            <w:vAlign w:val="bottom"/>
          </w:tcPr>
          <w:p>
            <w:pPr>
              <w:spacing w:after="0"/>
              <w:rPr>
                <w:sz w:val="24"/>
                <w:szCs w:val="24"/>
                <w:color w:val="auto"/>
              </w:rPr>
            </w:pPr>
          </w:p>
        </w:tc>
        <w:tc>
          <w:tcPr>
            <w:tcW w:w="5080" w:type="dxa"/>
            <w:vAlign w:val="bottom"/>
            <w:gridSpan w:val="9"/>
          </w:tcPr>
          <w:p>
            <w:pPr>
              <w:spacing w:after="0"/>
              <w:rPr>
                <w:rFonts w:ascii="Times New Roman" w:cs="Times New Roman" w:eastAsia="Times New Roman" w:hAnsi="Times New Roman"/>
                <w:sz w:val="18"/>
                <w:szCs w:val="18"/>
                <w:color w:val="0000EE"/>
                <w:w w:val="96"/>
              </w:rPr>
            </w:pPr>
            <w:hyperlink r:id="rId45">
              <w:r>
                <w:rPr>
                  <w:rFonts w:ascii="Times New Roman" w:cs="Times New Roman" w:eastAsia="Times New Roman" w:hAnsi="Times New Roman"/>
                  <w:sz w:val="18"/>
                  <w:szCs w:val="18"/>
                  <w:color w:val="0000EE"/>
                  <w:w w:val="96"/>
                </w:rPr>
                <w:t>Amendment to Third Amended and Restated Bylaws, effective February</w:t>
              </w:r>
            </w:hyperlink>
          </w:p>
        </w:tc>
        <w:tc>
          <w:tcPr>
            <w:tcW w:w="4580" w:type="dxa"/>
            <w:vAlign w:val="bottom"/>
            <w:gridSpan w:val="17"/>
          </w:tcPr>
          <w:p>
            <w:pPr>
              <w:ind w:left="100"/>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14, 2022 (incorporated by reference to Exhibit 3.1 to the</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80" w:type="dxa"/>
            <w:vAlign w:val="bottom"/>
            <w:tcBorders>
              <w:top w:val="single" w:sz="8" w:color="0000EE"/>
              <w:bottom w:val="single" w:sz="8" w:color="0000EE"/>
            </w:tcBorders>
            <w:gridSpan w:val="7"/>
          </w:tcPr>
          <w:p>
            <w:pPr>
              <w:spacing w:after="0" w:line="190" w:lineRule="exact"/>
              <w:rPr>
                <w:rFonts w:ascii="Times New Roman" w:cs="Times New Roman" w:eastAsia="Times New Roman" w:hAnsi="Times New Roman"/>
                <w:sz w:val="18"/>
                <w:szCs w:val="18"/>
                <w:color w:val="0000EE"/>
                <w:w w:val="96"/>
              </w:rPr>
            </w:pPr>
            <w:hyperlink r:id="rId45">
              <w:r>
                <w:rPr>
                  <w:rFonts w:ascii="Times New Roman" w:cs="Times New Roman" w:eastAsia="Times New Roman" w:hAnsi="Times New Roman"/>
                  <w:sz w:val="18"/>
                  <w:szCs w:val="18"/>
                  <w:color w:val="0000EE"/>
                  <w:w w:val="96"/>
                </w:rPr>
                <w:t>Company’s Current Report on Form 8-K filed on February 18, 2022).</w:t>
              </w:r>
            </w:hyperlink>
          </w:p>
        </w:tc>
        <w:tc>
          <w:tcPr>
            <w:tcW w:w="200" w:type="dxa"/>
            <w:vAlign w:val="bottom"/>
            <w:tcBorders>
              <w:top w:val="single" w:sz="8" w:color="0000EE"/>
            </w:tcBorders>
            <w:gridSpan w:val="2"/>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520" w:type="dxa"/>
            <w:vAlign w:val="bottom"/>
          </w:tcPr>
          <w:p>
            <w:pPr>
              <w:spacing w:after="0"/>
              <w:rPr>
                <w:sz w:val="24"/>
                <w:szCs w:val="24"/>
                <w:color w:val="auto"/>
              </w:rPr>
            </w:pPr>
          </w:p>
        </w:tc>
        <w:tc>
          <w:tcPr>
            <w:tcW w:w="96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7"/>
              </w:rPr>
            </w:pPr>
            <w:hyperlink r:id="rId46">
              <w:r>
                <w:rPr>
                  <w:rFonts w:ascii="Times New Roman" w:cs="Times New Roman" w:eastAsia="Times New Roman" w:hAnsi="Times New Roman"/>
                  <w:sz w:val="18"/>
                  <w:szCs w:val="18"/>
                  <w:color w:val="0000EE"/>
                  <w:w w:val="97"/>
                </w:rPr>
                <w:t>Indenture, dated as of March 19, 2013, by and among the Company, the Guarantors party thereto, and Regions Bank (successor to Wells</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60" w:type="dxa"/>
            <w:vAlign w:val="bottom"/>
            <w:gridSpan w:val="26"/>
          </w:tcPr>
          <w:p>
            <w:pPr>
              <w:spacing w:after="0" w:line="190"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Fargo Bank, National Association) as Trustee relating to the 5.125% Senior Notes due 2023 (incorporated by reference to Exhibit 4.1 to</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80" w:type="dxa"/>
            <w:vAlign w:val="bottom"/>
            <w:tcBorders>
              <w:top w:val="single" w:sz="8" w:color="0000EE"/>
            </w:tcBorders>
            <w:gridSpan w:val="9"/>
          </w:tcPr>
          <w:p>
            <w:pPr>
              <w:spacing w:after="0" w:line="190"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the Company’s Current report on Form 8-K, filed on March 25, 2013).</w:t>
              </w:r>
            </w:hyperlink>
          </w:p>
        </w:tc>
        <w:tc>
          <w:tcPr>
            <w:tcW w:w="84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520" w:type="dxa"/>
            <w:vAlign w:val="bottom"/>
          </w:tcPr>
          <w:p>
            <w:pPr>
              <w:spacing w:after="0"/>
              <w:rPr>
                <w:sz w:val="24"/>
                <w:szCs w:val="24"/>
                <w:color w:val="auto"/>
              </w:rPr>
            </w:pPr>
          </w:p>
        </w:tc>
        <w:tc>
          <w:tcPr>
            <w:tcW w:w="45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r:id="rId46">
              <w:r>
                <w:rPr>
                  <w:rFonts w:ascii="Times New Roman" w:cs="Times New Roman" w:eastAsia="Times New Roman" w:hAnsi="Times New Roman"/>
                  <w:sz w:val="18"/>
                  <w:szCs w:val="18"/>
                  <w:color w:val="0000EE"/>
                  <w:w w:val="96"/>
                </w:rPr>
                <w:t>Form of 5.125% Senior Note due 2023 (included in Exhibit 4.1).</w:t>
              </w:r>
            </w:hyperlink>
          </w:p>
        </w:tc>
        <w:tc>
          <w:tcPr>
            <w:tcW w:w="400" w:type="dxa"/>
            <w:vAlign w:val="bottom"/>
            <w:tcBorders>
              <w:top w:val="single" w:sz="8" w:color="0000EE"/>
            </w:tcBorders>
            <w:gridSpan w:val="4"/>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52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Supplemental Indenture dated as of June 27, 2014, to Indenture dated as of March 19, 2013, with respect to the Predecessor Registrant’s</w:t>
              </w:r>
            </w:hyperlink>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580" w:type="dxa"/>
            <w:vAlign w:val="bottom"/>
            <w:tcBorders>
              <w:top w:val="single" w:sz="8" w:color="0000EE"/>
            </w:tcBorders>
            <w:gridSpan w:val="24"/>
          </w:tcPr>
          <w:p>
            <w:pPr>
              <w:spacing w:after="0" w:line="190"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125%</w:t>
              </w:r>
              <w:r>
                <w:rPr>
                  <w:rFonts w:ascii="Times New Roman" w:cs="Times New Roman" w:eastAsia="Times New Roman" w:hAnsi="Times New Roman"/>
                  <w:sz w:val="18"/>
                  <w:szCs w:val="18"/>
                  <w:color w:val="0000EE"/>
                </w:rPr>
                <w:t xml:space="preserve"> Senior Notes, between the Company and Regions Bank (successor to Wells Fargo Bank, National Association), as Trustee</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40" w:type="dxa"/>
            <w:vAlign w:val="bottom"/>
            <w:tcBorders>
              <w:top w:val="single" w:sz="8" w:color="0000EE"/>
            </w:tcBorders>
            <w:gridSpan w:val="16"/>
          </w:tcPr>
          <w:p>
            <w:pPr>
              <w:spacing w:after="0" w:line="190"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(incorporated by reference to Exhibit 4.4 to the Company’s Current Report on Form 8-K, filed on June 30, 2014).</w:t>
              </w:r>
            </w:hyperlink>
          </w:p>
        </w:tc>
        <w:tc>
          <w:tcPr>
            <w:tcW w:w="52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140" w:type="dxa"/>
            <w:vAlign w:val="bottom"/>
            <w:gridSpan w:val="4"/>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520" w:type="dxa"/>
            <w:vAlign w:val="bottom"/>
          </w:tcPr>
          <w:p>
            <w:pPr>
              <w:spacing w:after="0"/>
              <w:rPr>
                <w:sz w:val="24"/>
                <w:szCs w:val="24"/>
                <w:color w:val="auto"/>
              </w:rPr>
            </w:pPr>
          </w:p>
        </w:tc>
        <w:tc>
          <w:tcPr>
            <w:tcW w:w="8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r:id="rId48">
              <w:r>
                <w:rPr>
                  <w:rFonts w:ascii="Times New Roman" w:cs="Times New Roman" w:eastAsia="Times New Roman" w:hAnsi="Times New Roman"/>
                  <w:sz w:val="18"/>
                  <w:szCs w:val="18"/>
                  <w:color w:val="0000EE"/>
                  <w:w w:val="97"/>
                </w:rPr>
                <w:t>Indenture, dated as of September 25, 2014, by and between GEO and Regions Bank (successor to Wells Fargo Bank, National</w:t>
              </w:r>
            </w:hyperlink>
          </w:p>
        </w:tc>
        <w:tc>
          <w:tcPr>
            <w:tcW w:w="7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340" w:type="dxa"/>
            <w:vAlign w:val="bottom"/>
            <w:tcBorders>
              <w:bottom w:val="single" w:sz="8" w:color="0000EE"/>
            </w:tcBorders>
            <w:gridSpan w:val="19"/>
          </w:tcPr>
          <w:p>
            <w:pPr>
              <w:spacing w:after="0" w:line="190" w:lineRule="exact"/>
              <w:rPr>
                <w:rFonts w:ascii="Times New Roman" w:cs="Times New Roman" w:eastAsia="Times New Roman" w:hAnsi="Times New Roman"/>
                <w:sz w:val="18"/>
                <w:szCs w:val="18"/>
                <w:color w:val="0000EE"/>
                <w:w w:val="96"/>
              </w:rPr>
            </w:pPr>
            <w:hyperlink r:id="rId48">
              <w:r>
                <w:rPr>
                  <w:rFonts w:ascii="Times New Roman" w:cs="Times New Roman" w:eastAsia="Times New Roman" w:hAnsi="Times New Roman"/>
                  <w:sz w:val="18"/>
                  <w:szCs w:val="18"/>
                  <w:color w:val="0000EE"/>
                  <w:w w:val="96"/>
                </w:rPr>
                <w:t>Association), as Trustee (incorporated by reference to Exhibit 4.1 to the Company’s Current Report on Form 8-K, filed on October 1,</w:t>
              </w:r>
            </w:hyperlink>
          </w:p>
        </w:tc>
        <w:tc>
          <w:tcPr>
            <w:tcW w:w="3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980" w:type="dxa"/>
            <w:vAlign w:val="bottom"/>
            <w:gridSpan w:val="2"/>
          </w:tcPr>
          <w:p>
            <w:pPr>
              <w:ind w:left="520"/>
              <w:spacing w:after="0" w:line="190" w:lineRule="exact"/>
              <w:rPr>
                <w:rFonts w:ascii="Times New Roman" w:cs="Times New Roman" w:eastAsia="Times New Roman" w:hAnsi="Times New Roman"/>
                <w:sz w:val="18"/>
                <w:szCs w:val="18"/>
                <w:color w:val="0000EE"/>
                <w:w w:val="94"/>
              </w:rPr>
            </w:pPr>
            <w:hyperlink r:id="rId48">
              <w:r>
                <w:rPr>
                  <w:rFonts w:ascii="Times New Roman" w:cs="Times New Roman" w:eastAsia="Times New Roman" w:hAnsi="Times New Roman"/>
                  <w:sz w:val="18"/>
                  <w:szCs w:val="18"/>
                  <w:color w:val="0000EE"/>
                  <w:w w:val="94"/>
                </w:rPr>
                <w:t>2014).</w:t>
              </w:r>
            </w:hyperlink>
          </w:p>
        </w:tc>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52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First Supplemental Indenture, dated as of September 25, 2014, by and among GEO, certain subsidiary guarantors and Regions Bank</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0" w:type="dxa"/>
            <w:vAlign w:val="bottom"/>
            <w:tcBorders>
              <w:bottom w:val="single" w:sz="8" w:color="0000EE"/>
            </w:tcBorders>
            <w:gridSpan w:val="22"/>
          </w:tcPr>
          <w:p>
            <w:pPr>
              <w:spacing w:after="0" w:line="190" w:lineRule="exact"/>
              <w:rPr>
                <w:rFonts w:ascii="Times New Roman" w:cs="Times New Roman" w:eastAsia="Times New Roman" w:hAnsi="Times New Roman"/>
                <w:sz w:val="18"/>
                <w:szCs w:val="18"/>
                <w:color w:val="0000EE"/>
                <w:w w:val="96"/>
              </w:rPr>
            </w:pPr>
            <w:hyperlink r:id="rId49">
              <w:r>
                <w:rPr>
                  <w:rFonts w:ascii="Times New Roman" w:cs="Times New Roman" w:eastAsia="Times New Roman" w:hAnsi="Times New Roman"/>
                  <w:sz w:val="18"/>
                  <w:szCs w:val="18"/>
                  <w:color w:val="0000EE"/>
                  <w:w w:val="96"/>
                </w:rPr>
                <w:t>(successor to Wells Fargo Bank, National Association), as Trustee with respect to the 5.875% Senior Notes due 2024 (incorporated by</w:t>
              </w:r>
            </w:hyperlink>
          </w:p>
        </w:tc>
        <w:tc>
          <w:tcPr>
            <w:tcW w:w="2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60" w:type="dxa"/>
            <w:vAlign w:val="bottom"/>
            <w:gridSpan w:val="26"/>
          </w:tcPr>
          <w:p>
            <w:pPr>
              <w:spacing w:after="0" w:line="190"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reference to Exhibit 4.2 to the Company’s Current Report on Form 8-K, filed on October 1, 2014).</w:t>
              </w:r>
            </w:hyperlink>
          </w:p>
        </w:tc>
        <w:tc>
          <w:tcPr>
            <w:tcW w:w="0" w:type="dxa"/>
            <w:vAlign w:val="bottom"/>
          </w:tcPr>
          <w:p>
            <w:pPr>
              <w:spacing w:after="0"/>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520" w:type="dxa"/>
            <w:vAlign w:val="bottom"/>
          </w:tcPr>
          <w:p>
            <w:pPr>
              <w:spacing w:after="0"/>
              <w:rPr>
                <w:sz w:val="24"/>
                <w:szCs w:val="24"/>
                <w:color w:val="auto"/>
              </w:rPr>
            </w:pPr>
          </w:p>
        </w:tc>
        <w:tc>
          <w:tcPr>
            <w:tcW w:w="45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r:id="rId49">
              <w:r>
                <w:rPr>
                  <w:rFonts w:ascii="Times New Roman" w:cs="Times New Roman" w:eastAsia="Times New Roman" w:hAnsi="Times New Roman"/>
                  <w:sz w:val="18"/>
                  <w:szCs w:val="18"/>
                  <w:color w:val="0000EE"/>
                  <w:w w:val="96"/>
                </w:rPr>
                <w:t>Form of 5.875% Senior Note due 2024 (included in Exhibit 4.5).</w:t>
              </w:r>
            </w:hyperlink>
          </w:p>
        </w:tc>
        <w:tc>
          <w:tcPr>
            <w:tcW w:w="540" w:type="dxa"/>
            <w:vAlign w:val="bottom"/>
            <w:tcBorders>
              <w:top w:val="single" w:sz="8" w:color="0000EE"/>
            </w:tcBorders>
            <w:gridSpan w:val="5"/>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52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Second Supplemental Indenture, dated as of April 18, 2016, by and among The GEO Group, Inc., the subsidiary guarantors named</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0" w:type="dxa"/>
            <w:vAlign w:val="bottom"/>
            <w:gridSpan w:val="5"/>
            <w:shd w:val="clear" w:color="auto" w:fill="0000EE"/>
          </w:tcPr>
          <w:p>
            <w:pPr>
              <w:spacing w:after="0" w:line="20" w:lineRule="exact"/>
              <w:rPr>
                <w:sz w:val="1"/>
                <w:szCs w:val="1"/>
                <w:color w:val="auto"/>
              </w:rPr>
            </w:pPr>
          </w:p>
        </w:tc>
        <w:tc>
          <w:tcPr>
            <w:tcW w:w="4080" w:type="dxa"/>
            <w:vAlign w:val="bottom"/>
            <w:gridSpan w:val="8"/>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360" w:type="dxa"/>
            <w:vAlign w:val="bottom"/>
            <w:tcBorders>
              <w:bottom w:val="single" w:sz="8" w:color="0000EE"/>
            </w:tcBorders>
            <w:gridSpan w:val="20"/>
          </w:tcPr>
          <w:p>
            <w:pPr>
              <w:spacing w:after="0" w:line="190" w:lineRule="exact"/>
              <w:rPr>
                <w:rFonts w:ascii="Times New Roman" w:cs="Times New Roman" w:eastAsia="Times New Roman" w:hAnsi="Times New Roman"/>
                <w:sz w:val="18"/>
                <w:szCs w:val="18"/>
                <w:color w:val="0000EE"/>
                <w:w w:val="96"/>
              </w:rPr>
            </w:pPr>
            <w:hyperlink r:id="rId50">
              <w:r>
                <w:rPr>
                  <w:rFonts w:ascii="Times New Roman" w:cs="Times New Roman" w:eastAsia="Times New Roman" w:hAnsi="Times New Roman"/>
                  <w:sz w:val="18"/>
                  <w:szCs w:val="18"/>
                  <w:color w:val="0000EE"/>
                  <w:w w:val="96"/>
                </w:rPr>
                <w:t>therein and Regions Bank (successor to Wells Fargo Bank, National Association), as Trustee with respect to the 6.000% Senior Notes</w:t>
              </w:r>
            </w:hyperlink>
          </w:p>
        </w:tc>
        <w:tc>
          <w:tcPr>
            <w:tcW w:w="3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60" w:type="dxa"/>
            <w:vAlign w:val="bottom"/>
            <w:gridSpan w:val="26"/>
          </w:tcPr>
          <w:p>
            <w:pPr>
              <w:spacing w:after="0" w:line="190"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due 2026 (incorporated by reference to Exhibit 4.1 to the Company’s Current Report on Form 8-K, filed on April 18, 2016).</w:t>
              </w:r>
            </w:hyperlink>
          </w:p>
        </w:tc>
        <w:tc>
          <w:tcPr>
            <w:tcW w:w="0" w:type="dxa"/>
            <w:vAlign w:val="bottom"/>
          </w:tcPr>
          <w:p>
            <w:pPr>
              <w:spacing w:after="0"/>
              <w:rPr>
                <w:sz w:val="1"/>
                <w:szCs w:val="1"/>
                <w:color w:val="auto"/>
              </w:rPr>
            </w:pPr>
          </w:p>
        </w:tc>
      </w:tr>
      <w:tr>
        <w:trPr>
          <w:trHeight w:val="295"/>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520" w:type="dxa"/>
            <w:vAlign w:val="bottom"/>
          </w:tcPr>
          <w:p>
            <w:pPr>
              <w:spacing w:after="0"/>
              <w:rPr>
                <w:sz w:val="24"/>
                <w:szCs w:val="24"/>
                <w:color w:val="auto"/>
              </w:rPr>
            </w:pPr>
          </w:p>
        </w:tc>
        <w:tc>
          <w:tcPr>
            <w:tcW w:w="50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6.000% Senior Notes due 2026 (included in Exhibit 4.7).</w:t>
              </w:r>
            </w:hyperlink>
          </w:p>
        </w:tc>
        <w:tc>
          <w:tcPr>
            <w:tcW w:w="8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gridSpan w:val="2"/>
          </w:tcPr>
          <w:p>
            <w:pPr>
              <w:ind w:left="920"/>
              <w:spacing w:after="0"/>
              <w:rPr>
                <w:sz w:val="20"/>
                <w:szCs w:val="20"/>
                <w:color w:val="auto"/>
              </w:rPr>
            </w:pPr>
            <w:r>
              <w:rPr>
                <w:rFonts w:ascii="Times New Roman" w:cs="Times New Roman" w:eastAsia="Times New Roman" w:hAnsi="Times New Roman"/>
                <w:sz w:val="18"/>
                <w:szCs w:val="18"/>
                <w:color w:val="auto"/>
              </w:rPr>
              <w:t>II-18</w:t>
            </w:r>
          </w:p>
        </w:tc>
        <w:tc>
          <w:tcPr>
            <w:tcW w:w="48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580" w:top="266" w:right="57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40" w:type="dxa"/>
            <w:vAlign w:val="bottom"/>
            <w:gridSpan w:val="2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440" w:type="dxa"/>
            <w:vAlign w:val="bottom"/>
            <w:tcBorders>
              <w:bottom w:val="single" w:sz="8" w:color="auto"/>
            </w:tcBorders>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22"/>
                <w:szCs w:val="22"/>
                <w:color w:val="auto"/>
              </w:rPr>
            </w:pPr>
          </w:p>
        </w:tc>
        <w:tc>
          <w:tcPr>
            <w:tcW w:w="2240" w:type="dxa"/>
            <w:vAlign w:val="bottom"/>
            <w:gridSpan w:val="3"/>
          </w:tcPr>
          <w:p>
            <w:pPr>
              <w:spacing w:after="0"/>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Indenture, dated as of February</w:t>
              </w:r>
            </w:hyperlink>
          </w:p>
        </w:tc>
        <w:tc>
          <w:tcPr>
            <w:tcW w:w="7420" w:type="dxa"/>
            <w:vAlign w:val="bottom"/>
            <w:gridSpan w:val="29"/>
          </w:tcPr>
          <w:p>
            <w:pPr>
              <w:ind w:left="40"/>
              <w:spacing w:after="0"/>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24, 2021, by and among GEO Corrections Holdings, Inc., as issuer, The GEO Group, Inc. and the other</w:t>
              </w:r>
            </w:hyperlink>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160" w:type="dxa"/>
            <w:vAlign w:val="bottom"/>
            <w:tcBorders>
              <w:top w:val="single" w:sz="8" w:color="0000EE"/>
              <w:bottom w:val="single" w:sz="8" w:color="0000EE"/>
            </w:tcBorders>
            <w:gridSpan w:val="23"/>
          </w:tcPr>
          <w:p>
            <w:pPr>
              <w:spacing w:after="0" w:line="190" w:lineRule="exact"/>
              <w:rPr>
                <w:rFonts w:ascii="Times New Roman" w:cs="Times New Roman" w:eastAsia="Times New Roman" w:hAnsi="Times New Roman"/>
                <w:sz w:val="18"/>
                <w:szCs w:val="18"/>
                <w:color w:val="0000EE"/>
                <w:w w:val="97"/>
              </w:rPr>
            </w:pPr>
            <w:hyperlink r:id="rId52">
              <w:r>
                <w:rPr>
                  <w:rFonts w:ascii="Times New Roman" w:cs="Times New Roman" w:eastAsia="Times New Roman" w:hAnsi="Times New Roman"/>
                  <w:sz w:val="18"/>
                  <w:szCs w:val="18"/>
                  <w:color w:val="0000EE"/>
                  <w:w w:val="97"/>
                </w:rPr>
                <w:t>guarantors named therein, as guarantors, and the Trustee (portions of this exhibit have been omitted) (incorporated by reference to</w:t>
              </w:r>
            </w:hyperlink>
          </w:p>
        </w:tc>
        <w:tc>
          <w:tcPr>
            <w:tcW w:w="360" w:type="dxa"/>
            <w:vAlign w:val="bottom"/>
            <w:tcBorders>
              <w:top w:val="single" w:sz="8" w:color="0000EE"/>
            </w:tcBorders>
            <w:gridSpan w:val="4"/>
          </w:tcPr>
          <w:p>
            <w:pPr>
              <w:spacing w:after="0"/>
              <w:rPr>
                <w:sz w:val="16"/>
                <w:szCs w:val="16"/>
                <w:color w:val="auto"/>
              </w:rPr>
            </w:pPr>
          </w:p>
        </w:tc>
        <w:tc>
          <w:tcPr>
            <w:tcW w:w="1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920" w:type="dxa"/>
            <w:vAlign w:val="bottom"/>
            <w:tcBorders>
              <w:bottom w:val="single" w:sz="8" w:color="0000EE"/>
            </w:tcBorders>
            <w:gridSpan w:val="13"/>
          </w:tcPr>
          <w:p>
            <w:pPr>
              <w:spacing w:after="0" w:line="190" w:lineRule="exact"/>
              <w:rPr>
                <w:rFonts w:ascii="Times New Roman" w:cs="Times New Roman" w:eastAsia="Times New Roman" w:hAnsi="Times New Roman"/>
                <w:sz w:val="18"/>
                <w:szCs w:val="18"/>
                <w:color w:val="0000EE"/>
                <w:w w:val="96"/>
              </w:rPr>
            </w:pPr>
            <w:hyperlink r:id="rId52">
              <w:r>
                <w:rPr>
                  <w:rFonts w:ascii="Times New Roman" w:cs="Times New Roman" w:eastAsia="Times New Roman" w:hAnsi="Times New Roman"/>
                  <w:sz w:val="18"/>
                  <w:szCs w:val="18"/>
                  <w:color w:val="0000EE"/>
                  <w:w w:val="96"/>
                </w:rPr>
                <w:t>Exhibit 4.1 to the Company’s Current Report on Form 8-K, filed on March 2, 2021).</w:t>
              </w:r>
            </w:hyperlink>
          </w:p>
        </w:tc>
        <w:tc>
          <w:tcPr>
            <w:tcW w:w="374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420" w:type="dxa"/>
            <w:vAlign w:val="bottom"/>
          </w:tcPr>
          <w:p>
            <w:pPr>
              <w:spacing w:after="0"/>
              <w:rPr>
                <w:sz w:val="24"/>
                <w:szCs w:val="24"/>
                <w:color w:val="auto"/>
              </w:rPr>
            </w:pPr>
          </w:p>
        </w:tc>
        <w:tc>
          <w:tcPr>
            <w:tcW w:w="9660" w:type="dxa"/>
            <w:vAlign w:val="bottom"/>
            <w:gridSpan w:val="32"/>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6.50% Exchangeable Senior Notes due 2026 (included in Exhibit 4.9).</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420" w:type="dxa"/>
            <w:vAlign w:val="bottom"/>
          </w:tcPr>
          <w:p>
            <w:pPr>
              <w:spacing w:after="0"/>
              <w:rPr>
                <w:sz w:val="24"/>
                <w:szCs w:val="24"/>
                <w:color w:val="auto"/>
              </w:rPr>
            </w:pPr>
          </w:p>
        </w:tc>
        <w:tc>
          <w:tcPr>
            <w:tcW w:w="9660" w:type="dxa"/>
            <w:vAlign w:val="bottom"/>
            <w:gridSpan w:val="32"/>
          </w:tcPr>
          <w:p>
            <w:pPr>
              <w:spacing w:after="0"/>
              <w:rPr>
                <w:rFonts w:ascii="Times New Roman" w:cs="Times New Roman" w:eastAsia="Times New Roman" w:hAnsi="Times New Roman"/>
                <w:sz w:val="18"/>
                <w:szCs w:val="18"/>
                <w:color w:val="0000EE"/>
                <w:w w:val="97"/>
              </w:rPr>
            </w:pPr>
            <w:hyperlink r:id="rId53">
              <w:r>
                <w:rPr>
                  <w:rFonts w:ascii="Times New Roman" w:cs="Times New Roman" w:eastAsia="Times New Roman" w:hAnsi="Times New Roman"/>
                  <w:sz w:val="18"/>
                  <w:szCs w:val="18"/>
                  <w:color w:val="0000EE"/>
                  <w:w w:val="97"/>
                </w:rPr>
                <w:t>Description of Registrant’s Securities (incorporated by reference to Exhibit 4.14 to the Company’s Annual Report on Form 10-K, filed on</w:t>
              </w:r>
            </w:hyperlink>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Borders>
              <w:top w:val="single" w:sz="8" w:color="0000EE"/>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r:id="rId53">
              <w:r>
                <w:rPr>
                  <w:rFonts w:ascii="Times New Roman" w:cs="Times New Roman" w:eastAsia="Times New Roman" w:hAnsi="Times New Roman"/>
                  <w:sz w:val="18"/>
                  <w:szCs w:val="18"/>
                  <w:color w:val="0000EE"/>
                  <w:w w:val="96"/>
                </w:rPr>
                <w:t>February 26, 2020).</w:t>
              </w:r>
            </w:hyperlink>
          </w:p>
        </w:tc>
        <w:tc>
          <w:tcPr>
            <w:tcW w:w="84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1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420" w:type="dxa"/>
            <w:vAlign w:val="bottom"/>
          </w:tcPr>
          <w:p>
            <w:pPr>
              <w:spacing w:after="0"/>
              <w:rPr>
                <w:sz w:val="24"/>
                <w:szCs w:val="24"/>
                <w:color w:val="auto"/>
              </w:rPr>
            </w:pPr>
          </w:p>
        </w:tc>
        <w:tc>
          <w:tcPr>
            <w:tcW w:w="95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7"/>
              </w:rPr>
            </w:pPr>
            <w:hyperlink r:id="rId54">
              <w:r>
                <w:rPr>
                  <w:rFonts w:ascii="Times New Roman" w:cs="Times New Roman" w:eastAsia="Times New Roman" w:hAnsi="Times New Roman"/>
                  <w:sz w:val="18"/>
                  <w:szCs w:val="18"/>
                  <w:color w:val="0000EE"/>
                  <w:w w:val="97"/>
                </w:rPr>
                <w:t>Form of Indenture for Senior Debt Securities (incorporated by reference to Exhibit 4.1 to the Company’s registration statement on Form</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80" w:type="dxa"/>
            <w:vAlign w:val="bottom"/>
            <w:tcBorders>
              <w:bottom w:val="single" w:sz="8" w:color="0000EE"/>
            </w:tcBorders>
            <w:gridSpan w:val="4"/>
          </w:tcPr>
          <w:p>
            <w:pPr>
              <w:spacing w:after="0" w:line="190" w:lineRule="exact"/>
              <w:rPr>
                <w:rFonts w:ascii="Times New Roman" w:cs="Times New Roman" w:eastAsia="Times New Roman" w:hAnsi="Times New Roman"/>
                <w:sz w:val="18"/>
                <w:szCs w:val="18"/>
                <w:color w:val="0000EE"/>
                <w:w w:val="96"/>
              </w:rPr>
            </w:pPr>
            <w:hyperlink r:id="rId54">
              <w:r>
                <w:rPr>
                  <w:rFonts w:ascii="Times New Roman" w:cs="Times New Roman" w:eastAsia="Times New Roman" w:hAnsi="Times New Roman"/>
                  <w:sz w:val="18"/>
                  <w:szCs w:val="18"/>
                  <w:color w:val="0000EE"/>
                  <w:w w:val="96"/>
                </w:rPr>
                <w:t>S-3ASR, filed on October 30, 2020).</w:t>
              </w:r>
            </w:hyperlink>
          </w:p>
        </w:tc>
        <w:tc>
          <w:tcPr>
            <w:tcW w:w="7080" w:type="dxa"/>
            <w:vAlign w:val="bottom"/>
            <w:gridSpan w:val="28"/>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420" w:type="dxa"/>
            <w:vAlign w:val="bottom"/>
          </w:tcPr>
          <w:p>
            <w:pPr>
              <w:spacing w:after="0"/>
              <w:rPr>
                <w:sz w:val="24"/>
                <w:szCs w:val="24"/>
                <w:color w:val="auto"/>
              </w:rPr>
            </w:pPr>
          </w:p>
        </w:tc>
        <w:tc>
          <w:tcPr>
            <w:tcW w:w="9660" w:type="dxa"/>
            <w:vAlign w:val="bottom"/>
            <w:gridSpan w:val="32"/>
          </w:tcPr>
          <w:p>
            <w:pPr>
              <w:spacing w:after="0"/>
              <w:rPr>
                <w:rFonts w:ascii="Times New Roman" w:cs="Times New Roman" w:eastAsia="Times New Roman" w:hAnsi="Times New Roman"/>
                <w:sz w:val="18"/>
                <w:szCs w:val="18"/>
                <w:color w:val="0000EE"/>
                <w:w w:val="97"/>
              </w:rPr>
            </w:pPr>
            <w:hyperlink r:id="rId55">
              <w:r>
                <w:rPr>
                  <w:rFonts w:ascii="Times New Roman" w:cs="Times New Roman" w:eastAsia="Times New Roman" w:hAnsi="Times New Roman"/>
                  <w:sz w:val="18"/>
                  <w:szCs w:val="18"/>
                  <w:color w:val="0000EE"/>
                  <w:w w:val="97"/>
                </w:rPr>
                <w:t>Form of Indenture for Subordinated Debt Securities (incorporated by reference to Exhibit 4.2 to the Company’s registration statement on</w:t>
              </w:r>
            </w:hyperlink>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580" w:type="dxa"/>
            <w:vAlign w:val="bottom"/>
            <w:tcBorders>
              <w:top w:val="single" w:sz="8" w:color="0000EE"/>
            </w:tcBorders>
            <w:gridSpan w:val="29"/>
          </w:tcPr>
          <w:p>
            <w:pPr>
              <w:spacing w:after="0" w:line="190"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S-3ASR, filed on October 30, 2020).</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4.14</w:t>
            </w:r>
          </w:p>
        </w:tc>
        <w:tc>
          <w:tcPr>
            <w:tcW w:w="420" w:type="dxa"/>
            <w:vAlign w:val="bottom"/>
          </w:tcPr>
          <w:p>
            <w:pPr>
              <w:spacing w:after="0"/>
              <w:rPr>
                <w:sz w:val="24"/>
                <w:szCs w:val="24"/>
                <w:color w:val="auto"/>
              </w:rPr>
            </w:pPr>
          </w:p>
        </w:tc>
        <w:tc>
          <w:tcPr>
            <w:tcW w:w="2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Form of Indenture, dated as of</w:t>
            </w:r>
          </w:p>
        </w:tc>
        <w:tc>
          <w:tcPr>
            <w:tcW w:w="340" w:type="dxa"/>
            <w:vAlign w:val="bottom"/>
            <w:tcBorders>
              <w:bottom w:val="single" w:sz="8" w:color="0000EE"/>
            </w:tcBorders>
          </w:tcPr>
          <w:p>
            <w:pPr>
              <w:spacing w:after="0"/>
              <w:rPr>
                <w:sz w:val="24"/>
                <w:szCs w:val="24"/>
                <w:color w:val="auto"/>
              </w:rPr>
            </w:pPr>
          </w:p>
        </w:tc>
        <w:tc>
          <w:tcPr>
            <w:tcW w:w="6960" w:type="dxa"/>
            <w:vAlign w:val="bottom"/>
            <w:tcBorders>
              <w:bottom w:val="single" w:sz="8" w:color="0000EE"/>
            </w:tcBorders>
            <w:gridSpan w:val="24"/>
          </w:tcPr>
          <w:p>
            <w:pPr>
              <w:ind w:left="340"/>
              <w:spacing w:after="0"/>
              <w:rPr>
                <w:sz w:val="20"/>
                <w:szCs w:val="20"/>
                <w:color w:val="auto"/>
              </w:rPr>
            </w:pPr>
            <w:r>
              <w:rPr>
                <w:rFonts w:ascii="Times New Roman" w:cs="Times New Roman" w:eastAsia="Times New Roman" w:hAnsi="Times New Roman"/>
                <w:sz w:val="18"/>
                <w:szCs w:val="18"/>
                <w:color w:val="0000EE"/>
                <w:w w:val="96"/>
              </w:rPr>
              <w:t>, 2022, by and among the Company, the Guarantors party thereto, and Ankura Trust Company,</w:t>
            </w:r>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6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LLC as Trustee relating to the 10.500% Senior Second Lien Secured Notes due June 30, 2028.***</w:t>
            </w: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688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Opinion of Skadden, Arps, Slate, Meagher &amp; Flom LLP.***</w:t>
            </w:r>
          </w:p>
        </w:tc>
        <w:tc>
          <w:tcPr>
            <w:tcW w:w="27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24"/>
                <w:szCs w:val="24"/>
                <w:color w:val="auto"/>
              </w:rPr>
            </w:pPr>
          </w:p>
        </w:tc>
        <w:tc>
          <w:tcPr>
            <w:tcW w:w="51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6"/>
              </w:rPr>
              <w:t>Opinion of Akerman LLP, as to matters of Florida and Colorado law.***</w:t>
            </w:r>
          </w:p>
        </w:tc>
        <w:tc>
          <w:tcPr>
            <w:tcW w:w="45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Pr>
          <w:p>
            <w:pPr>
              <w:spacing w:after="0"/>
              <w:rPr>
                <w:sz w:val="24"/>
                <w:szCs w:val="24"/>
                <w:color w:val="auto"/>
              </w:rPr>
            </w:pPr>
          </w:p>
        </w:tc>
        <w:tc>
          <w:tcPr>
            <w:tcW w:w="59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6"/>
              </w:rPr>
              <w:t>Opinion of Hughes White Colbo &amp; Tervooren, LLC, as to matters of Alaska law.***</w:t>
            </w:r>
          </w:p>
        </w:tc>
        <w:tc>
          <w:tcPr>
            <w:tcW w:w="37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spacing w:after="0"/>
              <w:rPr>
                <w:sz w:val="24"/>
                <w:szCs w:val="24"/>
                <w:color w:val="auto"/>
              </w:rPr>
            </w:pPr>
          </w:p>
        </w:tc>
        <w:tc>
          <w:tcPr>
            <w:tcW w:w="62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6"/>
              </w:rPr>
              <w:t>Opinion of Greenbaum, Rowe, Smith &amp; Davis LLP, as to matters of New Jersey law.***</w:t>
            </w:r>
          </w:p>
        </w:tc>
        <w:tc>
          <w:tcPr>
            <w:tcW w:w="3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24"/>
                <w:szCs w:val="24"/>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Opinion of Eckert Seamans Cherin &amp; Mellott, LLC, as to matters of Pennsylvania law.***</w:t>
            </w: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6"/>
              </w:rPr>
              <w:t>Opinion of Holland &amp; Hart LLP, as to matters of Wyoming law.***</w:t>
            </w:r>
          </w:p>
        </w:tc>
        <w:tc>
          <w:tcPr>
            <w:tcW w:w="1600" w:type="dxa"/>
            <w:vAlign w:val="bottom"/>
            <w:tcBorders>
              <w:top w:val="single" w:sz="8" w:color="0000EE"/>
            </w:tcBorders>
            <w:gridSpan w:val="11"/>
          </w:tcPr>
          <w:p>
            <w:pPr>
              <w:spacing w:after="0"/>
              <w:rPr>
                <w:sz w:val="24"/>
                <w:szCs w:val="24"/>
                <w:color w:val="auto"/>
              </w:rPr>
            </w:pPr>
          </w:p>
        </w:tc>
        <w:tc>
          <w:tcPr>
            <w:tcW w:w="3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89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Transaction Support Agreement, dated as of July 18, 2022, by and among the Company, GEO Corrections Holdings, Inc., GEO</w:t>
              </w:r>
            </w:hyperlink>
          </w:p>
        </w:tc>
        <w:tc>
          <w:tcPr>
            <w:tcW w:w="6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500" w:type="dxa"/>
            <w:vAlign w:val="bottom"/>
            <w:tcBorders>
              <w:bottom w:val="single" w:sz="8" w:color="0000EE"/>
            </w:tcBorders>
            <w:gridSpan w:val="26"/>
          </w:tcPr>
          <w:p>
            <w:pPr>
              <w:spacing w:after="0" w:line="190" w:lineRule="exact"/>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Australasia Holdings Pty Ltd., GEO Australasia Finance Holdings Pty Ltd., and certain other undersigned subsidiaries of the Company,</w:t>
              </w:r>
            </w:hyperlink>
          </w:p>
        </w:tc>
        <w:tc>
          <w:tcPr>
            <w:tcW w:w="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0" w:type="dxa"/>
            <w:vAlign w:val="bottom"/>
            <w:tcBorders>
              <w:bottom w:val="single" w:sz="8" w:color="0000EE"/>
            </w:tcBorders>
            <w:gridSpan w:val="30"/>
          </w:tcPr>
          <w:p>
            <w:pPr>
              <w:spacing w:after="0" w:line="190" w:lineRule="exact"/>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BNP Paribas, certain revolving credit lenders, certain holders of, or nominees, investment managers, investment advisors, or subadvisors</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60" w:type="dxa"/>
            <w:vAlign w:val="bottom"/>
            <w:gridSpan w:val="32"/>
          </w:tcPr>
          <w:p>
            <w:pPr>
              <w:spacing w:after="0" w:line="190"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to funds and/or accounts that hold, or trustees of trusts that hold, certain of the outstanding Term Loan and certain undersigned holders</w:t>
              </w:r>
            </w:hyperlink>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20" w:type="dxa"/>
            <w:vAlign w:val="bottom"/>
            <w:tcBorders>
              <w:top w:val="single" w:sz="8" w:color="0000EE"/>
            </w:tcBorders>
            <w:gridSpan w:val="25"/>
          </w:tcPr>
          <w:p>
            <w:pPr>
              <w:spacing w:after="0" w:line="190" w:lineRule="exact"/>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of, or nominees, investment managers, investment advisors, or subadvisors to funds and/or accounts that hold, or trustees of trusts that</w:t>
              </w:r>
            </w:hyperlink>
          </w:p>
        </w:tc>
        <w:tc>
          <w:tcPr>
            <w:tcW w:w="2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0" w:type="dxa"/>
            <w:vAlign w:val="bottom"/>
            <w:tcBorders>
              <w:top w:val="single" w:sz="8" w:color="0000EE"/>
            </w:tcBorders>
            <w:gridSpan w:val="24"/>
          </w:tcPr>
          <w:p>
            <w:pPr>
              <w:spacing w:after="0" w:line="190"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hold, the Senior Notes. (incorporated by reference to Exhibit 10.1 to the Company’s Current Report on Form 8-K, filed on July 19,</w:t>
              </w:r>
            </w:hyperlink>
          </w:p>
        </w:tc>
        <w:tc>
          <w:tcPr>
            <w:tcW w:w="2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 w:type="dxa"/>
            <w:vAlign w:val="bottom"/>
          </w:tcPr>
          <w:p>
            <w:pPr>
              <w:spacing w:after="0"/>
              <w:rPr>
                <w:sz w:val="16"/>
                <w:szCs w:val="16"/>
                <w:color w:val="auto"/>
              </w:rPr>
            </w:pPr>
          </w:p>
        </w:tc>
        <w:tc>
          <w:tcPr>
            <w:tcW w:w="880" w:type="dxa"/>
            <w:vAlign w:val="bottom"/>
            <w:gridSpan w:val="2"/>
          </w:tcPr>
          <w:p>
            <w:pPr>
              <w:ind w:left="420"/>
              <w:spacing w:after="0" w:line="190" w:lineRule="exact"/>
              <w:rPr>
                <w:rFonts w:ascii="Times New Roman" w:cs="Times New Roman" w:eastAsia="Times New Roman" w:hAnsi="Times New Roman"/>
                <w:sz w:val="18"/>
                <w:szCs w:val="18"/>
                <w:color w:val="0000EE"/>
                <w:w w:val="94"/>
              </w:rPr>
            </w:pPr>
            <w:hyperlink r:id="rId56">
              <w:r>
                <w:rPr>
                  <w:rFonts w:ascii="Times New Roman" w:cs="Times New Roman" w:eastAsia="Times New Roman" w:hAnsi="Times New Roman"/>
                  <w:sz w:val="18"/>
                  <w:szCs w:val="18"/>
                  <w:color w:val="0000EE"/>
                  <w:w w:val="94"/>
                </w:rPr>
                <w:t>2022).</w:t>
              </w:r>
            </w:hyperlink>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1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5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6"/>
              </w:rPr>
            </w:pPr>
            <w:hyperlink r:id="rId57">
              <w:r>
                <w:rPr>
                  <w:rFonts w:ascii="Times New Roman" w:cs="Times New Roman" w:eastAsia="Times New Roman" w:hAnsi="Times New Roman"/>
                  <w:sz w:val="18"/>
                  <w:szCs w:val="18"/>
                  <w:color w:val="0000EE"/>
                  <w:w w:val="96"/>
                </w:rPr>
                <w:t>Consent of Grant Thornton LLP, independent registered public accounting firm.**</w:t>
              </w:r>
            </w:hyperlink>
          </w:p>
        </w:tc>
        <w:tc>
          <w:tcPr>
            <w:tcW w:w="38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Consent of Akerman LLP (included in Exhibit 5.2 hereto).***</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1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Pr>
          <w:p>
            <w:pPr>
              <w:spacing w:after="0"/>
              <w:rPr>
                <w:sz w:val="24"/>
                <w:szCs w:val="24"/>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Consent of Skadden, Arps, Slate, Meagher &amp; Flom LLP (included in Exhibit 5.1 hereto).***</w:t>
            </w: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tcPr>
          <w:p>
            <w:pPr>
              <w:spacing w:after="0"/>
              <w:rPr>
                <w:sz w:val="24"/>
                <w:szCs w:val="24"/>
                <w:color w:val="auto"/>
              </w:rPr>
            </w:pPr>
          </w:p>
        </w:tc>
        <w:tc>
          <w:tcPr>
            <w:tcW w:w="62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6"/>
              </w:rPr>
              <w:t>Consent of Hughes White Colbo &amp; Tervooren, LLC (included in Exhibit 5.3 hereto).***</w:t>
            </w:r>
          </w:p>
        </w:tc>
        <w:tc>
          <w:tcPr>
            <w:tcW w:w="280" w:type="dxa"/>
            <w:vAlign w:val="bottom"/>
            <w:tcBorders>
              <w:top w:val="single" w:sz="8" w:color="0000EE"/>
            </w:tcBorders>
            <w:gridSpan w:val="3"/>
          </w:tcPr>
          <w:p>
            <w:pPr>
              <w:spacing w:after="0"/>
              <w:rPr>
                <w:sz w:val="24"/>
                <w:szCs w:val="24"/>
                <w:color w:val="auto"/>
              </w:rPr>
            </w:pPr>
          </w:p>
        </w:tc>
        <w:tc>
          <w:tcPr>
            <w:tcW w:w="31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23.5</w:t>
            </w:r>
          </w:p>
        </w:tc>
        <w:tc>
          <w:tcPr>
            <w:tcW w:w="420" w:type="dxa"/>
            <w:vAlign w:val="bottom"/>
          </w:tcPr>
          <w:p>
            <w:pPr>
              <w:spacing w:after="0"/>
              <w:rPr>
                <w:sz w:val="24"/>
                <w:szCs w:val="24"/>
                <w:color w:val="auto"/>
              </w:rPr>
            </w:pPr>
          </w:p>
        </w:tc>
        <w:tc>
          <w:tcPr>
            <w:tcW w:w="61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7"/>
              </w:rPr>
              <w:t>Consent of Greenbaum, Rowe, Smith &amp; Davis LLP (included in Exhibit 5.4 hereto).***</w:t>
            </w:r>
          </w:p>
        </w:tc>
        <w:tc>
          <w:tcPr>
            <w:tcW w:w="34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23.6</w:t>
            </w:r>
          </w:p>
        </w:tc>
        <w:tc>
          <w:tcPr>
            <w:tcW w:w="420" w:type="dxa"/>
            <w:vAlign w:val="bottom"/>
          </w:tcPr>
          <w:p>
            <w:pPr>
              <w:spacing w:after="0"/>
              <w:rPr>
                <w:sz w:val="24"/>
                <w:szCs w:val="24"/>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Consent of Eckert Seamans Cherin &amp; Mellott, LLC (included in Exhibit 5.5 hereto).***</w:t>
            </w:r>
          </w:p>
        </w:tc>
        <w:tc>
          <w:tcPr>
            <w:tcW w:w="0" w:type="dxa"/>
            <w:vAlign w:val="bottom"/>
          </w:tcPr>
          <w:p>
            <w:pPr>
              <w:spacing w:after="0"/>
              <w:rPr>
                <w:sz w:val="1"/>
                <w:szCs w:val="1"/>
                <w:color w:val="auto"/>
              </w:rPr>
            </w:pPr>
          </w:p>
        </w:tc>
      </w:tr>
      <w:tr>
        <w:trPr>
          <w:trHeight w:val="295"/>
        </w:trPr>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23.7</w:t>
            </w:r>
          </w:p>
        </w:tc>
        <w:tc>
          <w:tcPr>
            <w:tcW w:w="420" w:type="dxa"/>
            <w:vAlign w:val="bottom"/>
          </w:tcPr>
          <w:p>
            <w:pPr>
              <w:spacing w:after="0"/>
              <w:rPr>
                <w:sz w:val="24"/>
                <w:szCs w:val="24"/>
                <w:color w:val="auto"/>
              </w:rPr>
            </w:pPr>
          </w:p>
        </w:tc>
        <w:tc>
          <w:tcPr>
            <w:tcW w:w="48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6"/>
              </w:rPr>
              <w:t>Consent of Holland &amp; Hart LLP (included in Exhibit 5.6 hereto).***</w:t>
            </w:r>
          </w:p>
        </w:tc>
        <w:tc>
          <w:tcPr>
            <w:tcW w:w="1340" w:type="dxa"/>
            <w:vAlign w:val="bottom"/>
            <w:tcBorders>
              <w:top w:val="single" w:sz="8" w:color="0000EE"/>
            </w:tcBorders>
            <w:gridSpan w:val="6"/>
          </w:tcPr>
          <w:p>
            <w:pPr>
              <w:spacing w:after="0"/>
              <w:rPr>
                <w:sz w:val="24"/>
                <w:szCs w:val="24"/>
                <w:color w:val="auto"/>
              </w:rPr>
            </w:pPr>
          </w:p>
        </w:tc>
        <w:tc>
          <w:tcPr>
            <w:tcW w:w="35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60" w:type="dxa"/>
            <w:vAlign w:val="bottom"/>
            <w:gridSpan w:val="27"/>
          </w:tcPr>
          <w:p>
            <w:pPr>
              <w:ind w:left="1100"/>
              <w:spacing w:after="0"/>
              <w:rPr>
                <w:sz w:val="20"/>
                <w:szCs w:val="20"/>
                <w:color w:val="auto"/>
              </w:rPr>
            </w:pPr>
            <w:r>
              <w:rPr>
                <w:rFonts w:ascii="Times New Roman" w:cs="Times New Roman" w:eastAsia="Times New Roman" w:hAnsi="Times New Roman"/>
                <w:sz w:val="18"/>
                <w:szCs w:val="18"/>
                <w:color w:val="auto"/>
              </w:rPr>
              <w:t>II-19</w:t>
            </w:r>
          </w:p>
        </w:tc>
        <w:tc>
          <w:tcPr>
            <w:tcW w:w="0" w:type="dxa"/>
            <w:vAlign w:val="bottom"/>
          </w:tcPr>
          <w:p>
            <w:pPr>
              <w:spacing w:after="0"/>
              <w:rPr>
                <w:sz w:val="1"/>
                <w:szCs w:val="1"/>
                <w:color w:val="auto"/>
              </w:rPr>
            </w:pPr>
          </w:p>
        </w:tc>
      </w:tr>
    </w:tbl>
    <w:p>
      <w:pPr>
        <w:sectPr>
          <w:pgSz w:w="11900" w:h="16838" w:orient="portrait"/>
          <w:cols w:equalWidth="0" w:num="1">
            <w:col w:w="10740"/>
          </w:cols>
          <w:pgMar w:left="580" w:top="243" w:right="57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9660" w:type="dxa"/>
            <w:vAlign w:val="bottom"/>
            <w:gridSpan w:val="3"/>
            <w:vMerge w:val="restart"/>
          </w:tcPr>
          <w:p>
            <w:pPr>
              <w:ind w:left="42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4"/>
                <w:szCs w:val="14"/>
                <w:color w:val="auto"/>
              </w:rPr>
            </w:pPr>
          </w:p>
        </w:tc>
        <w:tc>
          <w:tcPr>
            <w:tcW w:w="96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2"/>
                <w:szCs w:val="22"/>
                <w:color w:val="auto"/>
              </w:rPr>
            </w:pPr>
          </w:p>
        </w:tc>
        <w:tc>
          <w:tcPr>
            <w:tcW w:w="9660" w:type="dxa"/>
            <w:vAlign w:val="bottom"/>
            <w:gridSpan w:val="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Power of Attorney (included in the signature page to this Registration Statement).**</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25.1</w:t>
            </w:r>
          </w:p>
        </w:tc>
        <w:tc>
          <w:tcPr>
            <w:tcW w:w="520" w:type="dxa"/>
            <w:vAlign w:val="bottom"/>
          </w:tcPr>
          <w:p>
            <w:pPr>
              <w:spacing w:after="0"/>
              <w:rPr>
                <w:sz w:val="24"/>
                <w:szCs w:val="24"/>
                <w:color w:val="auto"/>
              </w:rPr>
            </w:pPr>
          </w:p>
        </w:tc>
        <w:tc>
          <w:tcPr>
            <w:tcW w:w="9660" w:type="dxa"/>
            <w:vAlign w:val="bottom"/>
            <w:gridSpan w:val="3"/>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T-1 statement of eligibility under the Trust Indenture Act of 1939 of Ankura Trust Company, LLC.**</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080" w:hanging="1079"/>
        <w:spacing w:after="0"/>
        <w:tabs>
          <w:tab w:leader="none" w:pos="1080" w:val="left"/>
        </w:tabs>
        <w:numPr>
          <w:ilvl w:val="0"/>
          <w:numId w:val="10"/>
        </w:numPr>
        <w:rPr>
          <w:rFonts w:ascii="Times New Roman" w:cs="Times New Roman" w:eastAsia="Times New Roman" w:hAnsi="Times New Roman"/>
          <w:sz w:val="18"/>
          <w:szCs w:val="18"/>
          <w:u w:val="single" w:color="auto"/>
          <w:color w:val="0000EE"/>
        </w:rPr>
      </w:pPr>
      <w:hyperlink r:id="rId61">
        <w:r>
          <w:rPr>
            <w:rFonts w:ascii="Times New Roman" w:cs="Times New Roman" w:eastAsia="Times New Roman" w:hAnsi="Times New Roman"/>
            <w:sz w:val="18"/>
            <w:szCs w:val="18"/>
            <w:u w:val="single" w:color="auto"/>
            <w:color w:val="0000EE"/>
          </w:rPr>
          <w:t>Calculation of Filing Fee Tables.**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429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67" w:lineRule="exact"/>
        <w:rPr>
          <w:sz w:val="20"/>
          <w:szCs w:val="20"/>
          <w:color w:val="auto"/>
        </w:rPr>
      </w:pPr>
    </w:p>
    <w:p>
      <w:pPr>
        <w:ind w:left="420" w:hanging="419"/>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1" w:lineRule="exact"/>
        <w:rPr>
          <w:rFonts w:ascii="Times New Roman" w:cs="Times New Roman" w:eastAsia="Times New Roman" w:hAnsi="Times New Roman"/>
          <w:sz w:val="18"/>
          <w:szCs w:val="18"/>
          <w:color w:val="auto"/>
        </w:rPr>
      </w:pPr>
    </w:p>
    <w:p>
      <w:pPr>
        <w:ind w:left="420" w:hanging="419"/>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22. Undertakings.</w:t>
      </w:r>
    </w:p>
    <w:p>
      <w:pPr>
        <w:spacing w:after="0" w:line="126" w:lineRule="exact"/>
        <w:rPr>
          <w:sz w:val="20"/>
          <w:szCs w:val="20"/>
          <w:color w:val="auto"/>
        </w:rPr>
      </w:pPr>
    </w:p>
    <w:p>
      <w:pPr>
        <w:ind w:left="940" w:hanging="518"/>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1" w:lineRule="exact"/>
        <w:rPr>
          <w:rFonts w:ascii="Times New Roman" w:cs="Times New Roman" w:eastAsia="Times New Roman" w:hAnsi="Times New Roman"/>
          <w:sz w:val="18"/>
          <w:szCs w:val="18"/>
          <w:color w:val="auto"/>
        </w:rPr>
      </w:pPr>
    </w:p>
    <w:p>
      <w:pPr>
        <w:ind w:left="1380" w:hanging="419"/>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9" w:lineRule="exact"/>
        <w:rPr>
          <w:rFonts w:ascii="Times New Roman" w:cs="Times New Roman" w:eastAsia="Times New Roman" w:hAnsi="Times New Roman"/>
          <w:sz w:val="18"/>
          <w:szCs w:val="18"/>
          <w:color w:val="auto"/>
        </w:rPr>
      </w:pPr>
    </w:p>
    <w:p>
      <w:pPr>
        <w:ind w:left="1920" w:hanging="525"/>
        <w:spacing w:after="0"/>
        <w:tabs>
          <w:tab w:leader="none" w:pos="19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23" w:lineRule="exact"/>
        <w:rPr>
          <w:rFonts w:ascii="Times New Roman" w:cs="Times New Roman" w:eastAsia="Times New Roman" w:hAnsi="Times New Roman"/>
          <w:sz w:val="18"/>
          <w:szCs w:val="18"/>
          <w:color w:val="auto"/>
        </w:rPr>
      </w:pPr>
    </w:p>
    <w:p>
      <w:pPr>
        <w:ind w:left="1920" w:right="20" w:hanging="525"/>
        <w:spacing w:after="0" w:line="283" w:lineRule="auto"/>
        <w:tabs>
          <w:tab w:leader="none" w:pos="1920"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w:t>
      </w:r>
      <w:r>
        <w:rPr>
          <w:rFonts w:ascii="Times New Roman" w:cs="Times New Roman" w:eastAsia="Times New Roman" w:hAnsi="Times New Roman"/>
          <w:sz w:val="16"/>
          <w:szCs w:val="16"/>
          <w:b w:val="1"/>
          <w:bCs w:val="1"/>
          <w:color w:val="auto"/>
        </w:rPr>
        <w:t>Calculation of Registration Fee</w:t>
      </w:r>
      <w:r>
        <w:rPr>
          <w:rFonts w:ascii="Times New Roman" w:cs="Times New Roman" w:eastAsia="Times New Roman" w:hAnsi="Times New Roman"/>
          <w:sz w:val="16"/>
          <w:szCs w:val="16"/>
          <w:color w:val="auto"/>
        </w:rPr>
        <w:t>” table in the effective registration statement; and</w:t>
      </w:r>
    </w:p>
    <w:p>
      <w:pPr>
        <w:spacing w:after="0" w:line="71" w:lineRule="exact"/>
        <w:rPr>
          <w:rFonts w:ascii="Times New Roman" w:cs="Times New Roman" w:eastAsia="Times New Roman" w:hAnsi="Times New Roman"/>
          <w:sz w:val="16"/>
          <w:szCs w:val="16"/>
          <w:color w:val="auto"/>
        </w:rPr>
      </w:pPr>
    </w:p>
    <w:p>
      <w:pPr>
        <w:ind w:left="1920" w:right="600" w:hanging="525"/>
        <w:spacing w:after="0" w:line="268" w:lineRule="auto"/>
        <w:tabs>
          <w:tab w:leader="none" w:pos="19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6" w:lineRule="exact"/>
        <w:rPr>
          <w:rFonts w:ascii="Times New Roman" w:cs="Times New Roman" w:eastAsia="Times New Roman" w:hAnsi="Times New Roman"/>
          <w:sz w:val="18"/>
          <w:szCs w:val="18"/>
          <w:color w:val="auto"/>
        </w:rPr>
      </w:pPr>
    </w:p>
    <w:p>
      <w:pPr>
        <w:ind w:left="1380" w:right="60" w:hanging="419"/>
        <w:spacing w:after="0" w:line="256"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Times New Roman" w:cs="Times New Roman" w:eastAsia="Times New Roman" w:hAnsi="Times New Roman"/>
          <w:sz w:val="18"/>
          <w:szCs w:val="18"/>
          <w:color w:val="auto"/>
        </w:rPr>
      </w:pPr>
    </w:p>
    <w:p>
      <w:pPr>
        <w:ind w:left="1380" w:right="240" w:hanging="419"/>
        <w:spacing w:after="0" w:line="268"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76" w:lineRule="exact"/>
        <w:rPr>
          <w:rFonts w:ascii="Times New Roman" w:cs="Times New Roman" w:eastAsia="Times New Roman" w:hAnsi="Times New Roman"/>
          <w:sz w:val="18"/>
          <w:szCs w:val="18"/>
          <w:color w:val="auto"/>
        </w:rPr>
      </w:pPr>
    </w:p>
    <w:p>
      <w:pPr>
        <w:ind w:left="1380" w:right="60" w:hanging="419"/>
        <w:spacing w:after="0" w:line="246"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if the registrants are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II-20</w:t>
      </w:r>
    </w:p>
    <w:p>
      <w:pPr>
        <w:sectPr>
          <w:pgSz w:w="11900" w:h="16838" w:orient="portrait"/>
          <w:cols w:equalWidth="0" w:num="1">
            <w:col w:w="10740"/>
          </w:cols>
          <w:pgMar w:left="580" w:top="243" w:right="579" w:bottom="1440" w:gutter="0" w:footer="0" w:header="0"/>
        </w:sectPr>
      </w:pPr>
    </w:p>
    <w:bookmarkStart w:id="24" w:name="page25"/>
    <w:bookmarkEnd w:id="24"/>
    <w:p>
      <w:pPr>
        <w:ind w:left="960" w:right="60" w:hanging="419"/>
        <w:spacing w:after="0" w:line="249" w:lineRule="auto"/>
        <w:tabs>
          <w:tab w:leader="none" w:pos="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6" w:lineRule="exact"/>
        <w:rPr>
          <w:rFonts w:ascii="Times New Roman" w:cs="Times New Roman" w:eastAsia="Times New Roman" w:hAnsi="Times New Roman"/>
          <w:sz w:val="18"/>
          <w:szCs w:val="18"/>
          <w:color w:val="auto"/>
        </w:rPr>
      </w:pPr>
    </w:p>
    <w:p>
      <w:pPr>
        <w:ind w:left="1500" w:right="20" w:hanging="525"/>
        <w:spacing w:after="0" w:line="268" w:lineRule="auto"/>
        <w:tabs>
          <w:tab w:leader="none" w:pos="15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76" w:lineRule="exact"/>
        <w:rPr>
          <w:rFonts w:ascii="Times New Roman" w:cs="Times New Roman" w:eastAsia="Times New Roman" w:hAnsi="Times New Roman"/>
          <w:sz w:val="18"/>
          <w:szCs w:val="18"/>
          <w:color w:val="auto"/>
        </w:rPr>
      </w:pPr>
    </w:p>
    <w:p>
      <w:pPr>
        <w:ind w:left="1500" w:right="100" w:hanging="525"/>
        <w:spacing w:after="0" w:line="268" w:lineRule="auto"/>
        <w:tabs>
          <w:tab w:leader="none" w:pos="15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76" w:lineRule="exact"/>
        <w:rPr>
          <w:rFonts w:ascii="Times New Roman" w:cs="Times New Roman" w:eastAsia="Times New Roman" w:hAnsi="Times New Roman"/>
          <w:sz w:val="18"/>
          <w:szCs w:val="18"/>
          <w:color w:val="auto"/>
        </w:rPr>
      </w:pPr>
    </w:p>
    <w:p>
      <w:pPr>
        <w:ind w:left="1500" w:hanging="525"/>
        <w:spacing w:after="0" w:line="268" w:lineRule="auto"/>
        <w:tabs>
          <w:tab w:leader="none" w:pos="15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6" w:lineRule="exact"/>
        <w:rPr>
          <w:rFonts w:ascii="Times New Roman" w:cs="Times New Roman" w:eastAsia="Times New Roman" w:hAnsi="Times New Roman"/>
          <w:sz w:val="18"/>
          <w:szCs w:val="18"/>
          <w:color w:val="auto"/>
        </w:rPr>
      </w:pPr>
    </w:p>
    <w:p>
      <w:pPr>
        <w:ind w:left="1500" w:hanging="525"/>
        <w:spacing w:after="0"/>
        <w:tabs>
          <w:tab w:leader="none" w:pos="150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21" w:lineRule="exact"/>
        <w:rPr>
          <w:rFonts w:ascii="Times New Roman" w:cs="Times New Roman" w:eastAsia="Times New Roman" w:hAnsi="Times New Roman"/>
          <w:sz w:val="18"/>
          <w:szCs w:val="18"/>
          <w:color w:val="auto"/>
        </w:rPr>
      </w:pPr>
    </w:p>
    <w:p>
      <w:pPr>
        <w:ind w:left="520" w:right="20" w:hanging="518"/>
        <w:spacing w:after="0" w:line="249"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6" w:lineRule="exact"/>
        <w:rPr>
          <w:rFonts w:ascii="Times New Roman" w:cs="Times New Roman" w:eastAsia="Times New Roman" w:hAnsi="Times New Roman"/>
          <w:sz w:val="18"/>
          <w:szCs w:val="18"/>
          <w:color w:val="auto"/>
        </w:rPr>
      </w:pPr>
    </w:p>
    <w:p>
      <w:pPr>
        <w:ind w:left="520" w:right="140" w:hanging="518"/>
        <w:spacing w:after="0" w:line="282" w:lineRule="auto"/>
        <w:tabs>
          <w:tab w:leader="none" w:pos="5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1" w:lineRule="exact"/>
        <w:rPr>
          <w:rFonts w:ascii="Times New Roman" w:cs="Times New Roman" w:eastAsia="Times New Roman" w:hAnsi="Times New Roman"/>
          <w:sz w:val="16"/>
          <w:szCs w:val="16"/>
          <w:color w:val="auto"/>
        </w:rPr>
      </w:pPr>
    </w:p>
    <w:p>
      <w:pPr>
        <w:ind w:left="520" w:right="200" w:hanging="518"/>
        <w:spacing w:after="0" w:line="25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0" w:lineRule="exact"/>
        <w:rPr>
          <w:rFonts w:ascii="Times New Roman" w:cs="Times New Roman" w:eastAsia="Times New Roman" w:hAnsi="Times New Roman"/>
          <w:sz w:val="18"/>
          <w:szCs w:val="18"/>
          <w:color w:val="auto"/>
        </w:rPr>
      </w:pPr>
    </w:p>
    <w:p>
      <w:pPr>
        <w:ind w:left="520" w:right="100" w:hanging="518"/>
        <w:spacing w:after="0" w:line="25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II-21</w:t>
      </w:r>
    </w:p>
    <w:p>
      <w:pPr>
        <w:sectPr>
          <w:pgSz w:w="11900" w:h="16838" w:orient="portrait"/>
          <w:cols w:equalWidth="0" w:num="1">
            <w:col w:w="10300"/>
          </w:cols>
          <w:pgMar w:left="1000" w:top="266" w:right="599" w:bottom="1440" w:gutter="0" w:footer="0" w:header="0"/>
        </w:sectPr>
      </w:pPr>
    </w:p>
    <w:bookmarkStart w:id="25" w:name="page26"/>
    <w:bookmarkEnd w:id="25"/>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SIGNATURES</w:t>
      </w:r>
    </w:p>
    <w:p>
      <w:pPr>
        <w:spacing w:after="0" w:line="21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S-4 and has duly caused this registration statement to be signed on its behalf by the undersigned, thereunto duly authorized, in the City of Boca Raton, State of Florida, on the 15th day of August, 2022.</w:t>
      </w:r>
    </w:p>
    <w:p>
      <w:pPr>
        <w:spacing w:after="0" w:line="3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Title:    Senior Vice President and Chief Financial</w:t>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1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II-22</w:t>
      </w:r>
    </w:p>
    <w:p>
      <w:pPr>
        <w:sectPr>
          <w:pgSz w:w="11900" w:h="16838" w:orient="portrait"/>
          <w:cols w:equalWidth="0" w:num="1">
            <w:col w:w="10240"/>
          </w:cols>
          <w:pgMar w:left="580" w:top="264" w:right="1079" w:bottom="1440" w:gutter="0" w:footer="0" w:header="0"/>
        </w:sectPr>
      </w:pPr>
    </w:p>
    <w:bookmarkStart w:id="26" w:name="page27"/>
    <w:bookmarkEnd w:id="26"/>
    <w:p>
      <w:pPr>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4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Jose Gordo</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7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Anne N. Foreman</w:t>
            </w:r>
          </w:p>
        </w:tc>
        <w:tc>
          <w:tcPr>
            <w:tcW w:w="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Thomas C. Bartzokis</w:t>
            </w:r>
          </w:p>
        </w:tc>
        <w:tc>
          <w:tcPr>
            <w:tcW w:w="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Jack Brewer</w:t>
            </w:r>
          </w:p>
        </w:tc>
        <w:tc>
          <w:tcPr>
            <w:tcW w:w="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Terry Mayotte</w:t>
            </w:r>
          </w:p>
        </w:tc>
        <w:tc>
          <w:tcPr>
            <w:tcW w:w="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M. Kernan</w:t>
            </w:r>
          </w:p>
        </w:tc>
        <w:tc>
          <w:tcPr>
            <w:tcW w:w="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N. Shapiro</w:t>
            </w:r>
          </w:p>
        </w:tc>
        <w:tc>
          <w:tcPr>
            <w:tcW w:w="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Julie Myers Wood</w:t>
            </w:r>
          </w:p>
        </w:tc>
        <w:tc>
          <w:tcPr>
            <w:tcW w:w="9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4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II-23</w:t>
            </w:r>
          </w:p>
        </w:tc>
        <w:tc>
          <w:tcPr>
            <w:tcW w:w="1700" w:type="dxa"/>
            <w:vAlign w:val="bottom"/>
          </w:tcPr>
          <w:p>
            <w:pPr>
              <w:spacing w:after="0"/>
              <w:rPr>
                <w:sz w:val="24"/>
                <w:szCs w:val="24"/>
                <w:color w:val="auto"/>
              </w:rPr>
            </w:pPr>
          </w:p>
        </w:tc>
      </w:tr>
    </w:tbl>
    <w:p>
      <w:pPr>
        <w:sectPr>
          <w:pgSz w:w="11900" w:h="16838" w:orient="portrait"/>
          <w:cols w:equalWidth="0" w:num="1">
            <w:col w:w="10600"/>
          </w:cols>
          <w:pgMar w:left="580" w:top="266" w:right="719" w:bottom="1440" w:gutter="0" w:footer="0" w:header="0"/>
        </w:sectPr>
      </w:pPr>
    </w:p>
    <w:bookmarkStart w:id="27" w:name="page28"/>
    <w:bookmarkEnd w:id="27"/>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RE HOLDINGS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552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54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154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40" w:type="dxa"/>
            <w:vAlign w:val="bottom"/>
          </w:tcPr>
          <w:p>
            <w:pPr>
              <w:spacing w:after="0"/>
              <w:rPr>
                <w:sz w:val="19"/>
                <w:szCs w:val="19"/>
                <w:color w:val="auto"/>
              </w:rPr>
            </w:pPr>
          </w:p>
        </w:tc>
      </w:tr>
      <w:tr>
        <w:trPr>
          <w:trHeight w:val="413"/>
        </w:trPr>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154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40" w:type="dxa"/>
            <w:vAlign w:val="bottom"/>
          </w:tcPr>
          <w:p>
            <w:pPr>
              <w:spacing w:after="0"/>
              <w:rPr>
                <w:sz w:val="19"/>
                <w:szCs w:val="19"/>
                <w:color w:val="auto"/>
              </w:rPr>
            </w:pPr>
          </w:p>
        </w:tc>
      </w:tr>
      <w:tr>
        <w:trPr>
          <w:trHeight w:val="413"/>
        </w:trPr>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Secretary</w:t>
            </w:r>
          </w:p>
        </w:tc>
        <w:tc>
          <w:tcPr>
            <w:tcW w:w="154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3"/>
        </w:trPr>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of The GEO Group, Inc., the Sole Member and</w:t>
            </w:r>
          </w:p>
        </w:tc>
        <w:tc>
          <w:tcPr>
            <w:tcW w:w="154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 of GEO RE Holdings LLC</w:t>
            </w:r>
          </w:p>
        </w:tc>
        <w:tc>
          <w:tcPr>
            <w:tcW w:w="15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II-24</w:t>
      </w:r>
    </w:p>
    <w:p>
      <w:pPr>
        <w:sectPr>
          <w:pgSz w:w="11900" w:h="16838" w:orient="portrait"/>
          <w:cols w:equalWidth="0" w:num="1">
            <w:col w:w="10680"/>
          </w:cols>
          <w:pgMar w:left="580" w:top="266" w:right="639" w:bottom="1440" w:gutter="0" w:footer="0" w:header="0"/>
        </w:sectPr>
      </w:pPr>
    </w:p>
    <w:bookmarkStart w:id="28" w:name="page29"/>
    <w:bookmarkEnd w:id="28"/>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Correctional Services Corporation,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Chief Financial</w:t>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546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00" w:type="dxa"/>
            <w:vAlign w:val="bottom"/>
          </w:tcPr>
          <w:p>
            <w:pPr>
              <w:spacing w:after="0"/>
              <w:rPr>
                <w:sz w:val="19"/>
                <w:szCs w:val="19"/>
                <w:color w:val="auto"/>
              </w:rPr>
            </w:pPr>
          </w:p>
        </w:tc>
      </w:tr>
      <w:tr>
        <w:trPr>
          <w:trHeight w:val="413"/>
        </w:trPr>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3"/>
        </w:trPr>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of The GEO Group, Inc., the Sole Member of</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Correctional Services Corporation, LLC</w:t>
            </w:r>
          </w:p>
        </w:tc>
        <w:tc>
          <w:tcPr>
            <w:tcW w:w="160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II-25</w:t>
      </w:r>
    </w:p>
    <w:p>
      <w:pPr>
        <w:sectPr>
          <w:pgSz w:w="11900" w:h="16838" w:orient="portrait"/>
          <w:cols w:equalWidth="0" w:num="1">
            <w:col w:w="10680"/>
          </w:cols>
          <w:pgMar w:left="580" w:top="266" w:right="639" w:bottom="1440" w:gutter="0" w:footer="0" w:header="0"/>
        </w:sectPr>
      </w:pPr>
    </w:p>
    <w:bookmarkStart w:id="29" w:name="page30"/>
    <w:bookmarkEnd w:id="29"/>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Transport,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4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80" w:type="dxa"/>
            <w:vAlign w:val="bottom"/>
          </w:tcPr>
          <w:p>
            <w:pPr>
              <w:jc w:val="center"/>
              <w:ind w:left="143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680" w:type="dxa"/>
            <w:vAlign w:val="bottom"/>
          </w:tcPr>
          <w:p>
            <w:pPr>
              <w:jc w:val="center"/>
              <w:ind w:left="143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2680" w:type="dxa"/>
            <w:vAlign w:val="bottom"/>
          </w:tcPr>
          <w:p>
            <w:pPr>
              <w:jc w:val="center"/>
              <w:ind w:left="143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2680" w:type="dxa"/>
            <w:vAlign w:val="bottom"/>
          </w:tcPr>
          <w:p>
            <w:pPr>
              <w:jc w:val="center"/>
              <w:ind w:left="143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680" w:type="dxa"/>
            <w:vAlign w:val="bottom"/>
          </w:tcPr>
          <w:p>
            <w:pPr>
              <w:jc w:val="center"/>
              <w:ind w:left="143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2680" w:type="dxa"/>
            <w:vAlign w:val="bottom"/>
          </w:tcPr>
          <w:p>
            <w:pPr>
              <w:jc w:val="center"/>
              <w:ind w:left="143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James Black</w:t>
            </w:r>
          </w:p>
        </w:tc>
        <w:tc>
          <w:tcPr>
            <w:tcW w:w="9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II-26</w:t>
            </w:r>
          </w:p>
        </w:tc>
        <w:tc>
          <w:tcPr>
            <w:tcW w:w="26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0" w:name="page31"/>
    <w:bookmarkEnd w:id="30"/>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Public Properties Development and Leasing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46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00" w:type="dxa"/>
            <w:vAlign w:val="bottom"/>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500" w:type="dxa"/>
            <w:vAlign w:val="bottom"/>
          </w:tcPr>
          <w:p>
            <w:pPr>
              <w:jc w:val="center"/>
              <w:ind w:left="2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manager</w:t>
            </w:r>
          </w:p>
        </w:tc>
        <w:tc>
          <w:tcPr>
            <w:tcW w:w="1500" w:type="dxa"/>
            <w:vAlign w:val="bottom"/>
          </w:tcPr>
          <w:p>
            <w:pPr>
              <w:jc w:val="center"/>
              <w:ind w:left="2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50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500" w:type="dxa"/>
            <w:vAlign w:val="bottom"/>
          </w:tcPr>
          <w:p>
            <w:pPr>
              <w:jc w:val="center"/>
              <w:ind w:left="2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 of GEO</w:t>
            </w:r>
          </w:p>
        </w:tc>
        <w:tc>
          <w:tcPr>
            <w:tcW w:w="1500" w:type="dxa"/>
            <w:vAlign w:val="bottom"/>
          </w:tcPr>
          <w:p>
            <w:pPr>
              <w:jc w:val="center"/>
              <w:ind w:left="2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172"/>
        </w:trPr>
        <w:tc>
          <w:tcPr>
            <w:tcW w:w="334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556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Acquisition II, Inc., the Sole General Partner of CPT Operating</w:t>
            </w:r>
          </w:p>
        </w:tc>
        <w:tc>
          <w:tcPr>
            <w:tcW w:w="15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Partnership L.P., the Sole Member of Public Properties Development and</w:t>
            </w:r>
          </w:p>
        </w:tc>
        <w:tc>
          <w:tcPr>
            <w:tcW w:w="15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Leasing LLC</w:t>
            </w:r>
          </w:p>
        </w:tc>
        <w:tc>
          <w:tcPr>
            <w:tcW w:w="1500" w:type="dxa"/>
            <w:vAlign w:val="bottom"/>
          </w:tcPr>
          <w:p>
            <w:pPr>
              <w:spacing w:after="0"/>
              <w:rPr>
                <w:sz w:val="19"/>
                <w:szCs w:val="19"/>
                <w:color w:val="auto"/>
              </w:rPr>
            </w:pPr>
          </w:p>
        </w:tc>
      </w:tr>
      <w:tr>
        <w:trPr>
          <w:trHeight w:val="46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6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II-27</w:t>
            </w:r>
          </w:p>
        </w:tc>
        <w:tc>
          <w:tcPr>
            <w:tcW w:w="150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1" w:name="page32"/>
    <w:bookmarkEnd w:id="31"/>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Correctional Properties Prison Finance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44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Manager</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8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 of GEO</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172"/>
        </w:trPr>
        <w:tc>
          <w:tcPr>
            <w:tcW w:w="3340" w:type="dxa"/>
            <w:vAlign w:val="bottom"/>
            <w:gridSpan w:val="3"/>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5380" w:type="dxa"/>
            <w:vAlign w:val="bottom"/>
            <w:gridSpan w:val="2"/>
          </w:tcPr>
          <w:p>
            <w:pPr>
              <w:ind w:left="100"/>
              <w:spacing w:after="0" w:line="173" w:lineRule="exact"/>
              <w:rPr>
                <w:sz w:val="20"/>
                <w:szCs w:val="20"/>
                <w:color w:val="auto"/>
              </w:rPr>
            </w:pPr>
            <w:r>
              <w:rPr>
                <w:rFonts w:ascii="Times New Roman" w:cs="Times New Roman" w:eastAsia="Times New Roman" w:hAnsi="Times New Roman"/>
                <w:sz w:val="18"/>
                <w:szCs w:val="18"/>
                <w:color w:val="auto"/>
              </w:rPr>
              <w:t>Acquisition II, Inc., the Sole General Partner of CPT Operating</w:t>
            </w:r>
          </w:p>
        </w:tc>
        <w:tc>
          <w:tcPr>
            <w:tcW w:w="16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Partnership L.P., the Sole Member of Correctional Properties Prison</w:t>
            </w:r>
          </w:p>
        </w:tc>
        <w:tc>
          <w:tcPr>
            <w:tcW w:w="16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LLC</w:t>
            </w:r>
          </w:p>
        </w:tc>
        <w:tc>
          <w:tcPr>
            <w:tcW w:w="1680" w:type="dxa"/>
            <w:vAlign w:val="bottom"/>
          </w:tcPr>
          <w:p>
            <w:pPr>
              <w:spacing w:after="0"/>
              <w:rPr>
                <w:sz w:val="19"/>
                <w:szCs w:val="19"/>
                <w:color w:val="auto"/>
              </w:rPr>
            </w:pPr>
          </w:p>
        </w:tc>
      </w:tr>
      <w:tr>
        <w:trPr>
          <w:trHeight w:val="46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II-28</w:t>
            </w:r>
          </w:p>
        </w:tc>
        <w:tc>
          <w:tcPr>
            <w:tcW w:w="16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2" w:name="page33"/>
    <w:bookmarkEnd w:id="32"/>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CPT Operating Partnership L.P.</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426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4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and Secretary</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 of GEO</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172"/>
        </w:trPr>
        <w:tc>
          <w:tcPr>
            <w:tcW w:w="334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522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Acquisition II, Inc., the Sole General Partner of CPT Operating</w:t>
            </w:r>
          </w:p>
        </w:tc>
        <w:tc>
          <w:tcPr>
            <w:tcW w:w="184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Partnership L.P.</w:t>
            </w:r>
          </w:p>
        </w:tc>
        <w:tc>
          <w:tcPr>
            <w:tcW w:w="1840" w:type="dxa"/>
            <w:vAlign w:val="bottom"/>
          </w:tcPr>
          <w:p>
            <w:pPr>
              <w:spacing w:after="0"/>
              <w:rPr>
                <w:sz w:val="19"/>
                <w:szCs w:val="19"/>
                <w:color w:val="auto"/>
              </w:rPr>
            </w:pPr>
          </w:p>
        </w:tc>
      </w:tr>
      <w:tr>
        <w:trPr>
          <w:trHeight w:val="46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2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II-29</w:t>
            </w:r>
          </w:p>
        </w:tc>
        <w:tc>
          <w:tcPr>
            <w:tcW w:w="184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3" w:name="page34"/>
    <w:bookmarkEnd w:id="33"/>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CPT Limited Partner,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3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8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Secretary</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3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 of GEO</w:t>
            </w:r>
          </w:p>
        </w:tc>
        <w:tc>
          <w:tcPr>
            <w:tcW w:w="168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II, Inc., the Sole Member of CPT Limited Partner, LLC</w:t>
            </w:r>
          </w:p>
        </w:tc>
        <w:tc>
          <w:tcPr>
            <w:tcW w:w="168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II-30</w:t>
      </w:r>
    </w:p>
    <w:p>
      <w:pPr>
        <w:sectPr>
          <w:pgSz w:w="11900" w:h="16838" w:orient="portrait"/>
          <w:cols w:equalWidth="0" w:num="1">
            <w:col w:w="10680"/>
          </w:cols>
          <w:pgMar w:left="580" w:top="266" w:right="639" w:bottom="1440" w:gutter="0" w:footer="0" w:header="0"/>
        </w:sectPr>
      </w:pPr>
    </w:p>
    <w:bookmarkStart w:id="34" w:name="page35"/>
    <w:bookmarkEnd w:id="34"/>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Holdings I,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6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80" w:type="dxa"/>
            <w:vAlign w:val="bottom"/>
          </w:tcPr>
          <w:p>
            <w:pPr>
              <w:jc w:val="center"/>
              <w:ind w:left="1237"/>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480" w:type="dxa"/>
            <w:vAlign w:val="bottom"/>
          </w:tcPr>
          <w:p>
            <w:pPr>
              <w:jc w:val="center"/>
              <w:ind w:left="123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w:t>
            </w:r>
          </w:p>
        </w:tc>
        <w:tc>
          <w:tcPr>
            <w:tcW w:w="2480" w:type="dxa"/>
            <w:vAlign w:val="bottom"/>
          </w:tcPr>
          <w:p>
            <w:pPr>
              <w:jc w:val="center"/>
              <w:ind w:left="123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4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480" w:type="dxa"/>
            <w:vAlign w:val="bottom"/>
          </w:tcPr>
          <w:p>
            <w:pPr>
              <w:jc w:val="center"/>
              <w:ind w:left="123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II-31</w:t>
            </w:r>
          </w:p>
        </w:tc>
        <w:tc>
          <w:tcPr>
            <w:tcW w:w="24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5" w:name="page36"/>
    <w:bookmarkEnd w:id="35"/>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Acquisition II,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6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80" w:type="dxa"/>
            <w:vAlign w:val="bottom"/>
          </w:tcPr>
          <w:p>
            <w:pPr>
              <w:jc w:val="center"/>
              <w:ind w:left="1237"/>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480" w:type="dxa"/>
            <w:vAlign w:val="bottom"/>
          </w:tcPr>
          <w:p>
            <w:pPr>
              <w:jc w:val="center"/>
              <w:ind w:left="123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w:t>
            </w:r>
          </w:p>
        </w:tc>
        <w:tc>
          <w:tcPr>
            <w:tcW w:w="2480" w:type="dxa"/>
            <w:vAlign w:val="bottom"/>
          </w:tcPr>
          <w:p>
            <w:pPr>
              <w:jc w:val="center"/>
              <w:ind w:left="123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4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480" w:type="dxa"/>
            <w:vAlign w:val="bottom"/>
          </w:tcPr>
          <w:p>
            <w:pPr>
              <w:jc w:val="center"/>
              <w:ind w:left="123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II-32</w:t>
            </w:r>
          </w:p>
        </w:tc>
        <w:tc>
          <w:tcPr>
            <w:tcW w:w="24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6" w:name="page37"/>
    <w:bookmarkEnd w:id="36"/>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Cornell Companies,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Chief Financial Officer and</w:t>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II-33</w:t>
            </w:r>
          </w:p>
        </w:tc>
        <w:tc>
          <w:tcPr>
            <w:tcW w:w="222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7" w:name="page38"/>
    <w:bookmarkEnd w:id="37"/>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Cornell Corrections Management,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6"/>
          <w:szCs w:val="16"/>
          <w:color w:val="auto"/>
        </w:rPr>
        <w:t>Title:    Vice President, Finance, Chief Financial Officer</w:t>
      </w:r>
    </w:p>
    <w:p>
      <w:pPr>
        <w:spacing w:after="0" w:line="2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45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52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Manager</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 of Cornell</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172"/>
        </w:trPr>
        <w:tc>
          <w:tcPr>
            <w:tcW w:w="3340" w:type="dxa"/>
            <w:vAlign w:val="bottom"/>
            <w:gridSpan w:val="3"/>
          </w:tcPr>
          <w:p>
            <w:pPr>
              <w:spacing w:after="0" w:line="173"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5540" w:type="dxa"/>
            <w:vAlign w:val="bottom"/>
            <w:gridSpan w:val="2"/>
          </w:tcPr>
          <w:p>
            <w:pPr>
              <w:ind w:left="100"/>
              <w:spacing w:after="0" w:line="173" w:lineRule="exact"/>
              <w:rPr>
                <w:sz w:val="20"/>
                <w:szCs w:val="20"/>
                <w:color w:val="auto"/>
              </w:rPr>
            </w:pPr>
            <w:r>
              <w:rPr>
                <w:rFonts w:ascii="Times New Roman" w:cs="Times New Roman" w:eastAsia="Times New Roman" w:hAnsi="Times New Roman"/>
                <w:sz w:val="18"/>
                <w:szCs w:val="18"/>
                <w:color w:val="auto"/>
              </w:rPr>
              <w:t>Companies, Inc., the Sole Member of Cornell Corrections Management,</w:t>
            </w:r>
          </w:p>
        </w:tc>
        <w:tc>
          <w:tcPr>
            <w:tcW w:w="152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LLC</w:t>
            </w:r>
          </w:p>
        </w:tc>
        <w:tc>
          <w:tcPr>
            <w:tcW w:w="1520" w:type="dxa"/>
            <w:vAlign w:val="bottom"/>
          </w:tcPr>
          <w:p>
            <w:pPr>
              <w:spacing w:after="0"/>
              <w:rPr>
                <w:sz w:val="19"/>
                <w:szCs w:val="19"/>
                <w:color w:val="auto"/>
              </w:rPr>
            </w:pPr>
          </w:p>
        </w:tc>
      </w:tr>
      <w:tr>
        <w:trPr>
          <w:trHeight w:val="44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II-34</w:t>
            </w:r>
          </w:p>
        </w:tc>
        <w:tc>
          <w:tcPr>
            <w:tcW w:w="152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8" w:name="page39"/>
    <w:bookmarkEnd w:id="38"/>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Reentry of Alaska,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Chief Financial Officer and</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II-35</w:t>
            </w:r>
          </w:p>
        </w:tc>
        <w:tc>
          <w:tcPr>
            <w:tcW w:w="222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39" w:name="page40"/>
    <w:bookmarkEnd w:id="39"/>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Cornell Corrections of Texas,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Chief Financial Officer and</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II-36</w:t>
            </w:r>
          </w:p>
        </w:tc>
        <w:tc>
          <w:tcPr>
            <w:tcW w:w="222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40" w:name="page41"/>
    <w:bookmarkEnd w:id="40"/>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Cornell Corrections of Rhode Island,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Chief Financial Officer and</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II-37</w:t>
            </w:r>
          </w:p>
        </w:tc>
        <w:tc>
          <w:tcPr>
            <w:tcW w:w="222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41" w:name="page42"/>
    <w:bookmarkEnd w:id="41"/>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Correctional Systems,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13970</wp:posOffset>
            </wp:positionV>
            <wp:extent cx="24955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Chief Financial</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46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6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6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16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6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c>
          <w:tcPr>
            <w:tcW w:w="16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 of The GEO Group,</w:t>
            </w:r>
          </w:p>
        </w:tc>
        <w:tc>
          <w:tcPr>
            <w:tcW w:w="16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 the Sole Member of Correctional Systems, LLC</w:t>
            </w:r>
          </w:p>
        </w:tc>
        <w:tc>
          <w:tcPr>
            <w:tcW w:w="160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II-38</w:t>
      </w:r>
    </w:p>
    <w:p>
      <w:pPr>
        <w:sectPr>
          <w:pgSz w:w="11900" w:h="16838" w:orient="portrait"/>
          <w:cols w:equalWidth="0" w:num="1">
            <w:col w:w="10680"/>
          </w:cols>
          <w:pgMar w:left="580" w:top="266" w:right="639" w:bottom="1440" w:gutter="0" w:footer="0" w:header="0"/>
        </w:sectPr>
      </w:pPr>
    </w:p>
    <w:bookmarkStart w:id="42" w:name="page43"/>
    <w:bookmarkEnd w:id="42"/>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WBP Leasing,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13970</wp:posOffset>
            </wp:positionV>
            <wp:extent cx="24955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Chief Financial</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45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2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2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Manager</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 of Cornell</w:t>
            </w:r>
          </w:p>
        </w:tc>
        <w:tc>
          <w:tcPr>
            <w:tcW w:w="15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172"/>
        </w:trPr>
        <w:tc>
          <w:tcPr>
            <w:tcW w:w="334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554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Companies, Inc., the Sole Member of Cornell Corrections Management,</w:t>
            </w:r>
          </w:p>
        </w:tc>
        <w:tc>
          <w:tcPr>
            <w:tcW w:w="152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LLC, the Sole Member of WBP Leasing, LLC</w:t>
            </w:r>
          </w:p>
        </w:tc>
        <w:tc>
          <w:tcPr>
            <w:tcW w:w="1520" w:type="dxa"/>
            <w:vAlign w:val="bottom"/>
          </w:tcPr>
          <w:p>
            <w:pPr>
              <w:spacing w:after="0"/>
              <w:rPr>
                <w:sz w:val="19"/>
                <w:szCs w:val="19"/>
                <w:color w:val="auto"/>
              </w:rPr>
            </w:pPr>
          </w:p>
        </w:tc>
      </w:tr>
      <w:tr>
        <w:trPr>
          <w:trHeight w:val="44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II-39</w:t>
            </w:r>
          </w:p>
        </w:tc>
        <w:tc>
          <w:tcPr>
            <w:tcW w:w="152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43" w:name="page44"/>
    <w:bookmarkEnd w:id="43"/>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BII Holding Corporation</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0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0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II-40</w:t>
            </w:r>
          </w:p>
        </w:tc>
        <w:tc>
          <w:tcPr>
            <w:tcW w:w="20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44" w:name="page45"/>
    <w:bookmarkEnd w:id="44"/>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BII Holding I Corporation</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0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0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II-41</w:t>
            </w:r>
          </w:p>
        </w:tc>
        <w:tc>
          <w:tcPr>
            <w:tcW w:w="20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45" w:name="page46"/>
    <w:bookmarkEnd w:id="45"/>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Behavioral Holding Corp.</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0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0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II-42</w:t>
            </w:r>
          </w:p>
        </w:tc>
        <w:tc>
          <w:tcPr>
            <w:tcW w:w="20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46" w:name="page47"/>
    <w:bookmarkEnd w:id="46"/>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Behavioral Acquisition Corp.</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0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0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II-43</w:t>
            </w:r>
          </w:p>
        </w:tc>
        <w:tc>
          <w:tcPr>
            <w:tcW w:w="20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47" w:name="page48"/>
    <w:bookmarkEnd w:id="47"/>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B.I. Incorporated</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0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0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II-44</w:t>
            </w:r>
          </w:p>
        </w:tc>
        <w:tc>
          <w:tcPr>
            <w:tcW w:w="20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48" w:name="page49"/>
    <w:bookmarkEnd w:id="48"/>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MCF GP,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Chief Financial Officer and</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2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Manager</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4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 of Cornell</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Companies, Inc., the Sole Member of MCF GP, LLC</w:t>
            </w:r>
          </w:p>
        </w:tc>
        <w:tc>
          <w:tcPr>
            <w:tcW w:w="18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II-45</w:t>
      </w:r>
    </w:p>
    <w:p>
      <w:pPr>
        <w:sectPr>
          <w:pgSz w:w="11900" w:h="16838" w:orient="portrait"/>
          <w:cols w:equalWidth="0" w:num="1">
            <w:col w:w="10680"/>
          </w:cols>
          <w:pgMar w:left="580" w:top="266" w:right="639" w:bottom="1440" w:gutter="0" w:footer="0" w:header="0"/>
        </w:sectPr>
      </w:pPr>
    </w:p>
    <w:bookmarkStart w:id="49" w:name="page50"/>
    <w:bookmarkEnd w:id="49"/>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MCF LP,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Chief Financial</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2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4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 of Cornell</w:t>
            </w:r>
          </w:p>
        </w:tc>
        <w:tc>
          <w:tcPr>
            <w:tcW w:w="18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Companies, Inc., the Sole Member of GEO MCF LP, LLC</w:t>
            </w:r>
          </w:p>
        </w:tc>
        <w:tc>
          <w:tcPr>
            <w:tcW w:w="18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II-46</w:t>
      </w:r>
    </w:p>
    <w:p>
      <w:pPr>
        <w:sectPr>
          <w:pgSz w:w="11900" w:h="16838" w:orient="portrait"/>
          <w:cols w:equalWidth="0" w:num="1">
            <w:col w:w="10680"/>
          </w:cols>
          <w:pgMar w:left="580" w:top="266" w:right="639" w:bottom="1440" w:gutter="0" w:footer="0" w:header="0"/>
        </w:sectPr>
      </w:pPr>
    </w:p>
    <w:bookmarkStart w:id="50" w:name="page51"/>
    <w:bookmarkEnd w:id="50"/>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Municipal Corrections Finance, L.P.</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50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60" w:type="dxa"/>
            <w:vAlign w:val="bottom"/>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5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6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w:t>
            </w:r>
          </w:p>
        </w:tc>
        <w:tc>
          <w:tcPr>
            <w:tcW w:w="15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6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15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6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Secretary</w:t>
            </w:r>
          </w:p>
        </w:tc>
        <w:tc>
          <w:tcPr>
            <w:tcW w:w="15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Manager of MCF GP, LLC,</w:t>
            </w:r>
          </w:p>
        </w:tc>
        <w:tc>
          <w:tcPr>
            <w:tcW w:w="156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Sole General Partner of Municipal Corrections Finance, L.P.</w:t>
            </w:r>
          </w:p>
        </w:tc>
        <w:tc>
          <w:tcPr>
            <w:tcW w:w="156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II-47</w:t>
      </w:r>
    </w:p>
    <w:p>
      <w:pPr>
        <w:sectPr>
          <w:pgSz w:w="11900" w:h="16838" w:orient="portrait"/>
          <w:cols w:equalWidth="0" w:num="1">
            <w:col w:w="10680"/>
          </w:cols>
          <w:pgMar w:left="580" w:top="266" w:right="639" w:bottom="1440" w:gutter="0" w:footer="0" w:header="0"/>
        </w:sectPr>
      </w:pPr>
    </w:p>
    <w:bookmarkStart w:id="51" w:name="page52"/>
    <w:bookmarkEnd w:id="51"/>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LEASING,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Chief Financial</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46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and Financial Officer)</w:t>
            </w:r>
          </w:p>
        </w:tc>
        <w:tc>
          <w:tcPr>
            <w:tcW w:w="150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0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 of GEO Corrections</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Holdings, Inc., the Sole Member of GEO Leasing, LLC</w:t>
            </w:r>
          </w:p>
        </w:tc>
        <w:tc>
          <w:tcPr>
            <w:tcW w:w="1500" w:type="dxa"/>
            <w:vAlign w:val="bottom"/>
          </w:tcPr>
          <w:p>
            <w:pPr>
              <w:spacing w:after="0"/>
              <w:rPr>
                <w:sz w:val="19"/>
                <w:szCs w:val="19"/>
                <w:color w:val="auto"/>
              </w:rPr>
            </w:pPr>
          </w:p>
        </w:tc>
      </w:tr>
      <w:tr>
        <w:trPr>
          <w:trHeight w:val="65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6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II-48</w:t>
            </w:r>
          </w:p>
        </w:tc>
        <w:tc>
          <w:tcPr>
            <w:tcW w:w="150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52" w:name="page53"/>
    <w:bookmarkEnd w:id="52"/>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Corrections Holdings,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Chief Financial Officer and</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5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20" w:type="dxa"/>
            <w:vAlign w:val="bottom"/>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tc>
        <w:tc>
          <w:tcPr>
            <w:tcW w:w="152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 (Principal Financial</w:t>
            </w:r>
          </w:p>
        </w:tc>
        <w:tc>
          <w:tcPr>
            <w:tcW w:w="152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w:t>
            </w:r>
          </w:p>
        </w:tc>
        <w:tc>
          <w:tcPr>
            <w:tcW w:w="15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 (Principal Accounting Officer)</w:t>
            </w:r>
          </w:p>
        </w:tc>
        <w:tc>
          <w:tcPr>
            <w:tcW w:w="152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9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52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65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II-49</w:t>
            </w:r>
          </w:p>
        </w:tc>
        <w:tc>
          <w:tcPr>
            <w:tcW w:w="152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53" w:name="page54"/>
    <w:bookmarkEnd w:id="53"/>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Secure Services,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Chief Financial</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56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James Black</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 of GEO Corrections</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Holdings, Inc., the Majority Member of GEO Secure Services, LLC</w:t>
            </w:r>
          </w:p>
        </w:tc>
        <w:tc>
          <w:tcPr>
            <w:tcW w:w="1500" w:type="dxa"/>
            <w:vAlign w:val="bottom"/>
          </w:tcPr>
          <w:p>
            <w:pPr>
              <w:spacing w:after="0"/>
              <w:rPr>
                <w:sz w:val="19"/>
                <w:szCs w:val="19"/>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II-50</w:t>
      </w:r>
    </w:p>
    <w:p>
      <w:pPr>
        <w:sectPr>
          <w:pgSz w:w="11900" w:h="16838" w:orient="portrait"/>
          <w:cols w:equalWidth="0" w:num="1">
            <w:col w:w="10680"/>
          </w:cols>
          <w:pgMar w:left="580" w:top="266" w:right="639" w:bottom="1440" w:gutter="0" w:footer="0" w:header="0"/>
        </w:sectPr>
      </w:pPr>
    </w:p>
    <w:bookmarkStart w:id="54" w:name="page55"/>
    <w:bookmarkEnd w:id="54"/>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Reentry Services, LLC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Chief Financial</w:t>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56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Chairman and 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5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4"/>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 of GEO Corrections</w:t>
            </w:r>
          </w:p>
        </w:tc>
        <w:tc>
          <w:tcPr>
            <w:tcW w:w="150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Holdings, Inc., the Majority Member of GEO Reentry Services, LLC</w:t>
            </w:r>
          </w:p>
        </w:tc>
        <w:tc>
          <w:tcPr>
            <w:tcW w:w="1500" w:type="dxa"/>
            <w:vAlign w:val="bottom"/>
          </w:tcPr>
          <w:p>
            <w:pPr>
              <w:spacing w:after="0"/>
              <w:rPr>
                <w:sz w:val="19"/>
                <w:szCs w:val="19"/>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II-51</w:t>
      </w:r>
    </w:p>
    <w:p>
      <w:pPr>
        <w:sectPr>
          <w:pgSz w:w="11900" w:h="16838" w:orient="portrait"/>
          <w:cols w:equalWidth="0" w:num="1">
            <w:col w:w="10680"/>
          </w:cols>
          <w:pgMar w:left="580" w:top="266" w:right="639" w:bottom="1440" w:gutter="0" w:footer="0" w:header="0"/>
        </w:sectPr>
      </w:pPr>
    </w:p>
    <w:bookmarkStart w:id="55" w:name="page56"/>
    <w:bookmarkEnd w:id="55"/>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Protocol Criminal Justice, Inc.</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Brian R. Evans</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-130175</wp:posOffset>
            </wp:positionV>
            <wp:extent cx="25285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8"/>
          <w:szCs w:val="18"/>
          <w:color w:val="auto"/>
        </w:rPr>
        <w:t>Title:     Vice President, Finance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0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65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0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II-52</w:t>
            </w:r>
          </w:p>
        </w:tc>
        <w:tc>
          <w:tcPr>
            <w:tcW w:w="20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56" w:name="page57"/>
    <w:bookmarkEnd w:id="56"/>
    <w:p>
      <w:pPr>
        <w:ind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Correctional Properties, LLC</w:t>
      </w:r>
    </w:p>
    <w:p>
      <w:pPr>
        <w:spacing w:after="0" w:line="216" w:lineRule="exact"/>
        <w:rPr>
          <w:sz w:val="20"/>
          <w:szCs w:val="20"/>
          <w:color w:val="auto"/>
        </w:rPr>
      </w:pPr>
    </w:p>
    <w:p>
      <w:pPr>
        <w:ind w:left="606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13970</wp:posOffset>
            </wp:positionV>
            <wp:extent cx="27127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2712720" cy="8255"/>
                    </a:xfrm>
                    <a:prstGeom prst="rect">
                      <a:avLst/>
                    </a:prstGeom>
                    <a:noFill/>
                  </pic:spPr>
                </pic:pic>
              </a:graphicData>
            </a:graphic>
          </wp:anchor>
        </w:drawing>
      </w:r>
    </w:p>
    <w:p>
      <w:pPr>
        <w:spacing w:after="0" w:line="1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460"/>
        <w:spacing w:after="0"/>
        <w:tabs>
          <w:tab w:leader="none" w:pos="7000" w:val="left"/>
        </w:tabs>
        <w:rPr>
          <w:sz w:val="20"/>
          <w:szCs w:val="20"/>
          <w:color w:val="auto"/>
        </w:rPr>
      </w:pPr>
      <w:r>
        <w:rPr>
          <w:rFonts w:ascii="Times New Roman" w:cs="Times New Roman" w:eastAsia="Times New Roman" w:hAnsi="Times New Roman"/>
          <w:sz w:val="16"/>
          <w:szCs w:val="16"/>
          <w:color w:val="auto"/>
        </w:rPr>
        <w:t>Title:</w:t>
        <w:tab/>
        <w:t>Vice President, Chief Financial Officer and Manager</w:t>
      </w:r>
    </w:p>
    <w:p>
      <w:pPr>
        <w:spacing w:after="0" w:line="21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940" w:type="dxa"/>
            <w:vAlign w:val="bottom"/>
          </w:tcPr>
          <w:p>
            <w:pPr>
              <w:ind w:left="43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04"/>
        </w:trPr>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8"/>
                <w:szCs w:val="18"/>
                <w:b w:val="1"/>
                <w:bCs w:val="1"/>
                <w:color w:val="auto"/>
                <w:w w:val="99"/>
              </w:rPr>
              <w:t>George</w:t>
            </w:r>
          </w:p>
        </w:tc>
        <w:tc>
          <w:tcPr>
            <w:tcW w:w="89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August 15, 2022</w:t>
            </w:r>
          </w:p>
        </w:tc>
        <w:tc>
          <w:tcPr>
            <w:tcW w:w="0" w:type="dxa"/>
            <w:vAlign w:val="bottom"/>
          </w:tcPr>
          <w:p>
            <w:pPr>
              <w:spacing w:after="0"/>
              <w:rPr>
                <w:sz w:val="1"/>
                <w:szCs w:val="1"/>
                <w:color w:val="auto"/>
              </w:rPr>
            </w:pPr>
          </w:p>
        </w:tc>
      </w:tr>
      <w:tr>
        <w:trPr>
          <w:trHeight w:val="125"/>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8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Chief Executive Officer and Manager</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00" w:type="dxa"/>
            <w:vAlign w:val="bottom"/>
            <w:gridSpan w:val="2"/>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Zoley</w:t>
            </w:r>
          </w:p>
        </w:tc>
        <w:tc>
          <w:tcPr>
            <w:tcW w:w="8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8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w:t>
            </w:r>
          </w:p>
        </w:tc>
        <w:tc>
          <w:tcPr>
            <w:tcW w:w="8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w:t>
            </w:r>
          </w:p>
        </w:tc>
        <w:tc>
          <w:tcPr>
            <w:tcW w:w="8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Evans</w:t>
            </w:r>
          </w:p>
        </w:tc>
        <w:tc>
          <w:tcPr>
            <w:tcW w:w="89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August 15, 2022</w:t>
            </w:r>
          </w:p>
        </w:tc>
        <w:tc>
          <w:tcPr>
            <w:tcW w:w="0" w:type="dxa"/>
            <w:vAlign w:val="bottom"/>
          </w:tcPr>
          <w:p>
            <w:pPr>
              <w:spacing w:after="0"/>
              <w:rPr>
                <w:sz w:val="1"/>
                <w:szCs w:val="1"/>
                <w:color w:val="auto"/>
              </w:rPr>
            </w:pPr>
          </w:p>
        </w:tc>
      </w:tr>
      <w:tr>
        <w:trPr>
          <w:trHeight w:val="183"/>
        </w:trPr>
        <w:tc>
          <w:tcPr>
            <w:tcW w:w="60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Brian</w:t>
            </w:r>
          </w:p>
        </w:tc>
        <w:tc>
          <w:tcPr>
            <w:tcW w:w="8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w:t>
            </w:r>
          </w:p>
        </w:tc>
        <w:tc>
          <w:tcPr>
            <w:tcW w:w="8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Chief Financial Officer and Manager</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Evans</w:t>
            </w:r>
          </w:p>
        </w:tc>
        <w:tc>
          <w:tcPr>
            <w:tcW w:w="8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8"/>
                <w:szCs w:val="18"/>
                <w:b w:val="1"/>
                <w:bCs w:val="1"/>
                <w:color w:val="auto"/>
                <w:w w:val="99"/>
              </w:rPr>
              <w:t>Ronald</w:t>
            </w:r>
          </w:p>
        </w:tc>
        <w:tc>
          <w:tcPr>
            <w:tcW w:w="89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August 15, 2022</w:t>
            </w:r>
          </w:p>
        </w:tc>
        <w:tc>
          <w:tcPr>
            <w:tcW w:w="0" w:type="dxa"/>
            <w:vAlign w:val="bottom"/>
          </w:tcPr>
          <w:p>
            <w:pPr>
              <w:spacing w:after="0"/>
              <w:rPr>
                <w:sz w:val="1"/>
                <w:szCs w:val="1"/>
                <w:color w:val="auto"/>
              </w:rPr>
            </w:pPr>
          </w:p>
        </w:tc>
      </w:tr>
      <w:tr>
        <w:trPr>
          <w:trHeight w:val="125"/>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8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00" w:type="dxa"/>
            <w:vAlign w:val="bottom"/>
            <w:gridSpan w:val="2"/>
            <w:vMerge w:val="continue"/>
          </w:tcPr>
          <w:p>
            <w:pPr>
              <w:spacing w:after="0"/>
              <w:rPr>
                <w:sz w:val="7"/>
                <w:szCs w:val="7"/>
                <w:color w:val="auto"/>
              </w:rPr>
            </w:pPr>
          </w:p>
        </w:tc>
        <w:tc>
          <w:tcPr>
            <w:tcW w:w="89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Brack</w:t>
            </w:r>
          </w:p>
        </w:tc>
        <w:tc>
          <w:tcPr>
            <w:tcW w:w="8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94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August 15,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Joe</w:t>
            </w:r>
          </w:p>
        </w:tc>
        <w:tc>
          <w:tcPr>
            <w:tcW w:w="89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Negron  </w:t>
            </w:r>
            <w:r>
              <w:rPr>
                <w:rFonts w:ascii="Times New Roman" w:cs="Times New Roman" w:eastAsia="Times New Roman" w:hAnsi="Times New Roman"/>
                <w:sz w:val="18"/>
                <w:szCs w:val="18"/>
                <w:color w:val="auto"/>
              </w:rPr>
              <w:t>Vice President, Secretary and Manager</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94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August 15, 2022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James</w:t>
            </w:r>
          </w:p>
        </w:tc>
        <w:tc>
          <w:tcPr>
            <w:tcW w:w="89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Black   </w:t>
            </w:r>
            <w:r>
              <w:rPr>
                <w:rFonts w:ascii="Times New Roman" w:cs="Times New Roman" w:eastAsia="Times New Roman" w:hAnsi="Times New Roman"/>
                <w:sz w:val="18"/>
                <w:szCs w:val="18"/>
                <w:color w:val="auto"/>
              </w:rPr>
              <w:t>Vice President, Operations and Manager</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8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w:t>
            </w:r>
          </w:p>
        </w:tc>
        <w:tc>
          <w:tcPr>
            <w:tcW w:w="8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w:t>
            </w:r>
          </w:p>
        </w:tc>
        <w:tc>
          <w:tcPr>
            <w:tcW w:w="8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Evans</w:t>
            </w:r>
          </w:p>
        </w:tc>
        <w:tc>
          <w:tcPr>
            <w:tcW w:w="89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August 15, 2022</w:t>
            </w:r>
          </w:p>
        </w:tc>
        <w:tc>
          <w:tcPr>
            <w:tcW w:w="0" w:type="dxa"/>
            <w:vAlign w:val="bottom"/>
          </w:tcPr>
          <w:p>
            <w:pPr>
              <w:spacing w:after="0"/>
              <w:rPr>
                <w:sz w:val="1"/>
                <w:szCs w:val="1"/>
                <w:color w:val="auto"/>
              </w:rPr>
            </w:pPr>
          </w:p>
        </w:tc>
      </w:tr>
      <w:tr>
        <w:trPr>
          <w:trHeight w:val="183"/>
        </w:trPr>
        <w:tc>
          <w:tcPr>
            <w:tcW w:w="600" w:type="dxa"/>
            <w:vAlign w:val="bottom"/>
            <w:gridSpan w:val="2"/>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Brian</w:t>
            </w:r>
          </w:p>
        </w:tc>
        <w:tc>
          <w:tcPr>
            <w:tcW w:w="8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w:t>
            </w:r>
          </w:p>
        </w:tc>
        <w:tc>
          <w:tcPr>
            <w:tcW w:w="8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 xml:space="preserve">Evans   </w:t>
            </w:r>
            <w:r>
              <w:rPr>
                <w:rFonts w:ascii="Times New Roman" w:cs="Times New Roman" w:eastAsia="Times New Roman" w:hAnsi="Times New Roman"/>
                <w:sz w:val="18"/>
                <w:szCs w:val="18"/>
                <w:color w:val="auto"/>
                <w:w w:val="98"/>
              </w:rPr>
              <w:t>Senior Vice President and Chief Financial Officer of The GEO Group, Inc., the Sole Member of Correctional Properties, LLC</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6"/>
          <w:szCs w:val="16"/>
          <w:b w:val="1"/>
          <w:bCs w:val="1"/>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15240</wp:posOffset>
            </wp:positionV>
            <wp:extent cx="23869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II-53</w:t>
      </w:r>
    </w:p>
    <w:p>
      <w:pPr>
        <w:sectPr>
          <w:pgSz w:w="11900" w:h="16838" w:orient="portrait"/>
          <w:cols w:equalWidth="0" w:num="1">
            <w:col w:w="10740"/>
          </w:cols>
          <w:pgMar w:left="580" w:top="266" w:right="579" w:bottom="1440" w:gutter="0" w:footer="0" w:header="0"/>
        </w:sectPr>
      </w:pPr>
    </w:p>
    <w:bookmarkStart w:id="57" w:name="page58"/>
    <w:bookmarkEnd w:id="57"/>
    <w:p>
      <w:pPr>
        <w:ind w:right="2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GEO/DEL/R/02, Inc.</w:t>
      </w:r>
    </w:p>
    <w:p>
      <w:pPr>
        <w:spacing w:after="0" w:line="216" w:lineRule="exact"/>
        <w:rPr>
          <w:sz w:val="20"/>
          <w:szCs w:val="20"/>
          <w:color w:val="auto"/>
        </w:rPr>
      </w:pPr>
    </w:p>
    <w:p>
      <w:pPr>
        <w:ind w:left="6100"/>
        <w:spacing w:after="0"/>
        <w:tabs>
          <w:tab w:leader="none" w:pos="6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13970</wp:posOffset>
            </wp:positionV>
            <wp:extent cx="2687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500"/>
        <w:spacing w:after="0"/>
        <w:tabs>
          <w:tab w:leader="none" w:pos="7040" w:val="left"/>
        </w:tabs>
        <w:rPr>
          <w:sz w:val="20"/>
          <w:szCs w:val="20"/>
          <w:color w:val="auto"/>
        </w:rPr>
      </w:pPr>
      <w:r>
        <w:rPr>
          <w:rFonts w:ascii="Times New Roman" w:cs="Times New Roman" w:eastAsia="Times New Roman" w:hAnsi="Times New Roman"/>
          <w:sz w:val="16"/>
          <w:szCs w:val="16"/>
          <w:color w:val="auto"/>
        </w:rPr>
        <w:t>Title:</w:t>
        <w:tab/>
        <w:t>Vice President, Chief Financial Officer and Director</w:t>
      </w:r>
    </w:p>
    <w:p>
      <w:pPr>
        <w:spacing w:after="0" w:line="21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720"/>
          </w:cols>
          <w:pgMar w:left="580" w:top="266" w:right="59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2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28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05"/>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223"/>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Vice President, Chief Financial Officer and Director</w:t>
            </w:r>
          </w:p>
        </w:tc>
      </w:tr>
      <w:tr>
        <w:trPr>
          <w:trHeight w:val="22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1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r>
      <w:tr>
        <w:trPr>
          <w:trHeight w:val="223"/>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James Black</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Operations and Director</w:t>
            </w: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II-54</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2">
            <w:col w:w="8520" w:space="720"/>
            <w:col w:w="1480"/>
          </w:cols>
          <w:pgMar w:left="580" w:top="266" w:right="599" w:bottom="1440" w:gutter="0" w:footer="0" w:header="0"/>
          <w:type w:val="continuous"/>
        </w:sectPr>
      </w:pPr>
    </w:p>
    <w:bookmarkStart w:id="58" w:name="page59"/>
    <w:bookmarkEnd w:id="58"/>
    <w:p>
      <w:pPr>
        <w:ind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International Services, Inc.</w:t>
      </w:r>
    </w:p>
    <w:p>
      <w:pPr>
        <w:spacing w:after="0" w:line="216"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Brian R. Evans</w:t>
      </w:r>
    </w:p>
    <w:p>
      <w:pPr>
        <w:spacing w:after="0" w:line="21" w:lineRule="exact"/>
        <w:rPr>
          <w:sz w:val="20"/>
          <w:szCs w:val="20"/>
          <w:color w:val="auto"/>
        </w:rPr>
      </w:pPr>
    </w:p>
    <w:tbl>
      <w:tblPr>
        <w:tblLayout w:type="fixed"/>
        <w:tblInd w:w="6880" w:type="dxa"/>
        <w:tblCellMar>
          <w:top w:w="0" w:type="dxa"/>
          <w:left w:w="0" w:type="dxa"/>
          <w:bottom w:w="0" w:type="dxa"/>
          <w:right w:w="0" w:type="dxa"/>
        </w:tblCellMar>
      </w:tblPr>
      <w:tr>
        <w:trPr>
          <w:trHeight w:val="199"/>
        </w:trPr>
        <w:tc>
          <w:tcPr>
            <w:tcW w:w="5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9" w:lineRule="exact"/>
              <w:rPr>
                <w:sz w:val="20"/>
                <w:szCs w:val="20"/>
                <w:color w:val="auto"/>
              </w:rPr>
            </w:pPr>
            <w:r>
              <w:rPr>
                <w:rFonts w:ascii="Times New Roman" w:cs="Times New Roman" w:eastAsia="Times New Roman" w:hAnsi="Times New Roman"/>
                <w:sz w:val="18"/>
                <w:szCs w:val="18"/>
                <w:color w:val="auto"/>
              </w:rPr>
              <w:t>Brian R. Evans</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Chief Financial Officer and</w:t>
            </w:r>
          </w:p>
        </w:tc>
      </w:tr>
      <w:tr>
        <w:trPr>
          <w:trHeight w:val="228"/>
        </w:trPr>
        <w:tc>
          <w:tcPr>
            <w:tcW w:w="56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2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Operations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James Black</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II-55</w:t>
            </w:r>
          </w:p>
        </w:tc>
        <w:tc>
          <w:tcPr>
            <w:tcW w:w="2220" w:type="dxa"/>
            <w:vAlign w:val="bottom"/>
          </w:tcPr>
          <w:p>
            <w:pPr>
              <w:spacing w:after="0"/>
              <w:rPr>
                <w:sz w:val="24"/>
                <w:szCs w:val="24"/>
                <w:color w:val="auto"/>
              </w:rPr>
            </w:pPr>
          </w:p>
        </w:tc>
      </w:tr>
    </w:tbl>
    <w:p>
      <w:pPr>
        <w:sectPr>
          <w:pgSz w:w="11900" w:h="16838" w:orient="portrait"/>
          <w:cols w:equalWidth="0" w:num="1">
            <w:col w:w="10740"/>
          </w:cols>
          <w:pgMar w:left="580" w:top="266" w:right="579" w:bottom="1440" w:gutter="0" w:footer="0" w:header="0"/>
        </w:sectPr>
      </w:pPr>
    </w:p>
    <w:bookmarkStart w:id="59" w:name="page60"/>
    <w:bookmarkEnd w:id="59"/>
    <w:p>
      <w:pPr>
        <w:ind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GEO/DEL/T/02, Inc.</w:t>
      </w:r>
    </w:p>
    <w:p>
      <w:pPr>
        <w:spacing w:after="0" w:line="216"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Brian R. Evans</w:t>
      </w:r>
    </w:p>
    <w:p>
      <w:pPr>
        <w:spacing w:after="0" w:line="21" w:lineRule="exact"/>
        <w:rPr>
          <w:sz w:val="20"/>
          <w:szCs w:val="20"/>
          <w:color w:val="auto"/>
        </w:rPr>
      </w:pPr>
    </w:p>
    <w:tbl>
      <w:tblPr>
        <w:tblLayout w:type="fixed"/>
        <w:tblInd w:w="6880" w:type="dxa"/>
        <w:tblCellMar>
          <w:top w:w="0" w:type="dxa"/>
          <w:left w:w="0" w:type="dxa"/>
          <w:bottom w:w="0" w:type="dxa"/>
          <w:right w:w="0" w:type="dxa"/>
        </w:tblCellMar>
      </w:tblPr>
      <w:tr>
        <w:trPr>
          <w:trHeight w:val="199"/>
        </w:trPr>
        <w:tc>
          <w:tcPr>
            <w:tcW w:w="5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9" w:lineRule="exact"/>
              <w:rPr>
                <w:sz w:val="20"/>
                <w:szCs w:val="20"/>
                <w:color w:val="auto"/>
              </w:rPr>
            </w:pPr>
            <w:r>
              <w:rPr>
                <w:rFonts w:ascii="Times New Roman" w:cs="Times New Roman" w:eastAsia="Times New Roman" w:hAnsi="Times New Roman"/>
                <w:sz w:val="18"/>
                <w:szCs w:val="18"/>
                <w:color w:val="auto"/>
              </w:rPr>
              <w:t>Brian R. Evans</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Chief Financial Officer and</w:t>
            </w:r>
          </w:p>
        </w:tc>
      </w:tr>
      <w:tr>
        <w:trPr>
          <w:trHeight w:val="228"/>
        </w:trPr>
        <w:tc>
          <w:tcPr>
            <w:tcW w:w="56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2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Operations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James Black</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II-56</w:t>
            </w:r>
          </w:p>
        </w:tc>
        <w:tc>
          <w:tcPr>
            <w:tcW w:w="2220" w:type="dxa"/>
            <w:vAlign w:val="bottom"/>
          </w:tcPr>
          <w:p>
            <w:pPr>
              <w:spacing w:after="0"/>
              <w:rPr>
                <w:sz w:val="24"/>
                <w:szCs w:val="24"/>
                <w:color w:val="auto"/>
              </w:rPr>
            </w:pPr>
          </w:p>
        </w:tc>
      </w:tr>
    </w:tbl>
    <w:p>
      <w:pPr>
        <w:sectPr>
          <w:pgSz w:w="11900" w:h="16838" w:orient="portrait"/>
          <w:cols w:equalWidth="0" w:num="1">
            <w:col w:w="10740"/>
          </w:cols>
          <w:pgMar w:left="580" w:top="266" w:right="579" w:bottom="1440" w:gutter="0" w:footer="0" w:header="0"/>
        </w:sectPr>
      </w:pPr>
    </w:p>
    <w:bookmarkStart w:id="60" w:name="page61"/>
    <w:bookmarkEnd w:id="60"/>
    <w:p>
      <w:pPr>
        <w:ind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Highpoint Investments LLC</w:t>
      </w:r>
    </w:p>
    <w:p>
      <w:pPr>
        <w:spacing w:after="0" w:line="216"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Brian R. Evans</w:t>
      </w:r>
    </w:p>
    <w:p>
      <w:pPr>
        <w:spacing w:after="0" w:line="21" w:lineRule="exact"/>
        <w:rPr>
          <w:sz w:val="20"/>
          <w:szCs w:val="20"/>
          <w:color w:val="auto"/>
        </w:rPr>
      </w:pPr>
    </w:p>
    <w:tbl>
      <w:tblPr>
        <w:tblLayout w:type="fixed"/>
        <w:tblInd w:w="6880" w:type="dxa"/>
        <w:tblCellMar>
          <w:top w:w="0" w:type="dxa"/>
          <w:left w:w="0" w:type="dxa"/>
          <w:bottom w:w="0" w:type="dxa"/>
          <w:right w:w="0" w:type="dxa"/>
        </w:tblCellMar>
      </w:tblPr>
      <w:tr>
        <w:trPr>
          <w:trHeight w:val="199"/>
        </w:trPr>
        <w:tc>
          <w:tcPr>
            <w:tcW w:w="5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9" w:lineRule="exact"/>
              <w:rPr>
                <w:sz w:val="20"/>
                <w:szCs w:val="20"/>
                <w:color w:val="auto"/>
              </w:rPr>
            </w:pPr>
            <w:r>
              <w:rPr>
                <w:rFonts w:ascii="Times New Roman" w:cs="Times New Roman" w:eastAsia="Times New Roman" w:hAnsi="Times New Roman"/>
                <w:sz w:val="18"/>
                <w:szCs w:val="18"/>
                <w:color w:val="auto"/>
              </w:rPr>
              <w:t>Brian R. Evans</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Finance, Chief Financial</w:t>
            </w:r>
          </w:p>
        </w:tc>
      </w:tr>
      <w:tr>
        <w:trPr>
          <w:trHeight w:val="228"/>
        </w:trPr>
        <w:tc>
          <w:tcPr>
            <w:tcW w:w="56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 and Manager</w:t>
            </w:r>
          </w:p>
        </w:tc>
      </w:tr>
    </w:tbl>
    <w:p>
      <w:pPr>
        <w:spacing w:after="0" w:line="1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740"/>
          </w:cols>
          <w:pgMar w:left="580" w:top="266" w:right="57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34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404"/>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Chairman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Vice President, Finance, Chief Financial Officer and Manager</w:t>
            </w:r>
          </w:p>
        </w:tc>
        <w:tc>
          <w:tcPr>
            <w:tcW w:w="0" w:type="dxa"/>
            <w:vAlign w:val="bottom"/>
          </w:tcPr>
          <w:p>
            <w:pPr>
              <w:spacing w:after="0"/>
              <w:rPr>
                <w:sz w:val="1"/>
                <w:szCs w:val="1"/>
                <w:color w:val="auto"/>
              </w:rPr>
            </w:pP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2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0" w:type="dxa"/>
            <w:vAlign w:val="bottom"/>
          </w:tcPr>
          <w:p>
            <w:pPr>
              <w:spacing w:after="0"/>
              <w:rPr>
                <w:sz w:val="1"/>
                <w:szCs w:val="1"/>
                <w:color w:val="auto"/>
              </w:rPr>
            </w:pPr>
          </w:p>
        </w:tc>
      </w:tr>
      <w:tr>
        <w:trPr>
          <w:trHeight w:val="98"/>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4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34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2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Vice President, Real Estate and Manager</w:t>
            </w:r>
          </w:p>
        </w:tc>
        <w:tc>
          <w:tcPr>
            <w:tcW w:w="0" w:type="dxa"/>
            <w:vAlign w:val="bottom"/>
          </w:tcPr>
          <w:p>
            <w:pPr>
              <w:spacing w:after="0"/>
              <w:rPr>
                <w:sz w:val="1"/>
                <w:szCs w:val="1"/>
                <w:color w:val="auto"/>
              </w:rPr>
            </w:pPr>
          </w:p>
        </w:tc>
      </w:tr>
      <w:tr>
        <w:trPr>
          <w:trHeight w:val="98"/>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Bruce Brown</w:t>
            </w:r>
          </w:p>
        </w:tc>
        <w:tc>
          <w:tcPr>
            <w:tcW w:w="4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34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2">
            <w:col w:w="8520" w:space="720"/>
            <w:col w:w="1500"/>
          </w:cols>
          <w:pgMar w:left="580" w:top="266" w:right="579" w:bottom="1440" w:gutter="0" w:footer="0" w:header="0"/>
          <w:type w:val="continuous"/>
        </w:sectPr>
      </w:pPr>
    </w:p>
    <w:bookmarkStart w:id="61" w:name="page62"/>
    <w:bookmarkEnd w:id="61"/>
    <w:p>
      <w:pPr>
        <w:ind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Reentry, Inc.</w:t>
      </w:r>
    </w:p>
    <w:p>
      <w:pPr>
        <w:spacing w:after="0" w:line="216"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Brian R. Evans</w:t>
      </w:r>
    </w:p>
    <w:p>
      <w:pPr>
        <w:spacing w:after="0" w:line="21" w:lineRule="exact"/>
        <w:rPr>
          <w:sz w:val="20"/>
          <w:szCs w:val="20"/>
          <w:color w:val="auto"/>
        </w:rPr>
      </w:pPr>
    </w:p>
    <w:tbl>
      <w:tblPr>
        <w:tblLayout w:type="fixed"/>
        <w:tblInd w:w="6880" w:type="dxa"/>
        <w:tblCellMar>
          <w:top w:w="0" w:type="dxa"/>
          <w:left w:w="0" w:type="dxa"/>
          <w:bottom w:w="0" w:type="dxa"/>
          <w:right w:w="0" w:type="dxa"/>
        </w:tblCellMar>
      </w:tblPr>
      <w:tr>
        <w:trPr>
          <w:trHeight w:val="199"/>
        </w:trPr>
        <w:tc>
          <w:tcPr>
            <w:tcW w:w="5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9" w:lineRule="exact"/>
              <w:rPr>
                <w:sz w:val="20"/>
                <w:szCs w:val="20"/>
                <w:color w:val="auto"/>
              </w:rPr>
            </w:pPr>
            <w:r>
              <w:rPr>
                <w:rFonts w:ascii="Times New Roman" w:cs="Times New Roman" w:eastAsia="Times New Roman" w:hAnsi="Times New Roman"/>
                <w:sz w:val="18"/>
                <w:szCs w:val="18"/>
                <w:color w:val="auto"/>
              </w:rPr>
              <w:t>Brian R. Evans</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Chief Financial Officer and</w:t>
            </w:r>
          </w:p>
        </w:tc>
      </w:tr>
      <w:tr>
        <w:trPr>
          <w:trHeight w:val="228"/>
        </w:trPr>
        <w:tc>
          <w:tcPr>
            <w:tcW w:w="56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2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GEO Care and Director</w:t>
            </w:r>
          </w:p>
        </w:tc>
        <w:tc>
          <w:tcPr>
            <w:tcW w:w="222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II-58</w:t>
            </w:r>
          </w:p>
        </w:tc>
        <w:tc>
          <w:tcPr>
            <w:tcW w:w="2220" w:type="dxa"/>
            <w:vAlign w:val="bottom"/>
          </w:tcPr>
          <w:p>
            <w:pPr>
              <w:spacing w:after="0"/>
              <w:rPr>
                <w:sz w:val="24"/>
                <w:szCs w:val="24"/>
                <w:color w:val="auto"/>
              </w:rPr>
            </w:pPr>
          </w:p>
        </w:tc>
      </w:tr>
    </w:tbl>
    <w:p>
      <w:pPr>
        <w:sectPr>
          <w:pgSz w:w="11900" w:h="16838" w:orient="portrait"/>
          <w:cols w:equalWidth="0" w:num="1">
            <w:col w:w="10740"/>
          </w:cols>
          <w:pgMar w:left="580" w:top="266" w:right="579" w:bottom="1440" w:gutter="0" w:footer="0" w:header="0"/>
        </w:sectPr>
      </w:pPr>
    </w:p>
    <w:bookmarkStart w:id="62" w:name="page63"/>
    <w:bookmarkEnd w:id="62"/>
    <w:p>
      <w:pPr>
        <w:ind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Care LLC</w:t>
      </w:r>
    </w:p>
    <w:p>
      <w:pPr>
        <w:spacing w:after="0" w:line="216"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Brian R. Evans</w:t>
      </w:r>
    </w:p>
    <w:p>
      <w:pPr>
        <w:spacing w:after="0" w:line="21" w:lineRule="exact"/>
        <w:rPr>
          <w:sz w:val="20"/>
          <w:szCs w:val="20"/>
          <w:color w:val="auto"/>
        </w:rPr>
      </w:pPr>
    </w:p>
    <w:tbl>
      <w:tblPr>
        <w:tblLayout w:type="fixed"/>
        <w:tblInd w:w="6880" w:type="dxa"/>
        <w:tblCellMar>
          <w:top w:w="0" w:type="dxa"/>
          <w:left w:w="0" w:type="dxa"/>
          <w:bottom w:w="0" w:type="dxa"/>
          <w:right w:w="0" w:type="dxa"/>
        </w:tblCellMar>
      </w:tblPr>
      <w:tr>
        <w:trPr>
          <w:trHeight w:val="199"/>
        </w:trPr>
        <w:tc>
          <w:tcPr>
            <w:tcW w:w="5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9" w:lineRule="exact"/>
              <w:rPr>
                <w:sz w:val="20"/>
                <w:szCs w:val="20"/>
                <w:color w:val="auto"/>
              </w:rPr>
            </w:pPr>
            <w:r>
              <w:rPr>
                <w:rFonts w:ascii="Times New Roman" w:cs="Times New Roman" w:eastAsia="Times New Roman" w:hAnsi="Times New Roman"/>
                <w:sz w:val="18"/>
                <w:szCs w:val="18"/>
                <w:color w:val="auto"/>
              </w:rPr>
              <w:t>Brian R. Evans</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Chief Financial Officer and</w:t>
            </w:r>
          </w:p>
        </w:tc>
      </w:tr>
      <w:tr>
        <w:trPr>
          <w:trHeight w:val="228"/>
        </w:trPr>
        <w:tc>
          <w:tcPr>
            <w:tcW w:w="56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p>
      <w:pPr>
        <w:ind w:left="360"/>
        <w:spacing w:after="0"/>
        <w:tabs>
          <w:tab w:leader="none" w:pos="5180" w:val="left"/>
          <w:tab w:leader="none" w:pos="99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ectPr>
          <w:pgSz w:w="11900" w:h="16838" w:orient="portrait"/>
          <w:cols w:equalWidth="0" w:num="1">
            <w:col w:w="10740"/>
          </w:cols>
          <w:pgMar w:left="580" w:top="266" w:right="579" w:bottom="1440" w:gutter="0" w:footer="0" w:header="0"/>
        </w:sectPr>
      </w:pPr>
    </w:p>
    <w:p>
      <w:pPr>
        <w:spacing w:after="0" w:line="213" w:lineRule="exact"/>
        <w:rPr>
          <w:sz w:val="20"/>
          <w:szCs w:val="20"/>
          <w:color w:val="auto"/>
        </w:rPr>
      </w:pPr>
    </w:p>
    <w:p>
      <w:pPr>
        <w:ind w:left="1400" w:hanging="798"/>
        <w:spacing w:after="0"/>
        <w:tabs>
          <w:tab w:leader="none" w:pos="1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President and Manager</w:t>
      </w:r>
    </w:p>
    <w:p>
      <w:pPr>
        <w:spacing w:after="0" w:line="2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George C. Zoley  </w:t>
      </w: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8178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w:t>
      </w:r>
    </w:p>
    <w:p>
      <w:pPr>
        <w:spacing w:after="0" w:line="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Evans</w:t>
      </w:r>
      <w:r>
        <w:rPr>
          <w:sz w:val="20"/>
          <w:szCs w:val="20"/>
          <w:color w:val="auto"/>
        </w:rPr>
        <w:tab/>
      </w:r>
      <w:r>
        <w:rPr>
          <w:rFonts w:ascii="Times New Roman" w:cs="Times New Roman" w:eastAsia="Times New Roman" w:hAnsi="Times New Roman"/>
          <w:sz w:val="18"/>
          <w:szCs w:val="18"/>
          <w:color w:val="auto"/>
        </w:rPr>
        <w:t>Vice President, Chief Financial Officer and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8178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Brian R. Evans</w:t>
      </w:r>
      <w:r>
        <w:rPr>
          <w:sz w:val="20"/>
          <w:szCs w:val="20"/>
          <w:color w:val="auto"/>
        </w:rPr>
        <w:tab/>
      </w:r>
      <w:r>
        <w:rPr>
          <w:rFonts w:ascii="Times New Roman" w:cs="Times New Roman" w:eastAsia="Times New Roman" w:hAnsi="Times New Roman"/>
          <w:sz w:val="16"/>
          <w:szCs w:val="16"/>
          <w:color w:val="auto"/>
        </w:rPr>
        <w:t>(Principal Financial Officer)</w:t>
      </w:r>
    </w:p>
    <w:p>
      <w:pPr>
        <w:spacing w:after="0" w:line="222" w:lineRule="exact"/>
        <w:rPr>
          <w:sz w:val="20"/>
          <w:szCs w:val="20"/>
          <w:color w:val="auto"/>
        </w:rPr>
      </w:pPr>
    </w:p>
    <w:p>
      <w:pPr>
        <w:ind w:left="1400" w:hanging="798"/>
        <w:spacing w:after="0"/>
        <w:tabs>
          <w:tab w:leader="none" w:pos="1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Vice President, Accounting</w:t>
      </w:r>
    </w:p>
    <w:p>
      <w:pPr>
        <w:spacing w:after="0" w:line="2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Ronald A. Brack  </w:t>
      </w: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8178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Joe Negron</w:t>
      </w:r>
      <w:r>
        <w:rPr>
          <w:sz w:val="20"/>
          <w:szCs w:val="20"/>
          <w:color w:val="auto"/>
        </w:rPr>
        <w:tab/>
      </w:r>
      <w:r>
        <w:rPr>
          <w:rFonts w:ascii="Times New Roman" w:cs="Times New Roman" w:eastAsia="Times New Roman" w:hAnsi="Times New Roman"/>
          <w:sz w:val="16"/>
          <w:szCs w:val="16"/>
          <w:color w:val="auto"/>
        </w:rPr>
        <w:t>Vice President, Secretary and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178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Ann M. Schlarb</w:t>
      </w:r>
      <w:r>
        <w:rPr>
          <w:sz w:val="20"/>
          <w:szCs w:val="20"/>
          <w:color w:val="auto"/>
        </w:rPr>
        <w:tab/>
      </w:r>
      <w:r>
        <w:rPr>
          <w:rFonts w:ascii="Times New Roman" w:cs="Times New Roman" w:eastAsia="Times New Roman" w:hAnsi="Times New Roman"/>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178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Evans</w:t>
      </w:r>
    </w:p>
    <w:p>
      <w:pPr>
        <w:spacing w:after="0" w:line="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Brian R. Evans</w:t>
      </w:r>
      <w:r>
        <w:rPr>
          <w:sz w:val="20"/>
          <w:szCs w:val="20"/>
          <w:color w:val="auto"/>
        </w:rPr>
        <w:tab/>
      </w:r>
      <w:r>
        <w:rPr>
          <w:rFonts w:ascii="Times New Roman" w:cs="Times New Roman" w:eastAsia="Times New Roman" w:hAnsi="Times New Roman"/>
          <w:sz w:val="16"/>
          <w:szCs w:val="16"/>
          <w:color w:val="auto"/>
        </w:rPr>
        <w:t>Senior Vice President and Chief Financial Officer of The GEO Group, Inc., the Sole Member of GEO Care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178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II-59</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2">
            <w:col w:w="9280" w:space="200"/>
            <w:col w:w="1260"/>
          </w:cols>
          <w:pgMar w:left="580" w:top="266" w:right="579" w:bottom="1440" w:gutter="0" w:footer="0" w:header="0"/>
          <w:type w:val="continuous"/>
        </w:sectPr>
      </w:pPr>
    </w:p>
    <w:bookmarkStart w:id="63" w:name="page64"/>
    <w:bookmarkEnd w:id="63"/>
    <w:p>
      <w:pPr>
        <w:ind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Management Services, Inc.</w:t>
      </w:r>
    </w:p>
    <w:p>
      <w:pPr>
        <w:spacing w:after="0" w:line="216"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Brian R. Evans</w:t>
      </w:r>
    </w:p>
    <w:p>
      <w:pPr>
        <w:spacing w:after="0" w:line="21" w:lineRule="exact"/>
        <w:rPr>
          <w:sz w:val="20"/>
          <w:szCs w:val="20"/>
          <w:color w:val="auto"/>
        </w:rPr>
      </w:pPr>
    </w:p>
    <w:tbl>
      <w:tblPr>
        <w:tblLayout w:type="fixed"/>
        <w:tblInd w:w="6880" w:type="dxa"/>
        <w:tblCellMar>
          <w:top w:w="0" w:type="dxa"/>
          <w:left w:w="0" w:type="dxa"/>
          <w:bottom w:w="0" w:type="dxa"/>
          <w:right w:w="0" w:type="dxa"/>
        </w:tblCellMar>
      </w:tblPr>
      <w:tr>
        <w:trPr>
          <w:trHeight w:val="199"/>
        </w:trPr>
        <w:tc>
          <w:tcPr>
            <w:tcW w:w="5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9" w:lineRule="exact"/>
              <w:rPr>
                <w:sz w:val="20"/>
                <w:szCs w:val="20"/>
                <w:color w:val="auto"/>
              </w:rPr>
            </w:pPr>
            <w:r>
              <w:rPr>
                <w:rFonts w:ascii="Times New Roman" w:cs="Times New Roman" w:eastAsia="Times New Roman" w:hAnsi="Times New Roman"/>
                <w:sz w:val="18"/>
                <w:szCs w:val="18"/>
                <w:color w:val="auto"/>
              </w:rPr>
              <w:t>Brian R. Evans</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Chief Financial Officer and</w:t>
            </w:r>
          </w:p>
        </w:tc>
      </w:tr>
      <w:tr>
        <w:trPr>
          <w:trHeight w:val="228"/>
        </w:trPr>
        <w:tc>
          <w:tcPr>
            <w:tcW w:w="56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740"/>
          </w:cols>
          <w:pgMar w:left="580" w:top="266" w:right="57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28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05"/>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223"/>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Vice President, Chief Financial Officer and Director</w:t>
            </w:r>
          </w:p>
        </w:tc>
      </w:tr>
      <w:tr>
        <w:trPr>
          <w:trHeight w:val="22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1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r>
      <w:tr>
        <w:trPr>
          <w:trHeight w:val="223"/>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II-60</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2">
            <w:col w:w="8520" w:space="720"/>
            <w:col w:w="1500"/>
          </w:cols>
          <w:pgMar w:left="580" w:top="266" w:right="579" w:bottom="1440" w:gutter="0" w:footer="0" w:header="0"/>
          <w:type w:val="continuous"/>
        </w:sectPr>
      </w:pPr>
    </w:p>
    <w:bookmarkStart w:id="64" w:name="page65"/>
    <w:bookmarkEnd w:id="64"/>
    <w:p>
      <w:pPr>
        <w:ind w:right="2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CC3 Inc.</w:t>
      </w:r>
    </w:p>
    <w:p>
      <w:pPr>
        <w:spacing w:after="0" w:line="216"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Brian R. Evans</w:t>
      </w:r>
    </w:p>
    <w:p>
      <w:pPr>
        <w:spacing w:after="0" w:line="21" w:lineRule="exact"/>
        <w:rPr>
          <w:sz w:val="20"/>
          <w:szCs w:val="20"/>
          <w:color w:val="auto"/>
        </w:rPr>
      </w:pPr>
    </w:p>
    <w:tbl>
      <w:tblPr>
        <w:tblLayout w:type="fixed"/>
        <w:tblInd w:w="6880" w:type="dxa"/>
        <w:tblCellMar>
          <w:top w:w="0" w:type="dxa"/>
          <w:left w:w="0" w:type="dxa"/>
          <w:bottom w:w="0" w:type="dxa"/>
          <w:right w:w="0" w:type="dxa"/>
        </w:tblCellMar>
      </w:tblPr>
      <w:tr>
        <w:trPr>
          <w:trHeight w:val="199"/>
        </w:trPr>
        <w:tc>
          <w:tcPr>
            <w:tcW w:w="5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9" w:lineRule="exact"/>
              <w:rPr>
                <w:sz w:val="20"/>
                <w:szCs w:val="20"/>
                <w:color w:val="auto"/>
              </w:rPr>
            </w:pPr>
            <w:r>
              <w:rPr>
                <w:rFonts w:ascii="Times New Roman" w:cs="Times New Roman" w:eastAsia="Times New Roman" w:hAnsi="Times New Roman"/>
                <w:sz w:val="18"/>
                <w:szCs w:val="18"/>
                <w:color w:val="auto"/>
              </w:rPr>
              <w:t>Brian R. Evans</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Chief Financial Officer and</w:t>
            </w:r>
          </w:p>
        </w:tc>
      </w:tr>
      <w:tr>
        <w:trPr>
          <w:trHeight w:val="228"/>
        </w:trPr>
        <w:tc>
          <w:tcPr>
            <w:tcW w:w="56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2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20" w:type="dxa"/>
            <w:vAlign w:val="bottom"/>
          </w:tcPr>
          <w:p>
            <w:pPr>
              <w:jc w:val="center"/>
              <w:ind w:left="97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2220" w:type="dxa"/>
            <w:vAlign w:val="bottom"/>
          </w:tcPr>
          <w:p>
            <w:pPr>
              <w:jc w:val="center"/>
              <w:ind w:left="9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Chief Financial Officer and Director</w:t>
            </w:r>
          </w:p>
        </w:tc>
        <w:tc>
          <w:tcPr>
            <w:tcW w:w="2220" w:type="dxa"/>
            <w:vAlign w:val="bottom"/>
          </w:tcPr>
          <w:p>
            <w:pPr>
              <w:jc w:val="center"/>
              <w:ind w:left="9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Accounting</w:t>
            </w:r>
          </w:p>
        </w:tc>
        <w:tc>
          <w:tcPr>
            <w:tcW w:w="2220" w:type="dxa"/>
            <w:vAlign w:val="bottom"/>
          </w:tcPr>
          <w:p>
            <w:pPr>
              <w:jc w:val="center"/>
              <w:ind w:left="9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Ronald A. Brack</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2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2220" w:type="dxa"/>
            <w:vAlign w:val="bottom"/>
          </w:tcPr>
          <w:p>
            <w:pPr>
              <w:jc w:val="center"/>
              <w:ind w:left="9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II-61</w:t>
            </w:r>
          </w:p>
        </w:tc>
        <w:tc>
          <w:tcPr>
            <w:tcW w:w="2220" w:type="dxa"/>
            <w:vAlign w:val="bottom"/>
          </w:tcPr>
          <w:p>
            <w:pPr>
              <w:spacing w:after="0"/>
              <w:rPr>
                <w:sz w:val="24"/>
                <w:szCs w:val="24"/>
                <w:color w:val="auto"/>
              </w:rPr>
            </w:pPr>
          </w:p>
        </w:tc>
      </w:tr>
    </w:tbl>
    <w:p>
      <w:pPr>
        <w:sectPr>
          <w:pgSz w:w="11900" w:h="16838" w:orient="portrait"/>
          <w:cols w:equalWidth="0" w:num="1">
            <w:col w:w="10740"/>
          </w:cols>
          <w:pgMar w:left="580" w:top="266" w:right="579" w:bottom="1440" w:gutter="0" w:footer="0" w:header="0"/>
        </w:sectPr>
      </w:pPr>
    </w:p>
    <w:bookmarkStart w:id="65" w:name="page66"/>
    <w:bookmarkEnd w:id="65"/>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BI Mobile Breath, Inc.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Pr>
          <w:p>
            <w:pPr>
              <w:jc w:val="right"/>
              <w:ind w:right="1298"/>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384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4"/>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Director</w:t>
            </w: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1940" w:type="dxa"/>
            <w:vAlign w:val="bottom"/>
          </w:tcPr>
          <w:p>
            <w:pPr>
              <w:spacing w:after="0"/>
              <w:rPr>
                <w:sz w:val="19"/>
                <w:szCs w:val="19"/>
                <w:color w:val="auto"/>
              </w:rPr>
            </w:pPr>
          </w:p>
        </w:tc>
      </w:tr>
      <w:tr>
        <w:trPr>
          <w:trHeight w:val="413"/>
        </w:trPr>
        <w:tc>
          <w:tcPr>
            <w:tcW w:w="3340" w:type="dxa"/>
            <w:vAlign w:val="bottom"/>
            <w:gridSpan w:val="3"/>
          </w:tcPr>
          <w:p>
            <w:pPr>
              <w:jc w:val="right"/>
              <w:ind w:right="1558"/>
              <w:spacing w:after="0"/>
              <w:rPr>
                <w:sz w:val="20"/>
                <w:szCs w:val="20"/>
                <w:color w:val="auto"/>
              </w:rPr>
            </w:pPr>
            <w:r>
              <w:rPr>
                <w:rFonts w:ascii="Times New Roman" w:cs="Times New Roman" w:eastAsia="Times New Roman" w:hAnsi="Times New Roman"/>
                <w:sz w:val="18"/>
                <w:szCs w:val="18"/>
                <w:b w:val="1"/>
                <w:bCs w:val="1"/>
                <w:color w:val="auto"/>
              </w:rPr>
              <w:t>*</w:t>
            </w: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3"/>
        </w:trPr>
        <w:tc>
          <w:tcPr>
            <w:tcW w:w="3340" w:type="dxa"/>
            <w:vAlign w:val="bottom"/>
            <w:gridSpan w:val="3"/>
          </w:tcPr>
          <w:p>
            <w:pPr>
              <w:jc w:val="right"/>
              <w:ind w:right="1558"/>
              <w:spacing w:after="0"/>
              <w:rPr>
                <w:sz w:val="20"/>
                <w:szCs w:val="20"/>
                <w:color w:val="auto"/>
              </w:rPr>
            </w:pPr>
            <w:r>
              <w:rPr>
                <w:rFonts w:ascii="Times New Roman" w:cs="Times New Roman" w:eastAsia="Times New Roman" w:hAnsi="Times New Roman"/>
                <w:sz w:val="18"/>
                <w:szCs w:val="18"/>
                <w:b w:val="1"/>
                <w:bCs w:val="1"/>
                <w:color w:val="auto"/>
              </w:rPr>
              <w:t>*</w:t>
            </w: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9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3"/>
        </w:trPr>
        <w:tc>
          <w:tcPr>
            <w:tcW w:w="3340" w:type="dxa"/>
            <w:vAlign w:val="bottom"/>
            <w:gridSpan w:val="3"/>
          </w:tcPr>
          <w:p>
            <w:pPr>
              <w:jc w:val="right"/>
              <w:ind w:right="1558"/>
              <w:spacing w:after="0"/>
              <w:rPr>
                <w:sz w:val="20"/>
                <w:szCs w:val="20"/>
                <w:color w:val="auto"/>
              </w:rPr>
            </w:pPr>
            <w:r>
              <w:rPr>
                <w:rFonts w:ascii="Times New Roman" w:cs="Times New Roman" w:eastAsia="Times New Roman" w:hAnsi="Times New Roman"/>
                <w:sz w:val="18"/>
                <w:szCs w:val="18"/>
                <w:b w:val="1"/>
                <w:bCs w:val="1"/>
                <w:color w:val="auto"/>
              </w:rPr>
              <w:t>*</w:t>
            </w: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Ann M. Schlarb</w:t>
            </w:r>
          </w:p>
        </w:tc>
        <w:tc>
          <w:tcPr>
            <w:tcW w:w="9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80" w:type="dxa"/>
            <w:vAlign w:val="bottom"/>
            <w:tcBorders>
              <w:top w:val="single" w:sz="8" w:color="auto"/>
            </w:tcBorders>
          </w:tcPr>
          <w:p>
            <w:pPr>
              <w:jc w:val="right"/>
              <w:ind w:right="1538"/>
              <w:spacing w:after="0" w:line="196" w:lineRule="exact"/>
              <w:rPr>
                <w:sz w:val="20"/>
                <w:szCs w:val="20"/>
                <w:color w:val="auto"/>
              </w:rPr>
            </w:pPr>
            <w:r>
              <w:rPr>
                <w:rFonts w:ascii="Times New Roman" w:cs="Times New Roman" w:eastAsia="Times New Roman" w:hAnsi="Times New Roman"/>
                <w:sz w:val="18"/>
                <w:szCs w:val="18"/>
                <w:b w:val="1"/>
                <w:bCs w:val="1"/>
                <w:color w:val="auto"/>
                <w:w w:val="96"/>
              </w:rPr>
              <w:t>Brian R. Evans</w:t>
            </w:r>
          </w:p>
        </w:tc>
        <w:tc>
          <w:tcPr>
            <w:tcW w:w="960" w:type="dxa"/>
            <w:vAlign w:val="bottom"/>
            <w:tcBorders>
              <w:top w:val="single" w:sz="8" w:color="auto"/>
            </w:tcBorders>
          </w:tcPr>
          <w:p>
            <w:pPr>
              <w:spacing w:after="0"/>
              <w:rPr>
                <w:sz w:val="17"/>
                <w:szCs w:val="17"/>
                <w:color w:val="auto"/>
              </w:rPr>
            </w:pPr>
          </w:p>
        </w:tc>
        <w:tc>
          <w:tcPr>
            <w:tcW w:w="38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jc w:val="right"/>
              <w:ind w:right="1398"/>
              <w:spacing w:after="0"/>
              <w:rPr>
                <w:sz w:val="20"/>
                <w:szCs w:val="20"/>
                <w:color w:val="auto"/>
              </w:rPr>
            </w:pPr>
            <w:r>
              <w:rPr>
                <w:rFonts w:ascii="Times New Roman" w:cs="Times New Roman" w:eastAsia="Times New Roman" w:hAnsi="Times New Roman"/>
                <w:sz w:val="18"/>
                <w:szCs w:val="18"/>
                <w:b w:val="1"/>
                <w:bCs w:val="1"/>
                <w:color w:val="auto"/>
                <w:w w:val="96"/>
              </w:rPr>
              <w:t>Attorney-In-Fact</w:t>
            </w:r>
          </w:p>
        </w:tc>
        <w:tc>
          <w:tcPr>
            <w:tcW w:w="9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II-62</w:t>
            </w:r>
          </w:p>
        </w:tc>
        <w:tc>
          <w:tcPr>
            <w:tcW w:w="194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66" w:name="page67"/>
    <w:bookmarkEnd w:id="66"/>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Clearstream Development LLC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2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80" w:type="dxa"/>
            <w:vAlign w:val="bottom"/>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880" w:type="dxa"/>
            <w:vAlign w:val="bottom"/>
          </w:tcPr>
          <w:p>
            <w:pPr>
              <w:jc w:val="center"/>
              <w:ind w:left="6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880" w:type="dxa"/>
            <w:vAlign w:val="bottom"/>
          </w:tcPr>
          <w:p>
            <w:pPr>
              <w:jc w:val="center"/>
              <w:ind w:left="6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880" w:type="dxa"/>
            <w:vAlign w:val="bottom"/>
          </w:tcPr>
          <w:p>
            <w:pPr>
              <w:jc w:val="center"/>
              <w:ind w:left="6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Real Estate and Manager</w:t>
            </w:r>
          </w:p>
        </w:tc>
        <w:tc>
          <w:tcPr>
            <w:tcW w:w="1880" w:type="dxa"/>
            <w:vAlign w:val="bottom"/>
          </w:tcPr>
          <w:p>
            <w:pPr>
              <w:jc w:val="center"/>
              <w:ind w:left="6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Bruce Brown</w:t>
            </w:r>
          </w:p>
        </w:tc>
        <w:tc>
          <w:tcPr>
            <w:tcW w:w="9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II-63</w:t>
            </w:r>
          </w:p>
        </w:tc>
        <w:tc>
          <w:tcPr>
            <w:tcW w:w="18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67" w:name="page68"/>
    <w:bookmarkEnd w:id="67"/>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Operations, Inc.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2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9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II-64</w:t>
            </w:r>
          </w:p>
        </w:tc>
        <w:tc>
          <w:tcPr>
            <w:tcW w:w="190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68" w:name="page69"/>
    <w:bookmarkEnd w:id="68"/>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CEC Parent Holdings LLC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30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4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4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 of The GEO Group,</w:t>
            </w:r>
          </w:p>
        </w:tc>
        <w:tc>
          <w:tcPr>
            <w:tcW w:w="1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 the Sole Member of CEC Parent Holdings LLC</w:t>
            </w:r>
          </w:p>
        </w:tc>
        <w:tc>
          <w:tcPr>
            <w:tcW w:w="14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II-65</w:t>
      </w:r>
    </w:p>
    <w:p>
      <w:pPr>
        <w:sectPr>
          <w:pgSz w:w="11900" w:h="16838" w:orient="portrait"/>
          <w:cols w:equalWidth="0" w:num="1">
            <w:col w:w="10680"/>
          </w:cols>
          <w:pgMar w:left="580" w:top="266" w:right="639" w:bottom="1440" w:gutter="0" w:footer="0" w:header="0"/>
        </w:sectPr>
      </w:pPr>
    </w:p>
    <w:bookmarkStart w:id="69" w:name="page70"/>
    <w:bookmarkEnd w:id="69"/>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CEC Intermediate Holdings LLC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60" w:type="dxa"/>
            <w:vAlign w:val="bottom"/>
          </w:tcPr>
          <w:p>
            <w:pPr>
              <w:spacing w:after="0"/>
              <w:rPr>
                <w:sz w:val="16"/>
                <w:szCs w:val="16"/>
                <w:color w:val="auto"/>
              </w:rPr>
            </w:pPr>
          </w:p>
        </w:tc>
        <w:tc>
          <w:tcPr>
            <w:tcW w:w="46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80" w:type="dxa"/>
            <w:vAlign w:val="bottom"/>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48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148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80" w:type="dxa"/>
            <w:vAlign w:val="bottom"/>
          </w:tcPr>
          <w:p>
            <w:pPr>
              <w:spacing w:after="0"/>
              <w:rPr>
                <w:sz w:val="19"/>
                <w:szCs w:val="19"/>
                <w:color w:val="auto"/>
              </w:rPr>
            </w:pPr>
          </w:p>
        </w:tc>
      </w:tr>
      <w:tr>
        <w:trPr>
          <w:trHeight w:val="413"/>
        </w:trPr>
        <w:tc>
          <w:tcPr>
            <w:tcW w:w="3340" w:type="dxa"/>
            <w:vAlign w:val="bottom"/>
            <w:gridSpan w:val="3"/>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and Secretary</w:t>
            </w:r>
          </w:p>
        </w:tc>
        <w:tc>
          <w:tcPr>
            <w:tcW w:w="148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 of The GEO Group,</w:t>
            </w:r>
          </w:p>
        </w:tc>
        <w:tc>
          <w:tcPr>
            <w:tcW w:w="148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172"/>
        </w:trPr>
        <w:tc>
          <w:tcPr>
            <w:tcW w:w="334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558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color w:val="auto"/>
              </w:rPr>
              <w:t>Inc., the Sole Member of CEC Parent Holdings LLC, the Sole Member of</w:t>
            </w:r>
          </w:p>
        </w:tc>
        <w:tc>
          <w:tcPr>
            <w:tcW w:w="148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CEC Intermediate Holdings LLC</w:t>
            </w:r>
          </w:p>
        </w:tc>
        <w:tc>
          <w:tcPr>
            <w:tcW w:w="1480" w:type="dxa"/>
            <w:vAlign w:val="bottom"/>
          </w:tcPr>
          <w:p>
            <w:pPr>
              <w:spacing w:after="0"/>
              <w:rPr>
                <w:sz w:val="19"/>
                <w:szCs w:val="19"/>
                <w:color w:val="auto"/>
              </w:rPr>
            </w:pPr>
          </w:p>
        </w:tc>
      </w:tr>
      <w:tr>
        <w:trPr>
          <w:trHeight w:val="44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6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II-66</w:t>
            </w:r>
          </w:p>
        </w:tc>
        <w:tc>
          <w:tcPr>
            <w:tcW w:w="148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70" w:name="page71"/>
    <w:bookmarkEnd w:id="70"/>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CCMAS LLC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44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20" w:type="dxa"/>
            <w:vAlign w:val="bottom"/>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62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62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2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62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4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Director of GEO</w:t>
            </w:r>
          </w:p>
        </w:tc>
        <w:tc>
          <w:tcPr>
            <w:tcW w:w="162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Operations, Inc., the Sole Member of CCMAS LLC</w:t>
            </w:r>
          </w:p>
        </w:tc>
        <w:tc>
          <w:tcPr>
            <w:tcW w:w="162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II-67</w:t>
      </w:r>
    </w:p>
    <w:p>
      <w:pPr>
        <w:sectPr>
          <w:pgSz w:w="11900" w:h="16838" w:orient="portrait"/>
          <w:cols w:equalWidth="0" w:num="1">
            <w:col w:w="10680"/>
          </w:cols>
          <w:pgMar w:left="580" w:top="266" w:right="639" w:bottom="1440" w:gutter="0" w:footer="0" w:header="0"/>
        </w:sectPr>
      </w:pPr>
    </w:p>
    <w:bookmarkStart w:id="71" w:name="page72"/>
    <w:bookmarkEnd w:id="71"/>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Community Education Centers, Inc.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2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II-68</w:t>
            </w:r>
          </w:p>
        </w:tc>
        <w:tc>
          <w:tcPr>
            <w:tcW w:w="190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72" w:name="page73"/>
    <w:bookmarkEnd w:id="72"/>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Minsec Companies, LLC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46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 of The GEO Group,</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 the Sole Member of Minsec Companies, LLC</w:t>
            </w:r>
          </w:p>
        </w:tc>
        <w:tc>
          <w:tcPr>
            <w:tcW w:w="160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II-69</w:t>
      </w:r>
    </w:p>
    <w:p>
      <w:pPr>
        <w:sectPr>
          <w:pgSz w:w="11900" w:h="16838" w:orient="portrait"/>
          <w:cols w:equalWidth="0" w:num="1">
            <w:col w:w="10680"/>
          </w:cols>
          <w:pgMar w:left="580" w:top="266" w:right="639" w:bottom="1440" w:gutter="0" w:footer="0" w:header="0"/>
        </w:sectPr>
      </w:pPr>
    </w:p>
    <w:bookmarkStart w:id="73" w:name="page74"/>
    <w:bookmarkEnd w:id="73"/>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Minsec Treatment, LLC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 and 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46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Manager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Manager of GEO</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Reentry Services, LLC, the Sole Member of Minsec Treatment, LLC</w:t>
            </w:r>
          </w:p>
        </w:tc>
        <w:tc>
          <w:tcPr>
            <w:tcW w:w="160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II-70</w:t>
      </w:r>
    </w:p>
    <w:p>
      <w:pPr>
        <w:sectPr>
          <w:pgSz w:w="11900" w:h="16838" w:orient="portrait"/>
          <w:cols w:equalWidth="0" w:num="1">
            <w:col w:w="10680"/>
          </w:cols>
          <w:pgMar w:left="580" w:top="266" w:right="639" w:bottom="1440" w:gutter="0" w:footer="0" w:header="0"/>
        </w:sectPr>
      </w:pPr>
    </w:p>
    <w:bookmarkStart w:id="74" w:name="page75"/>
    <w:bookmarkEnd w:id="74"/>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CiviGenics, Inc.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 and 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60" w:type="dxa"/>
            <w:vAlign w:val="bottom"/>
          </w:tcPr>
          <w:p>
            <w:pPr>
              <w:spacing w:after="0"/>
              <w:rPr>
                <w:sz w:val="16"/>
                <w:szCs w:val="16"/>
                <w:color w:val="auto"/>
              </w:rPr>
            </w:pPr>
          </w:p>
        </w:tc>
        <w:tc>
          <w:tcPr>
            <w:tcW w:w="42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Finance, Chief Financial Officer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00" w:type="dxa"/>
            <w:vAlign w:val="bottom"/>
          </w:tcPr>
          <w:p>
            <w:pPr>
              <w:spacing w:after="0"/>
              <w:rPr>
                <w:sz w:val="19"/>
                <w:szCs w:val="19"/>
                <w:color w:val="auto"/>
              </w:rPr>
            </w:pPr>
          </w:p>
        </w:tc>
      </w:tr>
      <w:tr>
        <w:trPr>
          <w:trHeight w:val="413"/>
        </w:trPr>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9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9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tc>
        <w:tc>
          <w:tcPr>
            <w:tcW w:w="9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Brian R. Evans</w:t>
            </w:r>
          </w:p>
        </w:tc>
        <w:tc>
          <w:tcPr>
            <w:tcW w:w="96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Attorney-In-Fact</w:t>
            </w:r>
          </w:p>
        </w:tc>
        <w:tc>
          <w:tcPr>
            <w:tcW w:w="9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II-71</w:t>
            </w:r>
          </w:p>
        </w:tc>
        <w:tc>
          <w:tcPr>
            <w:tcW w:w="1900" w:type="dxa"/>
            <w:vAlign w:val="bottom"/>
          </w:tcPr>
          <w:p>
            <w:pPr>
              <w:spacing w:after="0"/>
              <w:rPr>
                <w:sz w:val="24"/>
                <w:szCs w:val="24"/>
                <w:color w:val="auto"/>
              </w:rPr>
            </w:pPr>
          </w:p>
        </w:tc>
      </w:tr>
    </w:tbl>
    <w:p>
      <w:pPr>
        <w:sectPr>
          <w:pgSz w:w="11900" w:h="16838" w:orient="portrait"/>
          <w:cols w:equalWidth="0" w:num="1">
            <w:col w:w="10680"/>
          </w:cols>
          <w:pgMar w:left="580" w:top="266" w:right="639" w:bottom="1440" w:gutter="0" w:footer="0" w:header="0"/>
        </w:sectPr>
      </w:pPr>
    </w:p>
    <w:bookmarkStart w:id="75" w:name="page76"/>
    <w:bookmarkEnd w:id="75"/>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CCC Wyoming Properties, LLC</w:t>
      </w:r>
    </w:p>
    <w:p>
      <w:pPr>
        <w:spacing w:after="0" w:line="216"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4536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860"/>
        <w:spacing w:after="0"/>
        <w:tabs>
          <w:tab w:leader="none" w:pos="740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46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4"/>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George C. Zoley</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00" w:type="dxa"/>
            <w:vAlign w:val="bottom"/>
          </w:tcPr>
          <w:p>
            <w:pPr>
              <w:spacing w:after="0"/>
              <w:rPr>
                <w:sz w:val="19"/>
                <w:szCs w:val="19"/>
                <w:color w:val="auto"/>
              </w:rPr>
            </w:pPr>
          </w:p>
        </w:tc>
      </w:tr>
      <w:tr>
        <w:trPr>
          <w:trHeight w:val="413"/>
        </w:trPr>
        <w:tc>
          <w:tcPr>
            <w:tcW w:w="334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Secretary</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Joe Negron</w:t>
            </w:r>
          </w:p>
        </w:tc>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3"/>
        </w:trPr>
        <w:tc>
          <w:tcPr>
            <w:tcW w:w="3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 of The GEO Group,</w:t>
            </w:r>
          </w:p>
        </w:tc>
        <w:tc>
          <w:tcPr>
            <w:tcW w:w="16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R. Evans</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 the Sole Member of CCC Wyoming Properties, LLC</w:t>
            </w:r>
          </w:p>
        </w:tc>
        <w:tc>
          <w:tcPr>
            <w:tcW w:w="160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II-72</w:t>
      </w:r>
    </w:p>
    <w:p>
      <w:pPr>
        <w:sectPr>
          <w:pgSz w:w="11900" w:h="16838" w:orient="portrait"/>
          <w:cols w:equalWidth="0" w:num="1">
            <w:col w:w="10680"/>
          </w:cols>
          <w:pgMar w:left="580" w:top="266" w:right="639" w:bottom="1440" w:gutter="0" w:footer="0" w:header="0"/>
        </w:sectPr>
      </w:pPr>
    </w:p>
    <w:bookmarkStart w:id="76" w:name="page77"/>
    <w:bookmarkEnd w:id="76"/>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Broad Real Estate Holdings LLC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6"/>
          <w:szCs w:val="16"/>
          <w:color w:val="auto"/>
        </w:rPr>
        <w:t>Title:</w:t>
        <w:tab/>
        <w:t>Vice President, Finance and Chief Financial Officer</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Chief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Secretary</w:t>
      </w:r>
    </w:p>
    <w:p>
      <w:pPr>
        <w:spacing w:after="0" w:line="122" w:lineRule="exact"/>
        <w:rPr>
          <w:sz w:val="20"/>
          <w:szCs w:val="20"/>
          <w:color w:val="auto"/>
        </w:rPr>
      </w:pPr>
    </w:p>
    <w:p>
      <w:pPr>
        <w:jc w:val="both"/>
        <w:ind w:right="520"/>
        <w:spacing w:after="0" w:line="252" w:lineRule="auto"/>
        <w:rPr>
          <w:sz w:val="20"/>
          <w:szCs w:val="20"/>
          <w:color w:val="auto"/>
        </w:rPr>
      </w:pPr>
      <w:r>
        <w:rPr>
          <w:rFonts w:ascii="Times New Roman" w:cs="Times New Roman" w:eastAsia="Times New Roman" w:hAnsi="Times New Roman"/>
          <w:sz w:val="18"/>
          <w:szCs w:val="18"/>
          <w:color w:val="auto"/>
        </w:rPr>
        <w:t>Vice President, Finance, Chief Financial Officer and Director of GEO Operations, Inc., the Sole Member of CCMAS LLC, the Sole Member of Broad Real Estate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II-73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77" w:name="page78"/>
    <w:bookmarkEnd w:id="77"/>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CiviGenics Management Services, LLC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Finance, Chief Financial Officer and</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Secretary and Manager</w:t>
      </w:r>
    </w:p>
    <w:p>
      <w:pPr>
        <w:spacing w:after="0" w:line="122" w:lineRule="exact"/>
        <w:rPr>
          <w:sz w:val="20"/>
          <w:szCs w:val="20"/>
          <w:color w:val="auto"/>
        </w:rPr>
      </w:pPr>
    </w:p>
    <w:p>
      <w:pPr>
        <w:ind w:right="520"/>
        <w:spacing w:after="0" w:line="252" w:lineRule="auto"/>
        <w:rPr>
          <w:sz w:val="20"/>
          <w:szCs w:val="20"/>
          <w:color w:val="auto"/>
        </w:rPr>
      </w:pPr>
      <w:r>
        <w:rPr>
          <w:rFonts w:ascii="Times New Roman" w:cs="Times New Roman" w:eastAsia="Times New Roman" w:hAnsi="Times New Roman"/>
          <w:sz w:val="18"/>
          <w:szCs w:val="18"/>
          <w:color w:val="auto"/>
        </w:rPr>
        <w:t>Vice President, Finance, Chief Financial Officer and Director of CiviGenics, Inc., the Sole Member of CiviGenics Management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II-74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78" w:name="page79"/>
    <w:bookmarkEnd w:id="78"/>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CiviGenics-Texas, Inc.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Finance, Chief Financial Officer and</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Director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Director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Vice President, Secretary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II-75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79" w:name="page80"/>
    <w:bookmarkEnd w:id="79"/>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Fenton Security, LLC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Finance, Chief Financial Officer and</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Secretary and Manager</w:t>
      </w:r>
    </w:p>
    <w:p>
      <w:pPr>
        <w:spacing w:after="0" w:line="122" w:lineRule="exact"/>
        <w:rPr>
          <w:sz w:val="20"/>
          <w:szCs w:val="20"/>
          <w:color w:val="auto"/>
        </w:rPr>
      </w:pPr>
    </w:p>
    <w:p>
      <w:pPr>
        <w:jc w:val="both"/>
        <w:ind w:right="520"/>
        <w:spacing w:after="0" w:line="303" w:lineRule="auto"/>
        <w:rPr>
          <w:sz w:val="20"/>
          <w:szCs w:val="20"/>
          <w:color w:val="auto"/>
        </w:rPr>
      </w:pPr>
      <w:r>
        <w:rPr>
          <w:rFonts w:ascii="Times New Roman" w:cs="Times New Roman" w:eastAsia="Times New Roman" w:hAnsi="Times New Roman"/>
          <w:sz w:val="16"/>
          <w:szCs w:val="16"/>
          <w:color w:val="auto"/>
        </w:rPr>
        <w:t>Vice President, Finance, Chief Financial Officer and Director of Community Education Centers, Inc., the Sole Member of Fenton Security,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II-76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80" w:name="page81"/>
    <w:bookmarkEnd w:id="80"/>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SECON, Inc.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Finance, Chief Financial Officer and</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Director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Director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Director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Vice President, Secretary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II-77</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81" w:name="page82"/>
    <w:bookmarkEnd w:id="81"/>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ADAPPT, LLC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Finance, Chief Financial Officer and</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Secretary and Manager</w:t>
      </w:r>
    </w:p>
    <w:p>
      <w:pPr>
        <w:spacing w:after="0" w:line="122"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Vice President, Finance, Chief Financial Officer and Director of CiviGenics, Inc., the Sole Member of ADAPPT,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II-78</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82" w:name="page83"/>
    <w:bookmarkEnd w:id="82"/>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Community Corrections, LLC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Finance, Chief Financial Officer and</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Secretary and Manager</w:t>
      </w:r>
    </w:p>
    <w:p>
      <w:pPr>
        <w:spacing w:after="0" w:line="122" w:lineRule="exact"/>
        <w:rPr>
          <w:sz w:val="20"/>
          <w:szCs w:val="20"/>
          <w:color w:val="auto"/>
        </w:rPr>
      </w:pPr>
    </w:p>
    <w:p>
      <w:pPr>
        <w:ind w:right="520"/>
        <w:spacing w:after="0" w:line="303" w:lineRule="auto"/>
        <w:rPr>
          <w:sz w:val="20"/>
          <w:szCs w:val="20"/>
          <w:color w:val="auto"/>
        </w:rPr>
      </w:pPr>
      <w:r>
        <w:rPr>
          <w:rFonts w:ascii="Times New Roman" w:cs="Times New Roman" w:eastAsia="Times New Roman" w:hAnsi="Times New Roman"/>
          <w:sz w:val="16"/>
          <w:szCs w:val="16"/>
          <w:color w:val="auto"/>
        </w:rPr>
        <w:t>Vice President, Finance, Chief Financial Officer and Director of CiviGenics, Inc., the Sole Member of Community Corrections,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II-79</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83" w:name="page84"/>
    <w:bookmarkEnd w:id="83"/>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Arapahoe County Residential Center, LLC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Finance, Chief Financial Officer and</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Secretary and Manager</w:t>
      </w:r>
    </w:p>
    <w:p>
      <w:pPr>
        <w:spacing w:after="0" w:line="122"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18"/>
          <w:szCs w:val="18"/>
          <w:color w:val="auto"/>
        </w:rPr>
        <w:t>Vice President, Finance, Chief Financial Officer and Director of CiviGenics, Inc., the Sole Member of Community Corrections, LLC, the Sole Member of Arapahoe County Residential Center,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II-80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84" w:name="page85"/>
    <w:bookmarkEnd w:id="84"/>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CEC Staffing Solutions LLC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Finance, Chief Financial Officer and</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Manager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Chief Financial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Manager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Secretary and Manager</w:t>
      </w:r>
    </w:p>
    <w:p>
      <w:pPr>
        <w:spacing w:after="0" w:line="122" w:lineRule="exact"/>
        <w:rPr>
          <w:sz w:val="20"/>
          <w:szCs w:val="20"/>
          <w:color w:val="auto"/>
        </w:rPr>
      </w:pPr>
    </w:p>
    <w:p>
      <w:pPr>
        <w:jc w:val="both"/>
        <w:ind w:right="520"/>
        <w:spacing w:after="0" w:line="303" w:lineRule="auto"/>
        <w:rPr>
          <w:sz w:val="20"/>
          <w:szCs w:val="20"/>
          <w:color w:val="auto"/>
        </w:rPr>
      </w:pPr>
      <w:r>
        <w:rPr>
          <w:rFonts w:ascii="Times New Roman" w:cs="Times New Roman" w:eastAsia="Times New Roman" w:hAnsi="Times New Roman"/>
          <w:sz w:val="16"/>
          <w:szCs w:val="16"/>
          <w:color w:val="auto"/>
        </w:rPr>
        <w:t>Vice President, Finance, Chief Financial Officer and Director of GEO Operations, Inc., the Sole Member of CEC Staffing Solutions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II-81</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85" w:name="page86"/>
    <w:bookmarkEnd w:id="85"/>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Community Alternatives</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Community Education Centers, Inc., Manager</w:t>
      </w:r>
    </w:p>
    <w:p>
      <w:pPr>
        <w:spacing w:after="0" w:line="214"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6"/>
          <w:szCs w:val="16"/>
          <w:color w:val="auto"/>
        </w:rPr>
        <w:t>Title:</w:t>
        <w:tab/>
        <w:t>Vice President, Finance and Chief Financial Officer</w:t>
      </w:r>
    </w:p>
    <w:p>
      <w:pPr>
        <w:spacing w:after="0" w:line="2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of CCC Wyoming Properties, LLC, a General</w:t>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Partner of Community Alternatives</w:t>
      </w:r>
    </w:p>
    <w:p>
      <w:pPr>
        <w:spacing w:after="0" w:line="19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Shayn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Shayn March</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1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Shayn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w:t>
            </w:r>
          </w:p>
        </w:tc>
        <w:tc>
          <w:tcPr>
            <w:tcW w:w="1780" w:type="dxa"/>
            <w:vAlign w:val="bottom"/>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Officer of CCC Wyoming Properties, LLC, a</w:t>
            </w:r>
          </w:p>
        </w:tc>
        <w:tc>
          <w:tcPr>
            <w:tcW w:w="178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of Community Alternatives</w:t>
            </w:r>
          </w:p>
        </w:tc>
        <w:tc>
          <w:tcPr>
            <w:tcW w:w="1780" w:type="dxa"/>
            <w:vAlign w:val="bottom"/>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Chief Financial Officer</w:t>
            </w:r>
          </w:p>
        </w:tc>
        <w:tc>
          <w:tcPr>
            <w:tcW w:w="1780" w:type="dxa"/>
            <w:vAlign w:val="bottom"/>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Director of Community Education Centers,</w:t>
            </w:r>
          </w:p>
        </w:tc>
        <w:tc>
          <w:tcPr>
            <w:tcW w:w="178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w w:val="97"/>
              </w:rPr>
              <w:t>August 15, 2022</w:t>
            </w: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 Manager of Community Alternatives</w:t>
            </w:r>
          </w:p>
        </w:tc>
        <w:tc>
          <w:tcPr>
            <w:tcW w:w="1780" w:type="dxa"/>
            <w:vAlign w:val="bottom"/>
          </w:tcPr>
          <w:p>
            <w:pPr>
              <w:spacing w:after="0"/>
              <w:rPr>
                <w:sz w:val="19"/>
                <w:szCs w:val="19"/>
                <w:color w:val="auto"/>
              </w:rPr>
            </w:pPr>
          </w:p>
        </w:tc>
      </w:tr>
      <w:tr>
        <w:trPr>
          <w:trHeight w:val="3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178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w w:val="97"/>
              </w:rPr>
              <w:t>August 15,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II-82</w:t>
      </w:r>
    </w:p>
    <w:p>
      <w:pPr>
        <w:sectPr>
          <w:pgSz w:w="11900" w:h="16838" w:orient="portrait"/>
          <w:cols w:equalWidth="0" w:num="2">
            <w:col w:w="3260" w:space="720"/>
            <w:col w:w="6700"/>
          </w:cols>
          <w:pgMar w:left="580" w:top="266" w:right="639" w:bottom="1440" w:gutter="0" w:footer="0" w:header="0"/>
          <w:type w:val="continuous"/>
        </w:sectPr>
      </w:pPr>
    </w:p>
    <w:bookmarkStart w:id="86" w:name="page87"/>
    <w:bookmarkEnd w:id="86"/>
    <w:p>
      <w:pPr>
        <w:ind w:right="2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the requirements of the Securities Act of 1933, the undersigned Registrant has duly caused this Registration Statement to be signed on its behalf by the undersigned, thereunto duly authorized, in the City of Boca Raton, State of Florida, on the 15th day of August, 2022.</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GEO CPM, Inc.</w:t>
      </w:r>
    </w:p>
    <w:p>
      <w:pPr>
        <w:spacing w:after="0" w:line="21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13970</wp:posOffset>
            </wp:positionV>
            <wp:extent cx="23622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6"/>
          <w:szCs w:val="16"/>
          <w:color w:val="auto"/>
        </w:rPr>
        <w:t>Title:</w:t>
        <w:tab/>
        <w:t>Vice President, Chief Financial Officer and Director</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0680"/>
          </w:cols>
          <w:pgMar w:left="580" w:top="266" w:right="639" w:bottom="1440" w:gutter="0" w:footer="0" w:header="0"/>
        </w:sectPr>
      </w:pPr>
    </w:p>
    <w:p>
      <w:pPr>
        <w:spacing w:after="0" w:line="18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Brian R. Evans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9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Negron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869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 Brian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15240</wp:posOffset>
            </wp:positionV>
            <wp:extent cx="24206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Brian R. Evans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Director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Chief Financial Officer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Vice President, Secretary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II-83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2022</w:t>
      </w:r>
    </w:p>
    <w:p>
      <w:pPr>
        <w:sectPr>
          <w:pgSz w:w="11900" w:h="16838" w:orient="portrait"/>
          <w:cols w:equalWidth="0" w:num="3">
            <w:col w:w="3260" w:space="720"/>
            <w:col w:w="3900" w:space="720"/>
            <w:col w:w="2080"/>
          </w:cols>
          <w:pgMar w:left="580" w:top="266" w:right="639"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4.14</w:t>
      </w:r>
    </w:p>
    <w:p>
      <w:pPr>
        <w:spacing w:after="0" w:line="2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as Issuer</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and the</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Initial Guarantors (as defined herein)</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and</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Ankura Trust Company, LLC,</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as Trustee and Second Lien Collateral Trustee</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INDENTURE</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Dated as of [•], 2022</w:t>
      </w:r>
    </w:p>
    <w:p>
      <w:pPr>
        <w:spacing w:after="0" w:line="2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10.500% SENIOR SECOND LIEN SECURED NOTES DUE 2028</w:t>
      </w:r>
    </w:p>
    <w:p>
      <w:pPr>
        <w:sectPr>
          <w:pgSz w:w="11900" w:h="16838" w:orient="portrait"/>
          <w:cols w:equalWidth="0" w:num="1">
            <w:col w:w="9860"/>
          </w:cols>
          <w:pgMar w:left="1440" w:top="119" w:right="5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600" w:type="dxa"/>
            <w:vAlign w:val="bottom"/>
            <w:gridSpan w:val="3"/>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6"/>
              </w:rPr>
              <w:t>CROSS-REFERENCE TABLE*</w:t>
            </w:r>
          </w:p>
        </w:tc>
        <w:tc>
          <w:tcPr>
            <w:tcW w:w="0" w:type="dxa"/>
            <w:vAlign w:val="bottom"/>
          </w:tcPr>
          <w:p>
            <w:pPr>
              <w:spacing w:after="0"/>
              <w:rPr>
                <w:sz w:val="1"/>
                <w:szCs w:val="1"/>
                <w:color w:val="auto"/>
              </w:rPr>
            </w:pPr>
          </w:p>
        </w:tc>
      </w:tr>
      <w:tr>
        <w:trPr>
          <w:trHeight w:val="376"/>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2360" w:type="dxa"/>
            <w:vAlign w:val="bottom"/>
            <w:tcBorders>
              <w:top w:val="single" w:sz="8" w:color="auto"/>
            </w:tcBorders>
          </w:tcPr>
          <w:p>
            <w:pPr>
              <w:spacing w:after="0"/>
              <w:rPr>
                <w:sz w:val="24"/>
                <w:szCs w:val="24"/>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4"/>
                <w:szCs w:val="14"/>
                <w:b w:val="1"/>
                <w:bCs w:val="1"/>
                <w:color w:val="auto"/>
              </w:rPr>
              <w:t>Indenture</w:t>
            </w:r>
          </w:p>
        </w:tc>
        <w:tc>
          <w:tcPr>
            <w:tcW w:w="0" w:type="dxa"/>
            <w:vAlign w:val="bottom"/>
          </w:tcPr>
          <w:p>
            <w:pPr>
              <w:spacing w:after="0"/>
              <w:rPr>
                <w:sz w:val="1"/>
                <w:szCs w:val="1"/>
                <w:color w:val="auto"/>
              </w:rPr>
            </w:pPr>
          </w:p>
        </w:tc>
      </w:tr>
      <w:tr>
        <w:trPr>
          <w:trHeight w:val="169"/>
        </w:trPr>
        <w:tc>
          <w:tcPr>
            <w:tcW w:w="4140" w:type="dxa"/>
            <w:vAlign w:val="bottom"/>
            <w:gridSpan w:val="2"/>
            <w:vMerge w:val="continue"/>
          </w:tcPr>
          <w:p>
            <w:pPr>
              <w:spacing w:after="0"/>
              <w:rPr>
                <w:sz w:val="14"/>
                <w:szCs w:val="14"/>
                <w:color w:val="auto"/>
              </w:rPr>
            </w:pPr>
          </w:p>
        </w:tc>
        <w:tc>
          <w:tcPr>
            <w:tcW w:w="2360" w:type="dxa"/>
            <w:vAlign w:val="bottom"/>
          </w:tcPr>
          <w:p>
            <w:pPr>
              <w:spacing w:after="0"/>
              <w:rPr>
                <w:sz w:val="14"/>
                <w:szCs w:val="14"/>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6"/>
        </w:trPr>
        <w:tc>
          <w:tcPr>
            <w:tcW w:w="4140" w:type="dxa"/>
            <w:vAlign w:val="bottom"/>
            <w:gridSpan w:val="2"/>
            <w:shd w:val="clear" w:color="auto" w:fill="000000"/>
          </w:tcPr>
          <w:p>
            <w:pPr>
              <w:spacing w:after="0"/>
              <w:rPr>
                <w:sz w:val="2"/>
                <w:szCs w:val="2"/>
                <w:color w:val="auto"/>
              </w:rPr>
            </w:pPr>
          </w:p>
        </w:tc>
        <w:tc>
          <w:tcPr>
            <w:tcW w:w="2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310(a)(1)</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(a)(3)</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(a)(4)</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311(a)</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312(a)</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313(a)</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(b)(1)</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(b)(2)</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7.06, 7.07</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7.06, 13.02</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314(a)</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4.03, 13.05</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(c)(1)</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(c)(2)</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(c)(3)</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315(a)</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 (last sentence)</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(a)(1)(B)</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2360" w:type="dxa"/>
            <w:vAlign w:val="bottom"/>
          </w:tcPr>
          <w:p>
            <w:pPr>
              <w:spacing w:after="0"/>
              <w:rPr>
                <w:sz w:val="18"/>
                <w:szCs w:val="18"/>
                <w:color w:val="auto"/>
              </w:rPr>
            </w:pPr>
          </w:p>
        </w:tc>
        <w:tc>
          <w:tcPr>
            <w:tcW w:w="424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6600" w:type="dxa"/>
            <w:vAlign w:val="bottom"/>
            <w:gridSpan w:val="3"/>
          </w:tcPr>
          <w:p>
            <w:pPr>
              <w:ind w:left="5740"/>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315"/>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 means not applicable.</w:t>
            </w:r>
          </w:p>
        </w:tc>
        <w:tc>
          <w:tcPr>
            <w:tcW w:w="2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00" w:type="dxa"/>
            <w:vAlign w:val="bottom"/>
            <w:gridSpan w:val="3"/>
          </w:tcPr>
          <w:p>
            <w:pPr>
              <w:jc w:val="center"/>
              <w:ind w:right="4160"/>
              <w:spacing w:after="0"/>
              <w:rPr>
                <w:sz w:val="20"/>
                <w:szCs w:val="20"/>
                <w:color w:val="auto"/>
              </w:rPr>
            </w:pPr>
            <w:r>
              <w:rPr>
                <w:rFonts w:ascii="Times New Roman" w:cs="Times New Roman" w:eastAsia="Times New Roman" w:hAnsi="Times New Roman"/>
                <w:sz w:val="18"/>
                <w:szCs w:val="18"/>
                <w:color w:val="auto"/>
                <w:w w:val="78"/>
              </w:rPr>
              <w: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48"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89" w:name="page90"/>
    <w:bookmarkEnd w:id="8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This Cross-Reference Table is not part of the Indenture.</w:t>
      </w:r>
    </w:p>
    <w:p>
      <w:pPr>
        <w:sectPr>
          <w:pgSz w:w="11900" w:h="16838" w:orient="portrait"/>
          <w:cols w:equalWidth="0" w:num="1">
            <w:col w:w="10700"/>
          </w:cols>
          <w:pgMar w:left="580" w:top="266" w:right="61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317(a)(1)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318(a)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13.01</w:t>
      </w:r>
    </w:p>
    <w:p>
      <w:pPr>
        <w:spacing w:after="0" w:line="152" w:lineRule="exact"/>
        <w:rPr>
          <w:sz w:val="20"/>
          <w:szCs w:val="20"/>
          <w:color w:val="auto"/>
        </w:rPr>
      </w:pPr>
    </w:p>
    <w:p>
      <w:pPr>
        <w:sectPr>
          <w:pgSz w:w="11900" w:h="16838" w:orient="portrait"/>
          <w:cols w:equalWidth="0" w:num="2">
            <w:col w:w="9580" w:space="720"/>
            <w:col w:w="400"/>
          </w:cols>
          <w:pgMar w:left="580" w:top="266" w:right="6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10700"/>
          </w:cols>
          <w:pgMar w:left="580" w:top="266" w:right="61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17"/>
                <w:szCs w:val="17"/>
                <w:color w:val="auto"/>
              </w:rPr>
            </w:pPr>
          </w:p>
        </w:tc>
      </w:tr>
      <w:tr>
        <w:trPr>
          <w:trHeight w:val="46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CROSS-REFERENCE TABLE*</w:t>
            </w:r>
          </w:p>
        </w:tc>
        <w:tc>
          <w:tcPr>
            <w:tcW w:w="188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98"/>
        </w:trPr>
        <w:tc>
          <w:tcPr>
            <w:tcW w:w="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8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5"/>
              </w:rPr>
              <w:t>ARTICLE ONE</w:t>
            </w:r>
          </w:p>
        </w:tc>
        <w:tc>
          <w:tcPr>
            <w:tcW w:w="1680" w:type="dxa"/>
            <w:vAlign w:val="bottom"/>
          </w:tcPr>
          <w:p>
            <w:pPr>
              <w:spacing w:after="0"/>
              <w:rPr>
                <w:sz w:val="24"/>
                <w:szCs w:val="24"/>
                <w:color w:val="auto"/>
              </w:rPr>
            </w:pPr>
          </w:p>
        </w:tc>
      </w:tr>
      <w:tr>
        <w:trPr>
          <w:trHeight w:val="228"/>
        </w:trPr>
        <w:tc>
          <w:tcPr>
            <w:tcW w:w="960" w:type="dxa"/>
            <w:vAlign w:val="bottom"/>
          </w:tcPr>
          <w:p>
            <w:pPr>
              <w:spacing w:after="0"/>
              <w:rPr>
                <w:sz w:val="19"/>
                <w:szCs w:val="19"/>
                <w:color w:val="auto"/>
              </w:rPr>
            </w:pPr>
          </w:p>
        </w:tc>
        <w:tc>
          <w:tcPr>
            <w:tcW w:w="8040" w:type="dxa"/>
            <w:vAlign w:val="bottom"/>
            <w:gridSpan w:val="3"/>
          </w:tcPr>
          <w:p>
            <w:pPr>
              <w:jc w:val="center"/>
              <w:ind w:left="612"/>
              <w:spacing w:after="0"/>
              <w:rPr>
                <w:sz w:val="20"/>
                <w:szCs w:val="20"/>
                <w:color w:val="auto"/>
              </w:rPr>
            </w:pPr>
            <w:r>
              <w:rPr>
                <w:rFonts w:ascii="Times New Roman" w:cs="Times New Roman" w:eastAsia="Times New Roman" w:hAnsi="Times New Roman"/>
                <w:sz w:val="18"/>
                <w:szCs w:val="18"/>
                <w:color w:val="auto"/>
                <w:w w:val="96"/>
              </w:rPr>
              <w:t>DEFINITIONS AND INCORPORATION BY REFERENCE</w:t>
            </w:r>
          </w:p>
        </w:tc>
        <w:tc>
          <w:tcPr>
            <w:tcW w:w="1680" w:type="dxa"/>
            <w:vAlign w:val="bottom"/>
          </w:tcPr>
          <w:p>
            <w:pPr>
              <w:spacing w:after="0"/>
              <w:rPr>
                <w:sz w:val="19"/>
                <w:szCs w:val="19"/>
                <w:color w:val="auto"/>
              </w:rPr>
            </w:pPr>
          </w:p>
        </w:tc>
      </w:tr>
      <w:tr>
        <w:trPr>
          <w:trHeight w:val="29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1.03  Incorporation by Reference of Trust Indenture Act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8"/>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1.04  Rules of Construction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8"/>
        </w:trPr>
        <w:tc>
          <w:tcPr>
            <w:tcW w:w="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8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5"/>
              </w:rPr>
              <w:t>ARTICLE TWO</w:t>
            </w:r>
          </w:p>
        </w:tc>
        <w:tc>
          <w:tcPr>
            <w:tcW w:w="1680" w:type="dxa"/>
            <w:vAlign w:val="bottom"/>
          </w:tcPr>
          <w:p>
            <w:pPr>
              <w:spacing w:after="0"/>
              <w:rPr>
                <w:sz w:val="24"/>
                <w:szCs w:val="24"/>
                <w:color w:val="auto"/>
              </w:rPr>
            </w:pPr>
          </w:p>
        </w:tc>
      </w:tr>
      <w:tr>
        <w:trPr>
          <w:trHeight w:val="228"/>
        </w:trPr>
        <w:tc>
          <w:tcPr>
            <w:tcW w:w="9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58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8"/>
              </w:rPr>
              <w:t>THE NOTES</w:t>
            </w:r>
          </w:p>
        </w:tc>
        <w:tc>
          <w:tcPr>
            <w:tcW w:w="1680" w:type="dxa"/>
            <w:vAlign w:val="bottom"/>
          </w:tcPr>
          <w:p>
            <w:pPr>
              <w:spacing w:after="0"/>
              <w:rPr>
                <w:sz w:val="19"/>
                <w:szCs w:val="19"/>
                <w:color w:val="auto"/>
              </w:rPr>
            </w:pPr>
          </w:p>
        </w:tc>
      </w:tr>
      <w:tr>
        <w:trPr>
          <w:trHeight w:val="298"/>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2.01  Form and Dating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2.02  Execution and Authentication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2.03  Methods of Receiving Payments on the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2.04  Registrar and Paying Agent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2.05  Paying Agent to Hold Money in Trust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2.07  Registration, Registration of Transfer and Exchange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2.08  Book Entry Provisions for Global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Replacement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Outstanding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Treasury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Defaulted Interest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Numbers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8"/>
        </w:trPr>
        <w:tc>
          <w:tcPr>
            <w:tcW w:w="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8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color w:val="auto"/>
                <w:w w:val="96"/>
              </w:rPr>
              <w:t>ARTICLE THREE</w:t>
            </w:r>
          </w:p>
        </w:tc>
        <w:tc>
          <w:tcPr>
            <w:tcW w:w="1680" w:type="dxa"/>
            <w:vAlign w:val="bottom"/>
          </w:tcPr>
          <w:p>
            <w:pPr>
              <w:spacing w:after="0"/>
              <w:rPr>
                <w:sz w:val="24"/>
                <w:szCs w:val="24"/>
                <w:color w:val="auto"/>
              </w:rPr>
            </w:pPr>
          </w:p>
        </w:tc>
      </w:tr>
      <w:tr>
        <w:trPr>
          <w:trHeight w:val="228"/>
        </w:trPr>
        <w:tc>
          <w:tcPr>
            <w:tcW w:w="960" w:type="dxa"/>
            <w:vAlign w:val="bottom"/>
          </w:tcPr>
          <w:p>
            <w:pPr>
              <w:spacing w:after="0"/>
              <w:rPr>
                <w:sz w:val="19"/>
                <w:szCs w:val="19"/>
                <w:color w:val="auto"/>
              </w:rPr>
            </w:pPr>
          </w:p>
        </w:tc>
        <w:tc>
          <w:tcPr>
            <w:tcW w:w="804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5"/>
              </w:rPr>
              <w:t>REDEMPTION AND PREPAYMENT</w:t>
            </w:r>
          </w:p>
        </w:tc>
        <w:tc>
          <w:tcPr>
            <w:tcW w:w="1680" w:type="dxa"/>
            <w:vAlign w:val="bottom"/>
          </w:tcPr>
          <w:p>
            <w:pPr>
              <w:spacing w:after="0"/>
              <w:rPr>
                <w:sz w:val="19"/>
                <w:szCs w:val="19"/>
                <w:color w:val="auto"/>
              </w:rPr>
            </w:pPr>
          </w:p>
        </w:tc>
      </w:tr>
      <w:tr>
        <w:trPr>
          <w:trHeight w:val="298"/>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3.02  Selection of Notes to Be Redeemed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3.05  Deposit of Redemption Price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3.06  Notes Redeemed in Part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Optional Redemption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AHYDO Catch-Up</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Repurchase Offers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8"/>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3.10  Application of Trust Money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8"/>
        </w:trPr>
        <w:tc>
          <w:tcPr>
            <w:tcW w:w="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8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color w:val="auto"/>
                <w:w w:val="96"/>
              </w:rPr>
              <w:t>ARTICLE FOUR</w:t>
            </w:r>
          </w:p>
        </w:tc>
        <w:tc>
          <w:tcPr>
            <w:tcW w:w="1680" w:type="dxa"/>
            <w:vAlign w:val="bottom"/>
          </w:tcPr>
          <w:p>
            <w:pPr>
              <w:spacing w:after="0"/>
              <w:rPr>
                <w:sz w:val="24"/>
                <w:szCs w:val="24"/>
                <w:color w:val="auto"/>
              </w:rPr>
            </w:pPr>
          </w:p>
        </w:tc>
      </w:tr>
      <w:tr>
        <w:trPr>
          <w:trHeight w:val="228"/>
        </w:trPr>
        <w:tc>
          <w:tcPr>
            <w:tcW w:w="9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58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color w:val="auto"/>
                <w:w w:val="97"/>
              </w:rPr>
              <w:t>COVENANTS</w:t>
            </w:r>
          </w:p>
        </w:tc>
        <w:tc>
          <w:tcPr>
            <w:tcW w:w="1680" w:type="dxa"/>
            <w:vAlign w:val="bottom"/>
          </w:tcPr>
          <w:p>
            <w:pPr>
              <w:spacing w:after="0"/>
              <w:rPr>
                <w:sz w:val="19"/>
                <w:szCs w:val="19"/>
                <w:color w:val="auto"/>
              </w:rPr>
            </w:pPr>
          </w:p>
        </w:tc>
      </w:tr>
      <w:tr>
        <w:trPr>
          <w:trHeight w:val="298"/>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4.01  Payment of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Reports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Compliance Certificate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8"/>
        </w:trPr>
        <w:tc>
          <w:tcPr>
            <w:tcW w:w="9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4.06  Stay, Extension and Usury 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80"/>
          </w:cols>
          <w:pgMar w:left="580" w:top="248" w:right="6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Dividend and Other Payment Restrictions Affecting Restricted Subsidiaries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4.09  Incurrence of Indebtedness and Issuance of Preferred Stock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Sales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Transactions with Affiliates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4.13  Certain Financial Covenants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4.14  Offer to Repurchase upon a Change of Control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4.15  Designation of Restricted and Unrestricted Subsidiaries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4.16  Payments for Consent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4.17  Sale and Leaseback Transactions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4.18  Additional Note Guarantees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4.19  Foreign Subsidiary Unrestricted Cash</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4.20  Financial Calculations for Limited Condition Transactions; Certain Calculations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98"/>
        </w:trPr>
        <w:tc>
          <w:tcPr>
            <w:tcW w:w="960" w:type="dxa"/>
            <w:vAlign w:val="bottom"/>
          </w:tcPr>
          <w:p>
            <w:pPr>
              <w:spacing w:after="0"/>
              <w:rPr>
                <w:sz w:val="24"/>
                <w:szCs w:val="24"/>
                <w:color w:val="auto"/>
              </w:rPr>
            </w:pPr>
          </w:p>
        </w:tc>
        <w:tc>
          <w:tcPr>
            <w:tcW w:w="776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6"/>
              </w:rPr>
              <w:t>ARTICLE FIVE</w:t>
            </w:r>
          </w:p>
        </w:tc>
        <w:tc>
          <w:tcPr>
            <w:tcW w:w="1960" w:type="dxa"/>
            <w:vAlign w:val="bottom"/>
          </w:tcPr>
          <w:p>
            <w:pPr>
              <w:spacing w:after="0"/>
              <w:rPr>
                <w:sz w:val="24"/>
                <w:szCs w:val="24"/>
                <w:color w:val="auto"/>
              </w:rPr>
            </w:pPr>
          </w:p>
        </w:tc>
      </w:tr>
      <w:tr>
        <w:trPr>
          <w:trHeight w:val="228"/>
        </w:trPr>
        <w:tc>
          <w:tcPr>
            <w:tcW w:w="960" w:type="dxa"/>
            <w:vAlign w:val="bottom"/>
          </w:tcPr>
          <w:p>
            <w:pPr>
              <w:spacing w:after="0"/>
              <w:rPr>
                <w:sz w:val="19"/>
                <w:szCs w:val="19"/>
                <w:color w:val="auto"/>
              </w:rPr>
            </w:pPr>
          </w:p>
        </w:tc>
        <w:tc>
          <w:tcPr>
            <w:tcW w:w="776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7"/>
              </w:rPr>
              <w:t>SUCCESSORS</w:t>
            </w:r>
          </w:p>
        </w:tc>
        <w:tc>
          <w:tcPr>
            <w:tcW w:w="1960" w:type="dxa"/>
            <w:vAlign w:val="bottom"/>
          </w:tcPr>
          <w:p>
            <w:pPr>
              <w:spacing w:after="0"/>
              <w:rPr>
                <w:sz w:val="19"/>
                <w:szCs w:val="19"/>
                <w:color w:val="auto"/>
              </w:rPr>
            </w:pPr>
          </w:p>
        </w:tc>
      </w:tr>
      <w:tr>
        <w:trPr>
          <w:trHeight w:val="29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Merger, Consolidation or Sale of Assets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Successor Corporation Substituted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98"/>
        </w:trPr>
        <w:tc>
          <w:tcPr>
            <w:tcW w:w="960" w:type="dxa"/>
            <w:vAlign w:val="bottom"/>
          </w:tcPr>
          <w:p>
            <w:pPr>
              <w:spacing w:after="0"/>
              <w:rPr>
                <w:sz w:val="24"/>
                <w:szCs w:val="24"/>
                <w:color w:val="auto"/>
              </w:rPr>
            </w:pPr>
          </w:p>
        </w:tc>
        <w:tc>
          <w:tcPr>
            <w:tcW w:w="776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4"/>
              </w:rPr>
              <w:t>ARTICLE SIX</w:t>
            </w:r>
          </w:p>
        </w:tc>
        <w:tc>
          <w:tcPr>
            <w:tcW w:w="1960" w:type="dxa"/>
            <w:vAlign w:val="bottom"/>
          </w:tcPr>
          <w:p>
            <w:pPr>
              <w:spacing w:after="0"/>
              <w:rPr>
                <w:sz w:val="24"/>
                <w:szCs w:val="24"/>
                <w:color w:val="auto"/>
              </w:rPr>
            </w:pPr>
          </w:p>
        </w:tc>
      </w:tr>
      <w:tr>
        <w:trPr>
          <w:trHeight w:val="228"/>
        </w:trPr>
        <w:tc>
          <w:tcPr>
            <w:tcW w:w="960" w:type="dxa"/>
            <w:vAlign w:val="bottom"/>
          </w:tcPr>
          <w:p>
            <w:pPr>
              <w:spacing w:after="0"/>
              <w:rPr>
                <w:sz w:val="19"/>
                <w:szCs w:val="19"/>
                <w:color w:val="auto"/>
              </w:rPr>
            </w:pPr>
          </w:p>
        </w:tc>
        <w:tc>
          <w:tcPr>
            <w:tcW w:w="776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5"/>
              </w:rPr>
              <w:t>DEFAULTS AND REMEDIES</w:t>
            </w:r>
          </w:p>
        </w:tc>
        <w:tc>
          <w:tcPr>
            <w:tcW w:w="1960" w:type="dxa"/>
            <w:vAlign w:val="bottom"/>
          </w:tcPr>
          <w:p>
            <w:pPr>
              <w:spacing w:after="0"/>
              <w:rPr>
                <w:sz w:val="19"/>
                <w:szCs w:val="19"/>
                <w:color w:val="auto"/>
              </w:rPr>
            </w:pPr>
          </w:p>
        </w:tc>
      </w:tr>
      <w:tr>
        <w:trPr>
          <w:trHeight w:val="29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Remedies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98"/>
        </w:trPr>
        <w:tc>
          <w:tcPr>
            <w:tcW w:w="960" w:type="dxa"/>
            <w:vAlign w:val="bottom"/>
          </w:tcPr>
          <w:p>
            <w:pPr>
              <w:spacing w:after="0"/>
              <w:rPr>
                <w:sz w:val="24"/>
                <w:szCs w:val="24"/>
                <w:color w:val="auto"/>
              </w:rPr>
            </w:pPr>
          </w:p>
        </w:tc>
        <w:tc>
          <w:tcPr>
            <w:tcW w:w="776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6"/>
              </w:rPr>
              <w:t>ARTICLE SEVEN</w:t>
            </w:r>
          </w:p>
        </w:tc>
        <w:tc>
          <w:tcPr>
            <w:tcW w:w="1960" w:type="dxa"/>
            <w:vAlign w:val="bottom"/>
          </w:tcPr>
          <w:p>
            <w:pPr>
              <w:spacing w:after="0"/>
              <w:rPr>
                <w:sz w:val="24"/>
                <w:szCs w:val="24"/>
                <w:color w:val="auto"/>
              </w:rPr>
            </w:pPr>
          </w:p>
        </w:tc>
      </w:tr>
      <w:tr>
        <w:trPr>
          <w:trHeight w:val="228"/>
        </w:trPr>
        <w:tc>
          <w:tcPr>
            <w:tcW w:w="960" w:type="dxa"/>
            <w:vAlign w:val="bottom"/>
          </w:tcPr>
          <w:p>
            <w:pPr>
              <w:spacing w:after="0"/>
              <w:rPr>
                <w:sz w:val="19"/>
                <w:szCs w:val="19"/>
                <w:color w:val="auto"/>
              </w:rPr>
            </w:pPr>
          </w:p>
        </w:tc>
        <w:tc>
          <w:tcPr>
            <w:tcW w:w="776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6"/>
              </w:rPr>
              <w:t>TRUSTEE AND COLLATERAL TRUSTEE</w:t>
            </w:r>
          </w:p>
        </w:tc>
        <w:tc>
          <w:tcPr>
            <w:tcW w:w="1960" w:type="dxa"/>
            <w:vAlign w:val="bottom"/>
          </w:tcPr>
          <w:p>
            <w:pPr>
              <w:spacing w:after="0"/>
              <w:rPr>
                <w:sz w:val="19"/>
                <w:szCs w:val="19"/>
                <w:color w:val="auto"/>
              </w:rPr>
            </w:pPr>
          </w:p>
        </w:tc>
      </w:tr>
      <w:tr>
        <w:trPr>
          <w:trHeight w:val="29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Duties of Trustee and Second Lien Collateral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Certain Rights of Trustee and Second Lien Collateral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Individual Rights of Trustee or Second Lien Collateral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Disclaimer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7.06  Reports by Trustee to Holders of the Notes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Compensation and Indemnity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Replacement of Trustee or Second Lien Collateral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7.09  Successor by Merger,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7.11  Preferential Collection of Claims Against Company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7.12  Application for Instructions from the Company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680"/>
          </w:cols>
          <w:pgMar w:left="580" w:top="266" w:right="6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EIGHT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DEFEASANCE AND COVENANT DEFEASANCE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the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8"/>
        </w:trPr>
        <w:tc>
          <w:tcPr>
            <w:tcW w:w="1060" w:type="dxa"/>
            <w:vAlign w:val="bottom"/>
          </w:tcPr>
          <w:p>
            <w:pPr>
              <w:spacing w:after="0"/>
              <w:rPr>
                <w:sz w:val="24"/>
                <w:szCs w:val="24"/>
                <w:color w:val="auto"/>
              </w:rPr>
            </w:pPr>
          </w:p>
        </w:tc>
        <w:tc>
          <w:tcPr>
            <w:tcW w:w="9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7"/>
              </w:rPr>
              <w:t>ARTICLE NINE</w:t>
            </w:r>
          </w:p>
        </w:tc>
        <w:tc>
          <w:tcPr>
            <w:tcW w:w="360" w:type="dxa"/>
            <w:vAlign w:val="bottom"/>
          </w:tcPr>
          <w:p>
            <w:pPr>
              <w:spacing w:after="0"/>
              <w:rPr>
                <w:sz w:val="24"/>
                <w:szCs w:val="24"/>
                <w:color w:val="auto"/>
              </w:rPr>
            </w:pPr>
          </w:p>
        </w:tc>
      </w:tr>
      <w:tr>
        <w:trPr>
          <w:trHeight w:val="228"/>
        </w:trPr>
        <w:tc>
          <w:tcPr>
            <w:tcW w:w="1060" w:type="dxa"/>
            <w:vAlign w:val="bottom"/>
          </w:tcPr>
          <w:p>
            <w:pPr>
              <w:spacing w:after="0"/>
              <w:rPr>
                <w:sz w:val="19"/>
                <w:szCs w:val="19"/>
                <w:color w:val="auto"/>
              </w:rPr>
            </w:pPr>
          </w:p>
        </w:tc>
        <w:tc>
          <w:tcPr>
            <w:tcW w:w="9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6"/>
              </w:rPr>
              <w:t>AMENDMENT, SUPPLEMENT AND WAIVER</w:t>
            </w:r>
          </w:p>
        </w:tc>
        <w:tc>
          <w:tcPr>
            <w:tcW w:w="360" w:type="dxa"/>
            <w:vAlign w:val="bottom"/>
          </w:tcPr>
          <w:p>
            <w:pPr>
              <w:spacing w:after="0"/>
              <w:rPr>
                <w:sz w:val="19"/>
                <w:szCs w:val="19"/>
                <w:color w:val="auto"/>
              </w:rPr>
            </w:pPr>
          </w:p>
        </w:tc>
      </w:tr>
      <w:tr>
        <w:trPr>
          <w:trHeight w:val="2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Consent of Holders of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 of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and Second Lien Collateral Trustee to Sign Amendments,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98"/>
        </w:trPr>
        <w:tc>
          <w:tcPr>
            <w:tcW w:w="1060" w:type="dxa"/>
            <w:vAlign w:val="bottom"/>
          </w:tcPr>
          <w:p>
            <w:pPr>
              <w:spacing w:after="0"/>
              <w:rPr>
                <w:sz w:val="24"/>
                <w:szCs w:val="24"/>
                <w:color w:val="auto"/>
              </w:rPr>
            </w:pPr>
          </w:p>
        </w:tc>
        <w:tc>
          <w:tcPr>
            <w:tcW w:w="9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6"/>
              </w:rPr>
              <w:t>ARTICLE TEN</w:t>
            </w:r>
          </w:p>
        </w:tc>
        <w:tc>
          <w:tcPr>
            <w:tcW w:w="360" w:type="dxa"/>
            <w:vAlign w:val="bottom"/>
          </w:tcPr>
          <w:p>
            <w:pPr>
              <w:spacing w:after="0"/>
              <w:rPr>
                <w:sz w:val="24"/>
                <w:szCs w:val="24"/>
                <w:color w:val="auto"/>
              </w:rPr>
            </w:pPr>
          </w:p>
        </w:tc>
      </w:tr>
      <w:tr>
        <w:trPr>
          <w:trHeight w:val="228"/>
        </w:trPr>
        <w:tc>
          <w:tcPr>
            <w:tcW w:w="1060" w:type="dxa"/>
            <w:vAlign w:val="bottom"/>
          </w:tcPr>
          <w:p>
            <w:pPr>
              <w:spacing w:after="0"/>
              <w:rPr>
                <w:sz w:val="19"/>
                <w:szCs w:val="19"/>
                <w:color w:val="auto"/>
              </w:rPr>
            </w:pPr>
          </w:p>
        </w:tc>
        <w:tc>
          <w:tcPr>
            <w:tcW w:w="9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7"/>
              </w:rPr>
              <w:t>NOTE GUARANTEES</w:t>
            </w:r>
          </w:p>
        </w:tc>
        <w:tc>
          <w:tcPr>
            <w:tcW w:w="360" w:type="dxa"/>
            <w:vAlign w:val="bottom"/>
          </w:tcPr>
          <w:p>
            <w:pPr>
              <w:spacing w:after="0"/>
              <w:rPr>
                <w:sz w:val="19"/>
                <w:szCs w:val="19"/>
                <w:color w:val="auto"/>
              </w:rPr>
            </w:pPr>
          </w:p>
        </w:tc>
      </w:tr>
      <w:tr>
        <w:trPr>
          <w:trHeight w:val="2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Guarantor Liability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and Delivery of a Supplemental Indenture Relating to a Note Guarantee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Guarantors May Consolidate, Etc., on Certain Terms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a Guarantor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98"/>
        </w:trPr>
        <w:tc>
          <w:tcPr>
            <w:tcW w:w="1060" w:type="dxa"/>
            <w:vAlign w:val="bottom"/>
          </w:tcPr>
          <w:p>
            <w:pPr>
              <w:spacing w:after="0"/>
              <w:rPr>
                <w:sz w:val="24"/>
                <w:szCs w:val="24"/>
                <w:color w:val="auto"/>
              </w:rPr>
            </w:pPr>
          </w:p>
        </w:tc>
        <w:tc>
          <w:tcPr>
            <w:tcW w:w="9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5"/>
              </w:rPr>
              <w:t>ARTICLE ELEVEN</w:t>
            </w:r>
          </w:p>
        </w:tc>
        <w:tc>
          <w:tcPr>
            <w:tcW w:w="360" w:type="dxa"/>
            <w:vAlign w:val="bottom"/>
          </w:tcPr>
          <w:p>
            <w:pPr>
              <w:spacing w:after="0"/>
              <w:rPr>
                <w:sz w:val="24"/>
                <w:szCs w:val="24"/>
                <w:color w:val="auto"/>
              </w:rPr>
            </w:pPr>
          </w:p>
        </w:tc>
      </w:tr>
      <w:tr>
        <w:trPr>
          <w:trHeight w:val="228"/>
        </w:trPr>
        <w:tc>
          <w:tcPr>
            <w:tcW w:w="1060" w:type="dxa"/>
            <w:vAlign w:val="bottom"/>
          </w:tcPr>
          <w:p>
            <w:pPr>
              <w:spacing w:after="0"/>
              <w:rPr>
                <w:sz w:val="19"/>
                <w:szCs w:val="19"/>
                <w:color w:val="auto"/>
              </w:rPr>
            </w:pPr>
          </w:p>
        </w:tc>
        <w:tc>
          <w:tcPr>
            <w:tcW w:w="9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6"/>
              </w:rPr>
              <w:t>SATISFACTION AND DISCHARGE</w:t>
            </w:r>
          </w:p>
        </w:tc>
        <w:tc>
          <w:tcPr>
            <w:tcW w:w="360" w:type="dxa"/>
            <w:vAlign w:val="bottom"/>
          </w:tcPr>
          <w:p>
            <w:pPr>
              <w:spacing w:after="0"/>
              <w:rPr>
                <w:sz w:val="19"/>
                <w:szCs w:val="19"/>
                <w:color w:val="auto"/>
              </w:rPr>
            </w:pPr>
          </w:p>
        </w:tc>
      </w:tr>
      <w:tr>
        <w:trPr>
          <w:trHeight w:val="2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the 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98"/>
        </w:trPr>
        <w:tc>
          <w:tcPr>
            <w:tcW w:w="1060" w:type="dxa"/>
            <w:vAlign w:val="bottom"/>
          </w:tcPr>
          <w:p>
            <w:pPr>
              <w:spacing w:after="0"/>
              <w:rPr>
                <w:sz w:val="24"/>
                <w:szCs w:val="24"/>
                <w:color w:val="auto"/>
              </w:rPr>
            </w:pPr>
          </w:p>
        </w:tc>
        <w:tc>
          <w:tcPr>
            <w:tcW w:w="9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5"/>
              </w:rPr>
              <w:t>ARTICLE TWELVE</w:t>
            </w:r>
          </w:p>
        </w:tc>
        <w:tc>
          <w:tcPr>
            <w:tcW w:w="360" w:type="dxa"/>
            <w:vAlign w:val="bottom"/>
          </w:tcPr>
          <w:p>
            <w:pPr>
              <w:spacing w:after="0"/>
              <w:rPr>
                <w:sz w:val="24"/>
                <w:szCs w:val="24"/>
                <w:color w:val="auto"/>
              </w:rPr>
            </w:pPr>
          </w:p>
        </w:tc>
      </w:tr>
      <w:tr>
        <w:trPr>
          <w:trHeight w:val="228"/>
        </w:trPr>
        <w:tc>
          <w:tcPr>
            <w:tcW w:w="1060" w:type="dxa"/>
            <w:vAlign w:val="bottom"/>
          </w:tcPr>
          <w:p>
            <w:pPr>
              <w:spacing w:after="0"/>
              <w:rPr>
                <w:sz w:val="19"/>
                <w:szCs w:val="19"/>
                <w:color w:val="auto"/>
              </w:rPr>
            </w:pPr>
          </w:p>
        </w:tc>
        <w:tc>
          <w:tcPr>
            <w:tcW w:w="9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6"/>
              </w:rPr>
              <w:t>COLLATERAL AND SECURITY</w:t>
            </w:r>
          </w:p>
        </w:tc>
        <w:tc>
          <w:tcPr>
            <w:tcW w:w="360" w:type="dxa"/>
            <w:vAlign w:val="bottom"/>
          </w:tcPr>
          <w:p>
            <w:pPr>
              <w:spacing w:after="0"/>
              <w:rPr>
                <w:sz w:val="19"/>
                <w:szCs w:val="19"/>
                <w:color w:val="auto"/>
              </w:rPr>
            </w:pPr>
          </w:p>
        </w:tc>
      </w:tr>
      <w:tr>
        <w:trPr>
          <w:trHeight w:val="2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Second Lien Collateral Trust Agreement, First Lien/Second Lien Intercreditor Agreement and any Other Approved Intercreditor</w:t>
            </w:r>
          </w:p>
        </w:tc>
        <w:tc>
          <w:tcPr>
            <w:tcW w:w="360" w:type="dxa"/>
            <w:vAlign w:val="bottom"/>
          </w:tcPr>
          <w:p>
            <w:pPr>
              <w:spacing w:after="0"/>
              <w:rPr>
                <w:sz w:val="18"/>
                <w:szCs w:val="18"/>
                <w:color w:val="auto"/>
              </w:rPr>
            </w:pPr>
          </w:p>
        </w:tc>
      </w:tr>
      <w:tr>
        <w:trPr>
          <w:trHeight w:val="210"/>
        </w:trPr>
        <w:tc>
          <w:tcPr>
            <w:tcW w:w="1060" w:type="dxa"/>
            <w:vAlign w:val="bottom"/>
          </w:tcPr>
          <w:p>
            <w:pPr>
              <w:spacing w:after="0"/>
              <w:rPr>
                <w:sz w:val="18"/>
                <w:szCs w:val="18"/>
                <w:color w:val="auto"/>
              </w:rPr>
            </w:pP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Second Lien Collateral Trustee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Shared Equally and Ratably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Liens on Collateral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Real Estate Deliverables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98"/>
        </w:trPr>
        <w:tc>
          <w:tcPr>
            <w:tcW w:w="1060" w:type="dxa"/>
            <w:vAlign w:val="bottom"/>
          </w:tcPr>
          <w:p>
            <w:pPr>
              <w:spacing w:after="0"/>
              <w:rPr>
                <w:sz w:val="24"/>
                <w:szCs w:val="24"/>
                <w:color w:val="auto"/>
              </w:rPr>
            </w:pPr>
          </w:p>
        </w:tc>
        <w:tc>
          <w:tcPr>
            <w:tcW w:w="926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6"/>
              </w:rPr>
              <w:t>ARTICLE THIRTEEN</w:t>
            </w:r>
          </w:p>
        </w:tc>
        <w:tc>
          <w:tcPr>
            <w:tcW w:w="360" w:type="dxa"/>
            <w:vAlign w:val="bottom"/>
          </w:tcPr>
          <w:p>
            <w:pPr>
              <w:spacing w:after="0"/>
              <w:rPr>
                <w:sz w:val="24"/>
                <w:szCs w:val="24"/>
                <w:color w:val="auto"/>
              </w:rPr>
            </w:pPr>
          </w:p>
        </w:tc>
      </w:tr>
      <w:tr>
        <w:trPr>
          <w:trHeight w:val="228"/>
        </w:trPr>
        <w:tc>
          <w:tcPr>
            <w:tcW w:w="1060" w:type="dxa"/>
            <w:vAlign w:val="bottom"/>
          </w:tcPr>
          <w:p>
            <w:pPr>
              <w:spacing w:after="0"/>
              <w:rPr>
                <w:sz w:val="19"/>
                <w:szCs w:val="19"/>
                <w:color w:val="auto"/>
              </w:rPr>
            </w:pPr>
          </w:p>
        </w:tc>
        <w:tc>
          <w:tcPr>
            <w:tcW w:w="926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w w:val="97"/>
              </w:rPr>
              <w:t>MISCELLANEOUS</w:t>
            </w:r>
          </w:p>
        </w:tc>
        <w:tc>
          <w:tcPr>
            <w:tcW w:w="360" w:type="dxa"/>
            <w:vAlign w:val="bottom"/>
          </w:tcPr>
          <w:p>
            <w:pPr>
              <w:spacing w:after="0"/>
              <w:rPr>
                <w:sz w:val="19"/>
                <w:szCs w:val="19"/>
                <w:color w:val="auto"/>
              </w:rPr>
            </w:pPr>
          </w:p>
        </w:tc>
      </w:tr>
      <w:tr>
        <w:trPr>
          <w:trHeight w:val="2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 by Holders of Notes with Other Holders of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680"/>
          </w:cols>
          <w:pgMar w:left="580" w:top="266" w:right="6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13.06  Rules by Trustee and Agents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13.07  No Personal Liability of Directors, Officers, Managers, Employees, Stockholders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13.09  Consent to Jurisdiction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13.10  No Adverse Interpretation of Other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 Originals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Acts of 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13.15  Benefit of Indenture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13.16  Table of Contents, Headings,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13.17  Waiver of Jury Trial</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13.18</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13.19  U.S.A. Patriot Act.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6"/>
          <w:szCs w:val="16"/>
          <w:color w:val="auto"/>
        </w:rPr>
        <w:t>FORM OF NOTE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Annex I</w:t>
      </w:r>
      <w:r>
        <w:rPr>
          <w:sz w:val="20"/>
          <w:szCs w:val="20"/>
          <w:color w:val="auto"/>
        </w:rPr>
        <w:tab/>
      </w:r>
      <w:r>
        <w:rPr>
          <w:rFonts w:ascii="Times New Roman" w:cs="Times New Roman" w:eastAsia="Times New Roman" w:hAnsi="Times New Roman"/>
          <w:sz w:val="16"/>
          <w:szCs w:val="16"/>
          <w:color w:val="auto"/>
        </w:rPr>
        <w:t>ISSUE DATE MORTGAGED PROPERTIES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680"/>
          </w:cols>
          <w:pgMar w:left="580" w:top="266" w:right="639" w:bottom="1440" w:gutter="0" w:footer="0" w:header="0"/>
        </w:sectPr>
      </w:pPr>
    </w:p>
    <w:bookmarkStart w:id="94" w:name="page95"/>
    <w:bookmarkEnd w:id="94"/>
    <w:p>
      <w:pPr>
        <w:ind w:right="420" w:firstLine="965"/>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INDENTURE </w:t>
      </w:r>
      <w:r>
        <w:rPr>
          <w:rFonts w:ascii="Times New Roman" w:cs="Times New Roman" w:eastAsia="Times New Roman" w:hAnsi="Times New Roman"/>
          <w:sz w:val="18"/>
          <w:szCs w:val="18"/>
          <w:color w:val="auto"/>
        </w:rPr>
        <w:t>dated as of [•], 2022 among The GEO Group, Inc., a Florida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Initial Guarantors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herein) and Ankura Trust Company, LLC, as Trustee and Second Lien Collateral Trustee (each, as defined below).</w:t>
      </w:r>
    </w:p>
    <w:p>
      <w:pPr>
        <w:spacing w:after="0" w:line="167" w:lineRule="exact"/>
        <w:rPr>
          <w:sz w:val="20"/>
          <w:szCs w:val="20"/>
          <w:color w:val="auto"/>
        </w:rPr>
      </w:pPr>
    </w:p>
    <w:p>
      <w:pPr>
        <w:ind w:firstLine="965"/>
        <w:spacing w:after="0" w:line="268" w:lineRule="auto"/>
        <w:rPr>
          <w:sz w:val="20"/>
          <w:szCs w:val="20"/>
          <w:color w:val="auto"/>
        </w:rPr>
      </w:pPr>
      <w:r>
        <w:rPr>
          <w:rFonts w:ascii="Times New Roman" w:cs="Times New Roman" w:eastAsia="Times New Roman" w:hAnsi="Times New Roman"/>
          <w:sz w:val="18"/>
          <w:szCs w:val="18"/>
          <w:color w:val="auto"/>
        </w:rPr>
        <w:t>The Company, the Guarantors, the Trustee and the Second Lien Collateral Trustee agree as follows for the benefit of each other and for the equal and ratable benefit of the Holders (as defined below) of the 10.500% Senior Second Lien Secured Notes due 2028:</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1.01</w:t>
      </w:r>
      <w:r>
        <w:rPr>
          <w:sz w:val="20"/>
          <w:szCs w:val="20"/>
          <w:color w:val="auto"/>
        </w:rPr>
        <w:tab/>
      </w:r>
      <w:r>
        <w:rPr>
          <w:rFonts w:ascii="Times New Roman" w:cs="Times New Roman" w:eastAsia="Times New Roman" w:hAnsi="Times New Roman"/>
          <w:sz w:val="16"/>
          <w:szCs w:val="16"/>
          <w:u w:val="single" w:color="auto"/>
          <w:color w:val="auto"/>
        </w:rPr>
        <w:t>Definitions.</w:t>
      </w:r>
    </w:p>
    <w:p>
      <w:pPr>
        <w:spacing w:after="0" w:line="212" w:lineRule="exact"/>
        <w:rPr>
          <w:sz w:val="20"/>
          <w:szCs w:val="20"/>
          <w:color w:val="auto"/>
        </w:rPr>
      </w:pPr>
    </w:p>
    <w:p>
      <w:pPr>
        <w:ind w:firstLine="965"/>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2017 Credit Agreement</w:t>
      </w:r>
      <w:r>
        <w:rPr>
          <w:rFonts w:ascii="Times New Roman" w:cs="Times New Roman" w:eastAsia="Times New Roman" w:hAnsi="Times New Roman"/>
          <w:sz w:val="16"/>
          <w:szCs w:val="16"/>
          <w:color w:val="auto"/>
        </w:rPr>
        <w:t>” means that certain Third Amended and Restated Credit Agreement, dated as of March 23, 2017, by and among the Company, GEO Corrections Holdings, Inc., the Australian borrowers referred to therein, Alter Domus Products Corp. (as successor to BNP Paribas), as Administrative Agent and the lenders who are, or may from time to time become, a party thereto, including any related notes, guarantees, collateral documents, instruments and agreements executed in connection therewith, and in each case as amended (and/or amended and restated) as of the date of this Indenture and as may be further amended (and/or amended and restated), modified, renewed, refunded, replaced or refinanced from time to time, in whole or in part, with the same or different lenders (including, without limitation, any amendment, amendment and restatement, modification, renewal, refunding, replacement or refinancing that increases the maximum amount of the loans made or to be made thereunder).</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Notes</w:t>
      </w:r>
      <w:r>
        <w:rPr>
          <w:rFonts w:ascii="Times New Roman" w:cs="Times New Roman" w:eastAsia="Times New Roman" w:hAnsi="Times New Roman"/>
          <w:sz w:val="18"/>
          <w:szCs w:val="18"/>
          <w:color w:val="auto"/>
        </w:rPr>
        <w:t>” means the Company’s 5.125% Senior Notes due 2023, issued on March 19, 2013.</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Notes</w:t>
      </w:r>
      <w:r>
        <w:rPr>
          <w:rFonts w:ascii="Times New Roman" w:cs="Times New Roman" w:eastAsia="Times New Roman" w:hAnsi="Times New Roman"/>
          <w:sz w:val="18"/>
          <w:szCs w:val="18"/>
          <w:color w:val="auto"/>
        </w:rPr>
        <w:t>” means the Company’s 5.875% Senior Notes due 2024, issued on September 25, 2014.</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means the Company’s 6.000% Senior Notes due 2026, issued on April 18, 2016.</w:t>
      </w:r>
    </w:p>
    <w:p>
      <w:pPr>
        <w:spacing w:after="0" w:line="214" w:lineRule="exact"/>
        <w:rPr>
          <w:sz w:val="20"/>
          <w:szCs w:val="20"/>
          <w:color w:val="auto"/>
        </w:rPr>
      </w:pPr>
    </w:p>
    <w:p>
      <w:pPr>
        <w:ind w:right="38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2028 Private Exchange Notes</w:t>
      </w:r>
      <w:r>
        <w:rPr>
          <w:rFonts w:ascii="Times New Roman" w:cs="Times New Roman" w:eastAsia="Times New Roman" w:hAnsi="Times New Roman"/>
          <w:sz w:val="18"/>
          <w:szCs w:val="18"/>
          <w:color w:val="auto"/>
        </w:rPr>
        <w:t>” means the 9.500% Senior Secured Second Lien Notes due 2028 issued by the Company in a private exchange on the Issue Date, pursuant to the 2028 Private Exchange Notes Indenture.</w:t>
      </w:r>
    </w:p>
    <w:p>
      <w:pPr>
        <w:spacing w:after="0" w:line="165" w:lineRule="exact"/>
        <w:rPr>
          <w:sz w:val="20"/>
          <w:szCs w:val="20"/>
          <w:color w:val="auto"/>
        </w:rPr>
      </w:pPr>
    </w:p>
    <w:p>
      <w:pPr>
        <w:ind w:right="8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2028 Private Exchange Notes Indenture</w:t>
      </w:r>
      <w:r>
        <w:rPr>
          <w:rFonts w:ascii="Times New Roman" w:cs="Times New Roman" w:eastAsia="Times New Roman" w:hAnsi="Times New Roman"/>
          <w:sz w:val="18"/>
          <w:szCs w:val="18"/>
          <w:color w:val="auto"/>
        </w:rPr>
        <w:t>” means the indenture, to be dated as of the Issue Date, by and among the Company, the Initial Guarantors, the 2028 Private Exchange Notes Trustee and the Second Lien Collateral Trustee.</w:t>
      </w:r>
    </w:p>
    <w:p>
      <w:pPr>
        <w:spacing w:after="0" w:line="165" w:lineRule="exact"/>
        <w:rPr>
          <w:sz w:val="20"/>
          <w:szCs w:val="20"/>
          <w:color w:val="auto"/>
        </w:rPr>
      </w:pPr>
    </w:p>
    <w:p>
      <w:pPr>
        <w:ind w:right="6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2028 Private Exchange Notes Trustee</w:t>
      </w:r>
      <w:r>
        <w:rPr>
          <w:rFonts w:ascii="Times New Roman" w:cs="Times New Roman" w:eastAsia="Times New Roman" w:hAnsi="Times New Roman"/>
          <w:sz w:val="18"/>
          <w:szCs w:val="18"/>
          <w:color w:val="auto"/>
        </w:rPr>
        <w:t>” means Ankura Trust Company, LLC, in its capacity as trustee under the 2028 Private Exchange Notes Indenture.</w:t>
      </w:r>
    </w:p>
    <w:p>
      <w:pPr>
        <w:spacing w:after="0" w:line="165" w:lineRule="exact"/>
        <w:rPr>
          <w:sz w:val="20"/>
          <w:szCs w:val="20"/>
          <w:color w:val="auto"/>
        </w:rPr>
      </w:pPr>
    </w:p>
    <w:p>
      <w:pPr>
        <w:ind w:right="22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Business</w:t>
      </w:r>
      <w:r>
        <w:rPr>
          <w:rFonts w:ascii="Times New Roman" w:cs="Times New Roman" w:eastAsia="Times New Roman" w:hAnsi="Times New Roman"/>
          <w:sz w:val="18"/>
          <w:szCs w:val="18"/>
          <w:color w:val="auto"/>
        </w:rPr>
        <w:t>” means any Facility, Person or business (including, in each case, any collection of assets comprising such Facility, Person or business) that is the subject of a Permitted Acquisition or any other acquisition permitted by this Indenture.</w:t>
      </w:r>
    </w:p>
    <w:p>
      <w:pPr>
        <w:spacing w:after="0" w:line="165" w:lineRule="exact"/>
        <w:rPr>
          <w:sz w:val="20"/>
          <w:szCs w:val="20"/>
          <w:color w:val="auto"/>
        </w:rPr>
      </w:pPr>
    </w:p>
    <w:p>
      <w:pPr>
        <w:ind w:right="8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Debt</w:t>
      </w:r>
      <w:r>
        <w:rPr>
          <w:rFonts w:ascii="Times New Roman" w:cs="Times New Roman" w:eastAsia="Times New Roman" w:hAnsi="Times New Roman"/>
          <w:sz w:val="18"/>
          <w:szCs w:val="18"/>
          <w:color w:val="auto"/>
        </w:rPr>
        <w:t>” means, with respect to any specified Person: (i) 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 (ii) Indebtedness secured by a Lien encumbering any asset acquired by such specified Person.</w:t>
      </w:r>
    </w:p>
    <w:p>
      <w:pPr>
        <w:spacing w:after="0" w:line="182" w:lineRule="exact"/>
        <w:rPr>
          <w:sz w:val="20"/>
          <w:szCs w:val="20"/>
          <w:color w:val="auto"/>
        </w:rPr>
      </w:pPr>
    </w:p>
    <w:p>
      <w:pPr>
        <w:ind w:right="60" w:firstLine="965"/>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Act of Required Secured Parties</w:t>
      </w:r>
      <w:r>
        <w:rPr>
          <w:rFonts w:ascii="Times New Roman" w:cs="Times New Roman" w:eastAsia="Times New Roman" w:hAnsi="Times New Roman"/>
          <w:sz w:val="16"/>
          <w:szCs w:val="16"/>
          <w:color w:val="auto"/>
        </w:rPr>
        <w:t>” means direction from the holders of (or the Secured Debt Representative representing the holders of) more than 50% of the sum of (x) the aggregate outstanding principal amount of the Notes, (y) the aggregate outstanding principal amount under any other Second Lien Secured Obligations (including the 2028 Private Exchange Notes) and (z) other than in connection with the exercise of remedies, the aggregate unfunded commitments to extend credit which, when funded, would constitute Indebtedness under the foregoing clause (y).</w:t>
      </w:r>
    </w:p>
    <w:p>
      <w:pPr>
        <w:sectPr>
          <w:pgSz w:w="11900" w:h="16838" w:orient="portrait"/>
          <w:cols w:equalWidth="0" w:num="1">
            <w:col w:w="10700"/>
          </w:cols>
          <w:pgMar w:left="580" w:top="264" w:right="619" w:bottom="1440" w:gutter="0" w:footer="0" w:header="0"/>
        </w:sectPr>
      </w:pPr>
    </w:p>
    <w:bookmarkStart w:id="95" w:name="page96"/>
    <w:bookmarkEnd w:id="95"/>
    <w:p>
      <w:pPr>
        <w:jc w:val="both"/>
        <w:ind w:right="140" w:firstLine="965"/>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Additional Refinancing Amount</w:t>
      </w:r>
      <w:r>
        <w:rPr>
          <w:rFonts w:ascii="Times New Roman" w:cs="Times New Roman" w:eastAsia="Times New Roman" w:hAnsi="Times New Roman"/>
          <w:sz w:val="18"/>
          <w:szCs w:val="18"/>
          <w:color w:val="auto"/>
        </w:rPr>
        <w:t>” means, in connection with the incurrence of any Permitted Refinancing Indebtedness, the aggregate principal amount of additional Indebtedness, Disqualified Stock or Preferred Stock incurred to pay premiums (including tender premiums and original issue discount), accrued and unpaid interest, expenses, defeasance costs and fees in respect thereof.</w:t>
      </w:r>
    </w:p>
    <w:p>
      <w:pPr>
        <w:spacing w:after="0" w:line="176" w:lineRule="exact"/>
        <w:rPr>
          <w:sz w:val="20"/>
          <w:szCs w:val="20"/>
          <w:color w:val="auto"/>
        </w:rPr>
      </w:pPr>
    </w:p>
    <w:p>
      <w:pPr>
        <w:ind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for any period, (a) EBITDA for such period minus (b) the amount, if a positive number, by which the amount of such EBITDA attributable to Unrestricted Subsidiaries, Ravenhall Project Subsidiaries or Other Consolidated Persons (including any public-private partnership of the Company or its Subsidiaries that is an Other Consolidated Person) minus Non-Recourse Debt Service of Unrestricted Subsidiaries, Ravenhall Project Subsidiaries or Other Consolidated Persons (including any public-private partnership of the Company or its Subsidiaries that is an Other Consolidated Person) exceeds 20% of such EBITDA.</w:t>
      </w:r>
    </w:p>
    <w:p>
      <w:pPr>
        <w:spacing w:after="0" w:line="184" w:lineRule="exact"/>
        <w:rPr>
          <w:sz w:val="20"/>
          <w:szCs w:val="20"/>
          <w:color w:val="auto"/>
        </w:rPr>
      </w:pPr>
    </w:p>
    <w:p>
      <w:pPr>
        <w:ind w:right="40"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1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Registrar, Paying Agent or co-registrar.</w:t>
      </w:r>
    </w:p>
    <w:p>
      <w:pPr>
        <w:spacing w:after="0" w:line="214" w:lineRule="exact"/>
        <w:rPr>
          <w:sz w:val="20"/>
          <w:szCs w:val="20"/>
          <w:color w:val="auto"/>
        </w:rPr>
      </w:pPr>
    </w:p>
    <w:p>
      <w:pPr>
        <w:ind w:right="14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of the Depositary, Euroclear and Clearstream that apply to such transfer or exchange.</w:t>
      </w:r>
    </w:p>
    <w:p>
      <w:pPr>
        <w:spacing w:after="0" w:line="165" w:lineRule="exact"/>
        <w:rPr>
          <w:sz w:val="20"/>
          <w:szCs w:val="20"/>
          <w:color w:val="auto"/>
        </w:rPr>
      </w:pPr>
    </w:p>
    <w:p>
      <w:pPr>
        <w:ind w:firstLine="96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Intercreditor Agreement</w:t>
      </w:r>
      <w:r>
        <w:rPr>
          <w:rFonts w:ascii="Times New Roman" w:cs="Times New Roman" w:eastAsia="Times New Roman" w:hAnsi="Times New Roman"/>
          <w:sz w:val="18"/>
          <w:szCs w:val="18"/>
          <w:color w:val="auto"/>
        </w:rPr>
        <w:t>” means, with respect to Second Lien Secured Obligations, the Second Lien Collateral Trust Agreement or any other collateral trust agreement or intercreditor agreement the terms of which are consistent with market terms governing security arrangements for the sharing of Liens or arrangements relating to the distribution of payments, as applicable, at the time the collateral trust agreement or the intercreditor agreement is proposed to be established in light of the type of Indebtedness subject thereto (in each case, as determined in good faith by the Company and certified to the Trustee and Second Lien Collateral Trustee in an Officer’s Certificate on which the Trustee and the Second Lien Collateral Trustee may conclusively rely without liability).</w:t>
      </w:r>
    </w:p>
    <w:p>
      <w:pPr>
        <w:spacing w:after="0" w:line="1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960" w:right="40" w:firstLine="397"/>
        <w:spacing w:after="0" w:line="257" w:lineRule="auto"/>
        <w:tabs>
          <w:tab w:leader="none" w:pos="15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lease, transfer, conveyance or other disposition of any assets or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sale, lease, conveyance, transfer or other disposition of all or substantially all of the assets of the Company and the Restricted Subsidiaries taken as a whole will be governed by Sections 4.14 and/or 5.01 hereof and not by Section 4.10 hereof; and</w:t>
      </w:r>
    </w:p>
    <w:p>
      <w:pPr>
        <w:spacing w:after="0" w:line="73" w:lineRule="exact"/>
        <w:rPr>
          <w:rFonts w:ascii="Times New Roman" w:cs="Times New Roman" w:eastAsia="Times New Roman" w:hAnsi="Times New Roman"/>
          <w:sz w:val="18"/>
          <w:szCs w:val="18"/>
          <w:color w:val="auto"/>
        </w:rPr>
      </w:pPr>
    </w:p>
    <w:p>
      <w:pPr>
        <w:ind w:left="960" w:right="820" w:firstLine="397"/>
        <w:spacing w:after="0" w:line="268" w:lineRule="auto"/>
        <w:tabs>
          <w:tab w:leader="none" w:pos="15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by the Company or any of the Restricted Subsidiaries of Equity Interests of any of the Company’s Subsidiaries.</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Notwithstanding the preceding, the following items will not be deemed to be Asset Sales:</w:t>
      </w:r>
    </w:p>
    <w:p>
      <w:pPr>
        <w:spacing w:after="0" w:line="1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 any single transaction or series of related transactions that involves the sale of assets having a Fair Market Value of less than</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$7.5 million; provided that the aggregate Fair Market Value of all such sales of assets is less than (i) $22.5 million in any fiscal year and</w:t>
      </w:r>
    </w:p>
    <w:p>
      <w:pPr>
        <w:spacing w:after="0" w:line="26" w:lineRule="exact"/>
        <w:rPr>
          <w:sz w:val="20"/>
          <w:szCs w:val="20"/>
          <w:color w:val="auto"/>
        </w:rPr>
      </w:pPr>
    </w:p>
    <w:p>
      <w:pPr>
        <w:ind w:left="1220" w:hanging="253"/>
        <w:spacing w:after="0"/>
        <w:tabs>
          <w:tab w:leader="none" w:pos="1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in total, during the term of the Notes;</w:t>
      </w:r>
    </w:p>
    <w:p>
      <w:pPr>
        <w:spacing w:after="0" w:line="90" w:lineRule="exact"/>
        <w:rPr>
          <w:rFonts w:ascii="Times New Roman" w:cs="Times New Roman" w:eastAsia="Times New Roman" w:hAnsi="Times New Roman"/>
          <w:sz w:val="18"/>
          <w:szCs w:val="18"/>
          <w:color w:val="auto"/>
        </w:rPr>
      </w:pPr>
    </w:p>
    <w:p>
      <w:pPr>
        <w:ind w:left="960" w:right="80" w:firstLine="397"/>
        <w:spacing w:after="0" w:line="268" w:lineRule="auto"/>
        <w:tabs>
          <w:tab w:leader="none" w:pos="16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by the Company to any of the Restricted Subsidiaries or by any Restricted Subsidiary to the Company or any other Restricted Subsidiary;</w:t>
      </w:r>
    </w:p>
    <w:p>
      <w:pPr>
        <w:spacing w:after="0" w:line="63"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Equity Interests by a Restricted Subsidiary to the Company or to another Restricted Subsidiary;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80"/>
          </w:cols>
          <w:pgMar w:left="580" w:top="264" w:right="639" w:bottom="1440" w:gutter="0" w:footer="0" w:header="0"/>
        </w:sectPr>
      </w:pPr>
    </w:p>
    <w:bookmarkStart w:id="96" w:name="page97"/>
    <w:bookmarkEnd w:id="96"/>
    <w:p>
      <w:pPr>
        <w:ind w:left="1660" w:hanging="303"/>
        <w:spacing w:after="0"/>
        <w:tabs>
          <w:tab w:leader="none" w:pos="1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sale or lease of equipment, inventory, accounts receivable or other assets in the ordinary course of business;</w:t>
      </w:r>
    </w:p>
    <w:p>
      <w:pPr>
        <w:spacing w:after="0" w:line="21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w:t>
      </w:r>
    </w:p>
    <w:p>
      <w:pPr>
        <w:spacing w:after="0" w:line="213"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Payment or Permitted Investment that is permitted by Section 4.07 hereof;</w:t>
      </w:r>
    </w:p>
    <w:p>
      <w:pPr>
        <w:spacing w:after="0" w:line="213" w:lineRule="exact"/>
        <w:rPr>
          <w:rFonts w:ascii="Times New Roman" w:cs="Times New Roman" w:eastAsia="Times New Roman" w:hAnsi="Times New Roman"/>
          <w:sz w:val="18"/>
          <w:szCs w:val="18"/>
          <w:color w:val="auto"/>
        </w:rPr>
      </w:pPr>
    </w:p>
    <w:p>
      <w:pPr>
        <w:ind w:left="1700" w:hanging="343"/>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any Hedging Obligations;</w:t>
      </w:r>
    </w:p>
    <w:p>
      <w:pPr>
        <w:spacing w:after="0" w:line="213" w:lineRule="exact"/>
        <w:rPr>
          <w:rFonts w:ascii="Times New Roman" w:cs="Times New Roman" w:eastAsia="Times New Roman" w:hAnsi="Times New Roman"/>
          <w:sz w:val="18"/>
          <w:szCs w:val="18"/>
          <w:color w:val="auto"/>
        </w:rPr>
      </w:pPr>
    </w:p>
    <w:p>
      <w:pPr>
        <w:ind w:left="1760" w:hanging="403"/>
        <w:spacing w:after="0"/>
        <w:tabs>
          <w:tab w:leader="none" w:pos="1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or early termination of any Permitted Convertible Indebtedness Call Transaction; and</w:t>
      </w:r>
    </w:p>
    <w:p>
      <w:pPr>
        <w:spacing w:after="0" w:line="213" w:lineRule="exact"/>
        <w:rPr>
          <w:rFonts w:ascii="Times New Roman" w:cs="Times New Roman" w:eastAsia="Times New Roman" w:hAnsi="Times New Roman"/>
          <w:sz w:val="18"/>
          <w:szCs w:val="18"/>
          <w:color w:val="auto"/>
        </w:rPr>
      </w:pPr>
    </w:p>
    <w:p>
      <w:pPr>
        <w:ind w:left="960" w:right="120" w:firstLine="397"/>
        <w:spacing w:after="0" w:line="249" w:lineRule="auto"/>
        <w:tabs>
          <w:tab w:leader="none" w:pos="1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Equity Interests (I) deemed to occur upon the exercise of stock options, warrants or other equity derivatives or settlement of convertible securities if such Equity Interests represent (i) a portion of the exercise price thereof or (ii) withholding incurred in connection with such exercise or (II) upon the exercise of any call options, warrants or rights to purchase (or substantively equivalent derivative transactions) described in the definition of “Permitted Warrant Transaction” in connection with a Permitted Warrant Transaction.</w:t>
      </w:r>
    </w:p>
    <w:p>
      <w:pPr>
        <w:spacing w:after="0" w:line="186" w:lineRule="exact"/>
        <w:rPr>
          <w:sz w:val="20"/>
          <w:szCs w:val="20"/>
          <w:color w:val="auto"/>
        </w:rPr>
      </w:pPr>
    </w:p>
    <w:p>
      <w:pPr>
        <w:ind w:right="22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Debt</w:t>
      </w:r>
      <w:r>
        <w:rPr>
          <w:rFonts w:ascii="Times New Roman" w:cs="Times New Roman" w:eastAsia="Times New Roman" w:hAnsi="Times New Roman"/>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14" w:lineRule="exact"/>
        <w:rPr>
          <w:sz w:val="20"/>
          <w:szCs w:val="20"/>
          <w:color w:val="auto"/>
        </w:rPr>
      </w:pPr>
    </w:p>
    <w:p>
      <w:pPr>
        <w:ind w:right="22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upon the occurrence of a subsequent condition.</w:t>
      </w:r>
    </w:p>
    <w:p>
      <w:pPr>
        <w:spacing w:after="0" w:line="182" w:lineRule="exact"/>
        <w:rPr>
          <w:sz w:val="20"/>
          <w:szCs w:val="20"/>
          <w:color w:val="auto"/>
        </w:rPr>
      </w:pPr>
    </w:p>
    <w:p>
      <w:pPr>
        <w:ind w:right="32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(1) with respect to a corporation, the board of directors of the corporation or any committee thereof duly authorized to act on behalf of such board; (2) with respect to a partnership, the Board of Directors of the general partner of the partnership; (3) with respect to a limited liability company, the managing member or members, any controlling committee of managing members thereof or board of managers or similar body; and (4) with respect to any other Person, the board or committee of such Person serving a similar function.</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which is not a Legal Holiday.</w:t>
      </w:r>
    </w:p>
    <w:p>
      <w:pPr>
        <w:spacing w:after="0" w:line="214" w:lineRule="exact"/>
        <w:rPr>
          <w:sz w:val="20"/>
          <w:szCs w:val="20"/>
          <w:color w:val="auto"/>
        </w:rPr>
      </w:pPr>
    </w:p>
    <w:p>
      <w:pPr>
        <w:ind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any lease of any property by the Company, any of its Subsidiaries or any Other Consolidated Person, as lessee, that should, in accordance with GAAP, be classified and accounted for as a capital lease on a consolidated balance sheet of the Company, its Subsidiaries and the Other Consolidated Persons.</w:t>
      </w:r>
    </w:p>
    <w:p>
      <w:pPr>
        <w:spacing w:after="0" w:line="176" w:lineRule="exact"/>
        <w:rPr>
          <w:sz w:val="20"/>
          <w:szCs w:val="20"/>
          <w:color w:val="auto"/>
        </w:rPr>
      </w:pPr>
    </w:p>
    <w:p>
      <w:pPr>
        <w:ind w:right="18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Capital Lease that would at that time be required to be capitalized on a balance sheet in accordance with GAAP.</w:t>
      </w:r>
    </w:p>
    <w:p>
      <w:pPr>
        <w:spacing w:after="0" w:line="165" w:lineRule="exact"/>
        <w:rPr>
          <w:sz w:val="20"/>
          <w:szCs w:val="20"/>
          <w:color w:val="auto"/>
        </w:rPr>
      </w:pPr>
    </w:p>
    <w:p>
      <w:pPr>
        <w:ind w:right="220" w:firstLine="96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6" w:right="599" w:bottom="1440" w:gutter="0" w:footer="0" w:header="0"/>
        </w:sectPr>
      </w:pPr>
    </w:p>
    <w:bookmarkStart w:id="97" w:name="page98"/>
    <w:bookmarkEnd w:id="97"/>
    <w:p>
      <w:pPr>
        <w:ind w:right="300" w:firstLine="965"/>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means: (1) United States dollars; (2) Government Securities having maturities of not more than one year from the date of acquisition; (3) readily marketable direct obligations issued by any state of the United States of America or any political subdivision thereof having one of the two highest ratings obtainable from Fitch, Moody’s or S&amp;P with maturities of 12 months or less from the date of acquisition;</w:t>
      </w:r>
    </w:p>
    <w:p>
      <w:pPr>
        <w:spacing w:after="0" w:line="2" w:lineRule="exact"/>
        <w:rPr>
          <w:sz w:val="20"/>
          <w:szCs w:val="20"/>
          <w:color w:val="auto"/>
        </w:rPr>
      </w:pPr>
    </w:p>
    <w:p>
      <w:pPr>
        <w:ind w:right="40" w:firstLine="1"/>
        <w:spacing w:after="0" w:line="244" w:lineRule="auto"/>
        <w:tabs>
          <w:tab w:leader="none" w:pos="2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and eurodollar time deposits with maturities of one year or less from the date of acquisition, bankers’ acceptances with maturities not exceeding one year and overnight bank deposits, in each case, with any lender party to the Credit Agreements or with any domestic commercial bank having capital and surplus in excess of $500.0 million and a Thomson Bank Watch Rating of “B” or better; (5) repurchase obligations with a term of not more than seven days for underlying securities of the types described in clauses (2), (3) and (4) above entered into with any financial institution meeting the qualifications specified in clause (4) above; (6) commercial paper having the highest rating obtainable from Fitch, Moody’s or S&amp;P and in each case maturing within one year after the date of acquisition; (7) money market funds at least 90% of the assets of which constitute Cash Equivalents of the kinds described in clauses (1) through (6) of this definition; and (8) with respect to any Foreign Subsidiary, deposit accounts held by such Foreign Subsidiary in local currency at local commercial banks or savings banks or saving and loan associations in the ordinary course of business. Notwithstanding the foregoing, Cash Equivalents shall include amounts denominated in currencies other than those set forth in clause (1) above; provided that such amounts are converted into any currency listed in clause (1) as promptly as practicable and in any event within ten business days following the receipt of such amounts.</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0" w:lineRule="exact"/>
        <w:rPr>
          <w:sz w:val="20"/>
          <w:szCs w:val="20"/>
          <w:color w:val="auto"/>
        </w:rPr>
      </w:pPr>
    </w:p>
    <w:p>
      <w:pPr>
        <w:ind w:left="960" w:right="100" w:firstLine="397"/>
        <w:spacing w:after="0" w:line="252" w:lineRule="auto"/>
        <w:tabs>
          <w:tab w:leader="none" w:pos="15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related to the direct or indirect sale, transfer, assignment, lease, conveyance or other disposition (other than by way of merger or consolidation), in one or a series of related transactions, of all or substantially all of the assets of the Company and the Restricted Subsidiaries , taken as a whole, to any “person” (as that term is used in Section 13(d)(3) of the Exchange Act) other than the Company, any Restricted Subsidiary or any Parent Company;</w:t>
      </w:r>
    </w:p>
    <w:p>
      <w:pPr>
        <w:spacing w:after="0" w:line="76" w:lineRule="exact"/>
        <w:rPr>
          <w:rFonts w:ascii="Times New Roman" w:cs="Times New Roman" w:eastAsia="Times New Roman" w:hAnsi="Times New Roman"/>
          <w:sz w:val="18"/>
          <w:szCs w:val="18"/>
          <w:color w:val="auto"/>
        </w:rPr>
      </w:pPr>
    </w:p>
    <w:p>
      <w:pPr>
        <w:ind w:left="960" w:right="260" w:firstLine="397"/>
        <w:spacing w:after="0" w:line="256" w:lineRule="auto"/>
        <w:tabs>
          <w:tab w:leader="none" w:pos="15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holders of the Voting Stock of the Company or any Parent Company of a plan relating to the liquidation or dissolution of the Company or any Parent Company or, if no such approval is required, the adoption of a plan by the Company or any Parent Company relating to the liquidation or dissolution of the Company or any Parent Company;</w:t>
      </w:r>
    </w:p>
    <w:p>
      <w:pPr>
        <w:spacing w:after="0" w:line="73" w:lineRule="exact"/>
        <w:rPr>
          <w:rFonts w:ascii="Times New Roman" w:cs="Times New Roman" w:eastAsia="Times New Roman" w:hAnsi="Times New Roman"/>
          <w:sz w:val="18"/>
          <w:szCs w:val="18"/>
          <w:color w:val="auto"/>
        </w:rPr>
      </w:pPr>
    </w:p>
    <w:p>
      <w:pPr>
        <w:ind w:left="960" w:right="40" w:firstLine="397"/>
        <w:spacing w:after="0" w:line="256" w:lineRule="auto"/>
        <w:tabs>
          <w:tab w:leader="none" w:pos="15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Sections 13(d) and 14(d) of the Exchange Act), other than a Parent Company, becomes the Beneficial Owner, directly or indirectly, of more than 50% of the voting power of the Voting Stock of the Company;</w:t>
      </w:r>
    </w:p>
    <w:p>
      <w:pPr>
        <w:spacing w:after="0" w:line="73" w:lineRule="exact"/>
        <w:rPr>
          <w:rFonts w:ascii="Times New Roman" w:cs="Times New Roman" w:eastAsia="Times New Roman" w:hAnsi="Times New Roman"/>
          <w:sz w:val="18"/>
          <w:szCs w:val="18"/>
          <w:color w:val="auto"/>
        </w:rPr>
      </w:pPr>
    </w:p>
    <w:p>
      <w:pPr>
        <w:ind w:left="960" w:firstLine="397"/>
        <w:spacing w:after="0" w:line="246" w:lineRule="auto"/>
        <w:tabs>
          <w:tab w:leader="none" w:pos="15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or into, any Person, or any Person consolidates with, or merges with or into, the Company, in any such event pursuant to a transaction in which any of the outstanding Voting Stock of the Company or such other Person is converted into or exchanged for cash, securities or other property, other than any such transaction where (A)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 and (B) immediately after such transaction, no “person” or “group” (as such terms are used in Sections 13(d) and 14(d) of the Exchange Act), other than a Parent Company, becomes, directly or indirectly, the Beneficial Owner of 50% or more of the voting power of all classes of Voting Stock of the Company, other than in each case, in connection with any transaction or series of transactions in which the Company shall become a Wholly Owned Subsidiary of a Parent Company; or</w:t>
      </w:r>
    </w:p>
    <w:p>
      <w:pPr>
        <w:spacing w:after="0" w:line="86"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the Board of Directors of the Company are not Continuing Directors.</w:t>
      </w:r>
    </w:p>
    <w:p>
      <w:pPr>
        <w:spacing w:after="0" w:line="2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means Clearstream Banking, société anonyme, or its successor.</w:t>
      </w:r>
    </w:p>
    <w:p>
      <w:pPr>
        <w:spacing w:after="0" w:line="214"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50"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80" w:top="264" w:right="599" w:bottom="1440" w:gutter="0" w:footer="0" w:header="0"/>
        </w:sectPr>
      </w:pPr>
    </w:p>
    <w:bookmarkStart w:id="98" w:name="page99"/>
    <w:bookmarkEnd w:id="98"/>
    <w:p>
      <w:pPr>
        <w:jc w:val="both"/>
        <w:ind w:right="40" w:firstLine="965"/>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all of the “Collateral” and “Mortgaged Property” or “Trust Property” or other similar term referred to in the Security Documents and all of the other property and rights that is or is intended under the terms of the Security Documents to be subject to Liens in favor of the Second Lien Collateral Trustee.</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means The GEO Group, Inc. until a successor replaces it pursuant to Article Five hereof and thereafter means the successor.</w:t>
      </w:r>
    </w:p>
    <w:p>
      <w:pPr>
        <w:spacing w:after="0" w:line="237" w:lineRule="exact"/>
        <w:rPr>
          <w:sz w:val="20"/>
          <w:szCs w:val="20"/>
          <w:color w:val="auto"/>
        </w:rPr>
      </w:pPr>
    </w:p>
    <w:p>
      <w:pPr>
        <w:ind w:right="12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means, with respect to any specified Person for any period, the aggregate of the Net Income of such Person and the Restricted Subsidiaries for such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62" w:lineRule="exact"/>
        <w:rPr>
          <w:sz w:val="20"/>
          <w:szCs w:val="20"/>
          <w:color w:val="auto"/>
        </w:rPr>
      </w:pPr>
    </w:p>
    <w:p>
      <w:pPr>
        <w:ind w:left="960" w:right="240" w:firstLine="397"/>
        <w:spacing w:after="0" w:line="256" w:lineRule="auto"/>
        <w:tabs>
          <w:tab w:leader="none" w:pos="15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Restricted Subsidiary of the Person;</w:t>
      </w:r>
    </w:p>
    <w:p>
      <w:pPr>
        <w:spacing w:after="0" w:line="73" w:lineRule="exact"/>
        <w:rPr>
          <w:rFonts w:ascii="Times New Roman" w:cs="Times New Roman" w:eastAsia="Times New Roman" w:hAnsi="Times New Roman"/>
          <w:sz w:val="18"/>
          <w:szCs w:val="18"/>
          <w:color w:val="auto"/>
        </w:rPr>
      </w:pPr>
    </w:p>
    <w:p>
      <w:pPr>
        <w:ind w:left="960" w:right="200" w:firstLine="397"/>
        <w:spacing w:after="0" w:line="293" w:lineRule="auto"/>
        <w:tabs>
          <w:tab w:leader="none" w:pos="159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47" w:lineRule="exact"/>
        <w:rPr>
          <w:rFonts w:ascii="Times New Roman" w:cs="Times New Roman" w:eastAsia="Times New Roman" w:hAnsi="Times New Roman"/>
          <w:sz w:val="16"/>
          <w:szCs w:val="16"/>
          <w:color w:val="auto"/>
        </w:rPr>
      </w:pPr>
    </w:p>
    <w:p>
      <w:pPr>
        <w:ind w:left="1600" w:hanging="243"/>
        <w:spacing w:after="0"/>
        <w:tabs>
          <w:tab w:leader="none" w:pos="1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Income of any Person acquired during such period for any period prior to the date of such acquisition shall be excluded;</w:t>
      </w:r>
    </w:p>
    <w:p>
      <w:pPr>
        <w:spacing w:after="0" w:line="131" w:lineRule="exact"/>
        <w:rPr>
          <w:rFonts w:ascii="Times New Roman" w:cs="Times New Roman" w:eastAsia="Times New Roman" w:hAnsi="Times New Roman"/>
          <w:sz w:val="16"/>
          <w:szCs w:val="16"/>
          <w:color w:val="auto"/>
        </w:rPr>
      </w:pPr>
    </w:p>
    <w:p>
      <w:pPr>
        <w:ind w:left="1600" w:hanging="243"/>
        <w:spacing w:after="0"/>
        <w:tabs>
          <w:tab w:leader="none" w:pos="1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108" w:lineRule="exact"/>
        <w:rPr>
          <w:rFonts w:ascii="Times New Roman" w:cs="Times New Roman" w:eastAsia="Times New Roman" w:hAnsi="Times New Roman"/>
          <w:sz w:val="18"/>
          <w:szCs w:val="18"/>
          <w:color w:val="auto"/>
        </w:rPr>
      </w:pPr>
    </w:p>
    <w:p>
      <w:pPr>
        <w:ind w:left="960" w:right="740" w:firstLine="397"/>
        <w:spacing w:after="0" w:line="268" w:lineRule="auto"/>
        <w:tabs>
          <w:tab w:leader="none" w:pos="15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any Unrestricted Subsidiary will be included only to the extent of the amount of dividends or distributions paid in cash to the specified Person or a Restricted Subsidiary of the Person;</w:t>
      </w:r>
    </w:p>
    <w:p>
      <w:pPr>
        <w:spacing w:after="0" w:line="63" w:lineRule="exact"/>
        <w:rPr>
          <w:rFonts w:ascii="Times New Roman" w:cs="Times New Roman" w:eastAsia="Times New Roman" w:hAnsi="Times New Roman"/>
          <w:sz w:val="18"/>
          <w:szCs w:val="18"/>
          <w:color w:val="auto"/>
        </w:rPr>
      </w:pPr>
    </w:p>
    <w:p>
      <w:pPr>
        <w:ind w:left="960" w:right="180" w:firstLine="397"/>
        <w:spacing w:after="0" w:line="256" w:lineRule="auto"/>
        <w:tabs>
          <w:tab w:leader="none" w:pos="15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non-recurring or unusual gains or losses (less all fees and expenses relating thereto) or expenses (including, but not limited to, any expenses relating to severance, relocation and one-time compensation charges and any expenses directly attributable to the implementation of cost saving initiatives) shall be excluded;</w:t>
      </w:r>
    </w:p>
    <w:p>
      <w:pPr>
        <w:spacing w:after="0" w:line="73" w:lineRule="exact"/>
        <w:rPr>
          <w:rFonts w:ascii="Times New Roman" w:cs="Times New Roman" w:eastAsia="Times New Roman" w:hAnsi="Times New Roman"/>
          <w:sz w:val="18"/>
          <w:szCs w:val="18"/>
          <w:color w:val="auto"/>
        </w:rPr>
      </w:pPr>
    </w:p>
    <w:p>
      <w:pPr>
        <w:ind w:left="960" w:right="420" w:firstLine="397"/>
        <w:spacing w:after="0" w:line="268" w:lineRule="auto"/>
        <w:tabs>
          <w:tab w:leader="none" w:pos="15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income (loss) from disposed or discontinued operations and any net after-tax gains or losses on disposal of disposed or discontinued operations shall be excluded;</w:t>
      </w:r>
    </w:p>
    <w:p>
      <w:pPr>
        <w:spacing w:after="0" w:line="6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any restructuring charge, integration costs or other business optimization expenses or reserve shall be excluded;</w:t>
      </w:r>
    </w:p>
    <w:p>
      <w:pPr>
        <w:spacing w:after="0" w:line="131" w:lineRule="exact"/>
        <w:rPr>
          <w:rFonts w:ascii="Times New Roman" w:cs="Times New Roman" w:eastAsia="Times New Roman" w:hAnsi="Times New Roman"/>
          <w:sz w:val="16"/>
          <w:szCs w:val="16"/>
          <w:color w:val="auto"/>
        </w:rPr>
      </w:pPr>
    </w:p>
    <w:p>
      <w:pPr>
        <w:ind w:left="960" w:firstLine="397"/>
        <w:spacing w:after="0" w:line="268" w:lineRule="auto"/>
        <w:tabs>
          <w:tab w:leader="none" w:pos="15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currency translation gains or losses (including gains or losses related to currency remeasurements of Indebtedness) of such Person and the Restricted Subsidiaries for such period, shall be excluded;</w:t>
      </w:r>
    </w:p>
    <w:p>
      <w:pPr>
        <w:spacing w:after="0" w:line="63" w:lineRule="exact"/>
        <w:rPr>
          <w:rFonts w:ascii="Times New Roman" w:cs="Times New Roman" w:eastAsia="Times New Roman" w:hAnsi="Times New Roman"/>
          <w:sz w:val="18"/>
          <w:szCs w:val="18"/>
          <w:color w:val="auto"/>
        </w:rPr>
      </w:pPr>
    </w:p>
    <w:p>
      <w:pPr>
        <w:ind w:left="960" w:right="200" w:firstLine="397"/>
        <w:spacing w:after="0" w:line="268" w:lineRule="auto"/>
        <w:tabs>
          <w:tab w:leader="none" w:pos="16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after-tax effect of income (loss) from the early extinguishment or cancellation of Indebtedness or Hedging Obligations or other derivative instruments shall be excluded; and</w:t>
      </w:r>
    </w:p>
    <w:p>
      <w:pPr>
        <w:spacing w:after="0" w:line="63" w:lineRule="exact"/>
        <w:rPr>
          <w:rFonts w:ascii="Times New Roman" w:cs="Times New Roman" w:eastAsia="Times New Roman" w:hAnsi="Times New Roman"/>
          <w:sz w:val="18"/>
          <w:szCs w:val="18"/>
          <w:color w:val="auto"/>
        </w:rPr>
      </w:pPr>
    </w:p>
    <w:p>
      <w:pPr>
        <w:ind w:left="960" w:right="120" w:firstLine="397"/>
        <w:spacing w:after="0" w:line="249" w:lineRule="auto"/>
        <w:tabs>
          <w:tab w:leader="none" w:pos="16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expenses or charges related to any equity offering, Permitted Investment, acquisition, disposition, recapitalization or the incurrence of Indebtedness not prohibited from being incurred by this Indenture (including a refinancing thereof), whether or not completed or successful, shall be excluded, including (i) such fees, expenses or charges related to the offering of the Notes, the 2028 Private Exchange Notes and the Credit Agreements and (ii) any amendment or other modification of the Notes, the 2023 Notes, the 2024 Notes, the 2026 Notes, the Exchangeable 2026 Notes and the Credit Agreements.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80"/>
          </w:cols>
          <w:pgMar w:left="580" w:top="264" w:right="639" w:bottom="1440" w:gutter="0" w:footer="0" w:header="0"/>
        </w:sectPr>
      </w:pPr>
    </w:p>
    <w:bookmarkStart w:id="99" w:name="page100"/>
    <w:bookmarkEnd w:id="99"/>
    <w:p>
      <w:pPr>
        <w:ind w:left="9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continuing</w:t>
      </w:r>
      <w:r>
        <w:rPr>
          <w:rFonts w:ascii="Times New Roman" w:cs="Times New Roman" w:eastAsia="Times New Roman" w:hAnsi="Times New Roman"/>
          <w:sz w:val="16"/>
          <w:szCs w:val="16"/>
          <w:color w:val="auto"/>
        </w:rPr>
        <w:t>” means, with respect to any Default or Event of Default, that such Default or Event of Default has not been cured or waived.</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the Company who:</w:t>
      </w:r>
    </w:p>
    <w:p>
      <w:pPr>
        <w:spacing w:after="0" w:line="110" w:lineRule="exact"/>
        <w:rPr>
          <w:sz w:val="20"/>
          <w:szCs w:val="20"/>
          <w:color w:val="auto"/>
        </w:rPr>
      </w:pPr>
    </w:p>
    <w:p>
      <w:pPr>
        <w:ind w:left="1600" w:hanging="243"/>
        <w:spacing w:after="0"/>
        <w:tabs>
          <w:tab w:leader="none" w:pos="1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date of this Indenture; or</w:t>
      </w:r>
    </w:p>
    <w:p>
      <w:pPr>
        <w:spacing w:after="0" w:line="108" w:lineRule="exact"/>
        <w:rPr>
          <w:rFonts w:ascii="Times New Roman" w:cs="Times New Roman" w:eastAsia="Times New Roman" w:hAnsi="Times New Roman"/>
          <w:sz w:val="18"/>
          <w:szCs w:val="18"/>
          <w:color w:val="auto"/>
        </w:rPr>
      </w:pPr>
    </w:p>
    <w:p>
      <w:pPr>
        <w:ind w:left="960" w:right="40" w:firstLine="397"/>
        <w:spacing w:after="0" w:line="268" w:lineRule="auto"/>
        <w:tabs>
          <w:tab w:leader="none" w:pos="15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67" w:lineRule="exact"/>
        <w:rPr>
          <w:sz w:val="20"/>
          <w:szCs w:val="20"/>
          <w:color w:val="auto"/>
        </w:rPr>
      </w:pPr>
    </w:p>
    <w:p>
      <w:pPr>
        <w:ind w:right="4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or the Second Lien Collateral Trustee, as applicable, at which at any time its corporate trust business shall be administered, which office at the date hereof is located at the address of the Trustee and the Second Lien Collateral Trustee, as applicable, specified in Section 13.02 hereof, or such other address as to which the Trustee or the Second Lien Collateral Trustee, as applicable, may from time to time give notice to the Company and to the Holders.</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Agreements</w:t>
      </w:r>
      <w:r>
        <w:rPr>
          <w:rFonts w:ascii="Times New Roman" w:cs="Times New Roman" w:eastAsia="Times New Roman" w:hAnsi="Times New Roman"/>
          <w:sz w:val="18"/>
          <w:szCs w:val="18"/>
          <w:color w:val="auto"/>
        </w:rPr>
        <w:t>” means the 2017 Credit Agreement and the Exchange Credit Agreement.</w:t>
      </w:r>
    </w:p>
    <w:p>
      <w:pPr>
        <w:spacing w:after="0" w:line="214" w:lineRule="exact"/>
        <w:rPr>
          <w:sz w:val="20"/>
          <w:szCs w:val="20"/>
          <w:color w:val="auto"/>
        </w:rPr>
      </w:pPr>
    </w:p>
    <w:p>
      <w:pPr>
        <w:ind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one or more debt facilities (including, without limitation, the Credit Agreements) or commercial paper facilities, in each case with banks or other institutional lenders providing for revolving credit loans, term loans, project financings, receivables financing (including through the sale of receivables to such lenders or to special purpose entities formed to borrow from such lenders against such receivables) or letters of credit, in each case, as amended (and/or amended and restated), restated, modified, renewed, refunded, replaced or refinanced in whole or in part from time to time, but excluding, in each case any debt securities.</w:t>
      </w:r>
    </w:p>
    <w:p>
      <w:pPr>
        <w:spacing w:after="0" w:line="1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14" w:lineRule="exact"/>
        <w:rPr>
          <w:sz w:val="20"/>
          <w:szCs w:val="20"/>
          <w:color w:val="auto"/>
        </w:rPr>
      </w:pPr>
    </w:p>
    <w:p>
      <w:pPr>
        <w:ind w:right="24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Note</w:t>
      </w:r>
      <w:r>
        <w:rPr>
          <w:rFonts w:ascii="Times New Roman" w:cs="Times New Roman" w:eastAsia="Times New Roman" w:hAnsi="Times New Roman"/>
          <w:sz w:val="18"/>
          <w:szCs w:val="18"/>
          <w:color w:val="auto"/>
        </w:rPr>
        <w:t>” means a certificated Note registered in the name of the Holder thereof and issued in accordance with Section 2.07 hereof, substantially in the form of Exhibit A hereto, except that such Note shall not bear the Global Note Legend and shall not have the “Schedule of Increases or Decreases of Interests in the Global Note” attached thereto.</w:t>
      </w:r>
    </w:p>
    <w:p>
      <w:pPr>
        <w:spacing w:after="0" w:line="176" w:lineRule="exact"/>
        <w:rPr>
          <w:sz w:val="20"/>
          <w:szCs w:val="20"/>
          <w:color w:val="auto"/>
        </w:rPr>
      </w:pPr>
    </w:p>
    <w:p>
      <w:pPr>
        <w:ind w:right="20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2.04 hereof as the Depositary with respect to the Notes, and any and all successors thereto appointed as depositary hereunder and having become such pursuant to the applicable provision of this Indenture.</w:t>
      </w:r>
    </w:p>
    <w:p>
      <w:pPr>
        <w:spacing w:after="0" w:line="176" w:lineRule="exact"/>
        <w:rPr>
          <w:sz w:val="20"/>
          <w:szCs w:val="20"/>
          <w:color w:val="auto"/>
        </w:rPr>
      </w:pPr>
    </w:p>
    <w:p>
      <w:pPr>
        <w:jc w:val="both"/>
        <w:ind w:right="6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Asset</w:t>
      </w:r>
      <w:r>
        <w:rPr>
          <w:rFonts w:ascii="Times New Roman" w:cs="Times New Roman" w:eastAsia="Times New Roman" w:hAnsi="Times New Roman"/>
          <w:sz w:val="18"/>
          <w:szCs w:val="18"/>
          <w:color w:val="auto"/>
        </w:rPr>
        <w:t>” means any facility used in a Permitted Business owned or leased by the Company or any Restricted Subsidiary that is subject to a Governmental Authority’s option to purchase or right of reversion under the related Designated Asset Contract.</w:t>
      </w:r>
    </w:p>
    <w:p>
      <w:pPr>
        <w:spacing w:after="0" w:line="165" w:lineRule="exact"/>
        <w:rPr>
          <w:sz w:val="20"/>
          <w:szCs w:val="20"/>
          <w:color w:val="auto"/>
        </w:rPr>
      </w:pPr>
    </w:p>
    <w:p>
      <w:pPr>
        <w:jc w:val="both"/>
        <w:ind w:right="40" w:firstLine="965"/>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Designated Asset Contract</w:t>
      </w:r>
      <w:r>
        <w:rPr>
          <w:rFonts w:ascii="Times New Roman" w:cs="Times New Roman" w:eastAsia="Times New Roman" w:hAnsi="Times New Roman"/>
          <w:sz w:val="16"/>
          <w:szCs w:val="16"/>
          <w:color w:val="auto"/>
        </w:rPr>
        <w:t>” means (a) contracts or arrangements in existence on the date of this Indenture with respect to the following facilities under which a Governmental Authority has the right to purchase such facility for the Designated Asset Value of such facility, or with respect to which there is a right of reversion of all or a portion of the Company’s or a Restricted Subsidiary’s ownership or leasehold interest in such facility:</w:t>
      </w:r>
    </w:p>
    <w:p>
      <w:pPr>
        <w:spacing w:after="0" w:line="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Western Region Detention Facility, Central Arizona Correctional and Rehabilitation Facility, Florence West Correctional and Rehabilitation Facility, Robert A. Deyton Detention Facility, Lawton Correctional and Rehabilitation Facility, South Bay Correctional and Rehabilitation Facility, Moore Haven Correctional and Rehabilitation Facility, Blackwater River Correctional and Rehabilitation Facility and Kinney County Detention Center; and (b) a contract that is acquired or entered into after the date of this Indenture under which a Governmental Authority has an option to purchase a Designated Asset from the Company or a Restricted Subsidiary for a Designated Asset Value or a right of reversion of all or a portion of the Company’s or such Restricted Subsidiary’s ownership or leasehold interest in such Designated Asset; provided that such contract is acquired 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580" w:top="264" w:right="599" w:bottom="1440" w:gutter="0" w:footer="0" w:header="0"/>
        </w:sectPr>
      </w:pPr>
    </w:p>
    <w:bookmarkStart w:id="100" w:name="page101"/>
    <w:bookmarkEnd w:id="100"/>
    <w:p>
      <w:pPr>
        <w:ind w:right="14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entered into in the ordinary course of business and is preceded by (i) a resolution of the Board of Directors of the Company set forth in an Officer’s Certificate certifying that the acquisition or entering into of such contract has been approved by a majority of the members of the Board of Directors or</w:t>
      </w:r>
    </w:p>
    <w:p>
      <w:pPr>
        <w:spacing w:after="0" w:line="1" w:lineRule="exact"/>
        <w:rPr>
          <w:sz w:val="20"/>
          <w:szCs w:val="20"/>
          <w:color w:val="auto"/>
        </w:rPr>
      </w:pPr>
    </w:p>
    <w:p>
      <w:pPr>
        <w:ind w:right="80" w:firstLine="1"/>
        <w:spacing w:after="0" w:line="245" w:lineRule="auto"/>
        <w:tabs>
          <w:tab w:leader="none" w:pos="2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certifying that the acquisition or entering into of such contract has been approved by the Chief Executive Officer of the Company and, in either case, the option to purchase or right of reversion in such contract is on terms the Board of Directors, or the Chief Executive Officer, as applicable, has determined to be reasonable and in the best interest of the Company taking into account the transaction contemplated thereby or by the acquisition thereof.</w:t>
      </w:r>
    </w:p>
    <w:p>
      <w:pPr>
        <w:spacing w:after="0" w:line="186" w:lineRule="exact"/>
        <w:rPr>
          <w:sz w:val="20"/>
          <w:szCs w:val="20"/>
          <w:color w:val="auto"/>
        </w:rPr>
      </w:pPr>
    </w:p>
    <w:p>
      <w:pPr>
        <w:ind w:right="20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Asset Value</w:t>
      </w:r>
      <w:r>
        <w:rPr>
          <w:rFonts w:ascii="Times New Roman" w:cs="Times New Roman" w:eastAsia="Times New Roman" w:hAnsi="Times New Roman"/>
          <w:sz w:val="18"/>
          <w:szCs w:val="18"/>
          <w:color w:val="auto"/>
        </w:rPr>
        <w:t>” means the aggregate consideration to be received by the Company or a Restricted Subsidiary as set forth in a Designated Asset Contract.</w:t>
      </w:r>
    </w:p>
    <w:p>
      <w:pPr>
        <w:spacing w:after="0" w:line="165" w:lineRule="exact"/>
        <w:rPr>
          <w:sz w:val="20"/>
          <w:szCs w:val="20"/>
          <w:color w:val="auto"/>
        </w:rPr>
      </w:pPr>
    </w:p>
    <w:p>
      <w:pPr>
        <w:jc w:val="both"/>
        <w:ind w:right="24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means the Fair Market Value of total consideration received by the Company or a Restricted Subsidiary in connection with an Asset Sale that is so designated as Designated Non-Cash Consideration pursuant to an Officer’s Certificate, setting forth the basis of such valuation, executed by the Company’s principal executive officer or principal financial officer, less the amount of cash or Cash Equivalents received in connection with the Asset Sale.</w:t>
      </w:r>
    </w:p>
    <w:p>
      <w:pPr>
        <w:spacing w:after="0" w:line="182" w:lineRule="exact"/>
        <w:rPr>
          <w:sz w:val="20"/>
          <w:szCs w:val="20"/>
          <w:color w:val="auto"/>
        </w:rPr>
      </w:pPr>
    </w:p>
    <w:p>
      <w:pPr>
        <w:ind w:right="8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Representative</w:t>
      </w:r>
      <w:r>
        <w:rPr>
          <w:rFonts w:ascii="Times New Roman" w:cs="Times New Roman" w:eastAsia="Times New Roman" w:hAnsi="Times New Roman"/>
          <w:sz w:val="18"/>
          <w:szCs w:val="18"/>
          <w:color w:val="auto"/>
        </w:rPr>
        <w:t>” means, with respect to any series of Secured Indebtedness, the Trustee, administrative agent, collateral agent, security agent or similar agent under an indenture or agreement pursuant to which such Indebtedness is issued, incurred or otherwise obtained, as the case may be, and each of their successors in such capacities.</w:t>
      </w:r>
    </w:p>
    <w:p>
      <w:pPr>
        <w:spacing w:after="0" w:line="176" w:lineRule="exact"/>
        <w:rPr>
          <w:sz w:val="20"/>
          <w:szCs w:val="20"/>
          <w:color w:val="auto"/>
        </w:rPr>
      </w:pPr>
    </w:p>
    <w:p>
      <w:pPr>
        <w:ind w:right="100" w:firstLine="965"/>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shall not constitute Disqualified Stock if the terms of such Capital Stock provide that the Company may not repurchase or redeem any such Capital Stock pursuant to such provisions unless such repurchase or redemption complies with Section 4.07 hereof.</w:t>
      </w:r>
    </w:p>
    <w:p>
      <w:pPr>
        <w:spacing w:after="0" w:line="188" w:lineRule="exact"/>
        <w:rPr>
          <w:sz w:val="20"/>
          <w:szCs w:val="20"/>
          <w:color w:val="auto"/>
        </w:rPr>
      </w:pPr>
    </w:p>
    <w:p>
      <w:pPr>
        <w:ind w:right="18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Restricted Subsidiary of the Company that was formed under the laws of the United States, any state of the United States (but not the laws of Puerto Rico) or the District of Columbia.</w:t>
      </w:r>
    </w:p>
    <w:p>
      <w:pPr>
        <w:spacing w:after="0" w:line="165" w:lineRule="exact"/>
        <w:rPr>
          <w:sz w:val="20"/>
          <w:szCs w:val="20"/>
          <w:color w:val="auto"/>
        </w:rPr>
      </w:pPr>
    </w:p>
    <w:p>
      <w:pPr>
        <w:ind w:firstLine="965"/>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EBITDA</w:t>
      </w:r>
      <w:r>
        <w:rPr>
          <w:rFonts w:ascii="Times New Roman" w:cs="Times New Roman" w:eastAsia="Times New Roman" w:hAnsi="Times New Roman"/>
          <w:sz w:val="16"/>
          <w:szCs w:val="16"/>
          <w:color w:val="auto"/>
        </w:rPr>
        <w:t>” means, for any period, Net Income for such period plus the sum of the following determined on a consolidated basis, without duplication, for the Company and its Subsidiaries and Other Consolidated Persons in accordance with GAAP: (a) the sum of the following to the extent deducted in determining Net Income: (i) income and franchise taxes, (ii) Interest Expense (excluding Interest Expense attributable to the Ravenhall Project Subsidiaries or any similar public-private partnership of the Company or its Subsidiaries that is an Other Consolidated Person), (iii) amortization, depreciation and other non-cash charges (excluding insurance reserves), (iv) non-recurring, extraordinary or unusual charges and expenses, including in respect of restructuring or integration costs or premiums paid in connection with the redemption of Indebtedness, and (v) an amount (not exceeding an amount equal to 15% of Adjusted EBITDA for the period of four fiscal quarters of the Company most recently ended prior to the calculation of such amount for which financial statements are available) equal to the aggregate amount of start-up and transition costs incurred during such period in connection with Facilities and operations; less (b) to the extent added in determining Net Income, any extraordinary gains. If any Permitted Acquisition is consummated at any time during a period for which EBITDA is calculated, EBITDA for such period shall be calculated on a pro forma basis and, to the extent deducted in determining Net Income for such period, the amount of transaction costs and expenses and extraordinary charges relating to such Permitted Acquisition (or relating to any acquisition consummated by the acquired entity prior to the closing of such Permitted Acquisition but during the period of computation), as the case may be, shall be added to EBITDA for such period.</w:t>
      </w:r>
    </w:p>
    <w:p>
      <w:pPr>
        <w:spacing w:after="0" w:line="378" w:lineRule="exact"/>
        <w:rPr>
          <w:sz w:val="20"/>
          <w:szCs w:val="20"/>
          <w:color w:val="auto"/>
        </w:rPr>
      </w:pPr>
    </w:p>
    <w:p>
      <w:pPr>
        <w:ind w:right="30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Permitted Convertible Indebtedness or any other debt security that is convertible into, or exchangeable for, Capital Stock).</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6" w:right="599" w:bottom="1440" w:gutter="0" w:footer="0" w:header="0"/>
        </w:sectPr>
      </w:pPr>
    </w:p>
    <w:bookmarkStart w:id="101" w:name="page102"/>
    <w:bookmarkEnd w:id="101"/>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Bank S.A./N.V., as operator of Euroclear System, and any successor thereto.</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14" w:lineRule="exact"/>
        <w:rPr>
          <w:sz w:val="20"/>
          <w:szCs w:val="20"/>
          <w:color w:val="auto"/>
        </w:rPr>
      </w:pPr>
    </w:p>
    <w:p>
      <w:pPr>
        <w:ind w:firstLine="965"/>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Credit Agreement</w:t>
      </w:r>
      <w:r>
        <w:rPr>
          <w:rFonts w:ascii="Times New Roman" w:cs="Times New Roman" w:eastAsia="Times New Roman" w:hAnsi="Times New Roman"/>
          <w:sz w:val="18"/>
          <w:szCs w:val="18"/>
          <w:color w:val="auto"/>
        </w:rPr>
        <w:t>” means that certain Credit Agreement, dated as of the Issue Date, by and among the Company, GEO Corrections Holdings, Inc., Alter Domus Products Corp., as Administrative Agent, and the lenders who are, or may from time to time become, a party thereto, including any related notes, guarantees, collateral documents, instruments and agreements executed in connection therewith, and in each case as amended (and/or amended and restated) as of the date of this Indenture and as may be further amended (and/or amended and restated), modified, renewed, refunded, replaced or refinanced from time to time, in whole or in part, with the same or different lenders (including, without limitation, any amendment, amendment and restatement, modification, renewal, refunding, replacement or refinancing that increases the maximum amount of the loans made or to be made thereunder).</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Credit Agreement Agent</w:t>
      </w:r>
      <w:r>
        <w:rPr>
          <w:rFonts w:ascii="Times New Roman" w:cs="Times New Roman" w:eastAsia="Times New Roman" w:hAnsi="Times New Roman"/>
          <w:sz w:val="18"/>
          <w:szCs w:val="18"/>
          <w:color w:val="auto"/>
        </w:rPr>
        <w:t>” means Alter Domus Products Corp, as Administrative Agent under the Exchange Credit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Exchangeable 2026 Notes</w:t>
      </w:r>
      <w:r>
        <w:rPr>
          <w:rFonts w:ascii="Times New Roman" w:cs="Times New Roman" w:eastAsia="Times New Roman" w:hAnsi="Times New Roman"/>
          <w:sz w:val="18"/>
          <w:szCs w:val="18"/>
          <w:color w:val="auto"/>
        </w:rPr>
        <w:t>” means the Company’s 6.50% Exchangeable Senior Notes due 2026, issued on February 24, 2021.</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shall have the meaning set forth in the Exchange Credit Agreement on the date hereof.</w:t>
      </w:r>
    </w:p>
    <w:p>
      <w:pPr>
        <w:spacing w:after="0" w:line="214" w:lineRule="exact"/>
        <w:rPr>
          <w:sz w:val="20"/>
          <w:szCs w:val="20"/>
          <w:color w:val="auto"/>
        </w:rPr>
      </w:pPr>
    </w:p>
    <w:p>
      <w:pPr>
        <w:ind w:right="32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Indebtedness</w:t>
      </w:r>
      <w:r>
        <w:rPr>
          <w:rFonts w:ascii="Times New Roman" w:cs="Times New Roman" w:eastAsia="Times New Roman" w:hAnsi="Times New Roman"/>
          <w:sz w:val="18"/>
          <w:szCs w:val="18"/>
          <w:color w:val="auto"/>
        </w:rPr>
        <w:t>” means the Indebtedness of the Company and its Subsidiaries (other than Indebtedness under the Credit Agreements) in existence on the date hereof (including, without limitation, the 2023 Notes, the 2024 Notes, the 2026 Notes, the Exchangeable 2026 Notes and the 2028 Private Exchange Notes), until such amounts are repaid.</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a correctional, detention, mental health or other facility the principal function of which is to carry out a Permitted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194" w:lineRule="exact"/>
        <w:rPr>
          <w:sz w:val="20"/>
          <w:szCs w:val="20"/>
          <w:color w:val="auto"/>
        </w:rPr>
      </w:pPr>
    </w:p>
    <w:p>
      <w:pPr>
        <w:ind w:right="20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or property, the sale value that would be obtained in an arm’s-length free market transaction between an informed and willing seller under no compulsion to sell and an informed and willing buyer under no compulsion to buy. Fair Market Value shall be determined in good faith by the Company using its reasonable discretion.</w:t>
      </w:r>
    </w:p>
    <w:p>
      <w:pPr>
        <w:spacing w:after="0" w:line="176" w:lineRule="exact"/>
        <w:rPr>
          <w:sz w:val="20"/>
          <w:szCs w:val="20"/>
          <w:color w:val="auto"/>
        </w:rPr>
      </w:pPr>
    </w:p>
    <w:p>
      <w:pPr>
        <w:jc w:val="both"/>
        <w:ind w:right="120" w:firstLine="965"/>
        <w:spacing w:after="0" w:line="28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 Lien Secured Leverage Ratio</w:t>
      </w:r>
      <w:r>
        <w:rPr>
          <w:rFonts w:ascii="Times New Roman" w:cs="Times New Roman" w:eastAsia="Times New Roman" w:hAnsi="Times New Roman"/>
          <w:sz w:val="16"/>
          <w:szCs w:val="16"/>
          <w:color w:val="auto"/>
        </w:rPr>
        <w:t>” means, on any date, the ratio of (a) the result of (i) the aggregate outstanding principal amount of all First Lien Secured Obligations of the Company and the Restricted Subsidiaries on such date (calculated on a consolidated basis without duplication in accordance with GAAP) minus (ii) the sum of (x) the aggregate amount (not less than zero) of Unrestricted Cash on such date plus (y) to the extent included in the calculation under the clause (a)(i) of this definition, the undrawn amount of all outstanding letters of credit on such date to (b) Adjusted EBITDA for the period of four fiscal quarters of the Company ending on the most recently ended fiscal quarter prior to such date.</w:t>
      </w:r>
    </w:p>
    <w:p>
      <w:pPr>
        <w:spacing w:after="0" w:line="154" w:lineRule="exact"/>
        <w:rPr>
          <w:sz w:val="20"/>
          <w:szCs w:val="20"/>
          <w:color w:val="auto"/>
        </w:rPr>
      </w:pPr>
    </w:p>
    <w:p>
      <w:pPr>
        <w:jc w:val="both"/>
        <w:ind w:right="240" w:firstLine="965"/>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 Lien Secured Obligations</w:t>
      </w:r>
      <w:r>
        <w:rPr>
          <w:rFonts w:ascii="Times New Roman" w:cs="Times New Roman" w:eastAsia="Times New Roman" w:hAnsi="Times New Roman"/>
          <w:sz w:val="16"/>
          <w:szCs w:val="16"/>
          <w:color w:val="auto"/>
        </w:rPr>
        <w:t>” means the Obligations under (i) the Credit Agreements and (ii) any other Indebtedness secured on a pari passu first lien basis with such Obligations; provided that such Indebtedness is expressly permitted to be so incurred, secured and guaranteed on such basis by the then existing documents governing the First Lien Secured Obligations and the Second Lien Secured Obligations and the holders of such Indebtedness or their Designated Representative shall have become party to the First Lien/Second Lien Intercreditor Agreement.</w:t>
      </w:r>
    </w:p>
    <w:p>
      <w:pPr>
        <w:spacing w:after="0" w:line="150" w:lineRule="exact"/>
        <w:rPr>
          <w:sz w:val="20"/>
          <w:szCs w:val="20"/>
          <w:color w:val="auto"/>
        </w:rPr>
      </w:pPr>
    </w:p>
    <w:p>
      <w:pPr>
        <w:jc w:val="both"/>
        <w:ind w:right="26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Lien/Second Lien Intercreditor Agreement</w:t>
      </w:r>
      <w:r>
        <w:rPr>
          <w:rFonts w:ascii="Times New Roman" w:cs="Times New Roman" w:eastAsia="Times New Roman" w:hAnsi="Times New Roman"/>
          <w:sz w:val="18"/>
          <w:szCs w:val="18"/>
          <w:color w:val="auto"/>
        </w:rPr>
        <w:t>” means the First Lien/Second Lien Intercreditor Agreement, dated the Issue Date, among the agents for the lenders under the 2017 Credit Agreement and the Exchange Credit Agreement and the Second Lien Collateral Trustee and acknowledged by the Company and the Guarantors.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and its successors.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80"/>
          </w:cols>
          <w:pgMar w:left="580" w:top="264" w:right="639" w:bottom="1440" w:gutter="0" w:footer="0" w:header="0"/>
        </w:sectPr>
      </w:pPr>
    </w:p>
    <w:bookmarkStart w:id="102" w:name="page103"/>
    <w:bookmarkEnd w:id="102"/>
    <w:p>
      <w:pPr>
        <w:ind w:right="460" w:firstLine="965"/>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Flood Zone</w:t>
      </w:r>
      <w:r>
        <w:rPr>
          <w:rFonts w:ascii="Times New Roman" w:cs="Times New Roman" w:eastAsia="Times New Roman" w:hAnsi="Times New Roman"/>
          <w:sz w:val="18"/>
          <w:szCs w:val="18"/>
          <w:color w:val="auto"/>
        </w:rPr>
        <w:t>” means an area identified by the Federal Emergency Management Agency (or any successor agency) as an area having special flood hazards and in which flood insurance has been made available under the Flood Act.</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Subsidiary of the Company that is not a Domestic Subsidiary.</w:t>
      </w:r>
    </w:p>
    <w:p>
      <w:pPr>
        <w:spacing w:after="0" w:line="214" w:lineRule="exact"/>
        <w:rPr>
          <w:sz w:val="20"/>
          <w:szCs w:val="20"/>
          <w:color w:val="auto"/>
        </w:rPr>
      </w:pPr>
    </w:p>
    <w:p>
      <w:pPr>
        <w:ind w:right="28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means the registration statement on Form S-4 as filed with the SEC on July 19, 2022, as amended on August 15, 2022 and declared effective on August [•], 2022.</w:t>
      </w:r>
    </w:p>
    <w:p>
      <w:pPr>
        <w:spacing w:after="0" w:line="165" w:lineRule="exact"/>
        <w:rPr>
          <w:sz w:val="20"/>
          <w:szCs w:val="20"/>
          <w:color w:val="auto"/>
        </w:rPr>
      </w:pPr>
    </w:p>
    <w:p>
      <w:pPr>
        <w:ind w:right="40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means any Indebtedness in respect of borrowed money or advances or evidenced by loan agreements, bonds, notes, debentures or similar instruments or letters of credit (or reimbursement agreements in respect thereof); provided that Funded Debt shall not include Hedging Obligations or bank product obligations.</w:t>
      </w:r>
    </w:p>
    <w:p>
      <w:pPr>
        <w:spacing w:after="0" w:line="176" w:lineRule="exact"/>
        <w:rPr>
          <w:sz w:val="20"/>
          <w:szCs w:val="20"/>
          <w:color w:val="auto"/>
        </w:rPr>
      </w:pPr>
    </w:p>
    <w:p>
      <w:pPr>
        <w:ind w:right="6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Funds From Operations</w:t>
      </w:r>
      <w:r>
        <w:rPr>
          <w:rFonts w:ascii="Times New Roman" w:cs="Times New Roman" w:eastAsia="Times New Roman" w:hAnsi="Times New Roman"/>
          <w:sz w:val="18"/>
          <w:szCs w:val="18"/>
          <w:color w:val="auto"/>
        </w:rPr>
        <w:t>” for any period means the Consolidated Net Income of the Company and the Restricted Subsidiaries for such period determined in conformity with GAAP after adjustments for unconsolidated partnerships and joint ventures, plus depreciation and amortization of real property (including furniture and equipment) and other real estate assets of the Company and the Restricted Subsidiaries and excluding (to the extent such amount was deducted in calculating such Consolidated Net Income):</w:t>
      </w:r>
    </w:p>
    <w:p>
      <w:pPr>
        <w:spacing w:after="0" w:line="79" w:lineRule="exact"/>
        <w:rPr>
          <w:sz w:val="20"/>
          <w:szCs w:val="20"/>
          <w:color w:val="auto"/>
        </w:rPr>
      </w:pPr>
    </w:p>
    <w:p>
      <w:pPr>
        <w:ind w:left="1600" w:hanging="243"/>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(a) the restructuring or refinancing of Indebtedness or (b) sales of properties;</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asset impairment charges;</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redemptions of Preferred Stock of the Company;</w:t>
      </w:r>
    </w:p>
    <w:p>
      <w:pPr>
        <w:spacing w:after="0" w:line="108" w:lineRule="exact"/>
        <w:rPr>
          <w:rFonts w:ascii="Times New Roman" w:cs="Times New Roman" w:eastAsia="Times New Roman" w:hAnsi="Times New Roman"/>
          <w:sz w:val="18"/>
          <w:szCs w:val="18"/>
          <w:color w:val="auto"/>
        </w:rPr>
      </w:pPr>
    </w:p>
    <w:p>
      <w:pPr>
        <w:ind w:left="960" w:right="140" w:firstLine="397"/>
        <w:spacing w:after="0" w:line="268" w:lineRule="auto"/>
        <w:tabs>
          <w:tab w:leader="none" w:pos="15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compensation expense attributable to grants of stock options, restricted stock or similar rights to officers, directors and employees of the Company and any of its Subsidiaries;</w:t>
      </w:r>
    </w:p>
    <w:p>
      <w:pPr>
        <w:spacing w:after="0" w:line="6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financing fees and the write-off of financing costs;</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charges associated with the sale or settlement of any Hedging Obligations; and</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relating to acquisitions.</w:t>
      </w:r>
    </w:p>
    <w:p>
      <w:pPr>
        <w:spacing w:after="0" w:line="212" w:lineRule="exact"/>
        <w:rPr>
          <w:sz w:val="20"/>
          <w:szCs w:val="20"/>
          <w:color w:val="auto"/>
        </w:rPr>
      </w:pPr>
    </w:p>
    <w:p>
      <w:pPr>
        <w:ind w:right="180"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without giving effect to any change in accounting for leases pursuant to GAAP resulting from the implementation of Financial Accounting Standards Board Accounting Standards ASU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2018. All ratios and computations contained or referred to herein shall be computed in conformity with GAAP applied on a consistent basis.</w:t>
      </w:r>
    </w:p>
    <w:p>
      <w:pPr>
        <w:spacing w:after="0" w:line="184" w:lineRule="exact"/>
        <w:rPr>
          <w:sz w:val="20"/>
          <w:szCs w:val="20"/>
          <w:color w:val="auto"/>
        </w:rPr>
      </w:pPr>
    </w:p>
    <w:p>
      <w:pPr>
        <w:jc w:val="both"/>
        <w:ind w:right="32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GEO HQ</w:t>
      </w:r>
      <w:r>
        <w:rPr>
          <w:rFonts w:ascii="Times New Roman" w:cs="Times New Roman" w:eastAsia="Times New Roman" w:hAnsi="Times New Roman"/>
          <w:sz w:val="18"/>
          <w:szCs w:val="18"/>
          <w:color w:val="auto"/>
        </w:rPr>
        <w:t>” means that certain real property located in Boca Raton, Florida described on Schedule I to Amendment No. 1 to the 2017 Credit Agreement (under the heading “GEO Group, Inc. Headquarters Property”), together with all improvements thereto and furniture, fixtures and equipment located therein, in each case owned by any of the Company and the Restricted Subsidiaries .</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Note Legend</w:t>
      </w:r>
      <w:r>
        <w:rPr>
          <w:rFonts w:ascii="Times New Roman" w:cs="Times New Roman" w:eastAsia="Times New Roman" w:hAnsi="Times New Roman"/>
          <w:sz w:val="16"/>
          <w:szCs w:val="16"/>
          <w:color w:val="auto"/>
        </w:rPr>
        <w:t>” means the legend set forth in Exhibit A hereto, which is required to be placed on all Global Notes issued under this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Notes</w:t>
      </w:r>
      <w:r>
        <w:rPr>
          <w:rFonts w:ascii="Times New Roman" w:cs="Times New Roman" w:eastAsia="Times New Roman" w:hAnsi="Times New Roman"/>
          <w:sz w:val="16"/>
          <w:szCs w:val="16"/>
          <w:color w:val="auto"/>
        </w:rPr>
        <w:t>” means, individually and collectively, each of the notes issued to the Depositary in accordance with certain sections of this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194" w:lineRule="exact"/>
        <w:rPr>
          <w:sz w:val="20"/>
          <w:szCs w:val="20"/>
          <w:color w:val="auto"/>
        </w:rPr>
      </w:pPr>
    </w:p>
    <w:p>
      <w:pPr>
        <w:ind w:right="16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Contract</w:t>
      </w:r>
      <w:r>
        <w:rPr>
          <w:rFonts w:ascii="Times New Roman" w:cs="Times New Roman" w:eastAsia="Times New Roman" w:hAnsi="Times New Roman"/>
          <w:sz w:val="18"/>
          <w:szCs w:val="18"/>
          <w:color w:val="auto"/>
        </w:rPr>
        <w:t>” means a contract between the Company or any Restricted Subsidiary and a Governmental Authority located in the United States or all obligations of any such Governmental Authority as account debtor arising under any Account (as defined in the UCC) now existing or hereafter arising owing to the Company or any Restricted Subsidiary.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4" w:right="599" w:bottom="1440" w:gutter="0" w:footer="0" w:header="0"/>
        </w:sectPr>
      </w:pPr>
    </w:p>
    <w:bookmarkStart w:id="103" w:name="page104"/>
    <w:bookmarkEnd w:id="103"/>
    <w:p>
      <w:pPr>
        <w:ind w:right="260" w:firstLine="965"/>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Government Operating Agreement</w:t>
      </w:r>
      <w:r>
        <w:rPr>
          <w:rFonts w:ascii="Times New Roman" w:cs="Times New Roman" w:eastAsia="Times New Roman" w:hAnsi="Times New Roman"/>
          <w:sz w:val="18"/>
          <w:szCs w:val="18"/>
          <w:color w:val="auto"/>
        </w:rPr>
        <w:t>” means any management services contract, operating agreement, use agreement, lease or similar agreement with a Governmental Authority relating to a facility in a Permitted Business.</w:t>
      </w:r>
    </w:p>
    <w:p>
      <w:pPr>
        <w:spacing w:after="0" w:line="165" w:lineRule="exact"/>
        <w:rPr>
          <w:sz w:val="20"/>
          <w:szCs w:val="20"/>
          <w:color w:val="auto"/>
        </w:rPr>
      </w:pPr>
    </w:p>
    <w:p>
      <w:pPr>
        <w:jc w:val="both"/>
        <w:ind w:right="38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Securities</w:t>
      </w:r>
      <w:r>
        <w:rPr>
          <w:rFonts w:ascii="Times New Roman" w:cs="Times New Roman" w:eastAsia="Times New Roman" w:hAnsi="Times New Roman"/>
          <w:sz w:val="18"/>
          <w:szCs w:val="18"/>
          <w:color w:val="auto"/>
        </w:rPr>
        <w:t xml:space="preserve">” means securities issued or directly and fully guaranteed or insured by the United States government or any agency or instrumentality of the United States government;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of those securities.</w:t>
      </w:r>
    </w:p>
    <w:p>
      <w:pPr>
        <w:spacing w:after="0" w:line="176" w:lineRule="exact"/>
        <w:rPr>
          <w:sz w:val="20"/>
          <w:szCs w:val="20"/>
          <w:color w:val="auto"/>
        </w:rPr>
      </w:pPr>
    </w:p>
    <w:p>
      <w:pPr>
        <w:ind w:right="18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province, state, municipality or political subdivision thereof, and any government or any agency or instrumentality thereof exercising executive, legislative, regulatory or administrative functions of or pertaining to government, and any corporation or other entity owned or controlled, through stock or capital ownership or otherwise, by any of the foregoing.</w:t>
      </w:r>
    </w:p>
    <w:p>
      <w:pPr>
        <w:spacing w:after="0" w:line="176" w:lineRule="exact"/>
        <w:rPr>
          <w:sz w:val="20"/>
          <w:szCs w:val="20"/>
          <w:color w:val="auto"/>
        </w:rPr>
      </w:pPr>
    </w:p>
    <w:p>
      <w:pPr>
        <w:ind w:right="20"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or deposit in the ordinary course of business, direct or indirect, in any manner including, without limitation, by way of a pledge of assets or through letters of credit or reimbursement agreements in respect thereof, of all or any part of any Indebtedness, provided that the pledge of any Government Operating Agreement with respect to any facility to secure Non-Recourse Project Financing Indebtedness related to such facility shall not be deemed a Guarantee. The term “Guarantee” used as a verb has a corresponding meaning.</w:t>
      </w:r>
    </w:p>
    <w:p>
      <w:pPr>
        <w:spacing w:after="0" w:line="184" w:lineRule="exact"/>
        <w:rPr>
          <w:sz w:val="20"/>
          <w:szCs w:val="20"/>
          <w:color w:val="auto"/>
        </w:rPr>
      </w:pPr>
    </w:p>
    <w:p>
      <w:pPr>
        <w:ind w:right="8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means (i) the Initial Guarantors and any other Restricted Subsidiary that executes a Note Guarantee in accordance with the provisions of this Indenture and its respective successors and assigns until released in accordance with the terms of this Indenture and (ii) any Parent Company and any parent entity of the Company that executes a Note Guarantee in accordance with the provisions of this Indenture and its respective successors and assigns.</w:t>
      </w:r>
    </w:p>
    <w:p>
      <w:pPr>
        <w:spacing w:after="0" w:line="182" w:lineRule="exact"/>
        <w:rPr>
          <w:sz w:val="20"/>
          <w:szCs w:val="20"/>
          <w:color w:val="auto"/>
        </w:rPr>
      </w:pPr>
    </w:p>
    <w:p>
      <w:pPr>
        <w:ind w:right="20"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its Subsidiaries shall be a Hedging Agreement.</w:t>
      </w:r>
    </w:p>
    <w:p>
      <w:pPr>
        <w:spacing w:after="0" w:line="184" w:lineRule="exact"/>
        <w:rPr>
          <w:sz w:val="20"/>
          <w:szCs w:val="20"/>
          <w:color w:val="auto"/>
        </w:rPr>
      </w:pPr>
    </w:p>
    <w:p>
      <w:pPr>
        <w:ind w:right="20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means, with respect to any specified Person, the obligations of such Person,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such swap agreement transaction.</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specified Person, any indebtedness of such Person, whether or not contingent:</w:t>
      </w:r>
    </w:p>
    <w:p>
      <w:pPr>
        <w:spacing w:after="0" w:line="110" w:lineRule="exact"/>
        <w:rPr>
          <w:sz w:val="20"/>
          <w:szCs w:val="20"/>
          <w:color w:val="auto"/>
        </w:rPr>
      </w:pPr>
    </w:p>
    <w:p>
      <w:pPr>
        <w:ind w:left="1600" w:hanging="243"/>
        <w:spacing w:after="0"/>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evidenced by bonds, notes, debentures or similar instruments or letters of credit (or reimbursement agreements in respect thereof);</w:t>
      </w:r>
    </w:p>
    <w:p>
      <w:pPr>
        <w:spacing w:after="0" w:line="131" w:lineRule="exact"/>
        <w:rPr>
          <w:rFonts w:ascii="Times New Roman" w:cs="Times New Roman" w:eastAsia="Times New Roman" w:hAnsi="Times New Roman"/>
          <w:sz w:val="16"/>
          <w:szCs w:val="16"/>
          <w:color w:val="auto"/>
        </w:rPr>
      </w:pPr>
    </w:p>
    <w:p>
      <w:pPr>
        <w:ind w:left="1600" w:hanging="243"/>
        <w:spacing w:after="0"/>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Capital Lease Obligations;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20"/>
          </w:cols>
          <w:pgMar w:left="580" w:top="264" w:right="599" w:bottom="1440" w:gutter="0" w:footer="0" w:header="0"/>
        </w:sectPr>
      </w:pPr>
    </w:p>
    <w:bookmarkStart w:id="104" w:name="page105"/>
    <w:bookmarkEnd w:id="104"/>
    <w:p>
      <w:pPr>
        <w:ind w:left="960" w:right="260" w:firstLine="397"/>
        <w:spacing w:after="0" w:line="268" w:lineRule="auto"/>
        <w:tabs>
          <w:tab w:leader="none" w:pos="15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representing the balance deferred and unpaid of the purchase price of any property, except any such balance that constitutes an accrued expense or trade payable; or</w:t>
      </w:r>
    </w:p>
    <w:p>
      <w:pPr>
        <w:spacing w:after="0" w:line="6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any Hedging Obligations,</w:t>
      </w:r>
    </w:p>
    <w:p>
      <w:pPr>
        <w:spacing w:after="0" w:line="214" w:lineRule="exact"/>
        <w:rPr>
          <w:sz w:val="20"/>
          <w:szCs w:val="20"/>
          <w:color w:val="auto"/>
        </w:rPr>
      </w:pPr>
    </w:p>
    <w:p>
      <w:pPr>
        <w:ind w:right="80" w:firstLine="965"/>
        <w:spacing w:after="0" w:line="248"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provided that the pledge of any Government Operating Agreement to secure Non-Recourse Project Financing Indebtedness related to the facility that is the subject of such Government Operating Agreement shall not be deemed Indebtedness) and, to the extent not otherwise included, the Guarantee by the specified Person of any Indebtedness of any other Person.</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108" w:lineRule="exact"/>
        <w:rPr>
          <w:sz w:val="20"/>
          <w:szCs w:val="20"/>
          <w:color w:val="auto"/>
        </w:rPr>
      </w:pPr>
    </w:p>
    <w:p>
      <w:pPr>
        <w:ind w:left="1600" w:hanging="243"/>
        <w:spacing w:after="0"/>
        <w:tabs>
          <w:tab w:leader="none" w:pos="1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 and</w:t>
      </w:r>
    </w:p>
    <w:p>
      <w:pPr>
        <w:spacing w:after="0" w:line="108" w:lineRule="exact"/>
        <w:rPr>
          <w:rFonts w:ascii="Times New Roman" w:cs="Times New Roman" w:eastAsia="Times New Roman" w:hAnsi="Times New Roman"/>
          <w:sz w:val="18"/>
          <w:szCs w:val="18"/>
          <w:color w:val="auto"/>
        </w:rPr>
      </w:pPr>
    </w:p>
    <w:p>
      <w:pPr>
        <w:ind w:left="960" w:right="40" w:firstLine="397"/>
        <w:spacing w:after="0" w:line="268" w:lineRule="auto"/>
        <w:tabs>
          <w:tab w:leader="none" w:pos="15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together with any interest on the Indebtedness that is more than 30 days past due, in the case of any other Indebtedness.</w:t>
      </w:r>
    </w:p>
    <w:p>
      <w:pPr>
        <w:spacing w:after="0" w:line="1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14" w:lineRule="exact"/>
        <w:rPr>
          <w:sz w:val="20"/>
          <w:szCs w:val="20"/>
          <w:color w:val="auto"/>
        </w:rPr>
      </w:pPr>
    </w:p>
    <w:p>
      <w:pPr>
        <w:ind w:right="42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Guarantors</w:t>
      </w:r>
      <w:r>
        <w:rPr>
          <w:rFonts w:ascii="Times New Roman" w:cs="Times New Roman" w:eastAsia="Times New Roman" w:hAnsi="Times New Roman"/>
          <w:sz w:val="18"/>
          <w:szCs w:val="18"/>
          <w:color w:val="auto"/>
        </w:rPr>
        <w:t>” means the Restricted Subsidiaries of the Company that Guarantee the Notes on the Issue Date, all of which are signatories to this Indenture.</w:t>
      </w:r>
    </w:p>
    <w:p>
      <w:pPr>
        <w:spacing w:after="0" w:line="165" w:lineRule="exact"/>
        <w:rPr>
          <w:sz w:val="20"/>
          <w:szCs w:val="20"/>
          <w:color w:val="auto"/>
        </w:rPr>
      </w:pPr>
    </w:p>
    <w:p>
      <w:pPr>
        <w:ind w:right="8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Installment Sale</w:t>
      </w:r>
      <w:r>
        <w:rPr>
          <w:rFonts w:ascii="Times New Roman" w:cs="Times New Roman" w:eastAsia="Times New Roman" w:hAnsi="Times New Roman"/>
          <w:sz w:val="18"/>
          <w:szCs w:val="18"/>
          <w:color w:val="auto"/>
        </w:rPr>
        <w:t>” means any sale of a property by the Company, any of its Subsidiaries or any Other Consolidated Person, as seller, that should, in accordance with GAAP, be classified and accounted for as an installment sale on a consolidated balance sheet of the Company, its Subsidiaries and the Other Consolidated Persons.</w:t>
      </w:r>
    </w:p>
    <w:p>
      <w:pPr>
        <w:spacing w:after="0" w:line="176" w:lineRule="exact"/>
        <w:rPr>
          <w:sz w:val="20"/>
          <w:szCs w:val="20"/>
          <w:color w:val="auto"/>
        </w:rPr>
      </w:pPr>
    </w:p>
    <w:p>
      <w:pPr>
        <w:ind w:right="60" w:firstLine="965"/>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Expense</w:t>
      </w:r>
      <w:r>
        <w:rPr>
          <w:rFonts w:ascii="Times New Roman" w:cs="Times New Roman" w:eastAsia="Times New Roman" w:hAnsi="Times New Roman"/>
          <w:sz w:val="16"/>
          <w:szCs w:val="16"/>
          <w:color w:val="auto"/>
        </w:rPr>
        <w:t>” means, for any period, the sum, for the Company and its Subsidiaries and Other Consolidated Persons (determined on a consolidated basis without duplication in accordance with GAAP), of the following: (a) all interest and fees in respect of Indebtedness (including the interest component of any payments in respect of Capital Leases and Synthetic Leases accounted for as interest under GAAP) accrued or capitalized during such period (whether or not actually paid during such period) plus (b) the net amount payable (or minus the net amount receivable) under Hedging Agreements relating to interest during such period (whether or not actually paid or received during such period) minus (c) interest income (excluding interest income in respect of Capital Leases and Installment Sales) during such period (whether or not actually received during such period).</w:t>
      </w:r>
    </w:p>
    <w:p>
      <w:pPr>
        <w:spacing w:after="0" w:line="157" w:lineRule="exact"/>
        <w:rPr>
          <w:sz w:val="20"/>
          <w:szCs w:val="20"/>
          <w:color w:val="auto"/>
        </w:rPr>
      </w:pPr>
    </w:p>
    <w:p>
      <w:pPr>
        <w:ind w:firstLine="965"/>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and including the designation of a Restricted Subsidiary as an Unrestricted Subsidiary. If the Company or any Restricted Subsidiary of the Company sells or otherwise disposes of any Equity Interests of any direct or indirect Restricted Subsidiary of the Company such that, after giving effect to any such sale or disposition, such Person is no longer a Restricted Subsidiary of the Company, the Company will be deemed to have made an Investment on the date of any such sale or disposition equal to the Fair Market Value of all Investments in such Restricted Subsidiary not sold or disposed of in an amount determined as provided in the final paragraph of Section 4.07 hereof. The acquisition by the Company or any Restricted Subsidiary of the Company of a Person that holds an Investment in a third Person will be deemed to be an Investment by the Company or such Restricted Subsidiary in such third Person in an amount equal to the Fair Market Value of the Investment held by the acquired Person in such third Person in an amount determined as provided in the final paragraph of Section 4.07 hereof.</w:t>
      </w:r>
    </w:p>
    <w:p>
      <w:pPr>
        <w:spacing w:after="0" w:line="1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the date on which the Notes are initially issued under this Indenture.</w:t>
      </w:r>
    </w:p>
    <w:p>
      <w:pPr>
        <w:spacing w:after="0" w:line="1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6" w:right="599" w:bottom="1440" w:gutter="0" w:footer="0" w:header="0"/>
        </w:sectPr>
      </w:pPr>
    </w:p>
    <w:bookmarkStart w:id="105" w:name="page106"/>
    <w:bookmarkEnd w:id="105"/>
    <w:p>
      <w:pPr>
        <w:jc w:val="both"/>
        <w:ind w:right="60" w:firstLine="965"/>
        <w:spacing w:after="0" w:line="30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Legal Holiday</w:t>
      </w:r>
      <w:r>
        <w:rPr>
          <w:rFonts w:ascii="Times New Roman" w:cs="Times New Roman" w:eastAsia="Times New Roman" w:hAnsi="Times New Roman"/>
          <w:sz w:val="16"/>
          <w:szCs w:val="16"/>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42" w:lineRule="exact"/>
        <w:rPr>
          <w:sz w:val="20"/>
          <w:szCs w:val="20"/>
          <w:color w:val="auto"/>
        </w:rPr>
      </w:pPr>
    </w:p>
    <w:p>
      <w:pPr>
        <w:ind w:right="14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UCC (or equivalent statutes) of any jurisdiction.</w:t>
      </w:r>
    </w:p>
    <w:p>
      <w:pPr>
        <w:spacing w:after="0" w:line="182" w:lineRule="exact"/>
        <w:rPr>
          <w:sz w:val="20"/>
          <w:szCs w:val="20"/>
          <w:color w:val="auto"/>
        </w:rPr>
      </w:pPr>
    </w:p>
    <w:p>
      <w:pPr>
        <w:ind w:right="120" w:firstLine="9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Limited Condition Transaction</w:t>
      </w:r>
      <w:r>
        <w:rPr>
          <w:rFonts w:ascii="Times New Roman" w:cs="Times New Roman" w:eastAsia="Times New Roman" w:hAnsi="Times New Roman"/>
          <w:sz w:val="16"/>
          <w:szCs w:val="16"/>
          <w:color w:val="auto"/>
        </w:rPr>
        <w:t>” means (1) any Investment or acquisition (whether by merger, amalgamation, consolidation or other business combination or the acquisition of Capital Stock or otherwise and which may include, for the avoidance of doubt, a transaction that may constitute a Change of Control) or other transaction, whose consummation is not conditioned on the availability of, or on obtaining, third party financing, (2) any redemption, repurchase, defeasance, satisfaction and discharge or repayment of Indebtedness, Disqualified Stock or Preferred Stock,</w:t>
      </w:r>
    </w:p>
    <w:p>
      <w:pPr>
        <w:spacing w:after="0" w:line="2" w:lineRule="exact"/>
        <w:rPr>
          <w:sz w:val="20"/>
          <w:szCs w:val="20"/>
          <w:color w:val="auto"/>
        </w:rPr>
      </w:pPr>
    </w:p>
    <w:p>
      <w:pPr>
        <w:ind w:right="40" w:firstLine="1"/>
        <w:spacing w:after="0" w:line="247" w:lineRule="auto"/>
        <w:tabs>
          <w:tab w:leader="none" w:pos="2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requiring irrevocable notice in advance thereof and (4) any Asset Sale or a disposition excluded from the definition of Asset Sale.</w:t>
      </w:r>
    </w:p>
    <w:p>
      <w:pPr>
        <w:spacing w:after="0" w:line="185" w:lineRule="exact"/>
        <w:rPr>
          <w:sz w:val="20"/>
          <w:szCs w:val="20"/>
          <w:color w:val="auto"/>
        </w:rPr>
      </w:pPr>
    </w:p>
    <w:p>
      <w:pPr>
        <w:ind w:right="60" w:firstLine="965"/>
        <w:spacing w:after="0" w:line="28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Real Property</w:t>
      </w:r>
      <w:r>
        <w:rPr>
          <w:rFonts w:ascii="Times New Roman" w:cs="Times New Roman" w:eastAsia="Times New Roman" w:hAnsi="Times New Roman"/>
          <w:sz w:val="16"/>
          <w:szCs w:val="16"/>
          <w:color w:val="auto"/>
        </w:rPr>
        <w:t xml:space="preserve">” means (a) any domestic real property interest, including improvements, owned or leased by the Company or any Guarantor that has a net book value in excess of $6,000,000 or (b) any domestic real property owned or leased by the Company or any Guarantor that is to be secured by a Mortgage such that after giving effect to such Mortgage, the Collateral includes at least 90% of the net book value of the domestic real property interests of the Company and the Guarantors, whichever of clause (a) or (b) represents a greater proportion of the net book value of all domestic real property interests of the Company and the Guarantors;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however</w:t>
      </w:r>
      <w:r>
        <w:rPr>
          <w:rFonts w:ascii="Times New Roman" w:cs="Times New Roman" w:eastAsia="Times New Roman" w:hAnsi="Times New Roman"/>
          <w:sz w:val="16"/>
          <w:szCs w:val="16"/>
          <w:color w:val="auto"/>
        </w:rPr>
        <w:t>, that no Excluded Real Property (as defined in the Exchange Credit Agreement on the date hereof) shall constitute “Material Real Property” for purposes of this Indenture and the other Note Documents.</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14" w:lineRule="exact"/>
        <w:rPr>
          <w:sz w:val="20"/>
          <w:szCs w:val="20"/>
          <w:color w:val="auto"/>
        </w:rPr>
      </w:pPr>
    </w:p>
    <w:p>
      <w:pPr>
        <w:ind w:firstLine="965"/>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Mortgages</w:t>
      </w:r>
      <w:r>
        <w:rPr>
          <w:rFonts w:ascii="Times New Roman" w:cs="Times New Roman" w:eastAsia="Times New Roman" w:hAnsi="Times New Roman"/>
          <w:sz w:val="16"/>
          <w:szCs w:val="16"/>
          <w:color w:val="auto"/>
        </w:rPr>
        <w:t>” means, collectively, one or more mortgages and deeds of trust (or equivalent instruments), in form and substance reasonably satisfactory to the Second Lien Collateral Trustee (each with such changes as may be appropriate in the applicable jurisdiction)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form and substance shall be deemed satisfactory if any such Mortgage shall be substantially similar to the comparable Mortgage provided under the Exchange Credit Agreement which are otherwise satisfactory to the Exchange Credit Agreement Agent, subject to factual changes necessary to reflect the Second Lien Secured Obligations and the Note Documents), executed by the Company or a Guarantor in favor of the Second Lien Collateral Trustee for the benefit of the Second Priority Secured Parties, and covering (i) the properties listed on </w:t>
      </w:r>
      <w:r>
        <w:rPr>
          <w:rFonts w:ascii="Times New Roman" w:cs="Times New Roman" w:eastAsia="Times New Roman" w:hAnsi="Times New Roman"/>
          <w:sz w:val="16"/>
          <w:szCs w:val="16"/>
          <w:u w:val="single" w:color="auto"/>
          <w:color w:val="auto"/>
        </w:rPr>
        <w:t>Annex I</w:t>
      </w:r>
      <w:r>
        <w:rPr>
          <w:rFonts w:ascii="Times New Roman" w:cs="Times New Roman" w:eastAsia="Times New Roman" w:hAnsi="Times New Roman"/>
          <w:sz w:val="16"/>
          <w:szCs w:val="16"/>
          <w:color w:val="auto"/>
        </w:rPr>
        <w:t xml:space="preserve"> and (ii) thereafter, the properties and leasehold interests of the Company and the Guarantors that are required to be subject to the Lien of a Mortgage in accordance with the terms hereof.</w:t>
      </w:r>
    </w:p>
    <w:p>
      <w:pPr>
        <w:spacing w:after="0" w:line="158" w:lineRule="exact"/>
        <w:rPr>
          <w:sz w:val="20"/>
          <w:szCs w:val="20"/>
          <w:color w:val="auto"/>
        </w:rPr>
      </w:pPr>
    </w:p>
    <w:p>
      <w:pPr>
        <w:ind w:right="6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with respect to any specified Person for any period, the net income (loss) of such Person, determined in accordance with GAAP and before any reduction in respect of Preferred Stock dividends, excluding, however:</w:t>
      </w:r>
    </w:p>
    <w:p>
      <w:pPr>
        <w:spacing w:after="0" w:line="62" w:lineRule="exact"/>
        <w:rPr>
          <w:sz w:val="20"/>
          <w:szCs w:val="20"/>
          <w:color w:val="auto"/>
        </w:rPr>
      </w:pPr>
    </w:p>
    <w:p>
      <w:pPr>
        <w:ind w:left="1600" w:hanging="243"/>
        <w:spacing w:after="0"/>
        <w:tabs>
          <w:tab w:leader="none" w:pos="16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(but not loss), together with any related provision for taxes on such gain (but not loss), realized in connection with:</w:t>
      </w:r>
    </w:p>
    <w:p>
      <w:pPr>
        <w:spacing w:after="0" w:line="21" w:lineRule="exact"/>
        <w:rPr>
          <w:rFonts w:ascii="Times New Roman" w:cs="Times New Roman" w:eastAsia="Times New Roman" w:hAnsi="Times New Roman"/>
          <w:sz w:val="18"/>
          <w:szCs w:val="18"/>
          <w:color w:val="auto"/>
        </w:rPr>
      </w:pPr>
    </w:p>
    <w:p>
      <w:pPr>
        <w:ind w:left="960" w:right="720" w:firstLine="7"/>
        <w:spacing w:after="0" w:line="247" w:lineRule="auto"/>
        <w:tabs>
          <w:tab w:leader="none" w:pos="11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assets outside the ordinary course of business; or (b) the disposition of any securities by such Person or any of the Restricted Subsidiaries or the extinguishment of any Indebtedness of such Person or any of the Restricted Subsidiaries ;</w:t>
      </w:r>
    </w:p>
    <w:p>
      <w:pPr>
        <w:spacing w:after="0" w:line="81"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gain or loss, together with any related provision for taxes on such extraordinary gain or loss;</w:t>
      </w:r>
    </w:p>
    <w:p>
      <w:pPr>
        <w:spacing w:after="0" w:line="108" w:lineRule="exact"/>
        <w:rPr>
          <w:rFonts w:ascii="Times New Roman" w:cs="Times New Roman" w:eastAsia="Times New Roman" w:hAnsi="Times New Roman"/>
          <w:sz w:val="18"/>
          <w:szCs w:val="18"/>
          <w:color w:val="auto"/>
        </w:rPr>
      </w:pPr>
    </w:p>
    <w:p>
      <w:pPr>
        <w:ind w:left="960" w:firstLine="397"/>
        <w:spacing w:after="0" w:line="268" w:lineRule="auto"/>
        <w:tabs>
          <w:tab w:leader="none" w:pos="159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resulting from impairment of goodwill recorded on the consolidated financial statements of such Person pursuant to ASC 350 “Intangibles – Goodwill and Other Intangible Assets”;</w:t>
      </w:r>
    </w:p>
    <w:p>
      <w:pPr>
        <w:spacing w:after="0" w:line="63" w:lineRule="exact"/>
        <w:rPr>
          <w:rFonts w:ascii="Times New Roman" w:cs="Times New Roman" w:eastAsia="Times New Roman" w:hAnsi="Times New Roman"/>
          <w:sz w:val="18"/>
          <w:szCs w:val="18"/>
          <w:color w:val="auto"/>
        </w:rPr>
      </w:pPr>
    </w:p>
    <w:p>
      <w:pPr>
        <w:ind w:left="960" w:right="620" w:firstLine="397"/>
        <w:spacing w:after="0" w:line="268" w:lineRule="auto"/>
        <w:tabs>
          <w:tab w:leader="none" w:pos="159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resulting from the change in fair value of a derivative financial instrument pursuant to ASC 815 “Derivative and Hedging”; and</w:t>
      </w:r>
    </w:p>
    <w:p>
      <w:pPr>
        <w:spacing w:after="0" w:line="6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issuance costs.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00"/>
          </w:cols>
          <w:pgMar w:left="580" w:top="264" w:right="619" w:bottom="1440" w:gutter="0" w:footer="0" w:header="0"/>
        </w:sectPr>
      </w:pPr>
    </w:p>
    <w:bookmarkStart w:id="106" w:name="page107"/>
    <w:bookmarkEnd w:id="106"/>
    <w:p>
      <w:pPr>
        <w:ind w:right="60" w:firstLine="965"/>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the aggregate cash proceeds received by the Company or any of the Restricted Subsidiaries in respect of any Asset Sale (including, without limitation, any cash or Cash Equivalents received upon the sale or other disposition of any non-cash consideration received in any Asset Sale), net of:</w:t>
      </w:r>
    </w:p>
    <w:p>
      <w:pPr>
        <w:spacing w:after="0" w:line="73" w:lineRule="exact"/>
        <w:rPr>
          <w:sz w:val="20"/>
          <w:szCs w:val="20"/>
          <w:color w:val="auto"/>
        </w:rPr>
      </w:pPr>
    </w:p>
    <w:p>
      <w:pPr>
        <w:ind w:left="960" w:right="60" w:firstLine="397"/>
        <w:spacing w:after="0" w:line="268" w:lineRule="auto"/>
        <w:tabs>
          <w:tab w:leader="none" w:pos="15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costs relating to such Asset Sale, including, without limitation, legal, accounting and investment banking fees, and sales commissions, and any relocation expenses incurred as a result of the Asset Sale,</w:t>
      </w:r>
    </w:p>
    <w:p>
      <w:pPr>
        <w:spacing w:after="0" w:line="63" w:lineRule="exact"/>
        <w:rPr>
          <w:rFonts w:ascii="Times New Roman" w:cs="Times New Roman" w:eastAsia="Times New Roman" w:hAnsi="Times New Roman"/>
          <w:sz w:val="18"/>
          <w:szCs w:val="18"/>
          <w:color w:val="auto"/>
        </w:rPr>
      </w:pPr>
    </w:p>
    <w:p>
      <w:pPr>
        <w:ind w:left="960" w:right="180" w:firstLine="397"/>
        <w:spacing w:after="0" w:line="268" w:lineRule="auto"/>
        <w:tabs>
          <w:tab w:leader="none" w:pos="16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or payable as a result of the Asset Sale, in each case, after taking into account any available tax credits or deductions and any tax sharing arrangements,</w:t>
      </w:r>
    </w:p>
    <w:p>
      <w:pPr>
        <w:spacing w:after="0" w:line="63" w:lineRule="exact"/>
        <w:rPr>
          <w:rFonts w:ascii="Times New Roman" w:cs="Times New Roman" w:eastAsia="Times New Roman" w:hAnsi="Times New Roman"/>
          <w:sz w:val="18"/>
          <w:szCs w:val="18"/>
          <w:color w:val="auto"/>
        </w:rPr>
      </w:pPr>
    </w:p>
    <w:p>
      <w:pPr>
        <w:ind w:left="960" w:firstLine="397"/>
        <w:spacing w:after="0" w:line="268" w:lineRule="auto"/>
        <w:tabs>
          <w:tab w:leader="none" w:pos="1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required to be applied to the repayment of Indebtedness, secured by a Lien on the asset or assets that were the subject of such Asset Sale, and</w:t>
      </w:r>
    </w:p>
    <w:p>
      <w:pPr>
        <w:spacing w:after="0" w:line="63"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reserve for adjustment in respect of the sale price of such asset or assets established in accordance with GAAP.</w:t>
      </w:r>
    </w:p>
    <w:p>
      <w:pPr>
        <w:spacing w:after="0" w:line="2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Non-Guarantor Restricted Subsidiary</w:t>
      </w:r>
      <w:r>
        <w:rPr>
          <w:rFonts w:ascii="Times New Roman" w:cs="Times New Roman" w:eastAsia="Times New Roman" w:hAnsi="Times New Roman"/>
          <w:sz w:val="18"/>
          <w:szCs w:val="18"/>
          <w:color w:val="auto"/>
        </w:rPr>
        <w:t>” means a Restricted Subsidiary that is not a Guarantor.</w:t>
      </w:r>
    </w:p>
    <w:p>
      <w:pPr>
        <w:spacing w:after="0" w:line="214" w:lineRule="exact"/>
        <w:rPr>
          <w:sz w:val="20"/>
          <w:szCs w:val="20"/>
          <w:color w:val="auto"/>
        </w:rPr>
      </w:pPr>
    </w:p>
    <w:p>
      <w:pPr>
        <w:ind w:firstLine="965"/>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w:t>
      </w:r>
      <w:r>
        <w:rPr>
          <w:rFonts w:ascii="Times New Roman" w:cs="Times New Roman" w:eastAsia="Times New Roman" w:hAnsi="Times New Roman"/>
          <w:sz w:val="18"/>
          <w:szCs w:val="18"/>
          <w:color w:val="auto"/>
        </w:rPr>
        <w:t>” means, with respect to any Indebtedness or other obligation and to any Person, that such Person has not Guaranteed or provided credit support of any kind (including a “Keepwell” arrangement) with respect to such Indebtedness or other obligation, and is not otherwise liable, directly or indirectly, for such Indebtedness or other obligation, and that any action or inaction by such Person, including, without limitation, any default by such Person on its own Indebtedness or other obligations, will not result in any default, event of default, acceleration, or increased financial or other obligations, under or with respect to such Indebtedness or other obligation; provided that any Indebtedness or other obligation of any Unrestricted Subsidiary or Other Consolidated Person that would otherwise be Non-Recourse to the Company and the Restricted Subsidiaries shall not be Non-Recourse to the Company and the Restricted Subsidiaries solely due to (A) any investment funded at the time or prior to the incurrence of such Indebtedness or other obligation or (B) the assignment by the Company or any Restricted Subsidiary of its rights under any Government Operating Agreement to secure Indebtedness of an Unrestricted Subsidiary, or Indebtedness or other obligations of any Other Consolidated Person, related to such Government Operating Agreement.</w:t>
      </w:r>
    </w:p>
    <w:p>
      <w:pPr>
        <w:spacing w:after="0" w:line="192" w:lineRule="exact"/>
        <w:rPr>
          <w:sz w:val="20"/>
          <w:szCs w:val="20"/>
          <w:color w:val="auto"/>
        </w:rPr>
      </w:pPr>
    </w:p>
    <w:p>
      <w:pPr>
        <w:ind w:right="120" w:firstLine="965"/>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Non-Recourse Debt Service</w:t>
      </w:r>
      <w:r>
        <w:rPr>
          <w:rFonts w:ascii="Times New Roman" w:cs="Times New Roman" w:eastAsia="Times New Roman" w:hAnsi="Times New Roman"/>
          <w:sz w:val="16"/>
          <w:szCs w:val="16"/>
          <w:color w:val="auto"/>
        </w:rPr>
        <w:t>” means, with respect to any Person, for any period, the sum of, without duplication (a) the net interest expense of such Person with respect to Indebtedness that is Non-Recourse to the Company and the Restricted Subsidiaries, determined for such period, without duplication, on a consolidated or combined basis, as the case may be, in accordance with GAAP, (b) the scheduled principal payments required to be made during such period by such Person with respect to Indebtedness that is Non-Recourse to the Company and the Restricted Subsidiaries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rent expense for such period associated with Indebtedness that is Non-Recourse to the Company and the Restricted Subsidiaries.</w:t>
      </w:r>
    </w:p>
    <w:p>
      <w:pPr>
        <w:spacing w:after="0" w:line="194" w:lineRule="exact"/>
        <w:rPr>
          <w:sz w:val="20"/>
          <w:szCs w:val="20"/>
          <w:color w:val="auto"/>
        </w:rPr>
      </w:pPr>
    </w:p>
    <w:p>
      <w:pPr>
        <w:ind w:right="180" w:firstLine="965"/>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Non-Recourse Project Financing Indebtedness</w:t>
      </w:r>
      <w:r>
        <w:rPr>
          <w:rFonts w:ascii="Times New Roman" w:cs="Times New Roman" w:eastAsia="Times New Roman" w:hAnsi="Times New Roman"/>
          <w:sz w:val="16"/>
          <w:szCs w:val="16"/>
          <w:color w:val="auto"/>
        </w:rPr>
        <w:t>” means any Indebtedness of a Subsidiary (the “</w:t>
      </w:r>
      <w:r>
        <w:rPr>
          <w:rFonts w:ascii="Times New Roman" w:cs="Times New Roman" w:eastAsia="Times New Roman" w:hAnsi="Times New Roman"/>
          <w:sz w:val="16"/>
          <w:szCs w:val="16"/>
          <w:b w:val="1"/>
          <w:bCs w:val="1"/>
          <w:color w:val="auto"/>
        </w:rPr>
        <w:t>Project Financing Subsidiary</w:t>
      </w:r>
      <w:r>
        <w:rPr>
          <w:rFonts w:ascii="Times New Roman" w:cs="Times New Roman" w:eastAsia="Times New Roman" w:hAnsi="Times New Roman"/>
          <w:sz w:val="16"/>
          <w:szCs w:val="16"/>
          <w:color w:val="auto"/>
        </w:rPr>
        <w:t>”) incurred in connection with the acquisition, construction or development of any Facility (and any Attributable Debt in respect of a Sale and Leaseback Transaction entered into in connection with (i) the acquisition, construction or development of any Facility by the Company and the Restricted Subsidiaries after the date of this Indenture or (ii) any vacant land upon which a Facility related to any Permitted Business is to be built):</w:t>
      </w:r>
    </w:p>
    <w:p>
      <w:pPr>
        <w:spacing w:after="0" w:line="47" w:lineRule="exact"/>
        <w:rPr>
          <w:sz w:val="20"/>
          <w:szCs w:val="20"/>
          <w:color w:val="auto"/>
        </w:rPr>
      </w:pPr>
    </w:p>
    <w:p>
      <w:pPr>
        <w:ind w:left="960" w:right="600" w:firstLine="397"/>
        <w:spacing w:after="0" w:line="268" w:lineRule="auto"/>
        <w:tabs>
          <w:tab w:leader="none" w:pos="159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either the Company, a Restricted Subsidiary or such Project Financing Subsidiary operates or is responsible for the operation of the facility pursuant to a Government Operating Agreement;</w:t>
      </w:r>
    </w:p>
    <w:p>
      <w:pPr>
        <w:spacing w:after="0" w:line="6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neither the Company nor any of the Restricted Subsidiaries , other than such Project Financing Subsidiary,</w:t>
      </w:r>
    </w:p>
    <w:p>
      <w:pPr>
        <w:spacing w:after="0" w:line="21" w:lineRule="exact"/>
        <w:rPr>
          <w:rFonts w:ascii="Times New Roman" w:cs="Times New Roman" w:eastAsia="Times New Roman" w:hAnsi="Times New Roman"/>
          <w:sz w:val="18"/>
          <w:szCs w:val="18"/>
          <w:color w:val="auto"/>
        </w:rPr>
      </w:pPr>
    </w:p>
    <w:p>
      <w:pPr>
        <w:ind w:left="960" w:right="180" w:firstLine="7"/>
        <w:spacing w:after="0" w:line="244" w:lineRule="auto"/>
        <w:tabs>
          <w:tab w:leader="none" w:pos="11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credit support of any kind (including any undertaking, agreement or instrument that would constitute Indebtedness or Attributable Debt), it being understood that neither (i) equity Investments funded at the time of or prior to the incurrence of such Indebtedness or Attributable Debt, nor (ii) the pledge by the Company or any Restricted Subsidiary of the Government Operating Agreement relating to such facility shall be deemed credit support or an Investment or (b) is directly or indirectly liable as a guarantor or otherwise;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4" w:right="599" w:bottom="1440" w:gutter="0" w:footer="0" w:header="0"/>
        </w:sectPr>
      </w:pPr>
    </w:p>
    <w:bookmarkStart w:id="107" w:name="page108"/>
    <w:bookmarkEnd w:id="107"/>
    <w:p>
      <w:pPr>
        <w:jc w:val="both"/>
        <w:ind w:left="960" w:right="160" w:firstLine="397"/>
        <w:spacing w:after="0" w:line="256" w:lineRule="auto"/>
        <w:tabs>
          <w:tab w:leader="none" w:pos="15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where, upon the termination of the management services contract with respect to such facility, neither the Company nor any of the Restricted Subsidiaries , other than the Project Financing Subsidiary, will be liable, directly or indirectly, to make any payments with respect to such Indebtedness or Attributable Debt (or, in each case, any portion thereof);</w:t>
      </w:r>
    </w:p>
    <w:p>
      <w:pPr>
        <w:spacing w:after="0" w:line="73" w:lineRule="exact"/>
        <w:rPr>
          <w:rFonts w:ascii="Times New Roman" w:cs="Times New Roman" w:eastAsia="Times New Roman" w:hAnsi="Times New Roman"/>
          <w:sz w:val="18"/>
          <w:szCs w:val="18"/>
          <w:color w:val="auto"/>
        </w:rPr>
      </w:pPr>
    </w:p>
    <w:p>
      <w:pPr>
        <w:ind w:left="960" w:right="140" w:firstLine="397"/>
        <w:spacing w:after="0" w:line="268" w:lineRule="auto"/>
        <w:tabs>
          <w:tab w:leader="none" w:pos="15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related to such Indebtedness or Attributable Debt is fully serviced by a payment pursuant to a Government Operating Agreement with respect to such facility; and</w:t>
      </w:r>
    </w:p>
    <w:p>
      <w:pPr>
        <w:spacing w:after="0" w:line="63" w:lineRule="exact"/>
        <w:rPr>
          <w:rFonts w:ascii="Times New Roman" w:cs="Times New Roman" w:eastAsia="Times New Roman" w:hAnsi="Times New Roman"/>
          <w:sz w:val="18"/>
          <w:szCs w:val="18"/>
          <w:color w:val="auto"/>
        </w:rPr>
      </w:pPr>
    </w:p>
    <w:p>
      <w:pPr>
        <w:ind w:left="960" w:right="380" w:firstLine="397"/>
        <w:spacing w:after="0" w:line="268" w:lineRule="auto"/>
        <w:tabs>
          <w:tab w:leader="none" w:pos="15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Project Financing Subsidiary has no assets other than the assets, including any ownership or leasehold interests in such facility and any working capital, reasonably related to the design, construction, management and financing of the facility.</w:t>
      </w:r>
    </w:p>
    <w:p>
      <w:pPr>
        <w:spacing w:after="0" w:line="167" w:lineRule="exact"/>
        <w:rPr>
          <w:sz w:val="20"/>
          <w:szCs w:val="20"/>
          <w:color w:val="auto"/>
        </w:rPr>
      </w:pPr>
    </w:p>
    <w:p>
      <w:pPr>
        <w:ind w:right="82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Documents</w:t>
      </w:r>
      <w:r>
        <w:rPr>
          <w:rFonts w:ascii="Times New Roman" w:cs="Times New Roman" w:eastAsia="Times New Roman" w:hAnsi="Times New Roman"/>
          <w:sz w:val="18"/>
          <w:szCs w:val="18"/>
          <w:color w:val="auto"/>
        </w:rPr>
        <w:t>” means this Indenture, the Notes, the Note Guarantees, the Security Documents, the First Lien/Second Lien Intercreditor Agreement and any other Approved Intercreditor Agreement.</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Guarantee</w:t>
      </w:r>
      <w:r>
        <w:rPr>
          <w:rFonts w:ascii="Times New Roman" w:cs="Times New Roman" w:eastAsia="Times New Roman" w:hAnsi="Times New Roman"/>
          <w:sz w:val="18"/>
          <w:szCs w:val="18"/>
          <w:color w:val="auto"/>
        </w:rPr>
        <w:t>” means a Guarantee by each Guarantor of the obligations of the Company under the Indenture and the Notes.</w:t>
      </w:r>
    </w:p>
    <w:p>
      <w:pPr>
        <w:spacing w:after="0" w:line="214" w:lineRule="exact"/>
        <w:rPr>
          <w:sz w:val="20"/>
          <w:szCs w:val="20"/>
          <w:color w:val="auto"/>
        </w:rPr>
      </w:pPr>
    </w:p>
    <w:p>
      <w:pPr>
        <w:ind w:right="18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10.500% Senior Second Lien Secured Notes due 2028 of the Company issued on the date hereof. The Notes shall be treated as a single class for all purposes under this Indenture.</w:t>
      </w:r>
    </w:p>
    <w:p>
      <w:pPr>
        <w:spacing w:after="0" w:line="165" w:lineRule="exact"/>
        <w:rPr>
          <w:sz w:val="20"/>
          <w:szCs w:val="20"/>
          <w:color w:val="auto"/>
        </w:rPr>
      </w:pPr>
    </w:p>
    <w:p>
      <w:pPr>
        <w:ind w:right="1040" w:firstLine="965"/>
        <w:spacing w:after="0" w:line="3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Obligations</w:t>
      </w:r>
      <w:r>
        <w:rPr>
          <w:rFonts w:ascii="Times New Roman" w:cs="Times New Roman" w:eastAsia="Times New Roman" w:hAnsi="Times New Roman"/>
          <w:sz w:val="16"/>
          <w:szCs w:val="16"/>
          <w:color w:val="auto"/>
        </w:rPr>
        <w:t>” means any principal, interest, penalties, premiums, including the Redemption Price Premium fees, expenses, indemnifications, reimbursements, damages and other liabilities payable under the documentation governing any Indebtedness.</w:t>
      </w:r>
    </w:p>
    <w:p>
      <w:pPr>
        <w:spacing w:after="0" w:line="119" w:lineRule="exact"/>
        <w:rPr>
          <w:sz w:val="20"/>
          <w:szCs w:val="20"/>
          <w:color w:val="auto"/>
        </w:rPr>
      </w:pPr>
    </w:p>
    <w:p>
      <w:pPr>
        <w:ind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any Person, the Chairman of the Board of Directors, the Chief Executive Officer, the President, the Chief Operating Officer, the Chief Financial Officer, the Treasurer, any Assistant Treasurer, the Controller, the Secretary, an Assistant Secretary or any Vice-President of such Person.</w:t>
      </w:r>
    </w:p>
    <w:p>
      <w:pPr>
        <w:spacing w:after="0" w:line="176" w:lineRule="exact"/>
        <w:rPr>
          <w:sz w:val="20"/>
          <w:szCs w:val="20"/>
          <w:color w:val="auto"/>
        </w:rPr>
      </w:pPr>
    </w:p>
    <w:p>
      <w:pPr>
        <w:ind w:right="12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on behalf of the Company by one Officer of the Company that meets the requirements of Section 13.05 hereof.</w:t>
      </w:r>
    </w:p>
    <w:p>
      <w:pPr>
        <w:spacing w:after="0" w:line="165" w:lineRule="exact"/>
        <w:rPr>
          <w:sz w:val="20"/>
          <w:szCs w:val="20"/>
          <w:color w:val="auto"/>
        </w:rPr>
      </w:pPr>
    </w:p>
    <w:p>
      <w:pPr>
        <w:ind w:right="28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from legal counsel who is reasonably acceptable to the Trustee or the Second Lien Collateral Trustee, as applicable, that meets the requirements of Section 13.05 hereof. The counsel may be an employee of or counsel to the Company, any Subsidiary of the Company, the Trustee or the Second Lien Collateral Trustee, as applicable.</w:t>
      </w:r>
    </w:p>
    <w:p>
      <w:pPr>
        <w:spacing w:after="0" w:line="176" w:lineRule="exact"/>
        <w:rPr>
          <w:sz w:val="20"/>
          <w:szCs w:val="20"/>
          <w:color w:val="auto"/>
        </w:rPr>
      </w:pPr>
    </w:p>
    <w:p>
      <w:pPr>
        <w:ind w:right="500" w:firstLine="965"/>
        <w:spacing w:after="0" w:line="3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Other Consolidated Persons</w:t>
      </w:r>
      <w:r>
        <w:rPr>
          <w:rFonts w:ascii="Times New Roman" w:cs="Times New Roman" w:eastAsia="Times New Roman" w:hAnsi="Times New Roman"/>
          <w:sz w:val="16"/>
          <w:szCs w:val="16"/>
          <w:color w:val="auto"/>
        </w:rPr>
        <w:t>” means Persons, none of the Equity Interests of which are owned by the Company or any of its Subsidiaries, whose financial statements are required to be consolidated with the financial statements of the Company in accordance with GAAP.</w:t>
      </w:r>
    </w:p>
    <w:p>
      <w:pPr>
        <w:spacing w:after="0" w:line="119" w:lineRule="exact"/>
        <w:rPr>
          <w:sz w:val="20"/>
          <w:szCs w:val="20"/>
          <w:color w:val="auto"/>
        </w:rPr>
      </w:pPr>
    </w:p>
    <w:p>
      <w:pPr>
        <w:ind w:right="60" w:firstLine="965"/>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Parent Company</w:t>
      </w:r>
      <w:r>
        <w:rPr>
          <w:rFonts w:ascii="Times New Roman" w:cs="Times New Roman" w:eastAsia="Times New Roman" w:hAnsi="Times New Roman"/>
          <w:sz w:val="16"/>
          <w:szCs w:val="16"/>
          <w:color w:val="auto"/>
        </w:rPr>
        <w:t>” means any Person so long as such Person (i) holds, directly or indirectly, 100% of the total voting power of the Capital Stock of the Company and (ii) provides a Note Guarantee; and at and after the time such Person acquired such voting power, (x) no “person” or “group” (as such terms are used in Sections 13(d) and 14(d) of the Exchange Act) shall be or become a Beneficial Owner, directly or indirectly, of 50% or more of the total voting power of the Capital Stock of such Person and (y) each of the total assets, revenues, income from continuing operations before income taxes and cash flows from operating activities of such Person, determined on a consolidated basis in accordance with GAAP, but excluding in each case amounts related to its investment in the Company, as shown in the most recent fiscal quarter financial statements of such Person (measured on a most recent trailing four fiscal quarter basis with respect to revenues, income from continuing operations before income taxes and cash flows from operating activities), is not more than 3.0% of such Person’s corresponding consolidated amount determined in accordance with GAAP.</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80"/>
          </w:cols>
          <w:pgMar w:left="580" w:top="266" w:right="639" w:bottom="1440" w:gutter="0" w:footer="0" w:header="0"/>
        </w:sectPr>
      </w:pPr>
    </w:p>
    <w:bookmarkStart w:id="108" w:name="page109"/>
    <w:bookmarkEnd w:id="108"/>
    <w:p>
      <w:pPr>
        <w:ind w:right="300" w:firstLine="965"/>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an acquisition by the Company or a Restricted Subsidiary of a Facility, all of the Equity Interests of a Person or all or substantially all of the assets and related rights constituting an ongoing business, in each case primarily constituting a Permitted Business, and, in each case, where each of the following conditions is satisfied:</w:t>
      </w:r>
    </w:p>
    <w:p>
      <w:pPr>
        <w:spacing w:after="0" w:line="73" w:lineRule="exact"/>
        <w:rPr>
          <w:sz w:val="20"/>
          <w:szCs w:val="20"/>
          <w:color w:val="auto"/>
        </w:rPr>
      </w:pPr>
    </w:p>
    <w:p>
      <w:pPr>
        <w:ind w:left="960" w:right="80" w:firstLine="397"/>
        <w:spacing w:after="0" w:line="268" w:lineRule="auto"/>
        <w:tabs>
          <w:tab w:leader="none" w:pos="15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such acquisition, both before and immediately after the consummation thereof, no default or Event of Default shall have occurred and be continuing;</w:t>
      </w:r>
    </w:p>
    <w:p>
      <w:pPr>
        <w:spacing w:after="0" w:line="63" w:lineRule="exact"/>
        <w:rPr>
          <w:rFonts w:ascii="Times New Roman" w:cs="Times New Roman" w:eastAsia="Times New Roman" w:hAnsi="Times New Roman"/>
          <w:sz w:val="18"/>
          <w:szCs w:val="18"/>
          <w:color w:val="auto"/>
        </w:rPr>
      </w:pPr>
    </w:p>
    <w:p>
      <w:pPr>
        <w:ind w:left="960" w:firstLine="397"/>
        <w:spacing w:after="0" w:line="252" w:lineRule="auto"/>
        <w:tabs>
          <w:tab w:leader="none" w:pos="15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consideration paid for such acquisition (including, without duplication, the assumption of Indebtedness and aggregate amount of Indebtedness of the subject of such acquisition remaining outstanding after the consummation thereof) is less than $15,000,000, Subject EBITDA for the period of four fiscal quarters of the proposed Acquired Business ended most recently before the consummation of such acquisition, was greater than zero;</w:t>
      </w:r>
    </w:p>
    <w:p>
      <w:pPr>
        <w:spacing w:after="0" w:line="76" w:lineRule="exact"/>
        <w:rPr>
          <w:rFonts w:ascii="Times New Roman" w:cs="Times New Roman" w:eastAsia="Times New Roman" w:hAnsi="Times New Roman"/>
          <w:sz w:val="18"/>
          <w:szCs w:val="18"/>
          <w:color w:val="auto"/>
        </w:rPr>
      </w:pPr>
    </w:p>
    <w:p>
      <w:pPr>
        <w:ind w:left="960" w:right="100" w:firstLine="397"/>
        <w:spacing w:after="0" w:line="285" w:lineRule="auto"/>
        <w:tabs>
          <w:tab w:leader="none" w:pos="159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Leverage Ratio and Senior Secured Leverage Ratio on the last day of the period of four fiscal quarters of the Company ended most recently before the consummation of such acquisition for which financial statements are available, calculated on a pro forma basis as if the acquisition had occurred on the first day of such period, and giving pro forma effect to all payments, prepayments, redemptions, retirements, sinking fund payments, and borrowings, issuances and other incurrences, of Indebtedness from and after such date through and including the date of the consummation of such acquisition, is at least 0.25x below the Total Leverage Ratio and Senior Secured Leverage Ratio, respectively, required to be maintained pursuant to Section 4.13 hereof on such day;</w:t>
      </w:r>
    </w:p>
    <w:p>
      <w:pPr>
        <w:spacing w:after="0" w:line="56" w:lineRule="exact"/>
        <w:rPr>
          <w:rFonts w:ascii="Times New Roman" w:cs="Times New Roman" w:eastAsia="Times New Roman" w:hAnsi="Times New Roman"/>
          <w:sz w:val="16"/>
          <w:szCs w:val="16"/>
          <w:color w:val="auto"/>
        </w:rPr>
      </w:pPr>
    </w:p>
    <w:p>
      <w:pPr>
        <w:ind w:left="960" w:right="140" w:firstLine="397"/>
        <w:spacing w:after="0" w:line="256" w:lineRule="auto"/>
        <w:tabs>
          <w:tab w:leader="none" w:pos="15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be consummated such that, after giving effect thereto, the subject of such acquisition shall be one or more Guarantors or (to the extent constituting assets that are not Persons) shall be acquired directly by the Company and/or one or more Guarantors and shall constitute Collateral; and</w:t>
      </w:r>
    </w:p>
    <w:p>
      <w:pPr>
        <w:spacing w:after="0" w:line="73" w:lineRule="exact"/>
        <w:rPr>
          <w:rFonts w:ascii="Times New Roman" w:cs="Times New Roman" w:eastAsia="Times New Roman" w:hAnsi="Times New Roman"/>
          <w:sz w:val="18"/>
          <w:szCs w:val="18"/>
          <w:color w:val="auto"/>
        </w:rPr>
      </w:pPr>
    </w:p>
    <w:p>
      <w:pPr>
        <w:ind w:left="960" w:right="60" w:firstLine="397"/>
        <w:spacing w:after="0" w:line="268" w:lineRule="auto"/>
        <w:tabs>
          <w:tab w:leader="none" w:pos="15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of Equity Interests was not preceded by an unsolicited tender offer for such Equity Interests by, or proxy contest initiated by or on behalf of, the Company or a Restricted Subsidiary.</w:t>
      </w:r>
    </w:p>
    <w:p>
      <w:pPr>
        <w:spacing w:after="0" w:line="167" w:lineRule="exact"/>
        <w:rPr>
          <w:sz w:val="20"/>
          <w:szCs w:val="20"/>
          <w:color w:val="auto"/>
        </w:rPr>
      </w:pPr>
    </w:p>
    <w:p>
      <w:pPr>
        <w:ind w:firstLine="965"/>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Bond Hedge Transaction</w:t>
      </w:r>
      <w:r>
        <w:rPr>
          <w:rFonts w:ascii="Times New Roman" w:cs="Times New Roman" w:eastAsia="Times New Roman" w:hAnsi="Times New Roman"/>
          <w:sz w:val="16"/>
          <w:szCs w:val="16"/>
          <w:color w:val="auto"/>
        </w:rPr>
        <w:t>” means (a) any call option or capped call option (or substantively equivalent derivative transaction) on the common stock of the Company purchased by the Company or any of its Subsidiaries in connection with an incurrence of Permitted Convertible Indebtedness and (b) any call option or capped call option (or substantively equivalent derivative transaction) replacing or refinancing the foregoing; provided that (x) the sum of (i) the purchase price for any Permitted Bond Hedge Transaction occurring after the Issue Date plus (ii) the purchase price for any Permitted Bond Hedge Transaction it is refinancing or replacing, if any, minus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minus (iii) the amount paid upon termination or retirement of such related Permitted Warrant Transaction, if any, does not exceed the net cash proceeds from the incurrence of the related Permitted Convertible Indebtedness.</w:t>
      </w:r>
    </w:p>
    <w:p>
      <w:pPr>
        <w:spacing w:after="0" w:line="164" w:lineRule="exact"/>
        <w:rPr>
          <w:sz w:val="20"/>
          <w:szCs w:val="20"/>
          <w:color w:val="auto"/>
        </w:rPr>
      </w:pPr>
    </w:p>
    <w:p>
      <w:pPr>
        <w:ind w:right="60" w:firstLine="965"/>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Business</w:t>
      </w:r>
      <w:r>
        <w:rPr>
          <w:rFonts w:ascii="Times New Roman" w:cs="Times New Roman" w:eastAsia="Times New Roman" w:hAnsi="Times New Roman"/>
          <w:sz w:val="16"/>
          <w:szCs w:val="16"/>
          <w:color w:val="auto"/>
        </w:rPr>
        <w:t>” means the business and any services, activities or businesses incidental, or reasonably related or complementary or similar to, any line of business engaged in by the Company and its Subsidiaries as of the Issue Date or any business activity that is a reasonable extension, development or expansion thereof or ancillary thereto, including the provision of services or goods to Governmental Authorities.</w:t>
      </w:r>
    </w:p>
    <w:p>
      <w:pPr>
        <w:spacing w:after="0" w:line="142" w:lineRule="exact"/>
        <w:rPr>
          <w:sz w:val="20"/>
          <w:szCs w:val="20"/>
          <w:color w:val="auto"/>
        </w:rPr>
      </w:pPr>
    </w:p>
    <w:p>
      <w:pPr>
        <w:ind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Indebtedness</w:t>
      </w:r>
      <w:r>
        <w:rPr>
          <w:rFonts w:ascii="Times New Roman" w:cs="Times New Roman" w:eastAsia="Times New Roman" w:hAnsi="Times New Roman"/>
          <w:sz w:val="18"/>
          <w:szCs w:val="18"/>
          <w:color w:val="auto"/>
        </w:rPr>
        <w:t>” means Indebtedness of the Company or any of the Restricted Subsidiaries (which may be Guaranteed by the Guarantors) permitted to be incurred pursuant to Section 4.09 hereof that is (1) convertible into or exchangeable for common stock of the Company (and cash in lieu of fractional shares) and/or cash (in an amount determined by reference to the price of such common stock) or (2) sold as units with call options, warrants, rights or obligations to purchase (or substantially equivalent derivative transactions) that are exercisable for common stock of the Company and/or cash (in an amount determined by reference to the price of such common stock).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00"/>
          </w:cols>
          <w:pgMar w:left="580" w:top="264" w:right="619" w:bottom="1440" w:gutter="0" w:footer="0" w:header="0"/>
        </w:sectPr>
      </w:pPr>
    </w:p>
    <w:bookmarkStart w:id="109" w:name="page110"/>
    <w:bookmarkEnd w:id="109"/>
    <w:p>
      <w:pPr>
        <w:ind w:left="9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Permitted Convertible Indebtedness Call Transaction</w:t>
      </w:r>
      <w:r>
        <w:rPr>
          <w:rFonts w:ascii="Times New Roman" w:cs="Times New Roman" w:eastAsia="Times New Roman" w:hAnsi="Times New Roman"/>
          <w:sz w:val="16"/>
          <w:szCs w:val="16"/>
          <w:color w:val="auto"/>
        </w:rPr>
        <w:t>” means any Permitted Bond Hedge Transaction and any Permitted Warrant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110" w:lineRule="exact"/>
        <w:rPr>
          <w:sz w:val="20"/>
          <w:szCs w:val="20"/>
          <w:color w:val="auto"/>
        </w:rPr>
      </w:pPr>
    </w:p>
    <w:p>
      <w:pPr>
        <w:ind w:left="1600" w:hanging="243"/>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the Company or in a Guarantor;</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or Cash Equivalents;</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the Company or any Restricted Subsidiary of the Company that constitutes a Permitted Acquisition;</w:t>
      </w:r>
    </w:p>
    <w:p>
      <w:pPr>
        <w:spacing w:after="0" w:line="108" w:lineRule="exact"/>
        <w:rPr>
          <w:rFonts w:ascii="Times New Roman" w:cs="Times New Roman" w:eastAsia="Times New Roman" w:hAnsi="Times New Roman"/>
          <w:sz w:val="18"/>
          <w:szCs w:val="18"/>
          <w:color w:val="auto"/>
        </w:rPr>
      </w:pPr>
    </w:p>
    <w:p>
      <w:pPr>
        <w:ind w:left="960" w:right="220" w:firstLine="397"/>
        <w:spacing w:after="0" w:line="268" w:lineRule="auto"/>
        <w:tabs>
          <w:tab w:leader="none" w:pos="15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as a result of the receipt of non-cash consideration from an Asset Sale that was made pursuant to and in compliance with Section 4.10 hereof;</w:t>
      </w:r>
    </w:p>
    <w:p>
      <w:pPr>
        <w:spacing w:after="0" w:line="63" w:lineRule="exact"/>
        <w:rPr>
          <w:rFonts w:ascii="Times New Roman" w:cs="Times New Roman" w:eastAsia="Times New Roman" w:hAnsi="Times New Roman"/>
          <w:sz w:val="18"/>
          <w:szCs w:val="18"/>
          <w:color w:val="auto"/>
        </w:rPr>
      </w:pPr>
    </w:p>
    <w:p>
      <w:pPr>
        <w:ind w:left="960" w:right="40" w:firstLine="397"/>
        <w:spacing w:after="0" w:line="256" w:lineRule="auto"/>
        <w:tabs>
          <w:tab w:leader="none" w:pos="15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received in compromise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73" w:lineRule="exact"/>
        <w:rPr>
          <w:rFonts w:ascii="Times New Roman" w:cs="Times New Roman" w:eastAsia="Times New Roman" w:hAnsi="Times New Roman"/>
          <w:sz w:val="18"/>
          <w:szCs w:val="18"/>
          <w:color w:val="auto"/>
        </w:rPr>
      </w:pPr>
    </w:p>
    <w:p>
      <w:pPr>
        <w:ind w:left="960" w:right="220" w:firstLine="397"/>
        <w:spacing w:after="0" w:line="268" w:lineRule="auto"/>
        <w:tabs>
          <w:tab w:leader="none" w:pos="15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Hedging Obligations entered into in the ordinary course of business and not for any speculative purpose and (ii) Permitted Convertible Indebtedness Call Transactions;</w:t>
      </w:r>
    </w:p>
    <w:p>
      <w:pPr>
        <w:spacing w:after="0" w:line="63" w:lineRule="exact"/>
        <w:rPr>
          <w:rFonts w:ascii="Times New Roman" w:cs="Times New Roman" w:eastAsia="Times New Roman" w:hAnsi="Times New Roman"/>
          <w:sz w:val="18"/>
          <w:szCs w:val="18"/>
          <w:color w:val="auto"/>
        </w:rPr>
      </w:pPr>
    </w:p>
    <w:p>
      <w:pPr>
        <w:ind w:left="960" w:firstLine="397"/>
        <w:spacing w:after="0" w:line="288" w:lineRule="auto"/>
        <w:tabs>
          <w:tab w:leader="none" w:pos="159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Investments in any other Person (other than an Unrestricted Subsidiary) having an aggregate Fair Market Value (measured on the date each such Investment was made and without giving effect to subsequent changes in value), when taken together with all other Investments made pursuant to this clause (7) not to exceed: (a) $40.0 million; plus (b) the net reductions in Investments made pursuant to this clause (7) resulting from distributions on or repayments of such Investments or from the net cash proceeds from the sale or other disposition of any such Investment;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net reduction in any Investment shall not exceed the amount of such Investment;</w:t>
      </w:r>
    </w:p>
    <w:p>
      <w:pPr>
        <w:spacing w:after="0" w:line="52" w:lineRule="exact"/>
        <w:rPr>
          <w:rFonts w:ascii="Times New Roman" w:cs="Times New Roman" w:eastAsia="Times New Roman" w:hAnsi="Times New Roman"/>
          <w:sz w:val="16"/>
          <w:szCs w:val="16"/>
          <w:color w:val="auto"/>
        </w:rPr>
      </w:pPr>
    </w:p>
    <w:p>
      <w:pPr>
        <w:ind w:left="960" w:right="220" w:firstLine="397"/>
        <w:spacing w:after="0" w:line="268" w:lineRule="auto"/>
        <w:tabs>
          <w:tab w:leader="none" w:pos="15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travel and similar advances to cover matters that are expected at the time of such advances ultimately to be treated as expenses for accounting purposes and that are made in the ordinary course of business;</w:t>
      </w:r>
    </w:p>
    <w:p>
      <w:pPr>
        <w:spacing w:after="0" w:line="63" w:lineRule="exact"/>
        <w:rPr>
          <w:rFonts w:ascii="Times New Roman" w:cs="Times New Roman" w:eastAsia="Times New Roman" w:hAnsi="Times New Roman"/>
          <w:sz w:val="18"/>
          <w:szCs w:val="18"/>
          <w:color w:val="auto"/>
        </w:rPr>
      </w:pPr>
    </w:p>
    <w:p>
      <w:pPr>
        <w:ind w:left="960" w:right="300" w:firstLine="397"/>
        <w:spacing w:after="0" w:line="268" w:lineRule="auto"/>
        <w:tabs>
          <w:tab w:leader="none" w:pos="15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employees made in the ordinary course of business of the Company or any Restricted Subsidiary not to exceed $5.0 million outstanding at any one time for all loans or advances under this clause (9);</w:t>
      </w:r>
    </w:p>
    <w:p>
      <w:pPr>
        <w:spacing w:after="0" w:line="63" w:lineRule="exact"/>
        <w:rPr>
          <w:rFonts w:ascii="Times New Roman" w:cs="Times New Roman" w:eastAsia="Times New Roman" w:hAnsi="Times New Roman"/>
          <w:sz w:val="18"/>
          <w:szCs w:val="18"/>
          <w:color w:val="auto"/>
        </w:rPr>
      </w:pPr>
    </w:p>
    <w:p>
      <w:pPr>
        <w:ind w:left="960" w:right="200" w:firstLine="397"/>
        <w:spacing w:after="0" w:line="256" w:lineRule="auto"/>
        <w:tabs>
          <w:tab w:leader="none" w:pos="16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obligations or securities received in settlement of debts created in the ordinary course of business and owing to the Company or any Restricted Subsidiary or in satisfaction of judgments or pursuant to any plan of reorganization or similar arrangement upon the bankruptcy or insolvency of a debtor;</w:t>
      </w:r>
    </w:p>
    <w:p>
      <w:pPr>
        <w:spacing w:after="0" w:line="73" w:lineRule="exact"/>
        <w:rPr>
          <w:rFonts w:ascii="Times New Roman" w:cs="Times New Roman" w:eastAsia="Times New Roman" w:hAnsi="Times New Roman"/>
          <w:sz w:val="18"/>
          <w:szCs w:val="18"/>
          <w:color w:val="auto"/>
        </w:rPr>
      </w:pPr>
    </w:p>
    <w:p>
      <w:pPr>
        <w:ind w:left="960" w:right="520" w:firstLine="397"/>
        <w:spacing w:after="0" w:line="268" w:lineRule="auto"/>
        <w:tabs>
          <w:tab w:leader="none" w:pos="16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existence on the date of this Indenture (after giving effect to the contemplated use of proceeds, including reduction in existing Investments in Unrestricted Subsidiaries in connection with the Refinancing Transactions);</w:t>
      </w:r>
    </w:p>
    <w:p>
      <w:pPr>
        <w:spacing w:after="0" w:line="63" w:lineRule="exact"/>
        <w:rPr>
          <w:rFonts w:ascii="Times New Roman" w:cs="Times New Roman" w:eastAsia="Times New Roman" w:hAnsi="Times New Roman"/>
          <w:sz w:val="18"/>
          <w:szCs w:val="18"/>
          <w:color w:val="auto"/>
        </w:rPr>
      </w:pPr>
    </w:p>
    <w:p>
      <w:pPr>
        <w:ind w:left="960" w:right="40" w:firstLine="397"/>
        <w:spacing w:after="0" w:line="268" w:lineRule="auto"/>
        <w:tabs>
          <w:tab w:leader="none" w:pos="16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that are made or received in exchange for Equity Interests (other than Disqualified Stock) of the Company, except to the extent used to make a Restricted Payment under Section 4.07 hereof that is not made in reliance upon this clause (12);</w:t>
      </w:r>
    </w:p>
    <w:p>
      <w:pPr>
        <w:spacing w:after="0" w:line="63" w:lineRule="exact"/>
        <w:rPr>
          <w:rFonts w:ascii="Times New Roman" w:cs="Times New Roman" w:eastAsia="Times New Roman" w:hAnsi="Times New Roman"/>
          <w:sz w:val="18"/>
          <w:szCs w:val="18"/>
          <w:color w:val="auto"/>
        </w:rPr>
      </w:pPr>
    </w:p>
    <w:p>
      <w:pPr>
        <w:ind w:left="960" w:right="20" w:firstLine="397"/>
        <w:spacing w:after="0" w:line="256" w:lineRule="auto"/>
        <w:tabs>
          <w:tab w:leader="none" w:pos="16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made or acquired with the net cash proceeds of a substantially concurrent issuance or sale of Equity Interests (other than Disqualified Stock) of the Company, except to the extent used to make a Restricted Payment under Section 4.07 hereof that is not made in reliance upon this clause (13);</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00"/>
          </w:cols>
          <w:pgMar w:left="580" w:top="264" w:right="719" w:bottom="1440" w:gutter="0" w:footer="0" w:header="0"/>
        </w:sectPr>
      </w:pPr>
    </w:p>
    <w:bookmarkStart w:id="110" w:name="page111"/>
    <w:bookmarkEnd w:id="110"/>
    <w:p>
      <w:pPr>
        <w:ind w:left="960" w:firstLine="397"/>
        <w:spacing w:after="0" w:line="247" w:lineRule="auto"/>
        <w:tabs>
          <w:tab w:leader="none" w:pos="16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Investments in Persons that are not Affiliates or Permitted Joint Ventures of the Company or its Subsidiaries, nor Other Consolidated Persons, made for the purpose of acquiring, constructing or improving Facilities owned or leased by such Persons, in an aggregate amount not exceeding 2.75% of consolidated total assets of the Company, its Subsidiaries and the Other Consolidated Persons (calculated on a consolidated basis without duplication in accordance with GAAP) at any one time outstanding; provided that the Company, a Restricted Subsidiary of the Company that is a Wholly Owned Subsidiary or a Permitted Joint Venture has entered, or concurrently with any such Investment, enters into or assumes a Government Operating Agreement with respect to assets of such Person that are used or useful in a Permitted Business and such Government Operating Agreement will become Collateral pursuant to the Security Documents;</w:t>
      </w:r>
    </w:p>
    <w:p>
      <w:pPr>
        <w:spacing w:after="0" w:line="83" w:lineRule="exact"/>
        <w:rPr>
          <w:rFonts w:ascii="Times New Roman" w:cs="Times New Roman" w:eastAsia="Times New Roman" w:hAnsi="Times New Roman"/>
          <w:sz w:val="18"/>
          <w:szCs w:val="18"/>
          <w:color w:val="auto"/>
        </w:rPr>
      </w:pPr>
    </w:p>
    <w:p>
      <w:pPr>
        <w:ind w:left="960" w:right="40" w:firstLine="397"/>
        <w:spacing w:after="0" w:line="268" w:lineRule="auto"/>
        <w:tabs>
          <w:tab w:leader="none" w:pos="16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financing of the sale of equipment (including Capital Leases) to customers in connection with any contract for services entered into by the Company or any Restricted Subsidiary in the ordinary course of business;</w:t>
      </w:r>
    </w:p>
    <w:p>
      <w:pPr>
        <w:spacing w:after="0" w:line="63" w:lineRule="exact"/>
        <w:rPr>
          <w:rFonts w:ascii="Times New Roman" w:cs="Times New Roman" w:eastAsia="Times New Roman" w:hAnsi="Times New Roman"/>
          <w:sz w:val="18"/>
          <w:szCs w:val="18"/>
          <w:color w:val="auto"/>
        </w:rPr>
      </w:pPr>
    </w:p>
    <w:p>
      <w:pPr>
        <w:ind w:left="960" w:right="380" w:firstLine="397"/>
        <w:spacing w:after="0" w:line="268" w:lineRule="auto"/>
        <w:tabs>
          <w:tab w:leader="none" w:pos="16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in the Ravenhall Project Subsidiaries for the purpose of expansion and maintenance of the Facilities owned by the Ravenhall Project Subsidiaries not to exceed A$75.0 million;</w:t>
      </w:r>
    </w:p>
    <w:p>
      <w:pPr>
        <w:spacing w:after="0" w:line="63" w:lineRule="exact"/>
        <w:rPr>
          <w:rFonts w:ascii="Times New Roman" w:cs="Times New Roman" w:eastAsia="Times New Roman" w:hAnsi="Times New Roman"/>
          <w:sz w:val="18"/>
          <w:szCs w:val="18"/>
          <w:color w:val="auto"/>
        </w:rPr>
      </w:pPr>
    </w:p>
    <w:p>
      <w:pPr>
        <w:ind w:left="960" w:right="160" w:firstLine="397"/>
        <w:spacing w:after="0" w:line="285" w:lineRule="auto"/>
        <w:tabs>
          <w:tab w:leader="none" w:pos="1686"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satisfaction of the Unrestricted Subsidiary Investment Conditions, Investments in Unrestricted Subsidiaries, Permitted Joint Ventures or Other Consolidated Persons made pursuant to this clause (17) not to exceed the sum of (i) $70.0 million plus</w:t>
      </w:r>
    </w:p>
    <w:p>
      <w:pPr>
        <w:spacing w:after="0" w:line="1" w:lineRule="exact"/>
        <w:rPr>
          <w:rFonts w:ascii="Times New Roman" w:cs="Times New Roman" w:eastAsia="Times New Roman" w:hAnsi="Times New Roman"/>
          <w:sz w:val="16"/>
          <w:szCs w:val="16"/>
          <w:color w:val="auto"/>
        </w:rPr>
      </w:pPr>
    </w:p>
    <w:p>
      <w:pPr>
        <w:ind w:left="960" w:right="60" w:firstLine="7"/>
        <w:spacing w:after="0" w:line="245" w:lineRule="auto"/>
        <w:tabs>
          <w:tab w:leader="none" w:pos="12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dividends, distributions, returns of capital or other payments received in cash by the Company and the Restricted Subsidiaries from Unrestricted Subsidiaries in respect of Equity Interests of Unrestricted Subsidiaries, except to the extent used to make a Restricted Payment under Section 4.07 hereof that is not made in reliance upon subclause (ii) of this clause (17);</w:t>
      </w:r>
    </w:p>
    <w:p>
      <w:pPr>
        <w:spacing w:after="0" w:line="84" w:lineRule="exact"/>
        <w:rPr>
          <w:rFonts w:ascii="Times New Roman" w:cs="Times New Roman" w:eastAsia="Times New Roman" w:hAnsi="Times New Roman"/>
          <w:sz w:val="18"/>
          <w:szCs w:val="18"/>
          <w:color w:val="auto"/>
        </w:rPr>
      </w:pPr>
    </w:p>
    <w:p>
      <w:pPr>
        <w:ind w:left="960" w:right="200" w:firstLine="397"/>
        <w:spacing w:after="0" w:line="293" w:lineRule="auto"/>
        <w:tabs>
          <w:tab w:leader="none" w:pos="1686"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Unrestricted Subsidiaries for the purpose of construction or improvement of Facilities made pursuant to this clause (18) not to exceed $75.0 million at any one time outstanding (calculated as the aggregate amount invested minus the aggregate amount recovered in respect of such Investment); provided that any such Investment made pursuant to this clause (18) must also be in connection with the Incurrence of a Non-Recourse financing that requires the Facility to be located in such Unrestricted Subsidiary; and</w:t>
      </w:r>
    </w:p>
    <w:p>
      <w:pPr>
        <w:spacing w:after="0" w:line="47" w:lineRule="exact"/>
        <w:rPr>
          <w:rFonts w:ascii="Times New Roman" w:cs="Times New Roman" w:eastAsia="Times New Roman" w:hAnsi="Times New Roman"/>
          <w:sz w:val="16"/>
          <w:szCs w:val="16"/>
          <w:color w:val="auto"/>
        </w:rPr>
      </w:pPr>
    </w:p>
    <w:p>
      <w:pPr>
        <w:ind w:left="960" w:firstLine="397"/>
        <w:spacing w:after="0" w:line="247" w:lineRule="auto"/>
        <w:tabs>
          <w:tab w:leader="none" w:pos="168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amount not to exceed 5.0% of the aggregate amount of the Funds From Operations accrued on a cumulative basis for the period (taken as one accounting period) from the Issue Date, to the end of the Company’s most recently ended fiscal quarter for which internal financial statements are available at the time of such Restricted Investment; provided that (i) the Company would, at the time of making such Investment and after giving pro forma effect thereto as if such Investment had been made at the beginning of the applicable four-quarter period, have been in pro form compliance with a Total Leverage Ratio not in excess of 4.75 to 1.00 and (ii) any Investment made in an Unrestricted Subsidiary shall be subject the satisfaction of the Unrestricted Subsidiary Investment Conditions at the time of making such Investment.</w:t>
      </w:r>
    </w:p>
    <w:p>
      <w:pPr>
        <w:spacing w:after="0" w:line="189" w:lineRule="exact"/>
        <w:rPr>
          <w:sz w:val="20"/>
          <w:szCs w:val="20"/>
          <w:color w:val="auto"/>
        </w:rPr>
      </w:pPr>
    </w:p>
    <w:p>
      <w:pPr>
        <w:ind w:right="60" w:firstLine="965"/>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Joint Venture</w:t>
      </w:r>
      <w:r>
        <w:rPr>
          <w:rFonts w:ascii="Times New Roman" w:cs="Times New Roman" w:eastAsia="Times New Roman" w:hAnsi="Times New Roman"/>
          <w:sz w:val="16"/>
          <w:szCs w:val="16"/>
          <w:color w:val="auto"/>
        </w:rPr>
        <w:t>” means any Person that is engaged in a Permitted Business and in which the Company or any of the Restricted Subsidiaries directly owns (A) at least 50% of the total voting power of shares of Capital Stock entitled (without regard to the occurrence of any contingency) to vote in the election of directors, managers or trustees of such Person and (B) at least 50% of the Equity Interests in such Person.</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110" w:lineRule="exact"/>
        <w:rPr>
          <w:sz w:val="20"/>
          <w:szCs w:val="20"/>
          <w:color w:val="auto"/>
        </w:rPr>
      </w:pPr>
    </w:p>
    <w:p>
      <w:pPr>
        <w:ind w:left="960" w:right="100" w:firstLine="397"/>
        <w:spacing w:after="0" w:line="252" w:lineRule="auto"/>
        <w:tabs>
          <w:tab w:leader="none" w:pos="15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assets (including real or personal property) of the Company and any Restricted Subsidiary securing Indebtedness and other Obligations under (i) Credit Facilities incurred pursuant to clause (i) of Section 4.09(b) hereof, (ii) the Notes and any Permitted Refinancing Indebtedness thereof and (iii) the 2028 Private Exchange Notes and any Permitted Refinancing Indebtedness thereof, in each case that were permitted to be incurred by the terms of this Indenture;</w:t>
      </w:r>
    </w:p>
    <w:p>
      <w:pPr>
        <w:spacing w:after="0" w:line="76"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the Guarantors;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00"/>
          </w:cols>
          <w:pgMar w:left="580" w:top="266" w:right="619" w:bottom="1440" w:gutter="0" w:footer="0" w:header="0"/>
        </w:sectPr>
      </w:pPr>
    </w:p>
    <w:bookmarkStart w:id="111" w:name="page112"/>
    <w:bookmarkEnd w:id="111"/>
    <w:p>
      <w:pPr>
        <w:ind w:left="100" w:right="300" w:firstLine="397"/>
        <w:spacing w:after="0" w:line="288" w:lineRule="auto"/>
        <w:tabs>
          <w:tab w:leader="none" w:pos="73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Liens on property and assets of a Person existing at the time such Person is merged with or into, or becomes a Restricted Subsidiary of, the Company to secure any Indebtedness incurred under clause (xv) of Section 4.09(b) hereof in connection with a Permitted Acquisition; provided that such Liens were in existence prior to the contemplation of such merger or acquisition and do not extend to any other property or assets of the Company or any Restricted Subsidiary other than those of the Person merged into with the Company or the Restricted Subsidiary or that becomes such Restricted Subsidiary and the obligations secured by such Liens;</w:t>
      </w:r>
    </w:p>
    <w:p>
      <w:pPr>
        <w:spacing w:after="0" w:line="52" w:lineRule="exact"/>
        <w:rPr>
          <w:rFonts w:ascii="Times New Roman" w:cs="Times New Roman" w:eastAsia="Times New Roman" w:hAnsi="Times New Roman"/>
          <w:sz w:val="16"/>
          <w:szCs w:val="16"/>
          <w:color w:val="auto"/>
        </w:rPr>
      </w:pPr>
    </w:p>
    <w:p>
      <w:pPr>
        <w:ind w:left="100" w:right="60" w:firstLine="397"/>
        <w:spacing w:after="0" w:line="249" w:lineRule="auto"/>
        <w:tabs>
          <w:tab w:leader="none" w:pos="7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and assets existing at the time of acquisition of such property and assets by the Company or any Restricted Subsidiary pursuant to a Permitted Acquisition; provided that (i) such Liens were in existence prior to the contemplation of such acquisition and do not extend to any other property or assets of the Company or any Restricted Subsidiary other than the property and assets so acquired by the Company or the Restricted Subsidiary and (ii) the obligations secured by such Liens do not exceed $37.5 million at any one time outstanding;</w:t>
      </w:r>
    </w:p>
    <w:p>
      <w:pPr>
        <w:spacing w:after="0" w:line="82" w:lineRule="exact"/>
        <w:rPr>
          <w:rFonts w:ascii="Times New Roman" w:cs="Times New Roman" w:eastAsia="Times New Roman" w:hAnsi="Times New Roman"/>
          <w:sz w:val="18"/>
          <w:szCs w:val="18"/>
          <w:color w:val="auto"/>
        </w:rPr>
      </w:pPr>
    </w:p>
    <w:p>
      <w:pPr>
        <w:ind w:left="100" w:right="60" w:firstLine="397"/>
        <w:spacing w:after="0" w:line="268" w:lineRule="auto"/>
        <w:tabs>
          <w:tab w:leader="none" w:pos="7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statutory obligations, surety or appeal bonds, performance bonds or other obligations of a like nature incurred in the ordinary course of business;</w:t>
      </w:r>
    </w:p>
    <w:p>
      <w:pPr>
        <w:spacing w:after="0" w:line="63" w:lineRule="exact"/>
        <w:rPr>
          <w:rFonts w:ascii="Times New Roman" w:cs="Times New Roman" w:eastAsia="Times New Roman" w:hAnsi="Times New Roman"/>
          <w:sz w:val="18"/>
          <w:szCs w:val="18"/>
          <w:color w:val="auto"/>
        </w:rPr>
      </w:pPr>
    </w:p>
    <w:p>
      <w:pPr>
        <w:ind w:left="100" w:right="200" w:firstLine="397"/>
        <w:spacing w:after="0" w:line="268" w:lineRule="auto"/>
        <w:tabs>
          <w:tab w:leader="none" w:pos="7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(including Capital Lease Obligations) incurred under Section 4.09(b)(iv) hereof covering only the assets acquired with such Indebtedness;</w:t>
      </w:r>
    </w:p>
    <w:p>
      <w:pPr>
        <w:spacing w:after="0" w:line="63" w:lineRule="exact"/>
        <w:rPr>
          <w:rFonts w:ascii="Times New Roman" w:cs="Times New Roman" w:eastAsia="Times New Roman" w:hAnsi="Times New Roman"/>
          <w:sz w:val="18"/>
          <w:szCs w:val="18"/>
          <w:color w:val="auto"/>
        </w:rPr>
      </w:pPr>
    </w:p>
    <w:p>
      <w:pPr>
        <w:ind w:left="740" w:hanging="243"/>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hereof;</w:t>
      </w:r>
    </w:p>
    <w:p>
      <w:pPr>
        <w:spacing w:after="0" w:line="108" w:lineRule="exact"/>
        <w:rPr>
          <w:rFonts w:ascii="Times New Roman" w:cs="Times New Roman" w:eastAsia="Times New Roman" w:hAnsi="Times New Roman"/>
          <w:sz w:val="18"/>
          <w:szCs w:val="18"/>
          <w:color w:val="auto"/>
        </w:rPr>
      </w:pPr>
    </w:p>
    <w:p>
      <w:pPr>
        <w:ind w:left="100" w:right="140" w:firstLine="397"/>
        <w:spacing w:after="0" w:line="256" w:lineRule="auto"/>
        <w:tabs>
          <w:tab w:leader="none" w:pos="7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is required in conformity with GAAP has been made therefor;</w:t>
      </w:r>
    </w:p>
    <w:p>
      <w:pPr>
        <w:spacing w:after="0" w:line="71" w:lineRule="exact"/>
        <w:rPr>
          <w:rFonts w:ascii="Times New Roman" w:cs="Times New Roman" w:eastAsia="Times New Roman" w:hAnsi="Times New Roman"/>
          <w:sz w:val="18"/>
          <w:szCs w:val="18"/>
          <w:color w:val="auto"/>
        </w:rPr>
      </w:pPr>
    </w:p>
    <w:p>
      <w:pPr>
        <w:ind w:left="100" w:firstLine="397"/>
        <w:spacing w:after="0" w:line="270" w:lineRule="auto"/>
        <w:tabs>
          <w:tab w:leader="none" w:pos="7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Permitted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Lien does not extend to or cover any property, Capital Stock or Indebtedness other than the property, shares or debt securing the Indebtedness so refunded, refinanced or extended;</w:t>
      </w:r>
    </w:p>
    <w:p>
      <w:pPr>
        <w:spacing w:after="0" w:line="62" w:lineRule="exact"/>
        <w:rPr>
          <w:rFonts w:ascii="Times New Roman" w:cs="Times New Roman" w:eastAsia="Times New Roman" w:hAnsi="Times New Roman"/>
          <w:sz w:val="18"/>
          <w:szCs w:val="18"/>
          <w:color w:val="auto"/>
        </w:rPr>
      </w:pPr>
    </w:p>
    <w:p>
      <w:pPr>
        <w:ind w:left="840" w:hanging="34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or judgment Liens not giving rise to a Default or an Event of Default;</w:t>
      </w:r>
    </w:p>
    <w:p>
      <w:pPr>
        <w:spacing w:after="0" w:line="108" w:lineRule="exact"/>
        <w:rPr>
          <w:rFonts w:ascii="Times New Roman" w:cs="Times New Roman" w:eastAsia="Times New Roman" w:hAnsi="Times New Roman"/>
          <w:sz w:val="18"/>
          <w:szCs w:val="18"/>
          <w:color w:val="auto"/>
        </w:rPr>
      </w:pPr>
    </w:p>
    <w:p>
      <w:pPr>
        <w:ind w:left="820" w:hanging="323"/>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840" w:hanging="34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with respect to obligations that do not exceed $15.0 million at any one time outstanding;</w:t>
      </w:r>
    </w:p>
    <w:p>
      <w:pPr>
        <w:spacing w:after="0" w:line="108" w:lineRule="exact"/>
        <w:rPr>
          <w:rFonts w:ascii="Times New Roman" w:cs="Times New Roman" w:eastAsia="Times New Roman" w:hAnsi="Times New Roman"/>
          <w:sz w:val="18"/>
          <w:szCs w:val="18"/>
          <w:color w:val="auto"/>
        </w:rPr>
      </w:pPr>
    </w:p>
    <w:p>
      <w:pPr>
        <w:ind w:left="100" w:right="20" w:firstLine="397"/>
        <w:spacing w:after="0" w:line="268" w:lineRule="auto"/>
        <w:tabs>
          <w:tab w:leader="none" w:pos="8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amounts held in escrow to secure payments (contingent or otherwise) payable by the Company or any Restricted Subsidiary with respect to any Permitted Acquisition;</w:t>
      </w:r>
    </w:p>
    <w:p>
      <w:pPr>
        <w:spacing w:after="0" w:line="63" w:lineRule="exact"/>
        <w:rPr>
          <w:rFonts w:ascii="Times New Roman" w:cs="Times New Roman" w:eastAsia="Times New Roman" w:hAnsi="Times New Roman"/>
          <w:sz w:val="18"/>
          <w:szCs w:val="18"/>
          <w:color w:val="auto"/>
        </w:rPr>
      </w:pPr>
    </w:p>
    <w:p>
      <w:pPr>
        <w:ind w:left="100" w:right="100" w:firstLine="397"/>
        <w:spacing w:after="0" w:line="248" w:lineRule="auto"/>
        <w:tabs>
          <w:tab w:leader="none" w:pos="8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under workmen’s compensation laws, unemployment insurance laws or similar legislation, or good faith deposits in connection with bids, tenders, contracts (other than for the payment of Indebtedness) or leases to which the Company or any Restricted Subsidiary is a party, or deposits to secure public or statutory obligations of the Company or any Restricted Subsidiary or deposits or cash or Government Securities to secure surety or appeal bonds to which the Company or any Restricted Subsidiary is a party, or deposits as security for contested taxes or import or customs duties or for the payment of rent, in each case incurred in the ordinary course of business;</w:t>
      </w:r>
    </w:p>
    <w:p>
      <w:pPr>
        <w:spacing w:after="0" w:line="83" w:lineRule="exact"/>
        <w:rPr>
          <w:rFonts w:ascii="Times New Roman" w:cs="Times New Roman" w:eastAsia="Times New Roman" w:hAnsi="Times New Roman"/>
          <w:sz w:val="18"/>
          <w:szCs w:val="18"/>
          <w:color w:val="auto"/>
        </w:rPr>
      </w:pPr>
    </w:p>
    <w:p>
      <w:pPr>
        <w:ind w:left="100" w:right="20" w:firstLine="397"/>
        <w:spacing w:after="0" w:line="256" w:lineRule="auto"/>
        <w:tabs>
          <w:tab w:leader="none" w:pos="8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including carriers’, warehousemen’s and mechanics’ Liens, arising in the ordinary course of business and in each case for sums not yet due or being contested in good faith by appropriate proceedings if a reserve or other appropriate provisions, if any, as shall be required by GAAP shall have been made in respect thereof;</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860"/>
          </w:cols>
          <w:pgMar w:left="1440" w:top="266" w:right="599" w:bottom="1440" w:gutter="0" w:footer="0" w:header="0"/>
        </w:sectPr>
      </w:pPr>
    </w:p>
    <w:bookmarkStart w:id="112" w:name="page113"/>
    <w:bookmarkEnd w:id="112"/>
    <w:p>
      <w:pPr>
        <w:ind w:left="960" w:right="20" w:firstLine="397"/>
        <w:spacing w:after="0" w:line="249" w:lineRule="auto"/>
        <w:tabs>
          <w:tab w:leader="none" w:pos="1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encumbrances, easements or reservations of, or rights of others for, licenses, rights of way, sewers, electric lines, telegraph and telephone lines and other similar purposes, or zoning or other restrictions as to the use of real properties or Liens incidental to the conduct of the business of the Company or a Restricted Subsidiary or to the ownership of its properties that do not secure any monetary obligations and which do not materially adversely affect the value of said properties or materially impair their use in the operation of the business of the Company or such Restricted Subsidiary;</w:t>
      </w:r>
    </w:p>
    <w:p>
      <w:pPr>
        <w:spacing w:after="0" w:line="82" w:lineRule="exact"/>
        <w:rPr>
          <w:rFonts w:ascii="Times New Roman" w:cs="Times New Roman" w:eastAsia="Times New Roman" w:hAnsi="Times New Roman"/>
          <w:sz w:val="18"/>
          <w:szCs w:val="18"/>
          <w:color w:val="auto"/>
        </w:rPr>
      </w:pPr>
    </w:p>
    <w:p>
      <w:pPr>
        <w:ind w:left="960" w:right="40" w:firstLine="397"/>
        <w:spacing w:after="0" w:line="268" w:lineRule="auto"/>
        <w:tabs>
          <w:tab w:leader="none" w:pos="1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so long as the related Indebtedness is secured by a Lien on the same property securing such Hedging Obligations;</w:t>
      </w:r>
    </w:p>
    <w:p>
      <w:pPr>
        <w:spacing w:after="0" w:line="63" w:lineRule="exact"/>
        <w:rPr>
          <w:rFonts w:ascii="Times New Roman" w:cs="Times New Roman" w:eastAsia="Times New Roman" w:hAnsi="Times New Roman"/>
          <w:sz w:val="18"/>
          <w:szCs w:val="18"/>
          <w:color w:val="auto"/>
        </w:rPr>
      </w:pPr>
    </w:p>
    <w:p>
      <w:pPr>
        <w:ind w:left="960" w:right="20" w:firstLine="397"/>
        <w:spacing w:after="0" w:line="268" w:lineRule="auto"/>
        <w:tabs>
          <w:tab w:leader="none" w:pos="1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and subleases of real property which do not materially interfere with the ordinary conduct of the business of the Company or any of the Restricted Subsidiaries ;</w:t>
      </w:r>
    </w:p>
    <w:p>
      <w:pPr>
        <w:spacing w:after="0" w:line="63" w:lineRule="exact"/>
        <w:rPr>
          <w:rFonts w:ascii="Times New Roman" w:cs="Times New Roman" w:eastAsia="Times New Roman" w:hAnsi="Times New Roman"/>
          <w:sz w:val="18"/>
          <w:szCs w:val="18"/>
          <w:color w:val="auto"/>
        </w:rPr>
      </w:pPr>
    </w:p>
    <w:p>
      <w:pPr>
        <w:ind w:left="1700" w:hanging="343"/>
        <w:spacing w:after="0"/>
        <w:tabs>
          <w:tab w:leader="none" w:pos="1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customary rights of setoff upon deposits of cash in favor of banks or other depository institutions;</w:t>
      </w:r>
    </w:p>
    <w:p>
      <w:pPr>
        <w:spacing w:after="0" w:line="108" w:lineRule="exact"/>
        <w:rPr>
          <w:rFonts w:ascii="Times New Roman" w:cs="Times New Roman" w:eastAsia="Times New Roman" w:hAnsi="Times New Roman"/>
          <w:sz w:val="18"/>
          <w:szCs w:val="18"/>
          <w:color w:val="auto"/>
        </w:rPr>
      </w:pPr>
    </w:p>
    <w:p>
      <w:pPr>
        <w:ind w:left="1700" w:hanging="343"/>
        <w:spacing w:after="0"/>
        <w:tabs>
          <w:tab w:leader="none" w:pos="1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960" w:right="440" w:firstLine="397"/>
        <w:spacing w:after="0" w:line="268" w:lineRule="auto"/>
        <w:tabs>
          <w:tab w:leader="none" w:pos="1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licensor or sublicensor in the property subject to any lease, license or sublicense (other than property that is the subject of a Sale and Leaseback Transaction);</w:t>
      </w:r>
    </w:p>
    <w:p>
      <w:pPr>
        <w:spacing w:after="0" w:line="63" w:lineRule="exact"/>
        <w:rPr>
          <w:rFonts w:ascii="Times New Roman" w:cs="Times New Roman" w:eastAsia="Times New Roman" w:hAnsi="Times New Roman"/>
          <w:sz w:val="18"/>
          <w:szCs w:val="18"/>
          <w:color w:val="auto"/>
        </w:rPr>
      </w:pPr>
    </w:p>
    <w:p>
      <w:pPr>
        <w:ind w:left="1700" w:hanging="343"/>
        <w:spacing w:after="0"/>
        <w:tabs>
          <w:tab w:leader="none" w:pos="1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700" w:hanging="343"/>
        <w:spacing w:after="0"/>
        <w:tabs>
          <w:tab w:leader="none" w:pos="1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under clause (xi) of Section 4.09(b) hereof;</w:t>
      </w:r>
    </w:p>
    <w:p>
      <w:pPr>
        <w:spacing w:after="0" w:line="108" w:lineRule="exact"/>
        <w:rPr>
          <w:rFonts w:ascii="Times New Roman" w:cs="Times New Roman" w:eastAsia="Times New Roman" w:hAnsi="Times New Roman"/>
          <w:sz w:val="18"/>
          <w:szCs w:val="18"/>
          <w:color w:val="auto"/>
        </w:rPr>
      </w:pPr>
    </w:p>
    <w:p>
      <w:pPr>
        <w:ind w:left="960" w:right="240" w:firstLine="397"/>
        <w:spacing w:after="0" w:line="331" w:lineRule="auto"/>
        <w:tabs>
          <w:tab w:leader="none" w:pos="16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and other Obligations under clause (xviii) of Section 4.09(b) hereof; provided that the holders of such Indebtedness or their Designated Representative shall have become party to the First Lien/Second Lien Intercreditor Agreement.</w:t>
      </w:r>
    </w:p>
    <w:p>
      <w:pPr>
        <w:spacing w:after="0" w:line="18" w:lineRule="exact"/>
        <w:rPr>
          <w:rFonts w:ascii="Times New Roman" w:cs="Times New Roman" w:eastAsia="Times New Roman" w:hAnsi="Times New Roman"/>
          <w:sz w:val="16"/>
          <w:szCs w:val="16"/>
          <w:color w:val="auto"/>
        </w:rPr>
      </w:pPr>
    </w:p>
    <w:p>
      <w:pPr>
        <w:ind w:left="960" w:right="240" w:firstLine="397"/>
        <w:spacing w:after="0" w:line="252" w:lineRule="auto"/>
        <w:tabs>
          <w:tab w:leader="none" w:pos="1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under clause (xix) of Section 4.09(b) hereof; provided that (i) such Indebtedness is secured by a Lien that is pari passu with the Notes and the 2028 Private Exchange Notes and (ii) the holders of such Indebtedness or their Designated Representative shall have become party to the First Lien/Second Lien Intercreditor Agreement and the Second Lien Collateral Trust Agreement;</w:t>
      </w:r>
    </w:p>
    <w:p>
      <w:pPr>
        <w:spacing w:after="0" w:line="76" w:lineRule="exact"/>
        <w:rPr>
          <w:rFonts w:ascii="Times New Roman" w:cs="Times New Roman" w:eastAsia="Times New Roman" w:hAnsi="Times New Roman"/>
          <w:sz w:val="18"/>
          <w:szCs w:val="18"/>
          <w:color w:val="auto"/>
        </w:rPr>
      </w:pPr>
    </w:p>
    <w:p>
      <w:pPr>
        <w:ind w:left="960" w:right="160" w:firstLine="397"/>
        <w:spacing w:after="0" w:line="252" w:lineRule="auto"/>
        <w:tabs>
          <w:tab w:leader="none" w:pos="1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under clause (xxii) of Section 4.09(b) hereof; provided that (i) such Indebtedness is secured by a Lien that is (x) junior to the Liens securing the 2017 Credit Agreement and the Exchange Credit Agreement and (y) senior to the Liens securing the Notes and the 2028 Private Exchange Notes and (ii) the holders of such Indebtedness or their Designated Representative shall have become party to the First Lien/Second Lien Intercreditor Agreement; and</w:t>
      </w:r>
    </w:p>
    <w:p>
      <w:pPr>
        <w:spacing w:after="0" w:line="76" w:lineRule="exact"/>
        <w:rPr>
          <w:rFonts w:ascii="Times New Roman" w:cs="Times New Roman" w:eastAsia="Times New Roman" w:hAnsi="Times New Roman"/>
          <w:sz w:val="18"/>
          <w:szCs w:val="18"/>
          <w:color w:val="auto"/>
        </w:rPr>
      </w:pPr>
    </w:p>
    <w:p>
      <w:pPr>
        <w:ind w:left="960" w:firstLine="397"/>
        <w:spacing w:after="0" w:line="256" w:lineRule="auto"/>
        <w:tabs>
          <w:tab w:leader="none" w:pos="16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rights under any Government Contract (other than any material Government Contract) by the Company or any of the Restricted Subsidiaries to secure Indebtedness and other Obligations of any Unrestricted Subsidiary related to such Government Contract related to contracts specifically connected to the facility owned by such Unrestricted Subsidiary.</w:t>
      </w:r>
    </w:p>
    <w:p>
      <w:pPr>
        <w:spacing w:after="0" w:line="179" w:lineRule="exact"/>
        <w:rPr>
          <w:sz w:val="20"/>
          <w:szCs w:val="20"/>
          <w:color w:val="auto"/>
        </w:rPr>
      </w:pPr>
    </w:p>
    <w:p>
      <w:pPr>
        <w:ind w:right="60" w:firstLine="965"/>
        <w:spacing w:after="0" w:line="249" w:lineRule="auto"/>
        <w:rPr>
          <w:sz w:val="20"/>
          <w:szCs w:val="20"/>
          <w:color w:val="auto"/>
        </w:rPr>
      </w:pPr>
      <w:r>
        <w:rPr>
          <w:rFonts w:ascii="Times New Roman" w:cs="Times New Roman" w:eastAsia="Times New Roman" w:hAnsi="Times New Roman"/>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Company may, in its sole discretion, classify or reclassify such item of Permitted Liens (or any portion thereof) in any manner that complies with this definition and the Company may divide and classify a Lien in more than one of the types of Permitted Liens in one of the above clauses.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66" w:right="599" w:bottom="1440" w:gutter="0" w:footer="0" w:header="0"/>
        </w:sectPr>
      </w:pPr>
    </w:p>
    <w:bookmarkStart w:id="113" w:name="page114"/>
    <w:bookmarkEnd w:id="113"/>
    <w:p>
      <w:pPr>
        <w:ind w:firstLine="965"/>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Refinancing Indebtedness</w:t>
      </w:r>
      <w:r>
        <w:rPr>
          <w:rFonts w:ascii="Times New Roman" w:cs="Times New Roman" w:eastAsia="Times New Roman" w:hAnsi="Times New Roman"/>
          <w:sz w:val="18"/>
          <w:szCs w:val="18"/>
          <w:color w:val="auto"/>
        </w:rPr>
        <w:t xml:space="preserve">” means any Indebtedness of the Company or any of the Restricted Subsidiaries issued in repayment of, exchange for, or the net proceeds of which are used to extend, refinance, renew, replace, repay, defease or refund other Indebtedness of the Company or any of the Restricted Subsidiaries (other than intercompany Indebtedness and Disqualified Stock of the Company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79" w:lineRule="exact"/>
        <w:rPr>
          <w:sz w:val="20"/>
          <w:szCs w:val="20"/>
          <w:color w:val="auto"/>
        </w:rPr>
      </w:pPr>
    </w:p>
    <w:p>
      <w:pPr>
        <w:ind w:left="960" w:right="120" w:firstLine="397"/>
        <w:spacing w:after="0" w:line="256" w:lineRule="auto"/>
        <w:tabs>
          <w:tab w:leader="none" w:pos="15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(or accreted value, if applicable) of the Indebtedness so extended, refinanced, renewed, replaced, repaid, defeased or refunded (plus the Additional Refinancing Amount);</w:t>
      </w:r>
    </w:p>
    <w:p>
      <w:pPr>
        <w:spacing w:after="0" w:line="73" w:lineRule="exact"/>
        <w:rPr>
          <w:rFonts w:ascii="Times New Roman" w:cs="Times New Roman" w:eastAsia="Times New Roman" w:hAnsi="Times New Roman"/>
          <w:sz w:val="18"/>
          <w:szCs w:val="18"/>
          <w:color w:val="auto"/>
        </w:rPr>
      </w:pPr>
    </w:p>
    <w:p>
      <w:pPr>
        <w:ind w:left="960" w:right="140" w:firstLine="397"/>
        <w:spacing w:after="0" w:line="256" w:lineRule="auto"/>
        <w:tabs>
          <w:tab w:leader="none" w:pos="15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repaid, defeased or refunded;</w:t>
      </w:r>
    </w:p>
    <w:p>
      <w:pPr>
        <w:spacing w:after="0" w:line="73" w:lineRule="exact"/>
        <w:rPr>
          <w:rFonts w:ascii="Times New Roman" w:cs="Times New Roman" w:eastAsia="Times New Roman" w:hAnsi="Times New Roman"/>
          <w:sz w:val="18"/>
          <w:szCs w:val="18"/>
          <w:color w:val="auto"/>
        </w:rPr>
      </w:pPr>
    </w:p>
    <w:p>
      <w:pPr>
        <w:jc w:val="both"/>
        <w:ind w:left="960" w:right="540" w:firstLine="397"/>
        <w:spacing w:after="0" w:line="293" w:lineRule="auto"/>
        <w:tabs>
          <w:tab w:leader="none" w:pos="159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Indebtedness being extended, refinanced, renewed, replaced, repaid,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repaid, defeased or refunded;</w:t>
      </w:r>
    </w:p>
    <w:p>
      <w:pPr>
        <w:spacing w:after="0" w:line="47" w:lineRule="exact"/>
        <w:rPr>
          <w:rFonts w:ascii="Times New Roman" w:cs="Times New Roman" w:eastAsia="Times New Roman" w:hAnsi="Times New Roman"/>
          <w:sz w:val="16"/>
          <w:szCs w:val="16"/>
          <w:color w:val="auto"/>
        </w:rPr>
      </w:pPr>
    </w:p>
    <w:p>
      <w:pPr>
        <w:ind w:left="960" w:right="20" w:firstLine="397"/>
        <w:spacing w:after="0" w:line="268" w:lineRule="auto"/>
        <w:tabs>
          <w:tab w:leader="none" w:pos="15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either by the Company or by any Restricted Subsidiary who is an obligor on the Indebtedness being extended, refinanced, renewed, replaced, repaid, defeased or refunded; and</w:t>
      </w:r>
    </w:p>
    <w:p>
      <w:pPr>
        <w:spacing w:after="0" w:line="63" w:lineRule="exact"/>
        <w:rPr>
          <w:rFonts w:ascii="Times New Roman" w:cs="Times New Roman" w:eastAsia="Times New Roman" w:hAnsi="Times New Roman"/>
          <w:sz w:val="18"/>
          <w:szCs w:val="18"/>
          <w:color w:val="auto"/>
        </w:rPr>
      </w:pPr>
    </w:p>
    <w:p>
      <w:pPr>
        <w:ind w:left="960" w:right="120" w:firstLine="397"/>
        <w:spacing w:after="0" w:line="268" w:lineRule="auto"/>
        <w:tabs>
          <w:tab w:leader="none" w:pos="15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Indebtedness being refinanced is secured, any Liens securing such Indebtedness shall have a Lien priority equal to or junior to the Liens securing the Indebtedness being refinanced.</w:t>
      </w:r>
    </w:p>
    <w:p>
      <w:pPr>
        <w:spacing w:after="0" w:line="167" w:lineRule="exact"/>
        <w:rPr>
          <w:sz w:val="20"/>
          <w:szCs w:val="20"/>
          <w:color w:val="auto"/>
        </w:rPr>
      </w:pPr>
    </w:p>
    <w:p>
      <w:pPr>
        <w:ind w:right="4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Warrant Transaction</w:t>
      </w:r>
      <w:r>
        <w:rPr>
          <w:rFonts w:ascii="Times New Roman" w:cs="Times New Roman" w:eastAsia="Times New Roman" w:hAnsi="Times New Roman"/>
          <w:sz w:val="18"/>
          <w:szCs w:val="18"/>
          <w:color w:val="auto"/>
        </w:rPr>
        <w:t>” means any call options, warrants or rights to purchase (or substantively equivalent derivative transactions) on common stock of the Company purchased or sold by the Company or any of its Subsidiaries substantially concurrently with a Permitted Bond Hedge Transaction.</w:t>
      </w:r>
    </w:p>
    <w:p>
      <w:pPr>
        <w:spacing w:after="0" w:line="176" w:lineRule="exact"/>
        <w:rPr>
          <w:sz w:val="20"/>
          <w:szCs w:val="20"/>
          <w:color w:val="auto"/>
        </w:rPr>
      </w:pPr>
    </w:p>
    <w:p>
      <w:pPr>
        <w:ind w:right="86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165" w:lineRule="exact"/>
        <w:rPr>
          <w:sz w:val="20"/>
          <w:szCs w:val="20"/>
          <w:color w:val="auto"/>
        </w:rPr>
      </w:pPr>
    </w:p>
    <w:p>
      <w:pPr>
        <w:jc w:val="both"/>
        <w:ind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76" w:lineRule="exact"/>
        <w:rPr>
          <w:sz w:val="20"/>
          <w:szCs w:val="20"/>
          <w:color w:val="auto"/>
        </w:rPr>
      </w:pPr>
    </w:p>
    <w:p>
      <w:pPr>
        <w:ind w:right="100" w:firstLine="965"/>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Ravenhall Project Subsidiaries</w:t>
      </w:r>
      <w:r>
        <w:rPr>
          <w:rFonts w:ascii="Times New Roman" w:cs="Times New Roman" w:eastAsia="Times New Roman" w:hAnsi="Times New Roman"/>
          <w:sz w:val="16"/>
          <w:szCs w:val="16"/>
          <w:color w:val="auto"/>
        </w:rPr>
        <w:t>” means, collectively, GEO Australasia Holdings Pty Ltd, GEO Australasia Finance Holdings Pty Ltd, GEO Australasia Finance Holding Trust, GEO Ravenhall Holdings Pty Ltd, GEO Ravenhall Finance Holdings Pty Ltd, GEO Ravenhall Finance Holding Trust, GEO Ravenhall Pty Ltd, GEO Ravenhall Finance Pty Ltd, GEO Ravenhall Trust, GEO Ravenhall Finance Trust, Ravenhall Finance Co. Pty Ltd, and any direct or indirect subsidiary of the foregoing entities, in each case to the extent a Subsidiary of the Company.</w:t>
      </w:r>
    </w:p>
    <w:p>
      <w:pPr>
        <w:spacing w:after="0" w:line="150" w:lineRule="exact"/>
        <w:rPr>
          <w:sz w:val="20"/>
          <w:szCs w:val="20"/>
          <w:color w:val="auto"/>
        </w:rPr>
      </w:pPr>
    </w:p>
    <w:p>
      <w:pPr>
        <w:ind w:right="40" w:firstLine="965"/>
        <w:spacing w:after="0" w:line="3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Refinance</w:t>
      </w:r>
      <w:r>
        <w:rPr>
          <w:rFonts w:ascii="Times New Roman" w:cs="Times New Roman" w:eastAsia="Times New Roman" w:hAnsi="Times New Roman"/>
          <w:sz w:val="16"/>
          <w:szCs w:val="16"/>
          <w:color w:val="auto"/>
        </w:rPr>
        <w:t>” means, in respect of any Indebtedness, to refinance, extend, renew, refund, repay, prepay, purchase, redeem, defease or retire, or to issue other Indebtedness in exchange or replacement for, such Indebtedness. “Refinanced” and “Refinancing” shall have correlative meanings.</w:t>
      </w:r>
    </w:p>
    <w:p>
      <w:pPr>
        <w:spacing w:after="0" w:line="1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Transactions</w:t>
      </w:r>
      <w:r>
        <w:rPr>
          <w:rFonts w:ascii="Times New Roman" w:cs="Times New Roman" w:eastAsia="Times New Roman" w:hAnsi="Times New Roman"/>
          <w:sz w:val="18"/>
          <w:szCs w:val="18"/>
          <w:color w:val="auto"/>
        </w:rPr>
        <w:t>” means “Refinancing Transactions” as defined in the Form S-4.</w:t>
      </w:r>
    </w:p>
    <w:p>
      <w:pPr>
        <w:spacing w:after="0" w:line="214" w:lineRule="exact"/>
        <w:rPr>
          <w:sz w:val="20"/>
          <w:szCs w:val="20"/>
          <w:color w:val="auto"/>
        </w:rPr>
      </w:pPr>
    </w:p>
    <w:p>
      <w:pPr>
        <w:ind w:right="80" w:firstLine="96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the Trustee or the Second Lien Collateral Trustee, as applicable, means any vice president, assistant vice president or other trust officer within the Corporate Trust Office of the Trustee or the Second Lien Collateral Trustee, as applicable (or any successor group of the Trustee) or any other officer of the Trustee or the Second Lien Collateral Trustee, as applicable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in each case, shall have direct responsibility for the administration of this Indenture.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20"/>
          </w:cols>
          <w:pgMar w:left="580" w:top="264" w:right="599" w:bottom="1440" w:gutter="0" w:footer="0" w:header="0"/>
        </w:sectPr>
      </w:pPr>
    </w:p>
    <w:bookmarkStart w:id="114" w:name="page115"/>
    <w:bookmarkEnd w:id="11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14" w:lineRule="exact"/>
        <w:rPr>
          <w:sz w:val="20"/>
          <w:szCs w:val="20"/>
          <w:color w:val="auto"/>
        </w:rPr>
      </w:pPr>
    </w:p>
    <w:p>
      <w:pPr>
        <w:ind w:right="58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any Subsidiary of the Company that is not an Unrestricted Subsidiary.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165" w:lineRule="exact"/>
        <w:rPr>
          <w:sz w:val="20"/>
          <w:szCs w:val="20"/>
          <w:color w:val="auto"/>
        </w:rPr>
      </w:pPr>
    </w:p>
    <w:p>
      <w:pPr>
        <w:ind w:right="520" w:firstLine="965"/>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Sale and Leaseback Transaction</w:t>
      </w:r>
      <w:r>
        <w:rPr>
          <w:rFonts w:ascii="Times New Roman" w:cs="Times New Roman" w:eastAsia="Times New Roman" w:hAnsi="Times New Roman"/>
          <w:sz w:val="16"/>
          <w:szCs w:val="16"/>
          <w:color w:val="auto"/>
        </w:rPr>
        <w:t>” means any direct or indirect arrangement relating to property with a book value in excess of $5.0 million now owned or hereafter acquired whereby the Company or a Restricted Subsidiary transfers such property to another Person and the Company or a Restricted Subsidiary leases it from such Person other than a lease properly characterized pursuant to GAAP as a Capital Lease Obligation, other than transfers and leases among the Company and any Restricted Subsidiaries or among Restricted Subsidiaries.</w:t>
      </w:r>
    </w:p>
    <w:p>
      <w:pPr>
        <w:spacing w:after="0" w:line="150" w:lineRule="exact"/>
        <w:rPr>
          <w:sz w:val="20"/>
          <w:szCs w:val="20"/>
          <w:color w:val="auto"/>
        </w:rPr>
      </w:pPr>
    </w:p>
    <w:p>
      <w:pPr>
        <w:jc w:val="both"/>
        <w:ind w:right="22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Indenture the SEC is not existing and performing the duties now assigned to it under the Securities Act, Exchange Act and Trust Indenture Act, then the body performing such duties at such time.</w:t>
      </w:r>
    </w:p>
    <w:p>
      <w:pPr>
        <w:spacing w:after="0" w:line="176" w:lineRule="exact"/>
        <w:rPr>
          <w:sz w:val="20"/>
          <w:szCs w:val="20"/>
          <w:color w:val="auto"/>
        </w:rPr>
      </w:pPr>
    </w:p>
    <w:p>
      <w:pPr>
        <w:ind w:right="8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Collateral Trust Agreement</w:t>
      </w:r>
      <w:r>
        <w:rPr>
          <w:rFonts w:ascii="Times New Roman" w:cs="Times New Roman" w:eastAsia="Times New Roman" w:hAnsi="Times New Roman"/>
          <w:sz w:val="18"/>
          <w:szCs w:val="18"/>
          <w:color w:val="auto"/>
        </w:rPr>
        <w:t>” means the collateral trust agreement, dated as of the Issue Date (as amended, restated, supplemented or otherwise modified), among the Company, the Guarantors, the Trustee, the 2028 Private Exchange Notes Trustee and the Second Lien Collateral Trustee.</w:t>
      </w:r>
    </w:p>
    <w:p>
      <w:pPr>
        <w:spacing w:after="0" w:line="176" w:lineRule="exact"/>
        <w:rPr>
          <w:sz w:val="20"/>
          <w:szCs w:val="20"/>
          <w:color w:val="auto"/>
        </w:rPr>
      </w:pPr>
    </w:p>
    <w:p>
      <w:pPr>
        <w:ind w:right="56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Collateral Trustee</w:t>
      </w:r>
      <w:r>
        <w:rPr>
          <w:rFonts w:ascii="Times New Roman" w:cs="Times New Roman" w:eastAsia="Times New Roman" w:hAnsi="Times New Roman"/>
          <w:sz w:val="18"/>
          <w:szCs w:val="18"/>
          <w:color w:val="auto"/>
        </w:rPr>
        <w:t>” means Ankura Trust Company, LLC, in its capacity as collateral trustee for the Second Priority Secured Parties under the Second Lien Collateral Trust Agreement, together with its successors and assigns in such capacity.</w:t>
      </w:r>
    </w:p>
    <w:p>
      <w:pPr>
        <w:spacing w:after="0" w:line="165" w:lineRule="exact"/>
        <w:rPr>
          <w:sz w:val="20"/>
          <w:szCs w:val="20"/>
          <w:color w:val="auto"/>
        </w:rPr>
      </w:pPr>
    </w:p>
    <w:p>
      <w:pPr>
        <w:ind w:right="300"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Secured Obligations</w:t>
      </w:r>
      <w:r>
        <w:rPr>
          <w:rFonts w:ascii="Times New Roman" w:cs="Times New Roman" w:eastAsia="Times New Roman" w:hAnsi="Times New Roman"/>
          <w:sz w:val="18"/>
          <w:szCs w:val="18"/>
          <w:color w:val="auto"/>
        </w:rPr>
        <w:t>” means the Obligations under this Indenture and any other Indebtedness secured on a pari passu second lien basis with the Obligations under the Notes (including the Obligations under the 2028 Private Exchange Notes); provided that such Indebtedness is expressly permitted to be so incurred, secured and guaranteed on such basis by the then-existing documents governing the First Lien Secured Obligations and the Second Lien Secured Obligations and the holders of such Indebtedness or their Designated Representative shall have become party to the First Lien/Second Lien Intercreditor Agreement and the Second Lien Collateral Trust Agreement.</w:t>
      </w:r>
    </w:p>
    <w:p>
      <w:pPr>
        <w:spacing w:after="0" w:line="1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Secured Parties</w:t>
      </w:r>
      <w:r>
        <w:rPr>
          <w:rFonts w:ascii="Times New Roman" w:cs="Times New Roman" w:eastAsia="Times New Roman" w:hAnsi="Times New Roman"/>
          <w:sz w:val="18"/>
          <w:szCs w:val="18"/>
          <w:color w:val="auto"/>
        </w:rPr>
        <w:t>” means the “Secured Parties” as defined in the Second Lien Collateral Trust Agreement.</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means any Indebtedness of the Company or any of the Restricted Subsidiaries secured by a Lien.</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has the meaning set forth in the Second Lien Collateral Trust Agreement.</w:t>
      </w:r>
    </w:p>
    <w:p>
      <w:pPr>
        <w:spacing w:after="0" w:line="214" w:lineRule="exact"/>
        <w:rPr>
          <w:sz w:val="20"/>
          <w:szCs w:val="20"/>
          <w:color w:val="auto"/>
        </w:rPr>
      </w:pPr>
    </w:p>
    <w:p>
      <w:pPr>
        <w:ind w:firstLine="965"/>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Secured Leverage Ratio</w:t>
      </w:r>
      <w:r>
        <w:rPr>
          <w:rFonts w:ascii="Times New Roman" w:cs="Times New Roman" w:eastAsia="Times New Roman" w:hAnsi="Times New Roman"/>
          <w:sz w:val="18"/>
          <w:szCs w:val="18"/>
          <w:color w:val="auto"/>
        </w:rPr>
        <w:t>” means, on any date, the ratio of (a) the result of (i) the aggregate outstanding principal amount of all secured Indebtedness of the Company and the Restricted Subsidiaries on such date (calculated on a consolidated basis without duplication in accordance with GAAP) minus (ii) the sum of (x) the aggregate amount (not less than zero) of Unrestricted Cash on such date plus (y) to the extent included in the calculation under the clause (a)(i) of this definition, the undrawn amount of all outstanding letters of credit on such date to (b) Adjusted EBITDA for the period of four fiscal quarters of the Company ending on the most recently ended prior to such date.</w:t>
      </w:r>
    </w:p>
    <w:p>
      <w:pPr>
        <w:spacing w:after="0" w:line="184" w:lineRule="exact"/>
        <w:rPr>
          <w:sz w:val="20"/>
          <w:szCs w:val="20"/>
          <w:color w:val="auto"/>
        </w:rPr>
      </w:pPr>
    </w:p>
    <w:p>
      <w:pPr>
        <w:ind w:right="12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date hereof.</w:t>
      </w:r>
    </w:p>
    <w:p>
      <w:pPr>
        <w:spacing w:after="0" w:line="165" w:lineRule="exact"/>
        <w:rPr>
          <w:sz w:val="20"/>
          <w:szCs w:val="20"/>
          <w:color w:val="auto"/>
        </w:rPr>
      </w:pPr>
    </w:p>
    <w:p>
      <w:pPr>
        <w:ind w:right="40" w:firstLine="965"/>
        <w:spacing w:after="0" w:line="30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Maturity</w:t>
      </w:r>
      <w:r>
        <w:rPr>
          <w:rFonts w:ascii="Times New Roman" w:cs="Times New Roman" w:eastAsia="Times New Roman" w:hAnsi="Times New Roman"/>
          <w:sz w:val="16"/>
          <w:szCs w:val="16"/>
          <w:color w:val="auto"/>
        </w:rPr>
        <w:t>” means, with respect to any installment of interest or principal on any series of Indebtedness, the date on which such payment of interest or principal was scheduled to be paid in the documentation governing such Indebtedness as of its date of issue, and shall not include any contingent obligations to repay, redeem or repurchase any such interest or principal prior to the date originally scheduled for the payment thereof.</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00"/>
          </w:cols>
          <w:pgMar w:left="580" w:top="264" w:right="619" w:bottom="1440" w:gutter="0" w:footer="0" w:header="0"/>
        </w:sectPr>
      </w:pPr>
    </w:p>
    <w:bookmarkStart w:id="115" w:name="page116"/>
    <w:bookmarkEnd w:id="115"/>
    <w:p>
      <w:pPr>
        <w:ind w:right="240" w:firstLine="965"/>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Subject EBITDA</w:t>
      </w:r>
      <w:r>
        <w:rPr>
          <w:rFonts w:ascii="Times New Roman" w:cs="Times New Roman" w:eastAsia="Times New Roman" w:hAnsi="Times New Roman"/>
          <w:sz w:val="16"/>
          <w:szCs w:val="16"/>
          <w:color w:val="auto"/>
        </w:rPr>
        <w:t>” means, for any period, for any Acquired Business, the sum of the following for such period (calculated without duplication on a consolidated basis for such Acquired Business and its Subsidiaries to the fullest extent practicable in accordance with GAAP (and, if such Acquired Business consists of assets rather than a Person, as if such Acquired Business were a Person)) (a) net operating income (or loss) plus</w:t>
      </w:r>
    </w:p>
    <w:p>
      <w:pPr>
        <w:spacing w:after="0" w:line="2" w:lineRule="exact"/>
        <w:rPr>
          <w:sz w:val="20"/>
          <w:szCs w:val="20"/>
          <w:color w:val="auto"/>
        </w:rPr>
      </w:pPr>
    </w:p>
    <w:p>
      <w:pPr>
        <w:ind w:left="240" w:hanging="239"/>
        <w:spacing w:after="0"/>
        <w:tabs>
          <w:tab w:leader="none" w:pos="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following to the extent deducted in determining such net operating income: (i) income and franchise taxes, (ii) interest expense,</w:t>
      </w:r>
    </w:p>
    <w:p>
      <w:pPr>
        <w:spacing w:after="0" w:line="3" w:lineRule="exact"/>
        <w:rPr>
          <w:rFonts w:ascii="Times New Roman" w:cs="Times New Roman" w:eastAsia="Times New Roman" w:hAnsi="Times New Roman"/>
          <w:sz w:val="18"/>
          <w:szCs w:val="18"/>
          <w:color w:val="auto"/>
        </w:rPr>
      </w:pPr>
    </w:p>
    <w:p>
      <w:pPr>
        <w:ind w:left="300" w:hanging="299"/>
        <w:spacing w:after="0"/>
        <w:tabs>
          <w:tab w:leader="none" w:pos="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depreciation and other non-cash charges (excluding insurance reserves), and (iv) extraordinary losses.</w:t>
      </w:r>
    </w:p>
    <w:p>
      <w:pPr>
        <w:spacing w:after="0" w:line="194" w:lineRule="exact"/>
        <w:rPr>
          <w:sz w:val="20"/>
          <w:szCs w:val="20"/>
          <w:color w:val="auto"/>
        </w:rPr>
      </w:pPr>
    </w:p>
    <w:p>
      <w:pPr>
        <w:ind w:right="260" w:firstLine="96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specified Person: (1) 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 (2) 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84" w:lineRule="exact"/>
        <w:rPr>
          <w:sz w:val="20"/>
          <w:szCs w:val="20"/>
          <w:color w:val="auto"/>
        </w:rPr>
      </w:pPr>
    </w:p>
    <w:p>
      <w:pPr>
        <w:jc w:val="both"/>
        <w:ind w:right="14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Synthetic Leases</w:t>
      </w:r>
      <w:r>
        <w:rPr>
          <w:rFonts w:ascii="Times New Roman" w:cs="Times New Roman" w:eastAsia="Times New Roman" w:hAnsi="Times New Roman"/>
          <w:sz w:val="18"/>
          <w:szCs w:val="18"/>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76" w:lineRule="exact"/>
        <w:rPr>
          <w:sz w:val="20"/>
          <w:szCs w:val="20"/>
          <w:color w:val="auto"/>
        </w:rPr>
      </w:pPr>
    </w:p>
    <w:p>
      <w:pPr>
        <w:ind w:right="56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means the Trust Indenture Act of 1939, as in effect on the date on which this Indenture is qualified under the TIA, except as provided in Section 9.03 hereof.</w:t>
      </w:r>
    </w:p>
    <w:p>
      <w:pPr>
        <w:spacing w:after="0" w:line="165" w:lineRule="exact"/>
        <w:rPr>
          <w:sz w:val="20"/>
          <w:szCs w:val="20"/>
          <w:color w:val="auto"/>
        </w:rPr>
      </w:pPr>
    </w:p>
    <w:p>
      <w:pPr>
        <w:ind w:firstLine="965"/>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Leverage Ratio</w:t>
      </w:r>
      <w:r>
        <w:rPr>
          <w:rFonts w:ascii="Times New Roman" w:cs="Times New Roman" w:eastAsia="Times New Roman" w:hAnsi="Times New Roman"/>
          <w:sz w:val="18"/>
          <w:szCs w:val="18"/>
          <w:color w:val="auto"/>
        </w:rPr>
        <w:t>” means, on any date, the ratio of (a) the result of the following calculation: (i) the aggregate outstanding principal amount of all Indebtedness of the Company, its Subsidiaries and the Other Consolidated Persons on such date (calculated on a consolidated basis without duplication in accordance with GAAP) minus (ii) the sum of (x) the aggregate amount (not less than zero) of Unrestricted Cash on such date plus (y) the aggregate outstanding principal amount of all Indebtedness of the Unrestricted Subsidiaries and the Other Consolidated Persons on such date that is Non-Recourse to the Company and the Restricted Subsidiaries plus (z) to the extent included in the calculation under the clause (a)(i) of this definition, the undrawn amount of all outstanding letters of credit on such date to (b) Adjusted EBITDA for the period of four fiscal quarters of the Company and the Restricted Subsidiaries ending on the most recently ended prior to such date.</w:t>
      </w:r>
    </w:p>
    <w:p>
      <w:pPr>
        <w:spacing w:after="0" w:line="185" w:lineRule="exact"/>
        <w:rPr>
          <w:sz w:val="20"/>
          <w:szCs w:val="20"/>
          <w:color w:val="auto"/>
        </w:rPr>
      </w:pPr>
    </w:p>
    <w:p>
      <w:pPr>
        <w:ind w:right="72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Ankura Trust Company, LLC, together with its assigns, in its capacity as trustee, until a successor replaces it in accordance with the applicable provisions of this Indenture and thereafter means the successor trustee serving hereunder.</w:t>
      </w:r>
    </w:p>
    <w:p>
      <w:pPr>
        <w:spacing w:after="0" w:line="165" w:lineRule="exact"/>
        <w:rPr>
          <w:sz w:val="20"/>
          <w:szCs w:val="20"/>
          <w:color w:val="auto"/>
        </w:rPr>
      </w:pPr>
    </w:p>
    <w:p>
      <w:pPr>
        <w:ind w:right="10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5" w:lineRule="exact"/>
        <w:rPr>
          <w:sz w:val="20"/>
          <w:szCs w:val="20"/>
          <w:color w:val="auto"/>
        </w:rPr>
      </w:pPr>
    </w:p>
    <w:p>
      <w:pPr>
        <w:ind w:right="18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Unoccupied Facility</w:t>
      </w:r>
      <w:r>
        <w:rPr>
          <w:rFonts w:ascii="Times New Roman" w:cs="Times New Roman" w:eastAsia="Times New Roman" w:hAnsi="Times New Roman"/>
          <w:sz w:val="18"/>
          <w:szCs w:val="18"/>
          <w:color w:val="auto"/>
        </w:rPr>
        <w:t>” means any prison facility owned by the Company or a Restricted Subsidiary which for the fifty-two week period ending on the date of measurement has had an average occupancy level of less than 15%.</w:t>
      </w:r>
    </w:p>
    <w:p>
      <w:pPr>
        <w:spacing w:after="0" w:line="165" w:lineRule="exact"/>
        <w:rPr>
          <w:sz w:val="20"/>
          <w:szCs w:val="20"/>
          <w:color w:val="auto"/>
        </w:rPr>
      </w:pPr>
    </w:p>
    <w:p>
      <w:pPr>
        <w:ind w:right="2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w:t>
      </w:r>
      <w:r>
        <w:rPr>
          <w:rFonts w:ascii="Times New Roman" w:cs="Times New Roman" w:eastAsia="Times New Roman" w:hAnsi="Times New Roman"/>
          <w:sz w:val="18"/>
          <w:szCs w:val="18"/>
          <w:color w:val="auto"/>
        </w:rPr>
        <w:t>” means cash and Cash Equivalents held by the Company and its Subsidiaries that are not subject to any Lien or preferential arrangement in favor of any Person to protect such Person against loss and are not part of any funded reserve established by the Company or any of its Subsidiaries required by GAAP.</w:t>
      </w:r>
    </w:p>
    <w:p>
      <w:pPr>
        <w:spacing w:after="0" w:line="176" w:lineRule="exact"/>
        <w:rPr>
          <w:sz w:val="20"/>
          <w:szCs w:val="20"/>
          <w:color w:val="auto"/>
        </w:rPr>
      </w:pPr>
    </w:p>
    <w:p>
      <w:pPr>
        <w:ind w:right="80" w:firstLine="96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means (a) CSC of Tacoma, LLC, GEO International Holdings, LLC, Florina Insurance Company, GEO Design Services, Inc., WCC Financial, Inc., WCC Development, Inc., GEO/FL/01, Inc., GEO/FL/02, Inc., GEO/FL/03, Inc., The GEO Group UK Ltd., The GEO Group Ltd., South African Custodial Holdings Pty. Ltd., The GEO Group Australasia Pty, Ltd., GEO Australasia Pty, Ltd., The GEO Group Australia Pty, Ltd., Australasian Correctional Investment Ltd., Pacific Rim Employment Pty, Ltd., Canadian Correctional Management, Inc., Miramichi Youth Center Management, Inc., South Africa Custodial Services Pty, Ltd. (SACS), South African Custodial Management Pty, Ltd., GEO Australia Management Services Pty, Ltd. (No. 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20"/>
          </w:cols>
          <w:pgMar w:left="580" w:top="264" w:right="599" w:bottom="1440" w:gutter="0" w:footer="0" w:header="0"/>
        </w:sectPr>
      </w:pPr>
    </w:p>
    <w:bookmarkStart w:id="116" w:name="page117"/>
    <w:bookmarkEnd w:id="116"/>
    <w:p>
      <w:pPr>
        <w:ind w:right="10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Australasian Correctional Services Pty, Ltd., Sentencing Concepts, Inc., BI Puerto Rico, Inc., GEO Amey PECS Ltd., GEO FIC Holdings, LLC, GEO/DE/MC/03 LLC, Premier Custodial Group Ltd, Premier Custodial Services Group Ltd, Premier Custodial Services Ltd, Premier Prison Services Ltd and the Ravenhall Project Subsidiaries; (b) any other Subsidiary of the Company that is designated by the Board of Directors of the Company as an Unrestricted Subsidiary pursuant to a resolution by the Board of Directors; and (c) any direct or indirect Subsidiary of any Subsidiary described in clauses (a) or (b).</w:t>
      </w:r>
    </w:p>
    <w:p>
      <w:pPr>
        <w:spacing w:after="0" w:line="188" w:lineRule="exact"/>
        <w:rPr>
          <w:sz w:val="20"/>
          <w:szCs w:val="20"/>
          <w:color w:val="auto"/>
        </w:rPr>
      </w:pPr>
    </w:p>
    <w:p>
      <w:pPr>
        <w:ind w:right="140" w:firstLine="965"/>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74" w:lineRule="exact"/>
        <w:rPr>
          <w:sz w:val="20"/>
          <w:szCs w:val="20"/>
          <w:color w:val="auto"/>
        </w:rPr>
      </w:pPr>
    </w:p>
    <w:p>
      <w:pPr>
        <w:ind w:left="960" w:right="300" w:firstLine="397"/>
        <w:spacing w:after="0" w:line="256" w:lineRule="auto"/>
        <w:tabs>
          <w:tab w:leader="none" w:pos="15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or any of its Subsidiaries does not own any Capital Stock or Indebtedness of, or own or hold any Lien on any property of, the Company or any other Subsidiary of the Company which is not a Subsidiary of the Subsidiary to be so designated or otherwise an Unrestricted Subsidiary; and</w:t>
      </w:r>
    </w:p>
    <w:p>
      <w:pPr>
        <w:spacing w:after="0" w:line="7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and the Investment of the Company in such Subsidiary complies with Section 4.07 hereof.</w:t>
      </w:r>
    </w:p>
    <w:p>
      <w:pPr>
        <w:spacing w:after="0" w:line="214" w:lineRule="exact"/>
        <w:rPr>
          <w:sz w:val="20"/>
          <w:szCs w:val="20"/>
          <w:color w:val="auto"/>
        </w:rPr>
      </w:pPr>
    </w:p>
    <w:p>
      <w:pPr>
        <w:ind w:firstLine="965"/>
        <w:spacing w:after="0" w:line="246" w:lineRule="auto"/>
        <w:rPr>
          <w:sz w:val="20"/>
          <w:szCs w:val="20"/>
          <w:color w:val="auto"/>
        </w:rPr>
      </w:pPr>
      <w:r>
        <w:rPr>
          <w:rFonts w:ascii="Times New Roman" w:cs="Times New Roman" w:eastAsia="Times New Roman" w:hAnsi="Times New Roman"/>
          <w:sz w:val="18"/>
          <w:szCs w:val="18"/>
          <w:color w:val="auto"/>
        </w:rPr>
        <w:t xml:space="preserve">Any designation of a Subsidiary of the Company as an Unrestricted Subsidiary will be evidenced to the Trustee by filing with the Trustee a certified copy of the resolutions by the Board of Directors giving effect to such designation and an Officer’s Certificate certifying that such designation complied with the preceding conditions and was permitted under Section 4.07 hereof.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1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 Investment Conditions</w:t>
      </w:r>
      <w:r>
        <w:rPr>
          <w:rFonts w:ascii="Times New Roman" w:cs="Times New Roman" w:eastAsia="Times New Roman" w:hAnsi="Times New Roman"/>
          <w:sz w:val="18"/>
          <w:szCs w:val="18"/>
          <w:color w:val="auto"/>
        </w:rPr>
        <w:t>” means satisfaction of each of the following conditions:</w:t>
      </w:r>
    </w:p>
    <w:p>
      <w:pPr>
        <w:spacing w:after="0" w:line="110" w:lineRule="exact"/>
        <w:rPr>
          <w:sz w:val="20"/>
          <w:szCs w:val="20"/>
          <w:color w:val="auto"/>
        </w:rPr>
      </w:pPr>
    </w:p>
    <w:p>
      <w:pPr>
        <w:ind w:left="960" w:right="320" w:firstLine="397"/>
        <w:spacing w:after="0" w:line="268" w:lineRule="auto"/>
        <w:tabs>
          <w:tab w:leader="none" w:pos="15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Investment may not consist of material intellectual property or Equity Interests in any Subsidiary that owns any material intellectual property;</w:t>
      </w:r>
    </w:p>
    <w:p>
      <w:pPr>
        <w:spacing w:after="0" w:line="63" w:lineRule="exact"/>
        <w:rPr>
          <w:rFonts w:ascii="Times New Roman" w:cs="Times New Roman" w:eastAsia="Times New Roman" w:hAnsi="Times New Roman"/>
          <w:sz w:val="18"/>
          <w:szCs w:val="18"/>
          <w:color w:val="auto"/>
        </w:rPr>
      </w:pPr>
    </w:p>
    <w:p>
      <w:pPr>
        <w:ind w:left="960" w:firstLine="397"/>
        <w:spacing w:after="0" w:line="280" w:lineRule="auto"/>
        <w:tabs>
          <w:tab w:leader="none" w:pos="159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Investment must be made: (i) in the ordinary course of business of the Company and the Restricted Subsidiaries ; (ii) for the bona fide (as determined by a majority of the Company’s independent members of its Board of Directors) purpose of developing, expanding or promoting a Permitted Business (1) conducted (or anticipated to be conducted, pursuant to reasonably specific plans) by such Person, and that (2) in the Company’s good-faith determination could not be conducted by a Restricted Subsidiary without materially hindering the achievement of such purpose; and (iii) not for the purpose of (1) making such invested property (or the proceeds thereof) available to support the liquidity requirements of the Company and the Restricted Subsidiaries following the occurrence of a Default or Event of Default; (2) making such invested property (or the proceeds thereof) available as collateral or other credit support for any financing that is effectively or structurally senior to the Second Lien Secured Obligations, other than a financing that is Non-Recourse to the Company and the Restricted Subsidiaries and is incurred to promote the same bona fide purpose as such Investment; or (4) otherwise hindering or delaying the Second Priority Secured Parties’ exercise of their rights and remedies under the Note Documents;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20"/>
          </w:cols>
          <w:pgMar w:left="580" w:top="266" w:right="599" w:bottom="1440" w:gutter="0" w:footer="0" w:header="0"/>
        </w:sectPr>
      </w:pPr>
    </w:p>
    <w:bookmarkStart w:id="117" w:name="page118"/>
    <w:bookmarkEnd w:id="117"/>
    <w:p>
      <w:pPr>
        <w:ind w:left="960" w:right="260" w:firstLine="397"/>
        <w:spacing w:after="0" w:line="268" w:lineRule="auto"/>
        <w:tabs>
          <w:tab w:leader="none" w:pos="15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such Investment in an aggregate amount greater than $5.0 million (whether individually or taken together with any related series of such Investments), must be approved by the Board of Directors of the Company;</w:t>
      </w:r>
    </w:p>
    <w:p>
      <w:pPr>
        <w:spacing w:after="0" w:line="63" w:lineRule="exact"/>
        <w:rPr>
          <w:rFonts w:ascii="Times New Roman" w:cs="Times New Roman" w:eastAsia="Times New Roman" w:hAnsi="Times New Roman"/>
          <w:sz w:val="18"/>
          <w:szCs w:val="18"/>
          <w:color w:val="auto"/>
        </w:rPr>
      </w:pPr>
    </w:p>
    <w:p>
      <w:pPr>
        <w:ind w:left="960" w:right="120" w:firstLine="397"/>
        <w:spacing w:after="0" w:line="249" w:lineRule="auto"/>
        <w:tabs>
          <w:tab w:leader="none" w:pos="15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Investment is made other than in cash or Cash Equivalents and in an amount greater than $5.0 million on an individual basis and $10.0 million in the aggregate over the course of the Notes, such Investment shall require independent appraisal(s) or other valuation made by a valuation firm (such appraisal or valuation (and all supporting documentation therefor) to be delivered to the Trustee (for further distribution to the Holders of the Notes) prior to or substantially concurrently with the consummation of any applicable Investment); and</w:t>
      </w:r>
    </w:p>
    <w:p>
      <w:pPr>
        <w:spacing w:after="0" w:line="82" w:lineRule="exact"/>
        <w:rPr>
          <w:rFonts w:ascii="Times New Roman" w:cs="Times New Roman" w:eastAsia="Times New Roman" w:hAnsi="Times New Roman"/>
          <w:sz w:val="18"/>
          <w:szCs w:val="18"/>
          <w:color w:val="auto"/>
        </w:rPr>
      </w:pPr>
    </w:p>
    <w:p>
      <w:pPr>
        <w:ind w:left="960" w:right="20" w:firstLine="397"/>
        <w:spacing w:after="0" w:line="268" w:lineRule="auto"/>
        <w:tabs>
          <w:tab w:leader="none" w:pos="15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making any such Investment, the Company shall deliver to the Trustee an Officer’s Certificate certifying compliance with the conditions set forth in this definition.</w:t>
      </w:r>
    </w:p>
    <w:p>
      <w:pPr>
        <w:spacing w:after="0" w:line="167" w:lineRule="exact"/>
        <w:rPr>
          <w:sz w:val="20"/>
          <w:szCs w:val="20"/>
          <w:color w:val="auto"/>
        </w:rPr>
      </w:pPr>
    </w:p>
    <w:p>
      <w:pPr>
        <w:ind w:right="100" w:firstLine="96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 Equivalent</w:t>
      </w:r>
      <w:r>
        <w:rPr>
          <w:rFonts w:ascii="Times New Roman" w:cs="Times New Roman" w:eastAsia="Times New Roman" w:hAnsi="Times New Roman"/>
          <w:sz w:val="18"/>
          <w:szCs w:val="18"/>
          <w:color w:val="auto"/>
        </w:rPr>
        <w:t xml:space="preserve">” means with respect to any monetary amount in a currency other than U.S. dollars, at the time for determination thereof, the amount of U.S. dollars obtained by converting such foreign currency involved in such computation into U.S. dollars at the spot rate for the purchase of U.S. dollars with the applicable foreign currency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the “Exchange Rates” table under the heading “Currency Trading” on the date two Business Days prior to such determination.</w:t>
      </w:r>
    </w:p>
    <w:p>
      <w:pPr>
        <w:spacing w:after="0" w:line="184" w:lineRule="exact"/>
        <w:rPr>
          <w:sz w:val="20"/>
          <w:szCs w:val="20"/>
          <w:color w:val="auto"/>
        </w:rPr>
      </w:pPr>
    </w:p>
    <w:p>
      <w:pPr>
        <w:ind w:right="160" w:firstLine="965"/>
        <w:spacing w:after="0" w:line="256" w:lineRule="auto"/>
        <w:rPr>
          <w:sz w:val="20"/>
          <w:szCs w:val="20"/>
          <w:color w:val="auto"/>
        </w:rPr>
      </w:pPr>
      <w:r>
        <w:rPr>
          <w:rFonts w:ascii="Times New Roman" w:cs="Times New Roman" w:eastAsia="Times New Roman" w:hAnsi="Times New Roman"/>
          <w:sz w:val="18"/>
          <w:szCs w:val="18"/>
          <w:color w:val="auto"/>
        </w:rPr>
        <w:t>Except as described in Section 4.09 hereof, whenever it is necessary to determine whether the Company has complied with any covenant in this Indenture or a Default has occurred and an amount is expressed in a currency other than U.S. dollars, such amount will be treated as the U.S. Dollar Equivalent determined as of the date such amount was initially incurred in such currency.</w:t>
      </w:r>
    </w:p>
    <w:p>
      <w:pPr>
        <w:spacing w:after="0" w:line="177" w:lineRule="exact"/>
        <w:rPr>
          <w:sz w:val="20"/>
          <w:szCs w:val="20"/>
          <w:color w:val="auto"/>
        </w:rPr>
      </w:pPr>
    </w:p>
    <w:p>
      <w:pPr>
        <w:ind w:right="360" w:firstLine="965"/>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that is at the time entitled to vote in the election of the Board of Directors of such Person.</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Weighted Average Life to Maturity</w:t>
      </w:r>
      <w:r>
        <w:rPr>
          <w:rFonts w:ascii="Times New Roman" w:cs="Times New Roman" w:eastAsia="Times New Roman" w:hAnsi="Times New Roman"/>
          <w:sz w:val="16"/>
          <w:szCs w:val="16"/>
          <w:color w:val="auto"/>
        </w:rPr>
        <w:t>” means, when applied to any Indebtedness at any date, the number of years obtained by dividing</w:t>
      </w:r>
    </w:p>
    <w:p>
      <w:pPr>
        <w:spacing w:after="0" w:line="46" w:lineRule="exact"/>
        <w:rPr>
          <w:sz w:val="20"/>
          <w:szCs w:val="20"/>
          <w:color w:val="auto"/>
        </w:rPr>
      </w:pPr>
    </w:p>
    <w:p>
      <w:pPr>
        <w:ind w:right="140" w:firstLine="1"/>
        <w:spacing w:after="0" w:line="245" w:lineRule="auto"/>
        <w:tabs>
          <w:tab w:leader="none" w:pos="2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amount of each then remaining installment, sinking fund, serial maturity or other required payments of principal or liquidation preference, as the case may be, including payment at final maturity, in respect of the Indebtedness, by (b) the number of years (calculated to the nearest one-twelfth) that will elapse between such date and the making of such payment; by (2) the then outstanding aggregate principal amount or liquidation preference, as the case may be, of such Indebtedness.</w:t>
      </w:r>
    </w:p>
    <w:p>
      <w:pPr>
        <w:spacing w:after="0" w:line="186" w:lineRule="exact"/>
        <w:rPr>
          <w:sz w:val="20"/>
          <w:szCs w:val="20"/>
          <w:color w:val="auto"/>
        </w:rPr>
      </w:pPr>
    </w:p>
    <w:p>
      <w:pPr>
        <w:ind w:right="340" w:firstLine="96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any specified Person means a Subsidiary of such Person all of the outstanding Capital Stock or other ownership interest of which (other than directors’ qualifying shares) shall at the time be owned by such Person or by one or more Wholly Owned Subsidiaries of such Person and one or more Wholly Owned Subsidiaries of such Person.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w w:val="95"/>
              </w:rPr>
              <w:t>Section 1.02</w:t>
            </w:r>
          </w:p>
        </w:tc>
        <w:tc>
          <w:tcPr>
            <w:tcW w:w="6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Definitions.</w:t>
            </w:r>
          </w:p>
        </w:tc>
        <w:tc>
          <w:tcPr>
            <w:tcW w:w="6480" w:type="dxa"/>
            <w:vAlign w:val="bottom"/>
          </w:tcPr>
          <w:p>
            <w:pPr>
              <w:spacing w:after="0"/>
              <w:rPr>
                <w:sz w:val="18"/>
                <w:szCs w:val="18"/>
                <w:color w:val="auto"/>
              </w:rPr>
            </w:pPr>
          </w:p>
        </w:tc>
      </w:tr>
      <w:tr>
        <w:trPr>
          <w:trHeight w:val="382"/>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8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in Section</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13.14(a)</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Affiliate Transaction</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4.11(a)</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Sale Offer</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4.10(c)</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Authentication Order</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4.14(a)</w:t>
            </w:r>
          </w:p>
        </w:tc>
      </w:tr>
      <w:tr>
        <w:trPr>
          <w:trHeight w:val="210"/>
        </w:trPr>
        <w:tc>
          <w:tcPr>
            <w:tcW w:w="4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of Control Payment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4.14(a)</w:t>
            </w:r>
          </w:p>
        </w:tc>
      </w:tr>
      <w:tr>
        <w:trPr>
          <w:trHeight w:val="210"/>
        </w:trPr>
        <w:tc>
          <w:tcPr>
            <w:tcW w:w="4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of Control Payment Date</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4.14(a)</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10"/>
        </w:trPr>
        <w:tc>
          <w:tcPr>
            <w:tcW w:w="4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 of the New Notes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9.01(a)(vi)</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DTC</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2.04(b)</w:t>
            </w:r>
          </w:p>
        </w:tc>
      </w:tr>
      <w:tr>
        <w:trPr>
          <w:trHeight w:val="228"/>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Elected Amount</w:t>
            </w: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409(c)(iii)</w:t>
            </w:r>
          </w:p>
        </w:tc>
      </w:tr>
      <w:tr>
        <w:trPr>
          <w:trHeight w:val="355"/>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80" w:type="dxa"/>
            <w:vAlign w:val="bottom"/>
          </w:tcPr>
          <w:p>
            <w:pPr>
              <w:jc w:val="right"/>
              <w:ind w:right="5174"/>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0720"/>
          </w:cols>
          <w:pgMar w:left="580" w:top="266" w:right="599"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6.01(a)</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Excess Proceeds</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4.10(c)</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Fixture Filings</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12.07(b)</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Increased Amount</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indenture securities</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indenture security Holder</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indenture to be qualified</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indenture trustee</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Assets</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4.03(d)</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institutional trustee</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0"/>
        </w:trPr>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4.03(a)(i)</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obligor</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Offer Amount</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Offer Period</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4.03(d)</w:t>
            </w:r>
          </w:p>
        </w:tc>
      </w:tr>
      <w:tr>
        <w:trPr>
          <w:trHeight w:val="210"/>
        </w:trPr>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Option of Holder to Elect Purchase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3.09(vi)</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2.04(a)</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6.01(a)(v)(1)</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Permitted Debt</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4.09(b)</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 Effective Date</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6.03(c)</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Date</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8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Redemption Price Premium</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6.03(c)</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Registrar</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2.04(a)</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Repurchase Offer</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Payments</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4.07(a)(iv)</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Specified Courts</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Specified Junior Debt</w:t>
            </w:r>
          </w:p>
        </w:tc>
        <w:tc>
          <w:tcPr>
            <w:tcW w:w="3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4.07(a)(iii)</w:t>
            </w:r>
          </w:p>
        </w:tc>
      </w:tr>
      <w:tr>
        <w:trPr>
          <w:trHeight w:val="228"/>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Companies</w:t>
            </w:r>
          </w:p>
        </w:tc>
        <w:tc>
          <w:tcPr>
            <w:tcW w:w="3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12.07(b)</w:t>
            </w:r>
          </w:p>
        </w:tc>
      </w:tr>
      <w:tr>
        <w:trPr>
          <w:trHeight w:val="408"/>
        </w:trPr>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Section 1.03</w:t>
            </w:r>
          </w:p>
        </w:tc>
        <w:tc>
          <w:tcPr>
            <w:tcW w:w="620" w:type="dxa"/>
            <w:vAlign w:val="bottom"/>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Incorporation by Reference of Trust Indenture Act.</w:t>
            </w:r>
          </w:p>
        </w:tc>
        <w:tc>
          <w:tcPr>
            <w:tcW w:w="256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2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Whenever this Indenture refers to a provision of the TIA, the provision is incorporated by reference in and made a part of this Indenture.</w:t>
      </w:r>
    </w:p>
    <w:p>
      <w:pPr>
        <w:spacing w:after="0" w:line="23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2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securities</w:t>
      </w:r>
      <w:r>
        <w:rPr>
          <w:rFonts w:ascii="Times New Roman" w:cs="Times New Roman" w:eastAsia="Times New Roman" w:hAnsi="Times New Roman"/>
          <w:sz w:val="18"/>
          <w:szCs w:val="18"/>
          <w:color w:val="auto"/>
        </w:rPr>
        <w:t>” means the Notes;</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security Holder</w:t>
      </w:r>
      <w:r>
        <w:rPr>
          <w:rFonts w:ascii="Times New Roman" w:cs="Times New Roman" w:eastAsia="Times New Roman" w:hAnsi="Times New Roman"/>
          <w:sz w:val="18"/>
          <w:szCs w:val="18"/>
          <w:color w:val="auto"/>
        </w:rPr>
        <w:t>” means a Holder of a Note;</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to be qualified</w:t>
      </w:r>
      <w:r>
        <w:rPr>
          <w:rFonts w:ascii="Times New Roman" w:cs="Times New Roman" w:eastAsia="Times New Roman" w:hAnsi="Times New Roman"/>
          <w:sz w:val="18"/>
          <w:szCs w:val="18"/>
          <w:color w:val="auto"/>
        </w:rPr>
        <w:t>” means this Indenture;</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institutional trustee</w:t>
      </w:r>
      <w:r>
        <w:rPr>
          <w:rFonts w:ascii="Times New Roman" w:cs="Times New Roman" w:eastAsia="Times New Roman" w:hAnsi="Times New Roman"/>
          <w:sz w:val="18"/>
          <w:szCs w:val="18"/>
          <w:color w:val="auto"/>
        </w:rPr>
        <w:t>” means the Trustee; and</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on the Notes means the Company and any successor obligor upon the Notes.</w:t>
      </w:r>
    </w:p>
    <w:p>
      <w:pPr>
        <w:spacing w:after="0" w:line="216" w:lineRule="exact"/>
        <w:rPr>
          <w:sz w:val="20"/>
          <w:szCs w:val="20"/>
          <w:color w:val="auto"/>
        </w:rPr>
      </w:pPr>
    </w:p>
    <w:p>
      <w:pPr>
        <w:ind w:right="420" w:firstLine="965"/>
        <w:spacing w:after="0" w:line="268"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have the meanings so assigned to them.</w:t>
      </w:r>
    </w:p>
    <w:p>
      <w:pPr>
        <w:spacing w:after="0" w:line="77"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1.04</w:t>
      </w:r>
      <w:r>
        <w:rPr>
          <w:sz w:val="20"/>
          <w:szCs w:val="20"/>
          <w:color w:val="auto"/>
        </w:rPr>
        <w:tab/>
      </w:r>
      <w:r>
        <w:rPr>
          <w:rFonts w:ascii="Times New Roman" w:cs="Times New Roman" w:eastAsia="Times New Roman" w:hAnsi="Times New Roman"/>
          <w:sz w:val="16"/>
          <w:szCs w:val="16"/>
          <w:u w:val="single" w:color="auto"/>
          <w:color w:val="auto"/>
        </w:rPr>
        <w:t>Rules of Construction.</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08" w:lineRule="exact"/>
        <w:rPr>
          <w:sz w:val="20"/>
          <w:szCs w:val="20"/>
          <w:color w:val="auto"/>
        </w:rPr>
      </w:pPr>
    </w:p>
    <w:p>
      <w:pPr>
        <w:ind w:left="1560" w:hanging="203"/>
        <w:spacing w:after="0"/>
        <w:tabs>
          <w:tab w:leader="none" w:pos="1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08" w:lineRule="exact"/>
        <w:rPr>
          <w:rFonts w:ascii="Times New Roman" w:cs="Times New Roman" w:eastAsia="Times New Roman" w:hAnsi="Times New Roman"/>
          <w:sz w:val="18"/>
          <w:szCs w:val="18"/>
          <w:color w:val="auto"/>
        </w:rPr>
      </w:pPr>
    </w:p>
    <w:p>
      <w:pPr>
        <w:ind w:left="5280" w:right="2120" w:hanging="3923"/>
        <w:spacing w:after="0" w:line="435" w:lineRule="auto"/>
        <w:tabs>
          <w:tab w:leader="none" w:pos="16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 25</w:t>
      </w:r>
    </w:p>
    <w:p>
      <w:pPr>
        <w:sectPr>
          <w:pgSz w:w="11900" w:h="16838" w:orient="portrait"/>
          <w:cols w:equalWidth="0" w:num="1">
            <w:col w:w="10720"/>
          </w:cols>
          <w:pgMar w:left="580" w:top="266" w:right="599" w:bottom="1440" w:gutter="0" w:footer="0" w:header="0"/>
        </w:sectPr>
      </w:pPr>
    </w:p>
    <w:bookmarkStart w:id="119" w:name="page120"/>
    <w:bookmarkEnd w:id="119"/>
    <w:p>
      <w:pPr>
        <w:ind w:left="1660" w:hanging="303"/>
        <w:spacing w:after="0"/>
        <w:tabs>
          <w:tab w:leader="none" w:pos="1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is not exclusive;</w:t>
      </w:r>
    </w:p>
    <w:p>
      <w:pPr>
        <w:spacing w:after="0" w:line="108"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108" w:lineRule="exact"/>
        <w:rPr>
          <w:rFonts w:ascii="Times New Roman" w:cs="Times New Roman" w:eastAsia="Times New Roman" w:hAnsi="Times New Roman"/>
          <w:sz w:val="18"/>
          <w:szCs w:val="18"/>
          <w:color w:val="auto"/>
        </w:rPr>
      </w:pPr>
    </w:p>
    <w:p>
      <w:pPr>
        <w:ind w:left="960" w:right="560" w:firstLine="397"/>
        <w:spacing w:after="0" w:line="268" w:lineRule="auto"/>
        <w:tabs>
          <w:tab w:leader="none" w:pos="1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shall be deemed to include substitute, replacement of successor sections or rules adopted by the SEC from time to time.</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2.01</w:t>
      </w:r>
      <w:r>
        <w:rPr>
          <w:sz w:val="20"/>
          <w:szCs w:val="20"/>
          <w:color w:val="auto"/>
        </w:rPr>
        <w:tab/>
      </w:r>
      <w:r>
        <w:rPr>
          <w:rFonts w:ascii="Times New Roman" w:cs="Times New Roman" w:eastAsia="Times New Roman" w:hAnsi="Times New Roman"/>
          <w:sz w:val="16"/>
          <w:szCs w:val="16"/>
          <w:u w:val="single" w:color="auto"/>
          <w:color w:val="auto"/>
        </w:rPr>
        <w:t>Form and Dating.</w:t>
      </w:r>
    </w:p>
    <w:p>
      <w:pPr>
        <w:spacing w:after="0" w:line="212" w:lineRule="exact"/>
        <w:rPr>
          <w:sz w:val="20"/>
          <w:szCs w:val="20"/>
          <w:color w:val="auto"/>
        </w:rPr>
      </w:pPr>
    </w:p>
    <w:p>
      <w:pPr>
        <w:ind w:right="20" w:firstLine="967"/>
        <w:spacing w:after="0" w:line="252" w:lineRule="auto"/>
        <w:tabs>
          <w:tab w:leader="none" w:pos="12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Notes and the Trustee’s certificate of authentication shall be substantially in the form of Exhibit A hereto. The Notes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notations, legends or endorsements required by law, stock exchange rule or usage. Each Note shall be dated the date of its authentication. The Notes shall be issued in registered, global form without interest coupons and only shall be in minimum denominations of $2,000 and integral multiples of $1,000 in excess thereof.</w:t>
      </w:r>
    </w:p>
    <w:p>
      <w:pPr>
        <w:spacing w:after="0" w:line="184" w:lineRule="exact"/>
        <w:rPr>
          <w:sz w:val="20"/>
          <w:szCs w:val="20"/>
          <w:color w:val="auto"/>
        </w:rPr>
      </w:pPr>
    </w:p>
    <w:p>
      <w:pPr>
        <w:jc w:val="both"/>
        <w:ind w:firstLine="965"/>
        <w:spacing w:after="0" w:line="303" w:lineRule="auto"/>
        <w:rPr>
          <w:sz w:val="20"/>
          <w:szCs w:val="20"/>
          <w:color w:val="auto"/>
        </w:rPr>
      </w:pPr>
      <w:r>
        <w:rPr>
          <w:rFonts w:ascii="Times New Roman" w:cs="Times New Roman" w:eastAsia="Times New Roman" w:hAnsi="Times New Roman"/>
          <w:sz w:val="16"/>
          <w:szCs w:val="16"/>
          <w:color w:val="auto"/>
        </w:rPr>
        <w:t>The terms and provisions contained in the Notes shall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2" w:lineRule="exact"/>
        <w:rPr>
          <w:sz w:val="20"/>
          <w:szCs w:val="20"/>
          <w:color w:val="auto"/>
        </w:rPr>
      </w:pPr>
    </w:p>
    <w:p>
      <w:pPr>
        <w:ind w:right="40" w:firstLine="967"/>
        <w:spacing w:after="0" w:line="247" w:lineRule="auto"/>
        <w:tabs>
          <w:tab w:leader="none" w:pos="12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Notes. </w:t>
      </w:r>
      <w:r>
        <w:rPr>
          <w:rFonts w:ascii="Times New Roman" w:cs="Times New Roman" w:eastAsia="Times New Roman" w:hAnsi="Times New Roman"/>
          <w:sz w:val="18"/>
          <w:szCs w:val="18"/>
          <w:color w:val="auto"/>
        </w:rPr>
        <w:t>Notes issued in global form shall be substantially in the form of Exhibit A attached hereto (including the Global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 thereon and the “Schedule of Increases or Decreases of Interests in the Global Note” attached thereto). Notes issued in definitive form shall be substantially in the form of Exhibit A attached hereto (but without the Global Note Legend thereon and without the “Schedule of Increases or Decreases of Interests in the Global Note” attached thereto). Each Global Note shall represent such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repurchases and redemptions. Any endorsement of a Global Note to reflect the amount of any increase or decrease in the aggregate principal amount of outstanding Notes represented thereby shall be made by the Trustee in accordance with instructions given by the Holder thereof as required by Section 2.07 hereof.</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2.02</w:t>
      </w:r>
      <w:r>
        <w:rPr>
          <w:sz w:val="20"/>
          <w:szCs w:val="20"/>
          <w:color w:val="auto"/>
        </w:rPr>
        <w:tab/>
      </w:r>
      <w:r>
        <w:rPr>
          <w:rFonts w:ascii="Times New Roman" w:cs="Times New Roman" w:eastAsia="Times New Roman" w:hAnsi="Times New Roman"/>
          <w:sz w:val="16"/>
          <w:szCs w:val="16"/>
          <w:u w:val="single" w:color="auto"/>
          <w:color w:val="auto"/>
        </w:rPr>
        <w:t>Execution and Authentication.</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One Officer of the Company shall sign the Notes for the Company by manual or electronic signature.</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a Note is authenticated, the Note shall nevertheless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196" w:lineRule="exact"/>
        <w:rPr>
          <w:sz w:val="20"/>
          <w:szCs w:val="20"/>
          <w:color w:val="auto"/>
        </w:rPr>
      </w:pPr>
    </w:p>
    <w:p>
      <w:pPr>
        <w:ind w:right="180" w:firstLine="965"/>
        <w:spacing w:after="0" w:line="268" w:lineRule="auto"/>
        <w:rPr>
          <w:sz w:val="20"/>
          <w:szCs w:val="20"/>
          <w:color w:val="auto"/>
        </w:rPr>
      </w:pPr>
      <w:r>
        <w:rPr>
          <w:rFonts w:ascii="Times New Roman" w:cs="Times New Roman" w:eastAsia="Times New Roman" w:hAnsi="Times New Roman"/>
          <w:sz w:val="18"/>
          <w:szCs w:val="18"/>
          <w:color w:val="auto"/>
        </w:rPr>
        <w:t>A Note shall not be valid until authenticated by the manual signature of the Trustee. Such signature shall be conclusive evidence and the only evidence, that the Note has been authenticated and delivered under this Indenture.</w:t>
      </w:r>
    </w:p>
    <w:p>
      <w:pPr>
        <w:spacing w:after="0" w:line="169" w:lineRule="exact"/>
        <w:rPr>
          <w:sz w:val="20"/>
          <w:szCs w:val="20"/>
          <w:color w:val="auto"/>
        </w:rPr>
      </w:pPr>
    </w:p>
    <w:p>
      <w:pPr>
        <w:ind w:right="20" w:firstLine="965"/>
        <w:spacing w:after="0" w:line="268" w:lineRule="auto"/>
        <w:rPr>
          <w:sz w:val="20"/>
          <w:szCs w:val="20"/>
          <w:color w:val="auto"/>
        </w:rPr>
      </w:pPr>
      <w:r>
        <w:rPr>
          <w:rFonts w:ascii="Times New Roman" w:cs="Times New Roman" w:eastAsia="Times New Roman" w:hAnsi="Times New Roman"/>
          <w:sz w:val="18"/>
          <w:szCs w:val="18"/>
          <w:color w:val="auto"/>
        </w:rPr>
        <w:t>The aggregate principal amount of Notes which may be authenticated and delivered under this Indenture is the aggregate principal amount of the Notes issued on the date hereof.</w:t>
      </w:r>
    </w:p>
    <w:p>
      <w:pPr>
        <w:spacing w:after="0" w:line="167" w:lineRule="exact"/>
        <w:rPr>
          <w:sz w:val="20"/>
          <w:szCs w:val="20"/>
          <w:color w:val="auto"/>
        </w:rPr>
      </w:pPr>
    </w:p>
    <w:p>
      <w:pPr>
        <w:jc w:val="both"/>
        <w:ind w:right="80" w:firstLine="965"/>
        <w:spacing w:after="0" w:line="252" w:lineRule="auto"/>
        <w:rPr>
          <w:sz w:val="20"/>
          <w:szCs w:val="20"/>
          <w:color w:val="auto"/>
        </w:rPr>
      </w:pPr>
      <w:r>
        <w:rPr>
          <w:rFonts w:ascii="Times New Roman" w:cs="Times New Roman" w:eastAsia="Times New Roman" w:hAnsi="Times New Roman"/>
          <w:sz w:val="18"/>
          <w:szCs w:val="18"/>
          <w:color w:val="auto"/>
        </w:rPr>
        <w:t>The Trustee or its agent shall, upon a written order of the Company signed by one Officer of the Company (an “</w:t>
      </w:r>
      <w:r>
        <w:rPr>
          <w:rFonts w:ascii="Times New Roman" w:cs="Times New Roman" w:eastAsia="Times New Roman" w:hAnsi="Times New Roman"/>
          <w:sz w:val="18"/>
          <w:szCs w:val="18"/>
          <w:b w:val="1"/>
          <w:bCs w:val="1"/>
          <w:color w:val="auto"/>
        </w:rPr>
        <w:t>Authentication Order</w:t>
      </w:r>
      <w:r>
        <w:rPr>
          <w:rFonts w:ascii="Times New Roman" w:cs="Times New Roman" w:eastAsia="Times New Roman" w:hAnsi="Times New Roman"/>
          <w:sz w:val="18"/>
          <w:szCs w:val="18"/>
          <w:color w:val="auto"/>
        </w:rPr>
        <w:t>”), authenticate Notes for original issue on the date hereof of $[•] million. The Authentication Order shall specify the amount of Notes to be authenticated and the date on which the Notes are to be authenticated. In authenticating such Notes, and accepting the additional responsibilities under this Indenture in relation to such Notes, the Trustee shall be entitled to receive and shall be fully protected in relying upon:</w:t>
      </w:r>
    </w:p>
    <w:p>
      <w:pPr>
        <w:spacing w:after="0" w:line="79" w:lineRule="exact"/>
        <w:rPr>
          <w:sz w:val="20"/>
          <w:szCs w:val="20"/>
          <w:color w:val="auto"/>
        </w:rPr>
      </w:pPr>
    </w:p>
    <w:p>
      <w:pPr>
        <w:ind w:left="1400" w:right="40" w:firstLine="369"/>
        <w:spacing w:after="0" w:line="256" w:lineRule="auto"/>
        <w:tabs>
          <w:tab w:leader="none" w:pos="2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 or resolutions of the Board of Directors of the Company in or pursuant to which the terms of the Notes were established, certified by the Secretary or an Assistant Secretary of the Company to have been duly adopted by the Board of Directors and to be in full force and effect as of the date of such certificate;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00"/>
          </w:cols>
          <w:pgMar w:left="580" w:top="266" w:right="619" w:bottom="1440" w:gutter="0" w:footer="0" w:header="0"/>
        </w:sectPr>
      </w:pPr>
    </w:p>
    <w:bookmarkStart w:id="120" w:name="page121"/>
    <w:bookmarkEnd w:id="120"/>
    <w:p>
      <w:pPr>
        <w:ind w:left="2040" w:hanging="271"/>
        <w:spacing w:after="0"/>
        <w:tabs>
          <w:tab w:leader="none" w:pos="2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 Officer’s Certificate delivered in accordance with Section 13.04(i) hereof; and</w:t>
      </w:r>
    </w:p>
    <w:p>
      <w:pPr>
        <w:spacing w:after="0" w:line="108" w:lineRule="exact"/>
        <w:rPr>
          <w:rFonts w:ascii="Times New Roman" w:cs="Times New Roman" w:eastAsia="Times New Roman" w:hAnsi="Times New Roman"/>
          <w:sz w:val="18"/>
          <w:szCs w:val="18"/>
          <w:color w:val="auto"/>
        </w:rPr>
      </w:pPr>
    </w:p>
    <w:p>
      <w:pPr>
        <w:ind w:left="2040" w:hanging="271"/>
        <w:spacing w:after="0"/>
        <w:tabs>
          <w:tab w:leader="none" w:pos="2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delivered in accordance with Section 13.04(ii) hereof and which shall also state:</w:t>
      </w:r>
    </w:p>
    <w:p>
      <w:pPr>
        <w:spacing w:after="0" w:line="108" w:lineRule="exact"/>
        <w:rPr>
          <w:rFonts w:ascii="Times New Roman" w:cs="Times New Roman" w:eastAsia="Times New Roman" w:hAnsi="Times New Roman"/>
          <w:sz w:val="18"/>
          <w:szCs w:val="18"/>
          <w:color w:val="auto"/>
        </w:rPr>
      </w:pPr>
    </w:p>
    <w:p>
      <w:pPr>
        <w:ind w:left="1940" w:right="240" w:firstLine="343"/>
        <w:spacing w:after="0" w:line="293" w:lineRule="auto"/>
        <w:tabs>
          <w:tab w:leader="none" w:pos="254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such Notes,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 and</w:t>
      </w:r>
    </w:p>
    <w:p>
      <w:pPr>
        <w:spacing w:after="0" w:line="47" w:lineRule="exact"/>
        <w:rPr>
          <w:rFonts w:ascii="Times New Roman" w:cs="Times New Roman" w:eastAsia="Times New Roman" w:hAnsi="Times New Roman"/>
          <w:sz w:val="16"/>
          <w:szCs w:val="16"/>
          <w:color w:val="auto"/>
        </w:rPr>
      </w:pPr>
    </w:p>
    <w:p>
      <w:pPr>
        <w:ind w:left="1940" w:right="360" w:firstLine="343"/>
        <w:spacing w:after="0" w:line="268" w:lineRule="auto"/>
        <w:tabs>
          <w:tab w:leader="none" w:pos="2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laws and corporate requirements in respect of the execution and delivery by the Company of such Notes have been complied with.</w:t>
      </w:r>
    </w:p>
    <w:p>
      <w:pPr>
        <w:spacing w:after="0" w:line="169" w:lineRule="exact"/>
        <w:rPr>
          <w:sz w:val="20"/>
          <w:szCs w:val="20"/>
          <w:color w:val="auto"/>
        </w:rPr>
      </w:pPr>
    </w:p>
    <w:p>
      <w:pPr>
        <w:ind w:right="120" w:firstLine="965"/>
        <w:spacing w:after="0" w:line="25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Notes under this Section if the Trustee, being advised by counsel, determines that such action may not lawfully be taken or if the Trustee in good faith shall determine that such action would expose the Trustee to personal liability to existing Holders.</w:t>
      </w:r>
    </w:p>
    <w:p>
      <w:pPr>
        <w:spacing w:after="0" w:line="179" w:lineRule="exact"/>
        <w:rPr>
          <w:sz w:val="20"/>
          <w:szCs w:val="20"/>
          <w:color w:val="auto"/>
        </w:rPr>
      </w:pPr>
    </w:p>
    <w:p>
      <w:pPr>
        <w:ind w:right="300" w:firstLine="965"/>
        <w:spacing w:after="0" w:line="252" w:lineRule="auto"/>
        <w:rPr>
          <w:sz w:val="20"/>
          <w:szCs w:val="20"/>
          <w:color w:val="auto"/>
        </w:rPr>
      </w:pPr>
      <w:r>
        <w:rPr>
          <w:rFonts w:ascii="Times New Roman" w:cs="Times New Roman" w:eastAsia="Times New Roman" w:hAnsi="Times New Roman"/>
          <w:sz w:val="18"/>
          <w:szCs w:val="18"/>
          <w:color w:val="auto"/>
        </w:rPr>
        <w:t>The Trustee may appoint an authenticating agent reasonably acceptable to the Company to authenticate Notes. An authenticating agent may authenticate Notes whenever the Trustee may do so. Each reference in this Indenture to authentication by the Trustee includes authentication by such agent. An authenticating agent has the same rights and protections as an Agent to deal with Holders, the Company and/or an Affiliate of the Company. As of the Issue Date, the Trustee has appointed The Huntington National Bank to act as Authenticating Agent.</w:t>
      </w:r>
    </w:p>
    <w:p>
      <w:pPr>
        <w:spacing w:after="0" w:line="208"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2.03</w:t>
      </w:r>
      <w:r>
        <w:rPr>
          <w:sz w:val="20"/>
          <w:szCs w:val="20"/>
          <w:color w:val="auto"/>
        </w:rPr>
        <w:tab/>
      </w:r>
      <w:r>
        <w:rPr>
          <w:rFonts w:ascii="Times New Roman" w:cs="Times New Roman" w:eastAsia="Times New Roman" w:hAnsi="Times New Roman"/>
          <w:sz w:val="16"/>
          <w:szCs w:val="16"/>
          <w:u w:val="single" w:color="auto"/>
          <w:color w:val="auto"/>
        </w:rPr>
        <w:t>Methods of Receiving Payments on the Notes.</w:t>
      </w:r>
    </w:p>
    <w:p>
      <w:pPr>
        <w:spacing w:after="0" w:line="214" w:lineRule="exact"/>
        <w:rPr>
          <w:sz w:val="20"/>
          <w:szCs w:val="20"/>
          <w:color w:val="auto"/>
        </w:rPr>
      </w:pPr>
    </w:p>
    <w:p>
      <w:pPr>
        <w:ind w:firstLine="965"/>
        <w:spacing w:after="0" w:line="252" w:lineRule="auto"/>
        <w:rPr>
          <w:sz w:val="20"/>
          <w:szCs w:val="20"/>
          <w:color w:val="auto"/>
        </w:rPr>
      </w:pPr>
      <w:r>
        <w:rPr>
          <w:rFonts w:ascii="Times New Roman" w:cs="Times New Roman" w:eastAsia="Times New Roman" w:hAnsi="Times New Roman"/>
          <w:sz w:val="18"/>
          <w:szCs w:val="18"/>
          <w:color w:val="auto"/>
        </w:rPr>
        <w:t>If a Holder of Notes has given wire transfer instructions to the Company, the Company shall pay all principal, interest and premium, if any, on that Holder’s Notes in accordance with those instructions. All other payments on the Notes shall be made at the office or agency of the Paying Agent and Registrar within the City and State of New York unless the Company elects to make interest payments by check mailed to the Holders at their respective addresses set forth in the register of Holders.</w:t>
      </w:r>
    </w:p>
    <w:p>
      <w:pPr>
        <w:spacing w:after="0" w:line="208"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2.04</w:t>
      </w:r>
      <w:r>
        <w:rPr>
          <w:sz w:val="20"/>
          <w:szCs w:val="20"/>
          <w:color w:val="auto"/>
        </w:rPr>
        <w:tab/>
      </w:r>
      <w:r>
        <w:rPr>
          <w:rFonts w:ascii="Times New Roman" w:cs="Times New Roman" w:eastAsia="Times New Roman" w:hAnsi="Times New Roman"/>
          <w:sz w:val="16"/>
          <w:szCs w:val="16"/>
          <w:u w:val="single" w:color="auto"/>
          <w:color w:val="auto"/>
        </w:rPr>
        <w:t>Registrar and Paying Agent.</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The Company shall maintain an office or agency where Notes may be presented for registration of transfer or for exchange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Registrar</w:t>
      </w:r>
      <w:r>
        <w:rPr>
          <w:rFonts w:ascii="Times New Roman" w:cs="Times New Roman" w:eastAsia="Times New Roman" w:hAnsi="Times New Roman"/>
          <w:sz w:val="16"/>
          <w:szCs w:val="16"/>
          <w:color w:val="auto"/>
        </w:rPr>
        <w:t>”) and an office or agency where Notes may be presented for payment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The Registrar shall keep a register of the Notes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of their transfer and exchange. The Company may appoint one or more co-registrars and one or more additional paying agents. The term “Registrar”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any co-registrar and the term “Paying Agent” includes any additional paying agent. The Company may change any Paying Agent or Registrar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without prior notice to any Holder. The Company shall notify the Trustee in writing of the name and address of any Agent not a party to this Indenture.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fails to appoint or maintain another entity as Registrar or Paying Agent, the Trustee shall act as such. The Company or any of its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may act as Paying Agent or Registrar.</w:t>
      </w:r>
    </w:p>
    <w:p>
      <w:pPr>
        <w:spacing w:after="0" w:line="194" w:lineRule="exact"/>
        <w:rPr>
          <w:sz w:val="20"/>
          <w:szCs w:val="20"/>
          <w:color w:val="auto"/>
        </w:rPr>
      </w:pPr>
    </w:p>
    <w:p>
      <w:pPr>
        <w:ind w:left="1220" w:hanging="253"/>
        <w:spacing w:after="0"/>
        <w:tabs>
          <w:tab w:leader="none" w:pos="1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initially appoints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215"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initially appoints the Trustee to act as the Registrar and Paying Agent and to act as custodian with respect to the Global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20"/>
          </w:cols>
          <w:pgMar w:left="580" w:top="266" w:right="599" w:bottom="1440" w:gutter="0" w:footer="0" w:header="0"/>
        </w:sectPr>
      </w:pPr>
    </w:p>
    <w:bookmarkStart w:id="121" w:name="page122"/>
    <w:bookmarkEnd w:id="121"/>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2.05</w:t>
      </w:r>
      <w:r>
        <w:rPr>
          <w:sz w:val="20"/>
          <w:szCs w:val="20"/>
          <w:color w:val="auto"/>
        </w:rPr>
        <w:tab/>
      </w:r>
      <w:r>
        <w:rPr>
          <w:rFonts w:ascii="Times New Roman" w:cs="Times New Roman" w:eastAsia="Times New Roman" w:hAnsi="Times New Roman"/>
          <w:sz w:val="16"/>
          <w:szCs w:val="16"/>
          <w:u w:val="single" w:color="auto"/>
          <w:color w:val="auto"/>
        </w:rPr>
        <w:t>Paying Agent to Hold Money in Trust.</w:t>
      </w:r>
    </w:p>
    <w:p>
      <w:pPr>
        <w:spacing w:after="0" w:line="214" w:lineRule="exact"/>
        <w:rPr>
          <w:sz w:val="20"/>
          <w:szCs w:val="20"/>
          <w:color w:val="auto"/>
        </w:rPr>
      </w:pPr>
    </w:p>
    <w:p>
      <w:pPr>
        <w:ind w:right="20" w:firstLine="965"/>
        <w:spacing w:after="0" w:line="247"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shall hold in trust for the benefit of Holders or the Trustee all money held by the Paying Agent for the payment of principal, premium or interest on the Notes, and shall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one of its Subsidiaries) shall have no further liability for the money. If the Company or one of its Subsidiaries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2.06</w:t>
      </w:r>
      <w:r>
        <w:rPr>
          <w:sz w:val="20"/>
          <w:szCs w:val="20"/>
          <w:color w:val="auto"/>
        </w:rPr>
        <w:tab/>
      </w:r>
      <w:r>
        <w:rPr>
          <w:rFonts w:ascii="Times New Roman" w:cs="Times New Roman" w:eastAsia="Times New Roman" w:hAnsi="Times New Roman"/>
          <w:sz w:val="16"/>
          <w:szCs w:val="16"/>
          <w:u w:val="single" w:color="auto"/>
          <w:color w:val="auto"/>
        </w:rPr>
        <w:t>Holder Lists.</w:t>
      </w:r>
    </w:p>
    <w:p>
      <w:pPr>
        <w:spacing w:after="0" w:line="214" w:lineRule="exact"/>
        <w:rPr>
          <w:sz w:val="20"/>
          <w:szCs w:val="20"/>
          <w:color w:val="auto"/>
        </w:rPr>
      </w:pPr>
    </w:p>
    <w:p>
      <w:pPr>
        <w:ind w:right="20" w:firstLine="965"/>
        <w:spacing w:after="0" w:line="293" w:lineRule="auto"/>
        <w:rPr>
          <w:sz w:val="20"/>
          <w:szCs w:val="20"/>
          <w:color w:val="auto"/>
        </w:rPr>
      </w:pPr>
      <w:r>
        <w:rPr>
          <w:rFonts w:ascii="Times New Roman" w:cs="Times New Roman" w:eastAsia="Times New Roman" w:hAnsi="Times New Roman"/>
          <w:sz w:val="16"/>
          <w:szCs w:val="16"/>
          <w:color w:val="auto"/>
        </w:rPr>
        <w:t>The Trustee shall preserve in as current a form as is reasonably practicable the most recent list available to it of the names and addresses of all Holders and shall otherwise comply with TIA §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Company shall otherwise comply with TIA § 312(a).</w:t>
      </w:r>
    </w:p>
    <w:p>
      <w:pPr>
        <w:spacing w:after="0" w:line="179"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2.07</w:t>
      </w:r>
      <w:r>
        <w:rPr>
          <w:sz w:val="20"/>
          <w:szCs w:val="20"/>
          <w:color w:val="auto"/>
        </w:rPr>
        <w:tab/>
      </w:r>
      <w:r>
        <w:rPr>
          <w:rFonts w:ascii="Times New Roman" w:cs="Times New Roman" w:eastAsia="Times New Roman" w:hAnsi="Times New Roman"/>
          <w:sz w:val="16"/>
          <w:szCs w:val="16"/>
          <w:u w:val="single" w:color="auto"/>
          <w:color w:val="auto"/>
        </w:rPr>
        <w:t>Registration, Registration of Transfer and Exchange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5"/>
        <w:spacing w:after="0" w:line="285" w:lineRule="auto"/>
        <w:rPr>
          <w:sz w:val="20"/>
          <w:szCs w:val="20"/>
          <w:color w:val="auto"/>
        </w:rPr>
      </w:pPr>
      <w:r>
        <w:rPr>
          <w:rFonts w:ascii="Times New Roman" w:cs="Times New Roman" w:eastAsia="Times New Roman" w:hAnsi="Times New Roman"/>
          <w:sz w:val="16"/>
          <w:szCs w:val="16"/>
          <w:color w:val="auto"/>
        </w:rPr>
        <w:t>The Company shall cause the Trustee to keep, so long as it is the Registrar, at the Corporate Trust Office of the Trustee, or such other office as the Trustee may designate, a register the Notes (the register maintained in such office or in any other office or agency designated pursuant to Section 4.02 hereof being herein sometimes referred to as the “</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in which, subject to such reasonable regulations as the Registrar may prescribe, the Company shall provide for the registration of Notes and of transfers of Notes. The Trustee shall initially be the Registrar for the purpose of registering Notes and transfers of Notes as herein provided. The Company may change the Registrar or appoint one or more co- Registrars without prior notice; provided that the Company shall promptly notify the Trustee in writing if the Company changes the Registrar or appoints a co-Notes Registrar.</w:t>
      </w:r>
    </w:p>
    <w:p>
      <w:pPr>
        <w:spacing w:after="0" w:line="1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Upon surrender for registration of transfer of any Notes at the office or agency of the Company designated pursuant to Section 4.02 hereof</w:t>
      </w:r>
    </w:p>
    <w:p>
      <w:pPr>
        <w:spacing w:after="0" w:line="44" w:lineRule="exact"/>
        <w:rPr>
          <w:sz w:val="20"/>
          <w:szCs w:val="20"/>
          <w:color w:val="auto"/>
        </w:rPr>
      </w:pPr>
    </w:p>
    <w:p>
      <w:pPr>
        <w:jc w:val="both"/>
        <w:ind w:right="420" w:firstLine="1"/>
        <w:spacing w:after="0" w:line="245" w:lineRule="auto"/>
        <w:tabs>
          <w:tab w:leader="none" w:pos="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execute, and the Trustee shall, upon receipt of an Authentication Order, authenticate and deliver, in the name of the designated transferee or transferees, one or more new Notes of the same series of any authorized denomination or denominations, of a like aggregate principal amount.</w:t>
      </w:r>
    </w:p>
    <w:p>
      <w:pPr>
        <w:spacing w:after="0" w:line="189" w:lineRule="exact"/>
        <w:rPr>
          <w:sz w:val="20"/>
          <w:szCs w:val="20"/>
          <w:color w:val="auto"/>
        </w:rPr>
      </w:pPr>
    </w:p>
    <w:p>
      <w:pPr>
        <w:jc w:val="both"/>
        <w:ind w:right="340" w:firstLine="965"/>
        <w:spacing w:after="0" w:line="256" w:lineRule="auto"/>
        <w:rPr>
          <w:sz w:val="20"/>
          <w:szCs w:val="20"/>
          <w:color w:val="auto"/>
        </w:rPr>
      </w:pPr>
      <w:r>
        <w:rPr>
          <w:rFonts w:ascii="Times New Roman" w:cs="Times New Roman" w:eastAsia="Times New Roman" w:hAnsi="Times New Roman"/>
          <w:sz w:val="18"/>
          <w:szCs w:val="18"/>
          <w:color w:val="auto"/>
        </w:rPr>
        <w:t>Furthermore, any Holder of a Global Note shall, by acceptance of such Global Note, agree that transfers of beneficial interests in such Global Note may be effected only through a book-entry system maintained by the Holder of such Global Note (or its agent), and that ownership of a beneficial interest in a Notes shall be required to be reflected in a book entry.</w:t>
      </w:r>
    </w:p>
    <w:p>
      <w:pPr>
        <w:spacing w:after="0" w:line="179" w:lineRule="exact"/>
        <w:rPr>
          <w:sz w:val="20"/>
          <w:szCs w:val="20"/>
          <w:color w:val="auto"/>
        </w:rPr>
      </w:pPr>
    </w:p>
    <w:p>
      <w:pPr>
        <w:ind w:firstLine="965"/>
        <w:spacing w:after="0" w:line="252" w:lineRule="auto"/>
        <w:rPr>
          <w:sz w:val="20"/>
          <w:szCs w:val="20"/>
          <w:color w:val="auto"/>
        </w:rPr>
      </w:pPr>
      <w:r>
        <w:rPr>
          <w:rFonts w:ascii="Times New Roman" w:cs="Times New Roman" w:eastAsia="Times New Roman" w:hAnsi="Times New Roman"/>
          <w:sz w:val="18"/>
          <w:szCs w:val="18"/>
          <w:color w:val="auto"/>
        </w:rPr>
        <w:t>At the option of the Holder, Notes may be exchanged for other Notes of any authorized denomination or denominations, of a like aggregate principal amount, upon surrender of the Notes to be exchanged at such office or agency. Whenever any Notes are so surrendered for exchange, the Company shall execute, and the Trustee shall, upon receipt of an Authentication Order, authenticate and deliver, Notes of the same series which the Holder making the exchange is entitled to receive.</w:t>
      </w:r>
    </w:p>
    <w:p>
      <w:pPr>
        <w:spacing w:after="0" w:line="182" w:lineRule="exact"/>
        <w:rPr>
          <w:sz w:val="20"/>
          <w:szCs w:val="20"/>
          <w:color w:val="auto"/>
        </w:rPr>
      </w:pPr>
    </w:p>
    <w:p>
      <w:pPr>
        <w:ind w:right="20" w:firstLine="965"/>
        <w:spacing w:after="0" w:line="268"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shall be the valid obligations of the Company, evidencing the same Indebtedness, and entitled to the same benefits under this Indenture, as the Notes surrendered upon such registration of transfer or exchange.</w:t>
      </w:r>
    </w:p>
    <w:p>
      <w:pPr>
        <w:spacing w:after="0" w:line="169" w:lineRule="exact"/>
        <w:rPr>
          <w:sz w:val="20"/>
          <w:szCs w:val="20"/>
          <w:color w:val="auto"/>
        </w:rPr>
      </w:pPr>
    </w:p>
    <w:p>
      <w:pPr>
        <w:ind w:right="20" w:firstLine="965"/>
        <w:spacing w:after="0" w:line="256" w:lineRule="auto"/>
        <w:rPr>
          <w:sz w:val="20"/>
          <w:szCs w:val="20"/>
          <w:color w:val="auto"/>
        </w:rPr>
      </w:pPr>
      <w:r>
        <w:rPr>
          <w:rFonts w:ascii="Times New Roman" w:cs="Times New Roman" w:eastAsia="Times New Roman" w:hAnsi="Times New Roman"/>
          <w:sz w:val="18"/>
          <w:szCs w:val="18"/>
          <w:color w:val="auto"/>
        </w:rPr>
        <w:t>Every Note presented or surrendered for registration of transfer, or for exchange, repurchase or redemption, shall (if so required by the Company or the Trustee) be duly endorsed, or be accompanied by a written instrument of transfer in form satisfactory to the Company and the Registrar, duly executed by the Holder thereof or his attorney duly authorized in writing.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20"/>
          </w:cols>
          <w:pgMar w:left="580" w:top="266" w:right="599" w:bottom="1440" w:gutter="0" w:footer="0" w:header="0"/>
        </w:sectPr>
      </w:pPr>
    </w:p>
    <w:bookmarkStart w:id="122" w:name="page123"/>
    <w:bookmarkEnd w:id="122"/>
    <w:p>
      <w:pPr>
        <w:ind w:right="140" w:firstLine="965"/>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service charge shall be made to a Holder for any registration of transfer, exchange or redemption of Notes, other than exchanges pursuant to this Section 2.07 or Section 2.09 hereof not involving any transfer, except for any transfer tax or similar governmental charge that may be imposed in connection therewith (other than any such transfer taxes or similar governmental charge payable upon exchange or transfer pursuant to Sections 2.12, 3.06, 3.09, 4.10, 4.14 or 4.18 hereof or pursuant to any offer for the Notes which the Company may make to the Holders pursuant to the provisions of any indenture supplemental hereto).</w:t>
      </w:r>
    </w:p>
    <w:p>
      <w:pPr>
        <w:spacing w:after="0" w:line="188" w:lineRule="exact"/>
        <w:rPr>
          <w:sz w:val="20"/>
          <w:szCs w:val="20"/>
          <w:color w:val="auto"/>
        </w:rPr>
      </w:pPr>
    </w:p>
    <w:p>
      <w:pPr>
        <w:ind w:right="140" w:firstLine="965"/>
        <w:spacing w:after="0" w:line="288" w:lineRule="auto"/>
        <w:rPr>
          <w:sz w:val="20"/>
          <w:szCs w:val="20"/>
          <w:color w:val="auto"/>
        </w:rPr>
      </w:pPr>
      <w:r>
        <w:rPr>
          <w:rFonts w:ascii="Times New Roman" w:cs="Times New Roman" w:eastAsia="Times New Roman" w:hAnsi="Times New Roman"/>
          <w:sz w:val="16"/>
          <w:szCs w:val="16"/>
          <w:color w:val="auto"/>
        </w:rPr>
        <w:t>The Company shall not be required (a) to issue, register the transfer of or exchange any Note during a period beginning at the opening of business 15 days before the mailing of a notice of redemption of Notes pursuant to Article Three hereof or any applicable provision of an indenture supplemental hereto and ending at the close of business on the day of such mailing, (b) to register the transfer of or exchange any Note so selected for redemption in whole or in part, except the unredeemed portion of Notes being redeemed in part or (c) to register the transfer of or to exchange a Note between a regular record date and the next succeeding interest payment date or a special record date and the next succeeding special payment date.</w:t>
      </w:r>
    </w:p>
    <w:p>
      <w:pPr>
        <w:spacing w:after="0" w:line="158" w:lineRule="exact"/>
        <w:rPr>
          <w:sz w:val="20"/>
          <w:szCs w:val="20"/>
          <w:color w:val="auto"/>
        </w:rPr>
      </w:pPr>
    </w:p>
    <w:p>
      <w:pPr>
        <w:jc w:val="both"/>
        <w:ind w:right="60" w:firstLine="965"/>
        <w:spacing w:after="0" w:line="256" w:lineRule="auto"/>
        <w:rPr>
          <w:sz w:val="20"/>
          <w:szCs w:val="20"/>
          <w:color w:val="auto"/>
        </w:rPr>
      </w:pPr>
      <w:r>
        <w:rPr>
          <w:rFonts w:ascii="Times New Roman" w:cs="Times New Roman" w:eastAsia="Times New Roman" w:hAnsi="Times New Roman"/>
          <w:sz w:val="18"/>
          <w:szCs w:val="18"/>
          <w:color w:val="auto"/>
        </w:rPr>
        <w:t>Any Note authenticated and delivered upon registration of transfer of, or in exchange for, or in lieu of, any Global Note, whether pursuant to this Section 2.07, Sections 2.08, 2.09, 2.12, 3.06 and 9.05 hereto or otherwise, shall also be a Global Note and bear the legend specified in Exhibit A hereto.</w:t>
      </w:r>
    </w:p>
    <w:p>
      <w:pPr>
        <w:spacing w:after="0" w:line="179" w:lineRule="exact"/>
        <w:rPr>
          <w:sz w:val="20"/>
          <w:szCs w:val="20"/>
          <w:color w:val="auto"/>
        </w:rPr>
      </w:pPr>
    </w:p>
    <w:p>
      <w:pPr>
        <w:ind w:firstLine="967"/>
        <w:spacing w:after="0" w:line="268" w:lineRule="auto"/>
        <w:tabs>
          <w:tab w:leader="none" w:pos="12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certifications, certificates and Opinions of Counsel required to be submitted to the Registrar pursuant to this Section 2.07 to effect a registration of transfer or exchange may be submitted by facsimile with the original to follow by first class mail.</w:t>
      </w:r>
    </w:p>
    <w:p>
      <w:pPr>
        <w:spacing w:after="0" w:line="77"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2.08</w:t>
      </w:r>
      <w:r>
        <w:rPr>
          <w:sz w:val="20"/>
          <w:szCs w:val="20"/>
          <w:color w:val="auto"/>
        </w:rPr>
        <w:tab/>
      </w:r>
      <w:r>
        <w:rPr>
          <w:rFonts w:ascii="Times New Roman" w:cs="Times New Roman" w:eastAsia="Times New Roman" w:hAnsi="Times New Roman"/>
          <w:sz w:val="16"/>
          <w:szCs w:val="16"/>
          <w:u w:val="single" w:color="auto"/>
          <w:color w:val="auto"/>
        </w:rPr>
        <w:t>Book Entry Provisions for Global Notes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1200" w:hanging="233"/>
        <w:spacing w:after="0"/>
        <w:tabs>
          <w:tab w:leader="none" w:pos="120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Global Note initially shall (i) be registered in the name of the Depositary for such Global Note or the nominee of such Depositary,</w:t>
      </w:r>
    </w:p>
    <w:p>
      <w:pPr>
        <w:spacing w:after="0" w:line="44" w:lineRule="exact"/>
        <w:rPr>
          <w:rFonts w:ascii="Times New Roman" w:cs="Times New Roman" w:eastAsia="Times New Roman" w:hAnsi="Times New Roman"/>
          <w:sz w:val="16"/>
          <w:szCs w:val="16"/>
          <w:color w:val="auto"/>
        </w:rPr>
      </w:pPr>
    </w:p>
    <w:p>
      <w:pPr>
        <w:ind w:right="20" w:firstLine="1"/>
        <w:spacing w:after="0" w:line="244" w:lineRule="auto"/>
        <w:tabs>
          <w:tab w:leader="none" w:pos="2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or on behalf of, the Depositary or with the Trustee as custodian for such Depositary and (iii) bear legends as set forth in Exhibit A hereto. Members of, or participants in, the Depositary (“</w:t>
      </w:r>
      <w:r>
        <w:rPr>
          <w:rFonts w:ascii="Times New Roman" w:cs="Times New Roman" w:eastAsia="Times New Roman" w:hAnsi="Times New Roman"/>
          <w:sz w:val="18"/>
          <w:szCs w:val="18"/>
          <w:b w:val="1"/>
          <w:bCs w:val="1"/>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the Depositary, or the Trustee as its custodian,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shall impair, as between the Depositary and its Agent Members, the operation of customary practices governing the exercise of the rights of a Holder of any Note.</w:t>
      </w:r>
    </w:p>
    <w:p>
      <w:pPr>
        <w:spacing w:after="0" w:line="191" w:lineRule="exact"/>
        <w:rPr>
          <w:rFonts w:ascii="Times New Roman" w:cs="Times New Roman" w:eastAsia="Times New Roman" w:hAnsi="Times New Roman"/>
          <w:sz w:val="18"/>
          <w:szCs w:val="18"/>
          <w:color w:val="auto"/>
        </w:rPr>
      </w:pPr>
    </w:p>
    <w:p>
      <w:pPr>
        <w:ind w:firstLine="967"/>
        <w:spacing w:after="0" w:line="282" w:lineRule="auto"/>
        <w:tabs>
          <w:tab w:leader="none" w:pos="1213"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in this Indenture, no Global Note may be exchanged in whole or in part for Notes registered, and no transfer of a Global Note in whole or in part may be registered, in the name of any Person other than the Depositary for such Global Note or a nominee thereof unless (i) such Depositary (A) has notified the Company that it is unwilling or unable to continue as Depositary for such Global Note or</w:t>
      </w:r>
    </w:p>
    <w:p>
      <w:pPr>
        <w:ind w:right="14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has ceased to be a clearing agency registered as such under the Exchange Act, and in either case the Company fails to appoint a successor Depositary, (ii) the Company, at its option, executes and delivers to the Trustee a company order stating that it elects to cause the issuance of the Notes in certificated form and that all Global Notes shall be exchanged in whole for Notes that are not Global Notes (in which case, such exchange shall be effected by the Trustee) or (iii) there shall have occurred and be continuing a Default or Event of Default with respect to the Global Note.</w:t>
      </w:r>
    </w:p>
    <w:p>
      <w:pPr>
        <w:spacing w:after="0" w:line="159" w:lineRule="exact"/>
        <w:rPr>
          <w:rFonts w:ascii="Times New Roman" w:cs="Times New Roman" w:eastAsia="Times New Roman" w:hAnsi="Times New Roman"/>
          <w:sz w:val="16"/>
          <w:szCs w:val="16"/>
          <w:color w:val="auto"/>
        </w:rPr>
      </w:pPr>
    </w:p>
    <w:p>
      <w:pPr>
        <w:ind w:right="40" w:firstLine="967"/>
        <w:spacing w:after="0" w:line="247" w:lineRule="auto"/>
        <w:tabs>
          <w:tab w:leader="none" w:pos="120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Global Note is to be exchanged for other Notes or canceled in whole, it shall be surrendered by or on behalf of the Depositary or its nominee to the Trustee, as Security Registrar, for exchange or cancellation as provided in this Article Two. If any Global Note is to be exchanged for other Notes or canceled in part, or if another Note is to be exchanged in whole or in part for a beneficial interest in any Global Note, then either (i) such Global Note shall be so surrendered for exchange or cancellation as provided in this Article Two or (ii) the principal amount thereof shall be reduced or increased by an amount equal to the portion thereof to be so exchanged or canceled, or equal to the principal amount of such other Note to be so exchanged for a beneficial interest therein, as the case may be, by means of an appropriate adjustment made on the records of the Trustee, as Registrar, whereupon the Trustee,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00"/>
          </w:cols>
          <w:pgMar w:left="580" w:top="266" w:right="619" w:bottom="1440" w:gutter="0" w:footer="0" w:header="0"/>
        </w:sectPr>
      </w:pPr>
    </w:p>
    <w:bookmarkStart w:id="123" w:name="page124"/>
    <w:bookmarkEnd w:id="123"/>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accordance with the Applicable Procedures, shall instruct the Depositary or its authorized representative to make a corresponding adjustment to its records. Upon any such surrender or adjustment of a Global Note, the Trustee shall, subject to this Section 2.08(c) and as otherwise provided in this Article Two, authenticate and deliver any Notes issuable in exchange for such Global Note (or any portion thereof) to or upon the order of, and registered in such names as may be directed by, the Depositary or its authorized representative. Upon the request of the Trustee in connection with the occurrence of any of the events specified in the preceding Subsection (b), the Company shall promptly make available to the Trustee a reasonable supply of Notes that are not in the form of Global Notes. The Trustee shall be entitled to conclusively rely upon any order, direction or request of the Depositary or its authorized representative which is given or made pursuant to this Article Two if such order, direction or request is given or made in accordance with the Applicable Procedures.</w:t>
      </w:r>
    </w:p>
    <w:p>
      <w:pPr>
        <w:spacing w:after="0" w:line="188" w:lineRule="exact"/>
        <w:rPr>
          <w:sz w:val="20"/>
          <w:szCs w:val="20"/>
          <w:color w:val="auto"/>
        </w:rPr>
      </w:pPr>
    </w:p>
    <w:p>
      <w:pPr>
        <w:jc w:val="both"/>
        <w:ind w:right="160" w:firstLine="967"/>
        <w:spacing w:after="0" w:line="256" w:lineRule="auto"/>
        <w:tabs>
          <w:tab w:leader="none" w:pos="12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authenticated and delivered upon registration of transfer of, or in exchange for or in lieu of, a Global Note or any portion thereof, whether pursuant to this Article Two or otherwise, shall be authenticated and delivered in the form of, and shall be, a Global Note, unless such Note is registered in the name of a Person other than the Depositary for such Global Note or a nominee thereof.</w:t>
      </w:r>
    </w:p>
    <w:p>
      <w:pPr>
        <w:spacing w:after="0" w:line="178" w:lineRule="exact"/>
        <w:rPr>
          <w:rFonts w:ascii="Times New Roman" w:cs="Times New Roman" w:eastAsia="Times New Roman" w:hAnsi="Times New Roman"/>
          <w:sz w:val="18"/>
          <w:szCs w:val="18"/>
          <w:color w:val="auto"/>
        </w:rPr>
      </w:pPr>
    </w:p>
    <w:p>
      <w:pPr>
        <w:ind w:right="260" w:firstLine="967"/>
        <w:spacing w:after="0" w:line="252" w:lineRule="auto"/>
        <w:tabs>
          <w:tab w:leader="none" w:pos="12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or its nominee, as registered owner of a Global Note, shall be the Holder of such Global Note for all purposes under this Indenture and the Notes, and owners of beneficial interests in a Global Note shall hold such interests pursuant to the Applicable Procedures. Accordingly, any such owner’s beneficial interest in a Global Note will be shown only on, and the transfer of such interest shall be effected only through, records maintained by the Depositary or its nominee or its Agent Members.</w:t>
      </w:r>
    </w:p>
    <w:p>
      <w:pPr>
        <w:spacing w:after="0" w:line="182" w:lineRule="exact"/>
        <w:rPr>
          <w:sz w:val="20"/>
          <w:szCs w:val="20"/>
          <w:color w:val="auto"/>
        </w:rPr>
      </w:pPr>
    </w:p>
    <w:p>
      <w:pPr>
        <w:ind w:right="40" w:firstLine="965"/>
        <w:spacing w:after="0" w:line="249"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right="40" w:firstLine="965"/>
        <w:spacing w:after="0" w:line="252" w:lineRule="auto"/>
        <w:rPr>
          <w:sz w:val="20"/>
          <w:szCs w:val="20"/>
          <w:color w:val="auto"/>
        </w:rPr>
      </w:pPr>
      <w:r>
        <w:rPr>
          <w:rFonts w:ascii="Times New Roman" w:cs="Times New Roman" w:eastAsia="Times New Roman" w:hAnsi="Times New Roman"/>
          <w:sz w:val="18"/>
          <w:szCs w:val="18"/>
          <w:color w:val="auto"/>
        </w:rPr>
        <w:t>None of the Company, the Trustee, any Paying Agent or any Registrar will have any responsibility or liability for any aspect of Depositary records relating to, or payments made on account of, beneficial ownership interests in a Global Note or for maintaining, supervising or reviewing any Depositary records relating to such beneficial ownership interests, or for transfers of beneficial interests in the Notes or any transactions between the Depositary and beneficial owners.</w:t>
      </w:r>
    </w:p>
    <w:p>
      <w:pPr>
        <w:spacing w:after="0" w:line="208"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2.09</w:t>
      </w:r>
      <w:r>
        <w:rPr>
          <w:sz w:val="20"/>
          <w:szCs w:val="20"/>
          <w:color w:val="auto"/>
        </w:rPr>
        <w:tab/>
      </w:r>
      <w:r>
        <w:rPr>
          <w:rFonts w:ascii="Times New Roman" w:cs="Times New Roman" w:eastAsia="Times New Roman" w:hAnsi="Times New Roman"/>
          <w:sz w:val="16"/>
          <w:szCs w:val="16"/>
          <w:u w:val="single" w:color="auto"/>
          <w:color w:val="auto"/>
        </w:rPr>
        <w:t>Replacement Notes.</w:t>
      </w:r>
    </w:p>
    <w:p>
      <w:pPr>
        <w:spacing w:after="0" w:line="214" w:lineRule="exact"/>
        <w:rPr>
          <w:sz w:val="20"/>
          <w:szCs w:val="20"/>
          <w:color w:val="auto"/>
        </w:rPr>
      </w:pPr>
    </w:p>
    <w:p>
      <w:pPr>
        <w:ind w:right="20" w:firstLine="967"/>
        <w:spacing w:after="0" w:line="249" w:lineRule="auto"/>
        <w:tabs>
          <w:tab w:leader="none" w:pos="12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Note is surrendered to the Trustee or the Company and the Trustee receives evidence to its satisfaction of the destruction, loss or theft of any Note, the Company shall issue and the Trustee, upon receipt of an Authentication Order, shall authenticate a replacement Note if the Trustee’s requirements are met.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88" w:lineRule="exact"/>
        <w:rPr>
          <w:rFonts w:ascii="Times New Roman" w:cs="Times New Roman" w:eastAsia="Times New Roman" w:hAnsi="Times New Roman"/>
          <w:sz w:val="18"/>
          <w:szCs w:val="18"/>
          <w:color w:val="auto"/>
        </w:rPr>
      </w:pPr>
    </w:p>
    <w:p>
      <w:pPr>
        <w:ind w:right="100" w:firstLine="967"/>
        <w:spacing w:after="0" w:line="268" w:lineRule="auto"/>
        <w:tabs>
          <w:tab w:leader="none" w:pos="12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replacement Note is an additional obligation of the Company and shall be entitled to all of the benefits of this Indenture equally and proportionately with all other Notes duly issued hereunder.</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2.10</w:t>
      </w:r>
      <w:r>
        <w:rPr>
          <w:sz w:val="20"/>
          <w:szCs w:val="20"/>
          <w:color w:val="auto"/>
        </w:rPr>
        <w:tab/>
      </w:r>
      <w:r>
        <w:rPr>
          <w:rFonts w:ascii="Times New Roman" w:cs="Times New Roman" w:eastAsia="Times New Roman" w:hAnsi="Times New Roman"/>
          <w:sz w:val="16"/>
          <w:szCs w:val="16"/>
          <w:u w:val="single" w:color="auto"/>
          <w:color w:val="auto"/>
        </w:rPr>
        <w:t>Outstanding Notes.</w:t>
      </w:r>
    </w:p>
    <w:p>
      <w:pPr>
        <w:spacing w:after="0" w:line="214" w:lineRule="exact"/>
        <w:rPr>
          <w:sz w:val="20"/>
          <w:szCs w:val="20"/>
          <w:color w:val="auto"/>
        </w:rPr>
      </w:pPr>
    </w:p>
    <w:p>
      <w:pPr>
        <w:ind w:firstLine="967"/>
        <w:spacing w:after="0" w:line="249" w:lineRule="auto"/>
        <w:tabs>
          <w:tab w:leader="none" w:pos="12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2.10 as not outstanding. Except as set forth in Section 2.11 hereof, a Note does not cease to be outstanding because the Company or an Affiliate of the Company holds the Note; however, Notes held by the Company or a Subsidiary of the Company shall not be deemed to be outstanding for purposes of Section 3.07(b) 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580" w:top="266" w:right="599" w:bottom="1440" w:gutter="0" w:footer="0" w:header="0"/>
        </w:sectPr>
      </w:pPr>
    </w:p>
    <w:bookmarkStart w:id="124" w:name="page125"/>
    <w:bookmarkEnd w:id="124"/>
    <w:p>
      <w:pPr>
        <w:ind w:right="100" w:firstLine="967"/>
        <w:spacing w:after="0" w:line="268" w:lineRule="auto"/>
        <w:tabs>
          <w:tab w:leader="none" w:pos="121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a Note is replaced pursuant to Section 2.09 hereof, it ceases to be outstanding unless the Trustee receives proof satisfactory to it that the replaced Note is held by a bona fide purchaser.</w:t>
      </w:r>
    </w:p>
    <w:p>
      <w:pPr>
        <w:spacing w:after="0" w:line="168"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amount of any Note is considered paid under Section 4.01 hereof, it ceases to be outstanding and interest on it ceases to</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accrue.</w:t>
      </w:r>
    </w:p>
    <w:p>
      <w:pPr>
        <w:spacing w:after="0" w:line="195" w:lineRule="exact"/>
        <w:rPr>
          <w:rFonts w:ascii="Times New Roman" w:cs="Times New Roman" w:eastAsia="Times New Roman" w:hAnsi="Times New Roman"/>
          <w:sz w:val="16"/>
          <w:szCs w:val="16"/>
          <w:color w:val="auto"/>
        </w:rPr>
      </w:pPr>
    </w:p>
    <w:p>
      <w:pPr>
        <w:ind w:right="280" w:firstLine="967"/>
        <w:spacing w:after="0" w:line="256" w:lineRule="auto"/>
        <w:tabs>
          <w:tab w:leader="none" w:pos="121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Paying Agent (other than the Company, a Subsidiary or an Affiliate of any of the foregoing) holds, on a redemption date or maturity date, money sufficient to pay Notes payable on that date, then on and after that date such Notes shall be deemed to be no longer outstanding and shall cease to accrue interest.</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2.11</w:t>
      </w:r>
      <w:r>
        <w:rPr>
          <w:sz w:val="20"/>
          <w:szCs w:val="20"/>
          <w:color w:val="auto"/>
        </w:rPr>
        <w:tab/>
      </w:r>
      <w:r>
        <w:rPr>
          <w:rFonts w:ascii="Times New Roman" w:cs="Times New Roman" w:eastAsia="Times New Roman" w:hAnsi="Times New Roman"/>
          <w:sz w:val="16"/>
          <w:szCs w:val="16"/>
          <w:u w:val="single" w:color="auto"/>
          <w:color w:val="auto"/>
        </w:rPr>
        <w:t>Treasury Notes.</w:t>
      </w:r>
    </w:p>
    <w:p>
      <w:pPr>
        <w:spacing w:after="0" w:line="214" w:lineRule="exact"/>
        <w:rPr>
          <w:sz w:val="20"/>
          <w:szCs w:val="20"/>
          <w:color w:val="auto"/>
        </w:rPr>
      </w:pPr>
    </w:p>
    <w:p>
      <w:pPr>
        <w:ind w:right="20" w:firstLine="965"/>
        <w:spacing w:after="0" w:line="249"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Notes owned by the Company, or by any Person directly or 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that a Responsible Officer of the Trustee has been notified in writing are so owned shall be so disregarded.</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2.12</w:t>
      </w:r>
      <w:r>
        <w:rPr>
          <w:sz w:val="20"/>
          <w:szCs w:val="20"/>
          <w:color w:val="auto"/>
        </w:rPr>
        <w:tab/>
      </w:r>
      <w:r>
        <w:rPr>
          <w:rFonts w:ascii="Times New Roman" w:cs="Times New Roman" w:eastAsia="Times New Roman" w:hAnsi="Times New Roman"/>
          <w:sz w:val="16"/>
          <w:szCs w:val="16"/>
          <w:u w:val="single" w:color="auto"/>
          <w:color w:val="auto"/>
        </w:rPr>
        <w:t>Temporary Notes.</w:t>
      </w:r>
    </w:p>
    <w:p>
      <w:pPr>
        <w:spacing w:after="0" w:line="214" w:lineRule="exact"/>
        <w:rPr>
          <w:sz w:val="20"/>
          <w:szCs w:val="20"/>
          <w:color w:val="auto"/>
        </w:rPr>
      </w:pPr>
    </w:p>
    <w:p>
      <w:pPr>
        <w:ind w:firstLine="967"/>
        <w:spacing w:after="0" w:line="249" w:lineRule="auto"/>
        <w:tabs>
          <w:tab w:leader="none" w:pos="12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certificates representing Notes are ready for delivery, the Company may prepare and the Trustee, upon receipt of an Authentication Order, shall authenticate temporary Notes. Temporary Notes shall be substantially in the form of certificated Notes but may have variations that the Company considers appropriate for temporary Notes and as shall be reasonably acceptable to the Trustee. Without unreasonable delay, the Company shall prepare and the Trustee shall authenticate, upon receipt of an Authentication Order, Definitive Notes in exchange for temporary Notes.</w:t>
      </w:r>
    </w:p>
    <w:p>
      <w:pPr>
        <w:spacing w:after="0" w:line="188"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temporary Notes shall be entitled to all of the benefits of this Indenture.</w:t>
      </w:r>
    </w:p>
    <w:p>
      <w:pPr>
        <w:spacing w:after="0" w:line="24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2.13</w:t>
      </w:r>
      <w:r>
        <w:rPr>
          <w:sz w:val="20"/>
          <w:szCs w:val="20"/>
          <w:color w:val="auto"/>
        </w:rPr>
        <w:tab/>
      </w:r>
      <w:r>
        <w:rPr>
          <w:rFonts w:ascii="Times New Roman" w:cs="Times New Roman" w:eastAsia="Times New Roman" w:hAnsi="Times New Roman"/>
          <w:sz w:val="16"/>
          <w:szCs w:val="16"/>
          <w:u w:val="single" w:color="auto"/>
          <w:color w:val="auto"/>
        </w:rPr>
        <w:t>Cancellation.</w:t>
      </w:r>
    </w:p>
    <w:p>
      <w:pPr>
        <w:spacing w:after="0" w:line="214" w:lineRule="exact"/>
        <w:rPr>
          <w:sz w:val="20"/>
          <w:szCs w:val="20"/>
          <w:color w:val="auto"/>
        </w:rPr>
      </w:pPr>
    </w:p>
    <w:p>
      <w:pPr>
        <w:ind w:right="80" w:firstLine="965"/>
        <w:spacing w:after="0" w:line="285" w:lineRule="auto"/>
        <w:rPr>
          <w:sz w:val="20"/>
          <w:szCs w:val="20"/>
          <w:color w:val="auto"/>
        </w:rPr>
      </w:pPr>
      <w:r>
        <w:rPr>
          <w:rFonts w:ascii="Times New Roman" w:cs="Times New Roman" w:eastAsia="Times New Roman" w:hAnsi="Times New Roman"/>
          <w:sz w:val="16"/>
          <w:szCs w:val="16"/>
          <w:color w:val="auto"/>
        </w:rPr>
        <w:t>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canceled Notes in accordance with its procedures for the disposition of canceled securities in effect as of the date of such disposition (subject to the record retention requirement of the Exchange Act). Certification of the disposition of all canceled Notes shall be delivered to the Company. The Company may not issue new Notes to replace Notes that it has paid or that have been delivered to the Trustee for cancellation.</w:t>
      </w:r>
    </w:p>
    <w:p>
      <w:pPr>
        <w:spacing w:after="0" w:line="187"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2.14</w:t>
      </w:r>
      <w:r>
        <w:rPr>
          <w:sz w:val="20"/>
          <w:szCs w:val="20"/>
          <w:color w:val="auto"/>
        </w:rPr>
        <w:tab/>
      </w:r>
      <w:r>
        <w:rPr>
          <w:rFonts w:ascii="Times New Roman" w:cs="Times New Roman" w:eastAsia="Times New Roman" w:hAnsi="Times New Roman"/>
          <w:sz w:val="16"/>
          <w:szCs w:val="16"/>
          <w:u w:val="single" w:color="auto"/>
          <w:color w:val="auto"/>
        </w:rPr>
        <w:t>Defaulted Interest.</w:t>
      </w:r>
    </w:p>
    <w:p>
      <w:pPr>
        <w:spacing w:after="0" w:line="214" w:lineRule="exact"/>
        <w:rPr>
          <w:sz w:val="20"/>
          <w:szCs w:val="20"/>
          <w:color w:val="auto"/>
        </w:rPr>
      </w:pPr>
    </w:p>
    <w:p>
      <w:pPr>
        <w:ind w:firstLine="965"/>
        <w:spacing w:after="0" w:line="283" w:lineRule="auto"/>
        <w:rPr>
          <w:sz w:val="20"/>
          <w:szCs w:val="20"/>
          <w:color w:val="auto"/>
        </w:rPr>
      </w:pPr>
      <w:r>
        <w:rPr>
          <w:rFonts w:ascii="Times New Roman" w:cs="Times New Roman" w:eastAsia="Times New Roman" w:hAnsi="Times New Roman"/>
          <w:sz w:val="16"/>
          <w:szCs w:val="16"/>
          <w:color w:val="auto"/>
        </w:rPr>
        <w:t xml:space="preserve">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Company shall notify the Trustee in writing of the amount of defaulted interest proposed to be paid on each Note and the date of the proposed payment. The Company shall fix or cause to be fixed each such special record date and payment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special record date shall be less than 10 days prior to the related payment date for such defaulted interest. At least 15 days before the special record date, the Company (or, upon the written request of the Company, the Trustee in the name and at the expense of the Company) shall mail or cause to be mailed to Holders a notice that states the special record date, the related payment date and the amount of such interest to be paid.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580" w:top="266" w:right="599" w:bottom="1440" w:gutter="0" w:footer="0" w:header="0"/>
        </w:sectPr>
      </w:pPr>
    </w:p>
    <w:bookmarkStart w:id="125" w:name="page126"/>
    <w:bookmarkEnd w:id="125"/>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2.15</w:t>
      </w:r>
      <w:r>
        <w:rPr>
          <w:sz w:val="20"/>
          <w:szCs w:val="20"/>
          <w:color w:val="auto"/>
        </w:rPr>
        <w:tab/>
      </w:r>
      <w:r>
        <w:rPr>
          <w:rFonts w:ascii="Times New Roman" w:cs="Times New Roman" w:eastAsia="Times New Roman" w:hAnsi="Times New Roman"/>
          <w:sz w:val="16"/>
          <w:szCs w:val="16"/>
          <w:u w:val="single" w:color="auto"/>
          <w:color w:val="auto"/>
        </w:rPr>
        <w:t>CUSIP Numbers.</w:t>
      </w:r>
    </w:p>
    <w:p>
      <w:pPr>
        <w:spacing w:after="0" w:line="214" w:lineRule="exact"/>
        <w:rPr>
          <w:sz w:val="20"/>
          <w:szCs w:val="20"/>
          <w:color w:val="auto"/>
        </w:rPr>
      </w:pPr>
    </w:p>
    <w:p>
      <w:pPr>
        <w:ind w:firstLine="965"/>
        <w:spacing w:after="0" w:line="249" w:lineRule="auto"/>
        <w:rPr>
          <w:sz w:val="20"/>
          <w:szCs w:val="20"/>
          <w:color w:val="auto"/>
        </w:rPr>
      </w:pPr>
      <w:r>
        <w:rPr>
          <w:rFonts w:ascii="Times New Roman" w:cs="Times New Roman" w:eastAsia="Times New Roman" w:hAnsi="Times New Roman"/>
          <w:sz w:val="18"/>
          <w:szCs w:val="18"/>
          <w:color w:val="auto"/>
        </w:rPr>
        <w:t xml:space="preserve">The Company in issuing the Notes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Company shall promptly notify the Trustee in writing of any change in the “CUSIP” numbers.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3.01</w:t>
      </w:r>
      <w:r>
        <w:rPr>
          <w:sz w:val="20"/>
          <w:szCs w:val="20"/>
          <w:color w:val="auto"/>
        </w:rPr>
        <w:tab/>
      </w:r>
      <w:r>
        <w:rPr>
          <w:rFonts w:ascii="Times New Roman" w:cs="Times New Roman" w:eastAsia="Times New Roman" w:hAnsi="Times New Roman"/>
          <w:sz w:val="16"/>
          <w:szCs w:val="16"/>
          <w:u w:val="single" w:color="auto"/>
          <w:color w:val="auto"/>
        </w:rPr>
        <w:t>Notices to Trustee.</w:t>
      </w:r>
    </w:p>
    <w:p>
      <w:pPr>
        <w:spacing w:after="0" w:line="214" w:lineRule="exact"/>
        <w:rPr>
          <w:sz w:val="20"/>
          <w:szCs w:val="20"/>
          <w:color w:val="auto"/>
        </w:rPr>
      </w:pPr>
    </w:p>
    <w:p>
      <w:pPr>
        <w:ind w:right="100" w:firstLine="965"/>
        <w:spacing w:after="0" w:line="303" w:lineRule="auto"/>
        <w:rPr>
          <w:sz w:val="20"/>
          <w:szCs w:val="20"/>
          <w:color w:val="auto"/>
        </w:rPr>
      </w:pPr>
      <w:r>
        <w:rPr>
          <w:rFonts w:ascii="Times New Roman" w:cs="Times New Roman" w:eastAsia="Times New Roman" w:hAnsi="Times New Roman"/>
          <w:sz w:val="16"/>
          <w:szCs w:val="16"/>
          <w:color w:val="auto"/>
        </w:rPr>
        <w:t>If the Company elects to redeem Notes pursuant to the optional redemption provisions of Section 3.07 hereof, it shall furnish to the Trustee, at least 10 days but not more than 60 days before a redemption date, an Officer’s Certificate setting forth (i) the clause of this Indenture pursuant to which the redemption shall occur, (ii) the redemption date, (iii) the principal amount of Notes to be redeemed and (iv) the redemption price.</w:t>
      </w:r>
    </w:p>
    <w:p>
      <w:pPr>
        <w:spacing w:after="0" w:line="171"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3.02</w:t>
      </w:r>
      <w:r>
        <w:rPr>
          <w:sz w:val="20"/>
          <w:szCs w:val="20"/>
          <w:color w:val="auto"/>
        </w:rPr>
        <w:tab/>
      </w:r>
      <w:r>
        <w:rPr>
          <w:rFonts w:ascii="Times New Roman" w:cs="Times New Roman" w:eastAsia="Times New Roman" w:hAnsi="Times New Roman"/>
          <w:sz w:val="16"/>
          <w:szCs w:val="16"/>
          <w:u w:val="single" w:color="auto"/>
          <w:color w:val="auto"/>
        </w:rPr>
        <w:t>Selection of Notes to Be Redeemed.</w:t>
      </w:r>
    </w:p>
    <w:p>
      <w:pPr>
        <w:spacing w:after="0" w:line="214" w:lineRule="exact"/>
        <w:rPr>
          <w:sz w:val="20"/>
          <w:szCs w:val="20"/>
          <w:color w:val="auto"/>
        </w:rPr>
      </w:pPr>
    </w:p>
    <w:p>
      <w:pPr>
        <w:ind w:right="60" w:firstLine="967"/>
        <w:spacing w:after="0" w:line="247" w:lineRule="auto"/>
        <w:tabs>
          <w:tab w:leader="none" w:pos="12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less than all of the Notes are to be redeemed or purchased in an offer to purchase at any time, the Trustee shall select the Notes for redemption or purchase as follows: (1) if the Notes are listed on any national securities exchange, in compliance with the requirements of the principal national securities exchange on which the Notes are listed as certified to the Trustee by the Company, and in compliance with the requirements of DTC; or (2) if the Notes are not listed on any national securities exchange,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amounts tendered), by lot or by such method as the Trustee deems fair and appropriate in accordance with DTC procedures subject to adjustments so that no Notes in an unauthorized denomination remains outstanding after such redemption. In the event of partial redemption by lot, the particular Notes to be redeemed shall be selected, unless otherwise provided herein, not less than 10 nor more than 60 days prior to the redemption date by the Trustee from the outstanding Notes not previously called for redemption.</w:t>
      </w:r>
    </w:p>
    <w:p>
      <w:pPr>
        <w:spacing w:after="0" w:line="188" w:lineRule="exact"/>
        <w:rPr>
          <w:rFonts w:ascii="Times New Roman" w:cs="Times New Roman" w:eastAsia="Times New Roman" w:hAnsi="Times New Roman"/>
          <w:sz w:val="18"/>
          <w:szCs w:val="18"/>
          <w:color w:val="auto"/>
        </w:rPr>
      </w:pPr>
    </w:p>
    <w:p>
      <w:pPr>
        <w:ind w:right="100" w:firstLine="967"/>
        <w:spacing w:after="0" w:line="288" w:lineRule="auto"/>
        <w:tabs>
          <w:tab w:leader="none" w:pos="121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promptly notify the Company in writing of the Notes selected for redemption and, in the case of any Note selected for partial redemption, the principal amount at maturity thereof to be redeemed. No Notes in amounts of $2,000 or less shall be redeemed in part. Notes and portions of Notes selected shall be in amounts of $2,000 or integral multiples of $1,000;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18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3.03</w:t>
      </w:r>
      <w:r>
        <w:rPr>
          <w:sz w:val="20"/>
          <w:szCs w:val="20"/>
          <w:color w:val="auto"/>
        </w:rPr>
        <w:tab/>
      </w:r>
      <w:r>
        <w:rPr>
          <w:rFonts w:ascii="Times New Roman" w:cs="Times New Roman" w:eastAsia="Times New Roman" w:hAnsi="Times New Roman"/>
          <w:sz w:val="16"/>
          <w:szCs w:val="16"/>
          <w:u w:val="single" w:color="auto"/>
          <w:color w:val="auto"/>
        </w:rPr>
        <w:t>Notice of Redemption.</w:t>
      </w:r>
    </w:p>
    <w:p>
      <w:pPr>
        <w:spacing w:after="0" w:line="214" w:lineRule="exact"/>
        <w:rPr>
          <w:sz w:val="20"/>
          <w:szCs w:val="20"/>
          <w:color w:val="auto"/>
        </w:rPr>
      </w:pPr>
    </w:p>
    <w:p>
      <w:pPr>
        <w:jc w:val="both"/>
        <w:ind w:right="260" w:firstLine="967"/>
        <w:spacing w:after="0" w:line="293" w:lineRule="auto"/>
        <w:tabs>
          <w:tab w:leader="none" w:pos="120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Section 3.09 hereof, at least 10 days but not more than 60 days before a redemption date, the Company shall mail or cause to be mailed, by first class mail or electronically or otherwise in accordance with DTC procedures, a notice of redemption to each Holder whose Notes are to be redeemed at its registered address, except that redemption notices may be sent more than 60 days prior to a redemption date if the notice is issued in connection with a defeasance of the Notes or a satisfaction and discharge of this Indenture.</w:t>
      </w:r>
    </w:p>
    <w:p>
      <w:pPr>
        <w:spacing w:after="0" w:line="15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notice shall identify the Notes (including CUSIP numbers) to be redeemed and shall state:</w:t>
      </w:r>
    </w:p>
    <w:p>
      <w:pPr>
        <w:spacing w:after="0" w:line="108" w:lineRule="exact"/>
        <w:rPr>
          <w:sz w:val="20"/>
          <w:szCs w:val="20"/>
          <w:color w:val="auto"/>
        </w:rPr>
      </w:pPr>
    </w:p>
    <w:p>
      <w:pPr>
        <w:ind w:left="1560" w:hanging="203"/>
        <w:spacing w:after="0"/>
        <w:tabs>
          <w:tab w:leader="none" w:pos="15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08" w:lineRule="exact"/>
        <w:rPr>
          <w:rFonts w:ascii="Times New Roman" w:cs="Times New Roman" w:eastAsia="Times New Roman" w:hAnsi="Times New Roman"/>
          <w:sz w:val="18"/>
          <w:szCs w:val="18"/>
          <w:color w:val="auto"/>
        </w:rPr>
      </w:pPr>
    </w:p>
    <w:p>
      <w:pPr>
        <w:ind w:left="1620" w:hanging="263"/>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08" w:lineRule="exact"/>
        <w:rPr>
          <w:rFonts w:ascii="Times New Roman" w:cs="Times New Roman" w:eastAsia="Times New Roman" w:hAnsi="Times New Roman"/>
          <w:sz w:val="18"/>
          <w:szCs w:val="18"/>
          <w:color w:val="auto"/>
        </w:rPr>
      </w:pPr>
    </w:p>
    <w:p>
      <w:pPr>
        <w:jc w:val="both"/>
        <w:ind w:left="960" w:right="40" w:firstLine="397"/>
        <w:spacing w:after="0" w:line="303" w:lineRule="auto"/>
        <w:tabs>
          <w:tab w:leader="none" w:pos="165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Note is being redeemed in part, the portion of the principal amount at maturity of such Note to be redeemed and that, after the redemption date upon surrender of such Note, a new Note or Notes in principal amount equal to the unredeemed portion of the original Note shall be issued (or cause to be transferred by book entry) in the name of the Holder thereof upon cancellation of the original Note;</w:t>
      </w:r>
    </w:p>
    <w:p>
      <w:pPr>
        <w:spacing w:after="0" w:line="39" w:lineRule="exact"/>
        <w:rPr>
          <w:rFonts w:ascii="Times New Roman" w:cs="Times New Roman" w:eastAsia="Times New Roman" w:hAnsi="Times New Roman"/>
          <w:sz w:val="16"/>
          <w:szCs w:val="16"/>
          <w:color w:val="auto"/>
        </w:rPr>
      </w:pPr>
    </w:p>
    <w:p>
      <w:pPr>
        <w:ind w:left="1660" w:hanging="303"/>
        <w:spacing w:after="0"/>
        <w:tabs>
          <w:tab w:leader="none" w:pos="1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20"/>
          </w:cols>
          <w:pgMar w:left="580" w:top="266" w:right="599" w:bottom="1440" w:gutter="0" w:footer="0" w:header="0"/>
        </w:sectPr>
      </w:pPr>
    </w:p>
    <w:bookmarkStart w:id="126" w:name="page127"/>
    <w:bookmarkEnd w:id="126"/>
    <w:p>
      <w:pPr>
        <w:ind w:left="960" w:right="100" w:firstLine="397"/>
        <w:spacing w:after="0" w:line="268" w:lineRule="auto"/>
        <w:tabs>
          <w:tab w:leader="none" w:pos="159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that Notes called for redemption must be surrendered to the Paying Agent to collect the redemption price and become due on the date fixed for redemption;</w:t>
      </w:r>
    </w:p>
    <w:p>
      <w:pPr>
        <w:spacing w:after="0" w:line="63" w:lineRule="exact"/>
        <w:rPr>
          <w:rFonts w:ascii="Times New Roman" w:cs="Times New Roman" w:eastAsia="Times New Roman" w:hAnsi="Times New Roman"/>
          <w:sz w:val="18"/>
          <w:szCs w:val="18"/>
          <w:color w:val="auto"/>
        </w:rPr>
      </w:pPr>
    </w:p>
    <w:p>
      <w:pPr>
        <w:ind w:left="960" w:right="100" w:firstLine="397"/>
        <w:spacing w:after="0" w:line="268" w:lineRule="auto"/>
        <w:tabs>
          <w:tab w:leader="none" w:pos="164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redemption payment, interest on Notes called for redemption ceases to accrue on and after the redemption date;</w:t>
      </w:r>
    </w:p>
    <w:p>
      <w:pPr>
        <w:spacing w:after="0" w:line="63" w:lineRule="exact"/>
        <w:rPr>
          <w:rFonts w:ascii="Times New Roman" w:cs="Times New Roman" w:eastAsia="Times New Roman" w:hAnsi="Times New Roman"/>
          <w:sz w:val="18"/>
          <w:szCs w:val="18"/>
          <w:color w:val="auto"/>
        </w:rPr>
      </w:pPr>
    </w:p>
    <w:p>
      <w:pPr>
        <w:ind w:left="1700" w:hanging="343"/>
        <w:spacing w:after="0"/>
        <w:tabs>
          <w:tab w:leader="none" w:pos="17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w:t>
      </w:r>
    </w:p>
    <w:p>
      <w:pPr>
        <w:spacing w:after="0" w:line="2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w:t>
      </w:r>
    </w:p>
    <w:p>
      <w:pPr>
        <w:spacing w:after="0" w:line="90" w:lineRule="exact"/>
        <w:rPr>
          <w:rFonts w:ascii="Times New Roman" w:cs="Times New Roman" w:eastAsia="Times New Roman" w:hAnsi="Times New Roman"/>
          <w:sz w:val="18"/>
          <w:szCs w:val="18"/>
          <w:color w:val="auto"/>
        </w:rPr>
      </w:pPr>
    </w:p>
    <w:p>
      <w:pPr>
        <w:ind w:left="960" w:right="80" w:firstLine="397"/>
        <w:spacing w:after="0" w:line="268" w:lineRule="auto"/>
        <w:tabs>
          <w:tab w:leader="none" w:pos="174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if any, listed in such notice or printed on the Notes; and</w:t>
      </w:r>
    </w:p>
    <w:p>
      <w:pPr>
        <w:spacing w:after="0" w:line="63"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to such redemption.</w:t>
      </w:r>
    </w:p>
    <w:p>
      <w:pPr>
        <w:spacing w:after="0" w:line="211" w:lineRule="exact"/>
        <w:rPr>
          <w:rFonts w:ascii="Times New Roman" w:cs="Times New Roman" w:eastAsia="Times New Roman" w:hAnsi="Times New Roman"/>
          <w:sz w:val="18"/>
          <w:szCs w:val="18"/>
          <w:color w:val="auto"/>
        </w:rPr>
      </w:pPr>
    </w:p>
    <w:p>
      <w:pPr>
        <w:ind w:right="240" w:firstLine="967"/>
        <w:spacing w:after="0" w:line="249" w:lineRule="auto"/>
        <w:tabs>
          <w:tab w:leader="none" w:pos="121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Company’s request, the Trustee shall give the notice of redemption in the Company’s name and at its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have delivered to the Trustee, at least five Business Days before the notice of redemption is required to be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sent, or caused to be mailed or sent to Holders pursuant to this Section 3.03 (unless a shorter notice shall be agreed to by the Trustee) , an Officer’s Certificate requesting that the Trustee give such notice and setting forth the information to be stated in such notice as provided in the preceding paragraph. The notice, if mailed or sent in the manner provided herein shall be presumed to have been given, whether or not the Holder receives such notice.</w:t>
      </w:r>
    </w:p>
    <w:p>
      <w:pPr>
        <w:spacing w:after="0" w:line="21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3.04</w:t>
      </w:r>
      <w:r>
        <w:rPr>
          <w:sz w:val="20"/>
          <w:szCs w:val="20"/>
          <w:color w:val="auto"/>
        </w:rPr>
        <w:tab/>
      </w:r>
      <w:r>
        <w:rPr>
          <w:rFonts w:ascii="Times New Roman" w:cs="Times New Roman" w:eastAsia="Times New Roman" w:hAnsi="Times New Roman"/>
          <w:sz w:val="16"/>
          <w:szCs w:val="16"/>
          <w:u w:val="single" w:color="auto"/>
          <w:color w:val="auto"/>
        </w:rPr>
        <w:t>Effect of Notice of Redemption</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40" w:firstLine="965"/>
        <w:spacing w:after="0" w:line="249" w:lineRule="auto"/>
        <w:rPr>
          <w:sz w:val="20"/>
          <w:szCs w:val="20"/>
          <w:color w:val="auto"/>
        </w:rPr>
      </w:pPr>
      <w:r>
        <w:rPr>
          <w:rFonts w:ascii="Times New Roman" w:cs="Times New Roman" w:eastAsia="Times New Roman" w:hAnsi="Times New Roman"/>
          <w:sz w:val="18"/>
          <w:szCs w:val="18"/>
          <w:color w:val="auto"/>
        </w:rPr>
        <w:t>Once notice of redemption is mailed or sent in accordance with Section 3.03 hereof, Notes called for redemption become irrevocably due and payable on the redemption date at the redemption price, subject to satisfaction of any conditions precedent relating thereto specified in the applicable notice of redemption. As long as the Notes are issued in global form, notices to be given to Holders will be given to DTC, in accordance with its applicable policies as in effect from time to time. Any notice may, at the Company’s discretion, be subject to the satisfaction of one or more conditions precedent.</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3.05</w:t>
      </w:r>
      <w:r>
        <w:rPr>
          <w:sz w:val="20"/>
          <w:szCs w:val="20"/>
          <w:color w:val="auto"/>
        </w:rPr>
        <w:tab/>
      </w:r>
      <w:r>
        <w:rPr>
          <w:rFonts w:ascii="Times New Roman" w:cs="Times New Roman" w:eastAsia="Times New Roman" w:hAnsi="Times New Roman"/>
          <w:sz w:val="16"/>
          <w:szCs w:val="16"/>
          <w:u w:val="single" w:color="auto"/>
          <w:color w:val="auto"/>
        </w:rPr>
        <w:t>Deposit of Redemption Price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60" w:firstLine="967"/>
        <w:spacing w:after="0" w:line="252" w:lineRule="auto"/>
        <w:tabs>
          <w:tab w:leader="none" w:pos="120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Business Day prior to the redemption date, the Company shall deposit with the Trustee or with the Paying Agent money sufficient to pay the redemption price of and accrued interest, if any, on all Notes to be redeemed on that date. The Trustee or the Paying Agent shall promptly return to the Company any money deposited with the Trustee or the Paying Agent by the Company in excess of the amounts necessary to pay the redemption price of, and accrued interest on, all Notes to be redeemed.</w:t>
      </w:r>
    </w:p>
    <w:p>
      <w:pPr>
        <w:spacing w:after="0" w:line="182" w:lineRule="exact"/>
        <w:rPr>
          <w:rFonts w:ascii="Times New Roman" w:cs="Times New Roman" w:eastAsia="Times New Roman" w:hAnsi="Times New Roman"/>
          <w:sz w:val="18"/>
          <w:szCs w:val="18"/>
          <w:color w:val="auto"/>
        </w:rPr>
      </w:pPr>
    </w:p>
    <w:p>
      <w:pPr>
        <w:ind w:right="100" w:firstLine="967"/>
        <w:spacing w:after="0" w:line="285" w:lineRule="auto"/>
        <w:tabs>
          <w:tab w:leader="none" w:pos="121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complies with the provisions of the preceding paragraph, on and after the redemption date, interest shall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spacing w:after="0" w:line="187"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3.06</w:t>
      </w:r>
      <w:r>
        <w:rPr>
          <w:sz w:val="20"/>
          <w:szCs w:val="20"/>
          <w:color w:val="auto"/>
        </w:rPr>
        <w:tab/>
      </w:r>
      <w:r>
        <w:rPr>
          <w:rFonts w:ascii="Times New Roman" w:cs="Times New Roman" w:eastAsia="Times New Roman" w:hAnsi="Times New Roman"/>
          <w:sz w:val="16"/>
          <w:szCs w:val="16"/>
          <w:u w:val="single" w:color="auto"/>
          <w:color w:val="auto"/>
        </w:rPr>
        <w:t>Notes Redeemed in Part</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5"/>
        <w:spacing w:after="0" w:line="256" w:lineRule="auto"/>
        <w:rPr>
          <w:sz w:val="20"/>
          <w:szCs w:val="20"/>
          <w:color w:val="auto"/>
        </w:rPr>
      </w:pPr>
      <w:r>
        <w:rPr>
          <w:rFonts w:ascii="Times New Roman" w:cs="Times New Roman" w:eastAsia="Times New Roman" w:hAnsi="Times New Roman"/>
          <w:sz w:val="18"/>
          <w:szCs w:val="18"/>
          <w:color w:val="auto"/>
        </w:rPr>
        <w:t>Upon surrender of a Note that is redeemed in part, the Company shall issue (or cause to be transferred by book entry) and the Trustee shall, upon receipt of an Authentication Order, authenticate for the Holder at the expense of the Company a new Note equal in principal amount to the unredeemed portion of the Note surrendered. No Notes in denominations of $2,000 or less shall be redeemed in part.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20"/>
          </w:cols>
          <w:pgMar w:left="580" w:top="266" w:right="599" w:bottom="1440" w:gutter="0" w:footer="0" w:header="0"/>
        </w:sectPr>
      </w:pPr>
    </w:p>
    <w:bookmarkStart w:id="127" w:name="page128"/>
    <w:bookmarkEnd w:id="127"/>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3.07</w:t>
      </w:r>
      <w:r>
        <w:rPr>
          <w:sz w:val="20"/>
          <w:szCs w:val="20"/>
          <w:color w:val="auto"/>
        </w:rPr>
        <w:tab/>
      </w:r>
      <w:r>
        <w:rPr>
          <w:rFonts w:ascii="Times New Roman" w:cs="Times New Roman" w:eastAsia="Times New Roman" w:hAnsi="Times New Roman"/>
          <w:sz w:val="16"/>
          <w:szCs w:val="16"/>
          <w:u w:val="single" w:color="auto"/>
          <w:color w:val="auto"/>
        </w:rPr>
        <w:t>Optional Redemption</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240" w:firstLine="967"/>
        <w:spacing w:after="0" w:line="252" w:lineRule="auto"/>
        <w:tabs>
          <w:tab w:leader="none" w:pos="12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its option, redeem all or a part of the Notes upon not less than 10 nor more than 60 days’ notice, at the redemption prices (expressed as percentages of principal amount) set forth below, plus accrued and unpaid interest, if any, on the Notes redeemed, to, but not including, the applicable redemption date (subject to the rights of Holders of Notes on the relevant record date to receive interest due on the relevant interest payment date if the Notes have not been redeemed prior to such date):</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588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6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to the first anniversary of the Issue Date</w:t>
            </w: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103.00%</w:t>
            </w:r>
          </w:p>
        </w:tc>
        <w:tc>
          <w:tcPr>
            <w:tcW w:w="0" w:type="dxa"/>
            <w:vAlign w:val="bottom"/>
          </w:tcPr>
          <w:p>
            <w:pPr>
              <w:spacing w:after="0"/>
              <w:rPr>
                <w:sz w:val="1"/>
                <w:szCs w:val="1"/>
                <w:color w:val="auto"/>
              </w:rPr>
            </w:pPr>
          </w:p>
        </w:tc>
      </w:tr>
      <w:tr>
        <w:trPr>
          <w:trHeight w:val="192"/>
        </w:trPr>
        <w:tc>
          <w:tcPr>
            <w:tcW w:w="61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On or after the first anniversary of the Issue Date but prior to the second anniversary</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 Issue Date</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102.00%</w:t>
            </w:r>
          </w:p>
        </w:tc>
        <w:tc>
          <w:tcPr>
            <w:tcW w:w="0" w:type="dxa"/>
            <w:vAlign w:val="bottom"/>
          </w:tcPr>
          <w:p>
            <w:pPr>
              <w:spacing w:after="0"/>
              <w:rPr>
                <w:sz w:val="1"/>
                <w:szCs w:val="1"/>
                <w:color w:val="auto"/>
              </w:rPr>
            </w:pPr>
          </w:p>
        </w:tc>
      </w:tr>
      <w:tr>
        <w:trPr>
          <w:trHeight w:val="192"/>
        </w:trPr>
        <w:tc>
          <w:tcPr>
            <w:tcW w:w="61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On or after the second anniversary of the Issue Date but prior to the third</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anniversary of the Issue Date</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28"/>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the third anniversary of the Issue Date</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220" w:hanging="253"/>
        <w:spacing w:after="0"/>
        <w:tabs>
          <w:tab w:leader="none" w:pos="12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3.07 shall be made pursuant to the provisions of Sections 3.01 through 3.06 hereof.</w:t>
      </w:r>
    </w:p>
    <w:p>
      <w:pPr>
        <w:spacing w:after="0" w:line="213" w:lineRule="exact"/>
        <w:rPr>
          <w:rFonts w:ascii="Times New Roman" w:cs="Times New Roman" w:eastAsia="Times New Roman" w:hAnsi="Times New Roman"/>
          <w:sz w:val="18"/>
          <w:szCs w:val="18"/>
          <w:color w:val="auto"/>
        </w:rPr>
      </w:pPr>
    </w:p>
    <w:p>
      <w:pPr>
        <w:ind w:right="80" w:firstLine="967"/>
        <w:spacing w:after="0" w:line="248" w:lineRule="auto"/>
        <w:tabs>
          <w:tab w:leader="none" w:pos="12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Indenture, each redemption or distribution in respect of the principal amount of the Notes after acceleration thereof pursuant to Section 6.02 (including automatically pursuant to Section 6.02(a)), shall be accompanied by, and there shall become due and payable automatically upon acceleration, a payment premium payable in cash on the principal amount so redeemed or distributed or on the principal amount that has become or is declared accelerated pursuant to Section 6.02 (including automatically pursuant to Section 6.02(a)), in an amount equal to the Redemption Price Premium, calculated on the aggregate principal amount of the Notes so redeemed, distributed or accelerated, together with all accrued and unpaid interest on such Notes.</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3.08</w:t>
      </w:r>
      <w:r>
        <w:rPr>
          <w:sz w:val="20"/>
          <w:szCs w:val="20"/>
          <w:color w:val="auto"/>
        </w:rPr>
        <w:tab/>
      </w:r>
      <w:r>
        <w:rPr>
          <w:rFonts w:ascii="Times New Roman" w:cs="Times New Roman" w:eastAsia="Times New Roman" w:hAnsi="Times New Roman"/>
          <w:sz w:val="16"/>
          <w:szCs w:val="16"/>
          <w:u w:val="single" w:color="auto"/>
          <w:color w:val="auto"/>
        </w:rPr>
        <w:t>AHYDO Catch-Up.</w:t>
      </w:r>
    </w:p>
    <w:p>
      <w:pPr>
        <w:spacing w:after="0" w:line="214" w:lineRule="exact"/>
        <w:rPr>
          <w:sz w:val="20"/>
          <w:szCs w:val="20"/>
          <w:color w:val="auto"/>
        </w:rPr>
      </w:pPr>
    </w:p>
    <w:p>
      <w:pPr>
        <w:ind w:firstLine="965"/>
        <w:spacing w:after="0" w:line="245" w:lineRule="auto"/>
        <w:rPr>
          <w:sz w:val="20"/>
          <w:szCs w:val="20"/>
          <w:color w:val="auto"/>
        </w:rPr>
      </w:pPr>
      <w:r>
        <w:rPr>
          <w:rFonts w:ascii="Times New Roman" w:cs="Times New Roman" w:eastAsia="Times New Roman" w:hAnsi="Times New Roman"/>
          <w:sz w:val="18"/>
          <w:szCs w:val="18"/>
          <w:color w:val="auto"/>
        </w:rPr>
        <w:t>Notwithstanding anything to the contrary contained in any Note Document, with respect to any Notes and any particular accrual period (as defined in Section 1272(a)(5) of the Code) ending after the fifth anniversary of the Issue Date at the end of which, but for the prepayment and redemption required by this paragraph, (x) the aggregate amount which would be includible in gross income with respect to such Notes for periods before the close of such accrual period (as described in Section 163(i)(2)(A) of the Code) would exceed (y) an amount equal to the sum (as described in Section 163(i)(2)(B) of the Code) of (I) the aggregate amount of interest to be paid on such Notes before the close of such accrual period plus (II) the product of (A) the issue price (as defined in Sections 1273(b) and 1274(a) of the Code) of the Note multiplied by (B) the yield to maturity (interpreted in accordance with Section 163(i)(2)(B) of the Code) of the Note, the Company shall prepay and redeem, as applicable, at the end of or during such accrual period, without premium or penalty, the minimum amount of principal and accrued interest on the Note necessary to prevent such Note from being treated as having “significant original issue discount” within the meaning of Section 163(i)(1)(C) of the Code or any of the accrued and unpaid interest or original issue discount on the Note from being disallowed or deferred as a deduction under Section 163(e)(5) of the Code to the Company or any of its Affiliates; provided, however, that if the yield to maturity of such Note is less than the amount described in Section 163(i)(1)(B) of the Code, no such prepayment or redemption with respect to such Note shall be required under this Section 3.08. It is intended that no Note will be an “applicable high yield discount obligation” within the meaning of Section 163(i)(1) of the Code, and this paragraph will be interpreted and applied consistently with such intent. A prepayment or redemption pursuant to this Section 3.08 shall not constitute an optional prepayment or redemption and shall not be subject to Sections 3.01 through 3.07 hereof.</w:t>
      </w:r>
    </w:p>
    <w:p>
      <w:pPr>
        <w:spacing w:after="0" w:line="19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Company is not otherwise required to make mandatory redemption or sinking fund payments with respect to the Notes.</w:t>
      </w:r>
    </w:p>
    <w:p>
      <w:pPr>
        <w:spacing w:after="0" w:line="24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3.09</w:t>
      </w:r>
      <w:r>
        <w:rPr>
          <w:sz w:val="20"/>
          <w:szCs w:val="20"/>
          <w:color w:val="auto"/>
        </w:rPr>
        <w:tab/>
      </w:r>
      <w:r>
        <w:rPr>
          <w:rFonts w:ascii="Times New Roman" w:cs="Times New Roman" w:eastAsia="Times New Roman" w:hAnsi="Times New Roman"/>
          <w:sz w:val="16"/>
          <w:szCs w:val="16"/>
          <w:u w:val="single" w:color="auto"/>
          <w:color w:val="auto"/>
        </w:rPr>
        <w:t>Repurchase Offers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640" w:firstLine="965"/>
        <w:spacing w:after="0" w:line="268" w:lineRule="auto"/>
        <w:rPr>
          <w:sz w:val="20"/>
          <w:szCs w:val="20"/>
          <w:color w:val="auto"/>
        </w:rPr>
      </w:pPr>
      <w:r>
        <w:rPr>
          <w:rFonts w:ascii="Times New Roman" w:cs="Times New Roman" w:eastAsia="Times New Roman" w:hAnsi="Times New Roman"/>
          <w:sz w:val="18"/>
          <w:szCs w:val="18"/>
          <w:color w:val="auto"/>
        </w:rPr>
        <w:t>In the event that, pursuant to Sections 4.10 and 4.14 hereof, the Company shall be required to commence an offer to all Holders to purchase their respective Notes (a “</w:t>
      </w:r>
      <w:r>
        <w:rPr>
          <w:rFonts w:ascii="Times New Roman" w:cs="Times New Roman" w:eastAsia="Times New Roman" w:hAnsi="Times New Roman"/>
          <w:sz w:val="18"/>
          <w:szCs w:val="18"/>
          <w:b w:val="1"/>
          <w:bCs w:val="1"/>
          <w:color w:val="auto"/>
        </w:rPr>
        <w:t>Repurchase Offer</w:t>
      </w:r>
      <w:r>
        <w:rPr>
          <w:rFonts w:ascii="Times New Roman" w:cs="Times New Roman" w:eastAsia="Times New Roman" w:hAnsi="Times New Roman"/>
          <w:sz w:val="18"/>
          <w:szCs w:val="18"/>
          <w:color w:val="auto"/>
        </w:rPr>
        <w:t>”), it shall follow the procedures specified below.</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20"/>
          </w:cols>
          <w:pgMar w:left="580" w:top="266" w:right="599" w:bottom="1440" w:gutter="0" w:footer="0" w:header="0"/>
        </w:sectPr>
      </w:pPr>
    </w:p>
    <w:bookmarkStart w:id="128" w:name="page129"/>
    <w:bookmarkEnd w:id="128"/>
    <w:p>
      <w:pPr>
        <w:ind w:left="9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Repurchase Offer shall remain open for a period of 20 Business Days following its commencement and no longer, except to the extent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a longer period is required by applicable law (the “</w:t>
      </w:r>
      <w:r>
        <w:rPr>
          <w:rFonts w:ascii="Times New Roman" w:cs="Times New Roman" w:eastAsia="Times New Roman" w:hAnsi="Times New Roman"/>
          <w:sz w:val="16"/>
          <w:szCs w:val="16"/>
          <w:b w:val="1"/>
          <w:bCs w:val="1"/>
          <w:color w:val="auto"/>
        </w:rPr>
        <w:t>Offer Period</w:t>
      </w:r>
      <w:r>
        <w:rPr>
          <w:rFonts w:ascii="Times New Roman" w:cs="Times New Roman" w:eastAsia="Times New Roman" w:hAnsi="Times New Roman"/>
          <w:sz w:val="16"/>
          <w:szCs w:val="16"/>
          <w:color w:val="auto"/>
        </w:rPr>
        <w:t>”). No later than five Business Days after the termination of the Offer Period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Purchase Date</w:t>
      </w:r>
      <w:r>
        <w:rPr>
          <w:rFonts w:ascii="Times New Roman" w:cs="Times New Roman" w:eastAsia="Times New Roman" w:hAnsi="Times New Roman"/>
          <w:sz w:val="16"/>
          <w:szCs w:val="16"/>
          <w:color w:val="auto"/>
        </w:rPr>
        <w:t>”), the Company shall purchase the principal amount of Notes required to be purchased pursuant to Sections 4.10 and 4.14 hereof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Offer Amount</w:t>
      </w:r>
      <w:r>
        <w:rPr>
          <w:rFonts w:ascii="Times New Roman" w:cs="Times New Roman" w:eastAsia="Times New Roman" w:hAnsi="Times New Roman"/>
          <w:sz w:val="16"/>
          <w:szCs w:val="16"/>
          <w:color w:val="auto"/>
        </w:rPr>
        <w:t>”) or, if less than the Offer Amount has been tendered, all Notes tendered in response to the Repurchase Offer. Payment for any Notes so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purchased shall be made in the same manner as interest payments are made.</w:t>
      </w:r>
    </w:p>
    <w:p>
      <w:pPr>
        <w:spacing w:after="0" w:line="196" w:lineRule="exact"/>
        <w:rPr>
          <w:sz w:val="20"/>
          <w:szCs w:val="20"/>
          <w:color w:val="auto"/>
        </w:rPr>
      </w:pPr>
    </w:p>
    <w:p>
      <w:pPr>
        <w:ind w:right="280" w:firstLine="965"/>
        <w:spacing w:after="0" w:line="256" w:lineRule="auto"/>
        <w:rPr>
          <w:sz w:val="20"/>
          <w:szCs w:val="20"/>
          <w:color w:val="auto"/>
        </w:rPr>
      </w:pPr>
      <w:r>
        <w:rPr>
          <w:rFonts w:ascii="Times New Roman" w:cs="Times New Roman" w:eastAsia="Times New Roman" w:hAnsi="Times New Roman"/>
          <w:sz w:val="18"/>
          <w:szCs w:val="18"/>
          <w:color w:val="auto"/>
        </w:rPr>
        <w:t>If the Purchase Date is on or after an interest record date and on or before the related interest payment date, any accrued and unpaid interest shall be paid to the Person in whose name a Note is registered at the close of business on such record date, and no additional interest shall be payable to Holders who tender Notes pursuant to the Repurchase Offer.</w:t>
      </w:r>
    </w:p>
    <w:p>
      <w:pPr>
        <w:spacing w:after="0" w:line="179" w:lineRule="exact"/>
        <w:rPr>
          <w:sz w:val="20"/>
          <w:szCs w:val="20"/>
          <w:color w:val="auto"/>
        </w:rPr>
      </w:pPr>
    </w:p>
    <w:p>
      <w:pPr>
        <w:ind w:right="100" w:firstLine="965"/>
        <w:spacing w:after="0" w:line="252" w:lineRule="auto"/>
        <w:rPr>
          <w:sz w:val="20"/>
          <w:szCs w:val="20"/>
          <w:color w:val="auto"/>
        </w:rPr>
      </w:pPr>
      <w:r>
        <w:rPr>
          <w:rFonts w:ascii="Times New Roman" w:cs="Times New Roman" w:eastAsia="Times New Roman" w:hAnsi="Times New Roman"/>
          <w:sz w:val="18"/>
          <w:szCs w:val="18"/>
          <w:color w:val="auto"/>
        </w:rPr>
        <w:t>Upon the commencement of a Repurchase Offer, the Company shall send, by first class mail or electronically or otherwise in accordance with DTC procedures, a notice to the Trustee and each of the Holders, with a copy to the Trustee. The notice shall contain all instructions and materials necessary to enable such Holders to tender Notes pursuant to the Repurchase Offer. The Repurchase Offer shall be made to all Holders. The notice, which shall govern the terms of the Repurchase Offer, shall state:</w:t>
      </w:r>
    </w:p>
    <w:p>
      <w:pPr>
        <w:spacing w:after="0" w:line="77" w:lineRule="exact"/>
        <w:rPr>
          <w:sz w:val="20"/>
          <w:szCs w:val="20"/>
          <w:color w:val="auto"/>
        </w:rPr>
      </w:pPr>
    </w:p>
    <w:p>
      <w:pPr>
        <w:ind w:left="960" w:right="180" w:firstLine="397"/>
        <w:spacing w:after="0" w:line="268" w:lineRule="auto"/>
        <w:tabs>
          <w:tab w:leader="none" w:pos="15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Repurchase Offer is being made pursuant to this Section 3.09 and Section 4.10 or Section 4.14 hereof, and the length of time the Repurchase Offer shall remain open;</w:t>
      </w:r>
    </w:p>
    <w:p>
      <w:pPr>
        <w:spacing w:after="0" w:line="63" w:lineRule="exact"/>
        <w:rPr>
          <w:rFonts w:ascii="Times New Roman" w:cs="Times New Roman" w:eastAsia="Times New Roman" w:hAnsi="Times New Roman"/>
          <w:sz w:val="18"/>
          <w:szCs w:val="18"/>
          <w:color w:val="auto"/>
        </w:rPr>
      </w:pPr>
    </w:p>
    <w:p>
      <w:pPr>
        <w:ind w:left="1620" w:hanging="263"/>
        <w:spacing w:after="0"/>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Amount, the purchase price and the Purchase Date;</w:t>
      </w:r>
    </w:p>
    <w:p>
      <w:pPr>
        <w:spacing w:after="0" w:line="108"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or accepted for payment shall continue to accrete or accrue interest, if any;</w:t>
      </w:r>
    </w:p>
    <w:p>
      <w:pPr>
        <w:spacing w:after="0" w:line="108" w:lineRule="exact"/>
        <w:rPr>
          <w:rFonts w:ascii="Times New Roman" w:cs="Times New Roman" w:eastAsia="Times New Roman" w:hAnsi="Times New Roman"/>
          <w:sz w:val="18"/>
          <w:szCs w:val="18"/>
          <w:color w:val="auto"/>
        </w:rPr>
      </w:pPr>
    </w:p>
    <w:p>
      <w:pPr>
        <w:ind w:left="960" w:right="160" w:firstLine="397"/>
        <w:spacing w:after="0" w:line="268"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payment, any Note (or portion thereof) accepted for payment pursuant to the Repurchase Offer shall cease to accrete or accrue interest, if any, after the Purchase Date;</w:t>
      </w:r>
    </w:p>
    <w:p>
      <w:pPr>
        <w:spacing w:after="0" w:line="63" w:lineRule="exact"/>
        <w:rPr>
          <w:rFonts w:ascii="Times New Roman" w:cs="Times New Roman" w:eastAsia="Times New Roman" w:hAnsi="Times New Roman"/>
          <w:sz w:val="18"/>
          <w:szCs w:val="18"/>
          <w:color w:val="auto"/>
        </w:rPr>
      </w:pPr>
    </w:p>
    <w:p>
      <w:pPr>
        <w:ind w:left="960" w:right="260" w:firstLine="397"/>
        <w:spacing w:after="0" w:line="268" w:lineRule="auto"/>
        <w:tabs>
          <w:tab w:leader="none" w:pos="159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 Repurchase Offer may elect to have Notes purchased in principal amounts of $2,000 or in integral multiples of $1,000 in excess thereof only;</w:t>
      </w:r>
    </w:p>
    <w:p>
      <w:pPr>
        <w:spacing w:after="0" w:line="63" w:lineRule="exact"/>
        <w:rPr>
          <w:rFonts w:ascii="Times New Roman" w:cs="Times New Roman" w:eastAsia="Times New Roman" w:hAnsi="Times New Roman"/>
          <w:sz w:val="18"/>
          <w:szCs w:val="18"/>
          <w:color w:val="auto"/>
        </w:rPr>
      </w:pPr>
    </w:p>
    <w:p>
      <w:pPr>
        <w:jc w:val="both"/>
        <w:ind w:left="960" w:right="120" w:firstLine="397"/>
        <w:spacing w:after="0" w:line="252"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any Repurchase Offer shall be required to surrender the Note, with the form entitled “</w:t>
      </w:r>
      <w:r>
        <w:rPr>
          <w:rFonts w:ascii="Times New Roman" w:cs="Times New Roman" w:eastAsia="Times New Roman" w:hAnsi="Times New Roman"/>
          <w:sz w:val="18"/>
          <w:szCs w:val="18"/>
          <w:b w:val="1"/>
          <w:bCs w:val="1"/>
          <w:color w:val="auto"/>
        </w:rPr>
        <w:t>Option of Holder to Elect Purchase</w:t>
      </w:r>
      <w:r>
        <w:rPr>
          <w:rFonts w:ascii="Times New Roman" w:cs="Times New Roman" w:eastAsia="Times New Roman" w:hAnsi="Times New Roman"/>
          <w:sz w:val="18"/>
          <w:szCs w:val="18"/>
          <w:color w:val="auto"/>
        </w:rPr>
        <w:t>” on the reverse of the Note completed, or transfer by book-entry transfer, to the Company, the Depositary, if appointed by the Company, or a Paying Agent at the address specified in the notice at least three days before the Purchase Date;</w:t>
      </w:r>
    </w:p>
    <w:p>
      <w:pPr>
        <w:spacing w:after="0" w:line="76" w:lineRule="exact"/>
        <w:rPr>
          <w:rFonts w:ascii="Times New Roman" w:cs="Times New Roman" w:eastAsia="Times New Roman" w:hAnsi="Times New Roman"/>
          <w:sz w:val="18"/>
          <w:szCs w:val="18"/>
          <w:color w:val="auto"/>
        </w:rPr>
      </w:pPr>
    </w:p>
    <w:p>
      <w:pPr>
        <w:ind w:left="960" w:right="20" w:firstLine="397"/>
        <w:spacing w:after="0" w:line="252" w:lineRule="auto"/>
        <w:tabs>
          <w:tab w:leader="none" w:pos="16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shall be entitled to withdraw their election if the Company,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76" w:lineRule="exact"/>
        <w:rPr>
          <w:rFonts w:ascii="Times New Roman" w:cs="Times New Roman" w:eastAsia="Times New Roman" w:hAnsi="Times New Roman"/>
          <w:sz w:val="18"/>
          <w:szCs w:val="18"/>
          <w:color w:val="auto"/>
        </w:rPr>
      </w:pPr>
    </w:p>
    <w:p>
      <w:pPr>
        <w:ind w:left="960" w:right="140" w:firstLine="397"/>
        <w:spacing w:after="0" w:line="252" w:lineRule="auto"/>
        <w:tabs>
          <w:tab w:leader="none" w:pos="17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the aggregate amount of Notes surrendered by Holders exceeds the Offer Amount, the Trustee shall select the Notes to be purchased on a pro rata basis or in accordance with the procedures of the Depositary (with such adjustments as may be deemed appropriate by the Trustee so that only Notes in denominations of $2,000, or integral multiples of $1,000 in excess thereof, shall be purchased); and</w:t>
      </w:r>
    </w:p>
    <w:p>
      <w:pPr>
        <w:spacing w:after="0" w:line="76" w:lineRule="exact"/>
        <w:rPr>
          <w:rFonts w:ascii="Times New Roman" w:cs="Times New Roman" w:eastAsia="Times New Roman" w:hAnsi="Times New Roman"/>
          <w:sz w:val="18"/>
          <w:szCs w:val="18"/>
          <w:color w:val="auto"/>
        </w:rPr>
      </w:pPr>
    </w:p>
    <w:p>
      <w:pPr>
        <w:ind w:left="960" w:right="200" w:firstLine="397"/>
        <w:spacing w:after="0" w:line="268"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were purchased only in part shall be issued new Notes equal in principal amount to the unpurchased portion of the Notes surrendered (or transferred by book-entry transfer).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00"/>
          </w:cols>
          <w:pgMar w:left="580" w:top="266" w:right="619" w:bottom="1440" w:gutter="0" w:footer="0" w:header="0"/>
        </w:sectPr>
      </w:pPr>
    </w:p>
    <w:bookmarkStart w:id="129" w:name="page130"/>
    <w:bookmarkEnd w:id="129"/>
    <w:p>
      <w:pPr>
        <w:ind w:firstLine="965"/>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On the Purchase Date, the Company shall, to the extent lawful, accept for payment, on a pro rata basis to the extent necessary, the Offer Amount of Notes (or portions thereof) tendered pursuant to the Repurchase Offer, or if less than the Offer Amount has been tendered, all Notes tendered, and shall send to the Trustee an Officer’s Certificate stating that such Notes (or portions thereof) were accepted for payment by the Company in accordance with the terms of this Section 3.09. The Company, the Depositary or the Paying Agent, as the case may be, shall promptly (but in any case not later than five days after the Purchase Date) mail or send to each tendering Holder an amount equal to the purchase price of Notes tendered by such Holder, as the case may be, and accepted by the Company for purchase, and the Company, shall promptly issue a new Note. The Trustee, upon written request from the Company with an Authentication Order, shall authenticate and mail or send electronically or otherwise in accordance with DTC procedures such new Note to such Holder, in a principal amount at maturity equal to any unpurchased portion of the Note surrendered. Any Note not so accepted shall be promptly mailed or delivered by the Company to the respective Holder thereof. The Company shall publicly announce the results of the Repurchase Offer as soon as practicable after the Purchase Date.</w:t>
      </w:r>
    </w:p>
    <w:p>
      <w:pPr>
        <w:spacing w:after="0" w:line="192" w:lineRule="exact"/>
        <w:rPr>
          <w:sz w:val="20"/>
          <w:szCs w:val="20"/>
          <w:color w:val="auto"/>
        </w:rPr>
      </w:pPr>
    </w:p>
    <w:p>
      <w:pPr>
        <w:ind w:right="280" w:firstLine="965"/>
        <w:spacing w:after="0" w:line="331" w:lineRule="auto"/>
        <w:rPr>
          <w:sz w:val="20"/>
          <w:szCs w:val="20"/>
          <w:color w:val="auto"/>
        </w:rPr>
      </w:pPr>
      <w:r>
        <w:rPr>
          <w:rFonts w:ascii="Times New Roman" w:cs="Times New Roman" w:eastAsia="Times New Roman" w:hAnsi="Times New Roman"/>
          <w:sz w:val="16"/>
          <w:szCs w:val="16"/>
          <w:color w:val="auto"/>
        </w:rPr>
        <w:t>The Company shall comply with the requirements of Rule 14e-1 under the Exchange Act, and any other securities laws and regulations thereunder to the extent such laws or regulations are applicable in connection with the repurchase of the Notes pursuant to an Asset Sale Offer.</w:t>
      </w:r>
    </w:p>
    <w:p>
      <w:pPr>
        <w:spacing w:after="0" w:line="123" w:lineRule="exact"/>
        <w:rPr>
          <w:sz w:val="20"/>
          <w:szCs w:val="20"/>
          <w:color w:val="auto"/>
        </w:rPr>
      </w:pPr>
    </w:p>
    <w:p>
      <w:pPr>
        <w:ind w:right="760" w:firstLine="965"/>
        <w:spacing w:after="0" w:line="268" w:lineRule="auto"/>
        <w:rPr>
          <w:sz w:val="20"/>
          <w:szCs w:val="20"/>
          <w:color w:val="auto"/>
        </w:rPr>
      </w:pPr>
      <w:r>
        <w:rPr>
          <w:rFonts w:ascii="Times New Roman" w:cs="Times New Roman" w:eastAsia="Times New Roman" w:hAnsi="Times New Roman"/>
          <w:sz w:val="18"/>
          <w:szCs w:val="18"/>
          <w:color w:val="auto"/>
        </w:rPr>
        <w:t>Other than as specifically provided in this Section 3.09, any purchase pursuant to this Section 3.09 shall be made pursuant to the provisions of Sections 3.01 through 3.06 hereof.</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3.10</w:t>
      </w:r>
      <w:r>
        <w:rPr>
          <w:sz w:val="20"/>
          <w:szCs w:val="20"/>
          <w:color w:val="auto"/>
        </w:rPr>
        <w:tab/>
      </w:r>
      <w:r>
        <w:rPr>
          <w:rFonts w:ascii="Times New Roman" w:cs="Times New Roman" w:eastAsia="Times New Roman" w:hAnsi="Times New Roman"/>
          <w:sz w:val="16"/>
          <w:szCs w:val="16"/>
          <w:u w:val="single" w:color="auto"/>
          <w:color w:val="auto"/>
        </w:rPr>
        <w:t>Application of Trust Money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All money deposited with the Trustee pursuant to Section 11.02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4.01</w:t>
      </w:r>
      <w:r>
        <w:rPr>
          <w:sz w:val="20"/>
          <w:szCs w:val="20"/>
          <w:color w:val="auto"/>
        </w:rPr>
        <w:tab/>
      </w:r>
      <w:r>
        <w:rPr>
          <w:rFonts w:ascii="Times New Roman" w:cs="Times New Roman" w:eastAsia="Times New Roman" w:hAnsi="Times New Roman"/>
          <w:sz w:val="16"/>
          <w:szCs w:val="16"/>
          <w:u w:val="single" w:color="auto"/>
          <w:color w:val="auto"/>
        </w:rPr>
        <w:t>Payment of Notes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20" w:firstLine="967"/>
        <w:spacing w:after="0" w:line="252" w:lineRule="auto"/>
        <w:tabs>
          <w:tab w:leader="none" w:pos="12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or cause to be paid the principal of, premium, if any, and interest on the Notes on the dates and in the manner provided in the Notes. Principal, premium, if any, and interest shall be considered paid on the date due if the Paying Agent, if other than the Company or one of its Subsidiaries, holds as of 11:00 a.m. Eastern Time on the due date money deposited by the Company in immediately available funds and designated for and sufficient to pay all principal, premium, if any, and interest then due.</w:t>
      </w:r>
    </w:p>
    <w:p>
      <w:pPr>
        <w:spacing w:after="0" w:line="182" w:lineRule="exact"/>
        <w:rPr>
          <w:rFonts w:ascii="Times New Roman" w:cs="Times New Roman" w:eastAsia="Times New Roman" w:hAnsi="Times New Roman"/>
          <w:sz w:val="18"/>
          <w:szCs w:val="18"/>
          <w:color w:val="auto"/>
        </w:rPr>
      </w:pPr>
    </w:p>
    <w:p>
      <w:pPr>
        <w:ind w:right="40" w:firstLine="967"/>
        <w:spacing w:after="0" w:line="252" w:lineRule="auto"/>
        <w:tabs>
          <w:tab w:leader="none" w:pos="12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208"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4.02</w:t>
      </w:r>
      <w:r>
        <w:rPr>
          <w:sz w:val="20"/>
          <w:szCs w:val="20"/>
          <w:color w:val="auto"/>
        </w:rPr>
        <w:tab/>
      </w:r>
      <w:r>
        <w:rPr>
          <w:rFonts w:ascii="Times New Roman" w:cs="Times New Roman" w:eastAsia="Times New Roman" w:hAnsi="Times New Roman"/>
          <w:sz w:val="16"/>
          <w:szCs w:val="16"/>
          <w:u w:val="single" w:color="auto"/>
          <w:color w:val="auto"/>
        </w:rPr>
        <w:t>Maintenance of Office or Agency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7"/>
        <w:spacing w:after="0" w:line="248" w:lineRule="auto"/>
        <w:tabs>
          <w:tab w:leader="none" w:pos="12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an office or agency in the United States (which may be an office of the Trustee or an agent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20"/>
          </w:cols>
          <w:pgMar w:left="580" w:top="266" w:right="599" w:bottom="1440" w:gutter="0" w:footer="0" w:header="0"/>
        </w:sectPr>
      </w:pPr>
    </w:p>
    <w:bookmarkStart w:id="130" w:name="page131"/>
    <w:bookmarkEnd w:id="130"/>
    <w:p>
      <w:pPr>
        <w:ind w:left="-1" w:right="60" w:firstLine="967"/>
        <w:spacing w:after="0" w:line="293" w:lineRule="auto"/>
        <w:tabs>
          <w:tab w:leader="none" w:pos="121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designation or rescission shall in any manner relieve the Company of its obligation to maintain an office or agency in the United States for such purposes. The Company shall give prompt written notice to the Trustee of any such designation or rescission and of any change in the location of any such other office or agency.</w:t>
      </w:r>
    </w:p>
    <w:p>
      <w:pPr>
        <w:spacing w:after="0" w:line="153" w:lineRule="exact"/>
        <w:rPr>
          <w:rFonts w:ascii="Times New Roman" w:cs="Times New Roman" w:eastAsia="Times New Roman" w:hAnsi="Times New Roman"/>
          <w:sz w:val="16"/>
          <w:szCs w:val="16"/>
          <w:color w:val="auto"/>
        </w:rPr>
      </w:pPr>
    </w:p>
    <w:p>
      <w:pPr>
        <w:ind w:left="-1" w:right="100" w:firstLine="967"/>
        <w:spacing w:after="0" w:line="268" w:lineRule="auto"/>
        <w:tabs>
          <w:tab w:leader="none" w:pos="120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designates the Corporate Trust Office of the Trustee as one such office or agency of the Company in accordance with Section 2.04 hereof.</w:t>
      </w:r>
    </w:p>
    <w:p>
      <w:pPr>
        <w:spacing w:after="0" w:line="195" w:lineRule="exact"/>
        <w:rPr>
          <w:sz w:val="20"/>
          <w:szCs w:val="20"/>
          <w:color w:val="auto"/>
        </w:rPr>
      </w:pPr>
    </w:p>
    <w:p>
      <w:pPr>
        <w:ind w:left="419"/>
        <w:spacing w:after="0"/>
        <w:tabs>
          <w:tab w:leader="none" w:pos="1898" w:val="left"/>
        </w:tabs>
        <w:rPr>
          <w:sz w:val="20"/>
          <w:szCs w:val="20"/>
          <w:color w:val="auto"/>
        </w:rPr>
      </w:pPr>
      <w:r>
        <w:rPr>
          <w:rFonts w:ascii="Times New Roman" w:cs="Times New Roman" w:eastAsia="Times New Roman" w:hAnsi="Times New Roman"/>
          <w:sz w:val="18"/>
          <w:szCs w:val="18"/>
          <w:u w:val="single" w:color="auto"/>
          <w:color w:val="auto"/>
        </w:rPr>
        <w:t>Section 4.03</w:t>
      </w:r>
      <w:r>
        <w:rPr>
          <w:sz w:val="20"/>
          <w:szCs w:val="20"/>
          <w:color w:val="auto"/>
        </w:rPr>
        <w:tab/>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1" w:right="140" w:firstLine="967"/>
        <w:spacing w:after="0" w:line="268" w:lineRule="auto"/>
        <w:tabs>
          <w:tab w:leader="none" w:pos="120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SEC, so long as any Notes are outstanding, the Company, upon request, shall furnish to the Holders of Notes, within the time periods specified in the SEC’s rules and regulations:</w:t>
      </w:r>
    </w:p>
    <w:p>
      <w:pPr>
        <w:spacing w:after="0" w:line="63" w:lineRule="exact"/>
        <w:rPr>
          <w:rFonts w:ascii="Times New Roman" w:cs="Times New Roman" w:eastAsia="Times New Roman" w:hAnsi="Times New Roman"/>
          <w:sz w:val="18"/>
          <w:szCs w:val="18"/>
          <w:color w:val="auto"/>
        </w:rPr>
      </w:pPr>
    </w:p>
    <w:p>
      <w:pPr>
        <w:ind w:left="959" w:firstLine="397"/>
        <w:spacing w:after="0" w:line="252" w:lineRule="auto"/>
        <w:tabs>
          <w:tab w:leader="none" w:pos="1558"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financial and other information that would be required to be contained in a filing with the SEC on Forms 10-Q and 10-K if the Company were required to file such Forms, including a “</w:t>
      </w:r>
      <w:r>
        <w:rPr>
          <w:rFonts w:ascii="Times New Roman" w:cs="Times New Roman" w:eastAsia="Times New Roman" w:hAnsi="Times New Roman"/>
          <w:sz w:val="18"/>
          <w:szCs w:val="18"/>
          <w:b w:val="1"/>
          <w:b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 and Results of Operations</w:t>
      </w:r>
      <w:r>
        <w:rPr>
          <w:rFonts w:ascii="Times New Roman" w:cs="Times New Roman" w:eastAsia="Times New Roman" w:hAnsi="Times New Roman"/>
          <w:sz w:val="18"/>
          <w:szCs w:val="18"/>
          <w:color w:val="auto"/>
        </w:rPr>
        <w:t>” and, with respect to the annual information only, a report on the annual financial statements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certified independent accountants; and</w:t>
      </w:r>
    </w:p>
    <w:p>
      <w:pPr>
        <w:spacing w:after="0" w:line="76" w:lineRule="exact"/>
        <w:rPr>
          <w:rFonts w:ascii="Times New Roman" w:cs="Times New Roman" w:eastAsia="Times New Roman" w:hAnsi="Times New Roman"/>
          <w:sz w:val="18"/>
          <w:szCs w:val="18"/>
          <w:color w:val="auto"/>
        </w:rPr>
      </w:pPr>
    </w:p>
    <w:p>
      <w:pPr>
        <w:ind w:left="1619" w:hanging="263"/>
        <w:spacing w:after="0"/>
        <w:tabs>
          <w:tab w:leader="none" w:pos="1619" w:val="left"/>
        </w:tabs>
        <w:numPr>
          <w:ilvl w:val="2"/>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current reports that would be required to be filed with the SEC on Form 8-K if the Company were required to file such reports.</w:t>
      </w:r>
    </w:p>
    <w:p>
      <w:pPr>
        <w:spacing w:after="0" w:line="236" w:lineRule="exact"/>
        <w:rPr>
          <w:rFonts w:ascii="Times New Roman" w:cs="Times New Roman" w:eastAsia="Times New Roman" w:hAnsi="Times New Roman"/>
          <w:sz w:val="16"/>
          <w:szCs w:val="16"/>
          <w:color w:val="auto"/>
        </w:rPr>
      </w:pPr>
    </w:p>
    <w:p>
      <w:pPr>
        <w:ind w:left="-1" w:right="20" w:firstLine="967"/>
        <w:spacing w:after="0" w:line="256" w:lineRule="auto"/>
        <w:tabs>
          <w:tab w:leader="none" w:pos="121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whether or not required by the SEC, the Company shall file a copy of all of the information and reports referred to in clauses (a)(i) and (ii) above with the SEC for public availability within the time periods specified in the SEC’s rules and regulations (unless the SEC will not accept such a filing) and make such information available to prospective investors upon request.</w:t>
      </w:r>
    </w:p>
    <w:p>
      <w:pPr>
        <w:spacing w:after="0" w:line="178" w:lineRule="exact"/>
        <w:rPr>
          <w:rFonts w:ascii="Times New Roman" w:cs="Times New Roman" w:eastAsia="Times New Roman" w:hAnsi="Times New Roman"/>
          <w:sz w:val="18"/>
          <w:szCs w:val="18"/>
          <w:color w:val="auto"/>
        </w:rPr>
      </w:pPr>
    </w:p>
    <w:p>
      <w:pPr>
        <w:ind w:left="-1" w:right="100" w:firstLine="967"/>
        <w:spacing w:after="0" w:line="249" w:lineRule="auto"/>
        <w:tabs>
          <w:tab w:leader="none" w:pos="120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designated any of its Subsidiaries as Unrestricted Subsidiaries, then the quarterly and annual financial information required by Section 4.03(a) hereof will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the Restricted Subsidiaries separate from the financial condition and results of operations of the Unrestricted Subsidiaries of the Company.</w:t>
      </w:r>
    </w:p>
    <w:p>
      <w:pPr>
        <w:spacing w:after="0" w:line="188" w:lineRule="exact"/>
        <w:rPr>
          <w:rFonts w:ascii="Times New Roman" w:cs="Times New Roman" w:eastAsia="Times New Roman" w:hAnsi="Times New Roman"/>
          <w:sz w:val="18"/>
          <w:szCs w:val="18"/>
          <w:color w:val="auto"/>
        </w:rPr>
      </w:pPr>
    </w:p>
    <w:p>
      <w:pPr>
        <w:ind w:left="-1" w:right="200" w:firstLine="967"/>
        <w:spacing w:after="0" w:line="285" w:lineRule="auto"/>
        <w:tabs>
          <w:tab w:leader="none" w:pos="1212"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Sections 4.03(a), (b) and (c), if any direct or indirect parent company of the Company provides a full and unconditional Guarantee of the Notes, the reports, information and other documents required to be filed and furnished as required by Sections 4.03(a),</w:t>
      </w:r>
    </w:p>
    <w:p>
      <w:pPr>
        <w:spacing w:after="0" w:line="1" w:lineRule="exact"/>
        <w:rPr>
          <w:rFonts w:ascii="Times New Roman" w:cs="Times New Roman" w:eastAsia="Times New Roman" w:hAnsi="Times New Roman"/>
          <w:sz w:val="16"/>
          <w:szCs w:val="16"/>
          <w:color w:val="auto"/>
        </w:rPr>
      </w:pPr>
    </w:p>
    <w:p>
      <w:pPr>
        <w:ind w:left="-1" w:right="120" w:firstLine="1"/>
        <w:spacing w:after="0" w:line="274" w:lineRule="auto"/>
        <w:tabs>
          <w:tab w:leader="none" w:pos="247"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and (c) may be those of such parent company, rather than those of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and so long as such parent company shall have Independent Assets or Operations, the same is accompanied by consolidating information relating to such parent company, on the one hand, and information relating to the Company and the Restricted Subsidiaries on a standalone basis, on the other hand. The Company shall be deemed to have furnished to the Holders of Notes the information and reports referred to in subclauses (i) and (ii) of Section 4.03(a) and Section 4.03(c) and this clause</w:t>
      </w:r>
    </w:p>
    <w:p>
      <w:pPr>
        <w:ind w:left="-1" w:right="240" w:firstLine="1"/>
        <w:spacing w:after="0" w:line="244" w:lineRule="auto"/>
        <w:tabs>
          <w:tab w:leader="none" w:pos="2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such information and reports of a direct or indirect parent company of the Company, if applicable), if such information and reports have been filed with the SEC via the EDGAR filing system (or any successor filing system of the SEC) and are publicly available. “</w:t>
      </w:r>
      <w:r>
        <w:rPr>
          <w:rFonts w:ascii="Times New Roman" w:cs="Times New Roman" w:eastAsia="Times New Roman" w:hAnsi="Times New Roman"/>
          <w:sz w:val="18"/>
          <w:szCs w:val="18"/>
          <w:b w:val="1"/>
          <w:bCs w:val="1"/>
          <w:color w:val="auto"/>
        </w:rPr>
        <w:t>Independent Assets”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18"/>
          <w:szCs w:val="18"/>
          <w:color w:val="auto"/>
        </w:rPr>
        <w:t>” means, with respect to any such direct or indirect parent company of the Company, that each of the total assets, revenues, income from continuing operations before income taxes and cash flows from operating activities of such parent company, determined on a consolidated basis in accordance with GAAP, but excluding in each case amounts related to its investment in the Company and the Restricted Subsidiaries, as shown in the most recent fiscal quarter financial statements of such parent company (measured on a most recent trailing four fiscal quarter basis with respect to revenues, income from continuing operations before income taxes and cash flows from operating activities), is more than 3.0% of such parent company’s corresponding consolidated amount determined in accordance with GAAP.</w:t>
      </w:r>
    </w:p>
    <w:p>
      <w:pPr>
        <w:spacing w:after="0" w:line="12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19"/>
          </w:cols>
          <w:pgMar w:left="581" w:top="266" w:right="599" w:bottom="1440" w:gutter="0" w:footer="0" w:header="0"/>
        </w:sectPr>
      </w:pPr>
    </w:p>
    <w:bookmarkStart w:id="131" w:name="page132"/>
    <w:bookmarkEnd w:id="131"/>
    <w:p>
      <w:pPr>
        <w:ind w:right="300" w:firstLine="965"/>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4.04</w:t>
      </w:r>
      <w:r>
        <w:rPr>
          <w:sz w:val="20"/>
          <w:szCs w:val="20"/>
          <w:color w:val="auto"/>
        </w:rPr>
        <w:tab/>
      </w:r>
      <w:r>
        <w:rPr>
          <w:rFonts w:ascii="Times New Roman" w:cs="Times New Roman" w:eastAsia="Times New Roman" w:hAnsi="Times New Roman"/>
          <w:sz w:val="16"/>
          <w:szCs w:val="16"/>
          <w:u w:val="single" w:color="auto"/>
          <w:color w:val="auto"/>
        </w:rPr>
        <w:t>Compliance Certificate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40" w:firstLine="967"/>
        <w:spacing w:after="0" w:line="246" w:lineRule="auto"/>
        <w:tabs>
          <w:tab w:leader="none" w:pos="12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each Guarantor (to the extent that such Guarantor is so required under the TIA) to send to the Trustee and the Second Lien Collateral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its obligations under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91" w:lineRule="exact"/>
        <w:rPr>
          <w:rFonts w:ascii="Times New Roman" w:cs="Times New Roman" w:eastAsia="Times New Roman" w:hAnsi="Times New Roman"/>
          <w:sz w:val="18"/>
          <w:szCs w:val="18"/>
          <w:color w:val="auto"/>
        </w:rPr>
      </w:pPr>
    </w:p>
    <w:p>
      <w:pPr>
        <w:ind w:right="100" w:firstLine="967"/>
        <w:spacing w:after="0" w:line="256" w:lineRule="auto"/>
        <w:tabs>
          <w:tab w:leader="none" w:pos="121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so long as any of the Notes are outstanding, send to the Trustee and the Second Lien Collateral Trustee, forthwith upon the Company becoming aware of any Default or Event of Default, an Officer’s Certificate specifying such Default or Event of Default, its status and what action the Company is taking or proposes to take with respect thereto.</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4.05</w:t>
      </w:r>
      <w:r>
        <w:rPr>
          <w:sz w:val="20"/>
          <w:szCs w:val="20"/>
          <w:color w:val="auto"/>
        </w:rPr>
        <w:tab/>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40" w:firstLine="965"/>
        <w:spacing w:after="0" w:line="256" w:lineRule="auto"/>
        <w:rPr>
          <w:sz w:val="20"/>
          <w:szCs w:val="20"/>
          <w:color w:val="auto"/>
        </w:rPr>
      </w:pPr>
      <w:r>
        <w:rPr>
          <w:rFonts w:ascii="Times New Roman" w:cs="Times New Roman" w:eastAsia="Times New Roman" w:hAnsi="Times New Roman"/>
          <w:sz w:val="18"/>
          <w:szCs w:val="18"/>
          <w:color w:val="auto"/>
        </w:rPr>
        <w:t>The Company shall pay, and shall cause each of its Subsidiaries to pay, prior to delinquency, any material taxes, assessments, and governmental levies except such as are contested in good faith and by appropriate proceedings or where the failure to effect such payment is not adverse in any material respect to the Holders of the Notes.</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4.06</w:t>
      </w:r>
      <w:r>
        <w:rPr>
          <w:sz w:val="20"/>
          <w:szCs w:val="20"/>
          <w:color w:val="auto"/>
        </w:rPr>
        <w:tab/>
      </w:r>
      <w:r>
        <w:rPr>
          <w:rFonts w:ascii="Times New Roman" w:cs="Times New Roman" w:eastAsia="Times New Roman" w:hAnsi="Times New Roman"/>
          <w:sz w:val="16"/>
          <w:szCs w:val="16"/>
          <w:u w:val="single" w:color="auto"/>
          <w:color w:val="auto"/>
        </w:rPr>
        <w:t>Stay, Extension and Usury Laws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40" w:firstLine="965"/>
        <w:spacing w:after="0" w:line="249"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4.07</w:t>
      </w:r>
      <w:r>
        <w:rPr>
          <w:sz w:val="20"/>
          <w:szCs w:val="20"/>
          <w:color w:val="auto"/>
        </w:rPr>
        <w:tab/>
      </w:r>
      <w:r>
        <w:rPr>
          <w:rFonts w:ascii="Times New Roman" w:cs="Times New Roman" w:eastAsia="Times New Roman" w:hAnsi="Times New Roman"/>
          <w:sz w:val="16"/>
          <w:szCs w:val="16"/>
          <w:u w:val="single" w:color="auto"/>
          <w:color w:val="auto"/>
        </w:rPr>
        <w:t>Restricted Payments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1200" w:hanging="233"/>
        <w:spacing w:after="0"/>
        <w:tabs>
          <w:tab w:leader="none" w:pos="12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Restricted Subsidiary to, directly or indirectly:</w:t>
      </w:r>
    </w:p>
    <w:p>
      <w:pPr>
        <w:spacing w:after="0" w:line="108" w:lineRule="exact"/>
        <w:rPr>
          <w:rFonts w:ascii="Times New Roman" w:cs="Times New Roman" w:eastAsia="Times New Roman" w:hAnsi="Times New Roman"/>
          <w:sz w:val="18"/>
          <w:szCs w:val="18"/>
          <w:color w:val="auto"/>
        </w:rPr>
      </w:pPr>
    </w:p>
    <w:p>
      <w:pPr>
        <w:ind w:left="960" w:firstLine="397"/>
        <w:spacing w:after="0" w:line="249" w:lineRule="auto"/>
        <w:tabs>
          <w:tab w:leader="none" w:pos="15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payment or distribution on account of the Company’s or any Restricted Subsidiary’s Equity Interests (including, without limitation, any payment in connection with any merger or consolidation involving the Company or any Restricted Subsidiary) or to the direct or indirect holders of the Company’s or any Restricted Subsidiary’s Equity Interests in their capacity as such (other than dividends or distributions payable (A) in Equity Interests (other than Disqualified Stock) of the Company or (B) to the Company or a Restricted Subsidiary of the Company);</w:t>
      </w:r>
    </w:p>
    <w:p>
      <w:pPr>
        <w:spacing w:after="0" w:line="82" w:lineRule="exact"/>
        <w:rPr>
          <w:rFonts w:ascii="Times New Roman" w:cs="Times New Roman" w:eastAsia="Times New Roman" w:hAnsi="Times New Roman"/>
          <w:sz w:val="18"/>
          <w:szCs w:val="18"/>
          <w:color w:val="auto"/>
        </w:rPr>
      </w:pPr>
    </w:p>
    <w:p>
      <w:pPr>
        <w:ind w:left="960" w:right="600" w:firstLine="397"/>
        <w:spacing w:after="0" w:line="268" w:lineRule="auto"/>
        <w:tabs>
          <w:tab w:leader="none" w:pos="160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retire for value (including, without limitation, in connection with any merger or consolidation involving the Company) any Equity Interests of the Company;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20"/>
          </w:cols>
          <w:pgMar w:left="580" w:top="266" w:right="599" w:bottom="1440" w:gutter="0" w:footer="0" w:header="0"/>
        </w:sectPr>
      </w:pPr>
    </w:p>
    <w:bookmarkStart w:id="132" w:name="page133"/>
    <w:bookmarkEnd w:id="132"/>
    <w:p>
      <w:pPr>
        <w:ind w:left="960" w:right="20" w:firstLine="397"/>
        <w:spacing w:after="0" w:line="285" w:lineRule="auto"/>
        <w:tabs>
          <w:tab w:leader="none" w:pos="165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make any payment on or with respect to, or purchase, redeem, defease or otherwise acquire or retire for value any (x) unsecured Indebtedness or (y) Indebtedness that is expressly subordinated to the Notes or any Note Guarantee (including, for the avoidance of doubt, any Indebtedness that is secured by a Lien on the Collateral that is junior in priority to the Lien granted to the Secured Lien Collateral Trustee) (clauses (x) and (y) above collectively being referred to as “Specified Junior Debt”), except (A) a payment of interest or principal to the Company or any Restricted Subsidiary or (B) any payment made at the Stated Maturity thereof (or any payment, purchase or other acquisition, in anticipation of satisfying a sinking fund obligation, principal installment or final maturity due within one year); or</w:t>
      </w:r>
    </w:p>
    <w:p>
      <w:pPr>
        <w:spacing w:after="0" w:line="56" w:lineRule="exact"/>
        <w:rPr>
          <w:rFonts w:ascii="Times New Roman" w:cs="Times New Roman" w:eastAsia="Times New Roman" w:hAnsi="Times New Roman"/>
          <w:sz w:val="16"/>
          <w:szCs w:val="16"/>
          <w:color w:val="auto"/>
        </w:rPr>
      </w:pPr>
    </w:p>
    <w:p>
      <w:pPr>
        <w:ind w:left="960" w:right="440" w:firstLine="397"/>
        <w:spacing w:after="0" w:line="268" w:lineRule="auto"/>
        <w:tabs>
          <w:tab w:leader="none" w:pos="164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 (all such payments and other actions set forth in these clauses (i) through (iv) above being collectively referred to as “</w:t>
      </w:r>
      <w:r>
        <w:rPr>
          <w:rFonts w:ascii="Times New Roman" w:cs="Times New Roman" w:eastAsia="Times New Roman" w:hAnsi="Times New Roman"/>
          <w:sz w:val="18"/>
          <w:szCs w:val="18"/>
          <w:b w:val="1"/>
          <w:bCs w:val="1"/>
          <w:color w:val="auto"/>
        </w:rPr>
        <w:t>Restricted Payments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at the time of and after giving effect to such Restricted Payment:</w:t>
      </w:r>
    </w:p>
    <w:p>
      <w:pPr>
        <w:spacing w:after="0" w:line="108" w:lineRule="exact"/>
        <w:rPr>
          <w:sz w:val="20"/>
          <w:szCs w:val="20"/>
          <w:color w:val="auto"/>
        </w:rPr>
      </w:pPr>
    </w:p>
    <w:p>
      <w:pPr>
        <w:ind w:left="960" w:right="560" w:firstLine="397"/>
        <w:spacing w:after="0" w:line="268" w:lineRule="auto"/>
        <w:tabs>
          <w:tab w:leader="none" w:pos="15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occur as a consequence of such Restricted Payment;</w:t>
      </w:r>
    </w:p>
    <w:p>
      <w:pPr>
        <w:spacing w:after="0" w:line="63" w:lineRule="exact"/>
        <w:rPr>
          <w:rFonts w:ascii="Times New Roman" w:cs="Times New Roman" w:eastAsia="Times New Roman" w:hAnsi="Times New Roman"/>
          <w:sz w:val="18"/>
          <w:szCs w:val="18"/>
          <w:color w:val="auto"/>
        </w:rPr>
      </w:pPr>
    </w:p>
    <w:p>
      <w:pPr>
        <w:ind w:left="960" w:right="240" w:firstLine="397"/>
        <w:spacing w:after="0" w:line="256" w:lineRule="auto"/>
        <w:tabs>
          <w:tab w:leader="none" w:pos="15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Total Leverage Ratio test set forth in Section 4.13(a) hereof;</w:t>
      </w:r>
    </w:p>
    <w:p>
      <w:pPr>
        <w:spacing w:after="0" w:line="73" w:lineRule="exact"/>
        <w:rPr>
          <w:rFonts w:ascii="Times New Roman" w:cs="Times New Roman" w:eastAsia="Times New Roman" w:hAnsi="Times New Roman"/>
          <w:sz w:val="18"/>
          <w:szCs w:val="18"/>
          <w:color w:val="auto"/>
        </w:rPr>
      </w:pPr>
    </w:p>
    <w:p>
      <w:pPr>
        <w:ind w:left="960" w:right="300" w:firstLine="397"/>
        <w:spacing w:after="0" w:line="252" w:lineRule="auto"/>
        <w:tabs>
          <w:tab w:leader="none" w:pos="15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Payment, together with the aggregate amount of all other Restricted Payments made by the Company and the Restricted Subsidiaries after the Issue Date (excluding Restricted Payments permitted by Section 4.07(b)(ii) through (xi) hereof and including the net amount of any Restricted Payment permitted pursuant to Section 4.07(b) hereof) is less than the sum, without duplication, of:</w:t>
      </w:r>
    </w:p>
    <w:p>
      <w:pPr>
        <w:spacing w:after="0" w:line="76" w:lineRule="exact"/>
        <w:rPr>
          <w:rFonts w:ascii="Times New Roman" w:cs="Times New Roman" w:eastAsia="Times New Roman" w:hAnsi="Times New Roman"/>
          <w:sz w:val="18"/>
          <w:szCs w:val="18"/>
          <w:color w:val="auto"/>
        </w:rPr>
      </w:pPr>
    </w:p>
    <w:p>
      <w:pPr>
        <w:ind w:left="1400" w:firstLine="369"/>
        <w:spacing w:after="0" w:line="247" w:lineRule="auto"/>
        <w:tabs>
          <w:tab w:leader="none" w:pos="20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net cash proceeds to the extent received by the Company since the Issue Date, as a contribution to its common equity capital or in consideration of the issuance of Equity Interests of the Company (other than Disqualified Stock), except to the extent used to make an Investment pursuant to clause (12) or (13) of the definition of “Permitted Investments,” or from the issue or sale of Disqualified Stock or debt securities of the Company that have been converted into or exchanged for such Equity Interests (other than Equity Interests (or Disqualified Stock or debt securities) sold to a Subsidiary of the Company); provided that Restricted Investments made from such net cash proceeds in reliance on this clause (a) must be made in cash or Cash Equivalents; plus</w:t>
      </w:r>
    </w:p>
    <w:p>
      <w:pPr>
        <w:spacing w:after="0" w:line="86" w:lineRule="exact"/>
        <w:rPr>
          <w:rFonts w:ascii="Times New Roman" w:cs="Times New Roman" w:eastAsia="Times New Roman" w:hAnsi="Times New Roman"/>
          <w:sz w:val="18"/>
          <w:szCs w:val="18"/>
          <w:color w:val="auto"/>
        </w:rPr>
      </w:pPr>
    </w:p>
    <w:p>
      <w:pPr>
        <w:jc w:val="both"/>
        <w:ind w:left="1400" w:right="140" w:firstLine="369"/>
        <w:spacing w:after="0" w:line="256" w:lineRule="auto"/>
        <w:tabs>
          <w:tab w:leader="none" w:pos="205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Restricted Investment that was made after the Issue Date, is sold for cash or otherwise liquidated or repaid for cash, the lesser of (i) the cash return of capital with respect to such Restricted Investment (less the cost of disposition, if any) and (ii) the initial amount of such Restricted Investment; </w:t>
      </w:r>
      <w:r>
        <w:rPr>
          <w:rFonts w:ascii="Times New Roman" w:cs="Times New Roman" w:eastAsia="Times New Roman" w:hAnsi="Times New Roman"/>
          <w:sz w:val="18"/>
          <w:szCs w:val="18"/>
          <w:i w:val="1"/>
          <w:iCs w:val="1"/>
          <w:color w:val="auto"/>
        </w:rPr>
        <w:t>plus</w:t>
      </w:r>
    </w:p>
    <w:p>
      <w:pPr>
        <w:spacing w:after="0" w:line="73" w:lineRule="exact"/>
        <w:rPr>
          <w:rFonts w:ascii="Times New Roman" w:cs="Times New Roman" w:eastAsia="Times New Roman" w:hAnsi="Times New Roman"/>
          <w:sz w:val="18"/>
          <w:szCs w:val="18"/>
          <w:color w:val="auto"/>
        </w:rPr>
      </w:pPr>
    </w:p>
    <w:p>
      <w:pPr>
        <w:ind w:left="1400" w:firstLine="369"/>
        <w:spacing w:after="0" w:line="283" w:lineRule="auto"/>
        <w:tabs>
          <w:tab w:leader="none" w:pos="2051"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that any Unrestricted Subsidiary of the Company is redesignated as a Restricted Subsidiary after the Issue Date, the lesser of (i) the Fair Market Value of the Company’s or any Restricted Subsidiary’s Investment in such Subsidiary as of the date of such redesignation or (ii) the Fair Market Value of the Company’s or any Restricted Subsidiary’s Investment in such Subsidiary as of the date on which such Subsidiary was originally designated as an Unrestricted Subsidiary to the extent such Investment was treated as a Restricted Payment, plus the amount of any Investments made in such Subsidiary subsequent to such designation (or in the case of any Subsidiary that was an Unrestricted Subsidiary as of the Issue Date, subsequent to the Issue Date) to the extent any such Investment was treated as a Restricted Payment by the Company or any Restricted Subsidiary; </w:t>
      </w:r>
      <w:r>
        <w:rPr>
          <w:rFonts w:ascii="Times New Roman" w:cs="Times New Roman" w:eastAsia="Times New Roman" w:hAnsi="Times New Roman"/>
          <w:sz w:val="16"/>
          <w:szCs w:val="16"/>
          <w:i w:val="1"/>
          <w:iCs w:val="1"/>
          <w:color w:val="auto"/>
        </w:rPr>
        <w:t>plus</w:t>
      </w:r>
    </w:p>
    <w:p>
      <w:pPr>
        <w:spacing w:after="0" w:line="58" w:lineRule="exact"/>
        <w:rPr>
          <w:rFonts w:ascii="Times New Roman" w:cs="Times New Roman" w:eastAsia="Times New Roman" w:hAnsi="Times New Roman"/>
          <w:sz w:val="16"/>
          <w:szCs w:val="16"/>
          <w:color w:val="auto"/>
        </w:rPr>
      </w:pPr>
    </w:p>
    <w:p>
      <w:pPr>
        <w:ind w:left="1400" w:firstLine="369"/>
        <w:spacing w:after="0" w:line="249" w:lineRule="auto"/>
        <w:tabs>
          <w:tab w:leader="none" w:pos="20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any other dividends or other distributions received by the Company or a Restricted Subsidiary since the Issue Date from an Unrestricted Subsidiary of the Company to the extent that such dividends were not otherwise included in Consolidated Net Income of the Company for such period in an amount not to exceed the amount of Restricted Investments previously made by the Company and the Restricted Subsidiaries in such Unrestricted Subsidiary, except to the extent used to make an Investment pursuant to clause (17) of the definition of “Permitted Investments;” </w:t>
      </w:r>
      <w:r>
        <w:rPr>
          <w:rFonts w:ascii="Times New Roman" w:cs="Times New Roman" w:eastAsia="Times New Roman" w:hAnsi="Times New Roman"/>
          <w:sz w:val="18"/>
          <w:szCs w:val="18"/>
          <w:i w:val="1"/>
          <w:iCs w:val="1"/>
          <w:color w:val="auto"/>
        </w:rPr>
        <w:t>plus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80"/>
          </w:cols>
          <w:pgMar w:left="580" w:top="266" w:right="639" w:bottom="1440" w:gutter="0" w:footer="0" w:header="0"/>
        </w:sectPr>
      </w:pPr>
    </w:p>
    <w:bookmarkStart w:id="133" w:name="page134"/>
    <w:bookmarkEnd w:id="133"/>
    <w:p>
      <w:pPr>
        <w:jc w:val="both"/>
        <w:ind w:left="540" w:right="20" w:firstLine="369"/>
        <w:spacing w:after="0" w:line="256" w:lineRule="auto"/>
        <w:tabs>
          <w:tab w:leader="none" w:pos="1181"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solely with respect to Restricted Payments of the type described in Sections 4.07(a)(i) and (ii) hereof, an additional amount of $7.5 million during each fiscal year of the Company ending after the Issue Date, with any unused portion of such amount carrying forward to the next fiscal year of the Company.</w:t>
      </w:r>
    </w:p>
    <w:p>
      <w:pPr>
        <w:spacing w:after="0" w:line="178" w:lineRule="exact"/>
        <w:rPr>
          <w:rFonts w:ascii="Times New Roman" w:cs="Times New Roman" w:eastAsia="Times New Roman" w:hAnsi="Times New Roman"/>
          <w:sz w:val="18"/>
          <w:szCs w:val="18"/>
          <w:color w:val="auto"/>
        </w:rPr>
      </w:pPr>
    </w:p>
    <w:p>
      <w:pPr>
        <w:ind w:left="360" w:hanging="253"/>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has occurred and is continuing or would be caused thereby, the preceding provisions will not prohibit:</w:t>
      </w:r>
    </w:p>
    <w:p>
      <w:pPr>
        <w:spacing w:after="0" w:line="108" w:lineRule="exact"/>
        <w:rPr>
          <w:rFonts w:ascii="Times New Roman" w:cs="Times New Roman" w:eastAsia="Times New Roman" w:hAnsi="Times New Roman"/>
          <w:sz w:val="18"/>
          <w:szCs w:val="18"/>
          <w:color w:val="auto"/>
        </w:rPr>
      </w:pPr>
    </w:p>
    <w:p>
      <w:pPr>
        <w:ind w:left="100" w:right="120" w:firstLine="397"/>
        <w:spacing w:after="0" w:line="268" w:lineRule="auto"/>
        <w:tabs>
          <w:tab w:leader="none" w:pos="69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within 60 days after the date of declaration of the dividend, if at the date of declaration the dividend payment would have complied with the provisions of this Indenture;</w:t>
      </w:r>
    </w:p>
    <w:p>
      <w:pPr>
        <w:spacing w:after="0" w:line="63" w:lineRule="exact"/>
        <w:rPr>
          <w:rFonts w:ascii="Times New Roman" w:cs="Times New Roman" w:eastAsia="Times New Roman" w:hAnsi="Times New Roman"/>
          <w:sz w:val="18"/>
          <w:szCs w:val="18"/>
          <w:color w:val="auto"/>
        </w:rPr>
      </w:pPr>
    </w:p>
    <w:p>
      <w:pPr>
        <w:ind w:left="100" w:right="20" w:firstLine="397"/>
        <w:spacing w:after="0" w:line="248" w:lineRule="auto"/>
        <w:tabs>
          <w:tab w:leader="none" w:pos="74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repurchase, retirement, defeasance or other acquisition of any subordinated Indebtedness of the Company or any Guarantor or of any Equity Interests of the Company in exchange for, or out of the net cash proceeds of the substantially concurrent sale (other than to a Subsidiary of the Company) of, Equity Interests (other than Equity Interests used to make an Investment pursuant to clause (12) of the definition of “Permitted Investments”) of the Company (other than 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net cash proceeds that are utilized for any such redemption, repurchase, retirement, defeasance or other acquisition will be excluded from Section 4.07(a)(iii)(A);</w:t>
      </w:r>
    </w:p>
    <w:p>
      <w:pPr>
        <w:spacing w:after="0" w:line="83" w:lineRule="exact"/>
        <w:rPr>
          <w:rFonts w:ascii="Times New Roman" w:cs="Times New Roman" w:eastAsia="Times New Roman" w:hAnsi="Times New Roman"/>
          <w:sz w:val="18"/>
          <w:szCs w:val="18"/>
          <w:color w:val="auto"/>
        </w:rPr>
      </w:pPr>
    </w:p>
    <w:p>
      <w:pPr>
        <w:ind w:left="100" w:right="20" w:firstLine="397"/>
        <w:spacing w:after="0" w:line="268" w:lineRule="auto"/>
        <w:tabs>
          <w:tab w:leader="none" w:pos="79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redemption, repurchase or other acquisition of subordinated Indebtedness of the Company or any Guarantor with the net cash proceeds from an incurrence of Permitted Refinancing Indebtedness;</w:t>
      </w:r>
    </w:p>
    <w:p>
      <w:pPr>
        <w:spacing w:after="0" w:line="63" w:lineRule="exact"/>
        <w:rPr>
          <w:rFonts w:ascii="Times New Roman" w:cs="Times New Roman" w:eastAsia="Times New Roman" w:hAnsi="Times New Roman"/>
          <w:sz w:val="18"/>
          <w:szCs w:val="18"/>
          <w:color w:val="auto"/>
        </w:rPr>
      </w:pPr>
    </w:p>
    <w:p>
      <w:pPr>
        <w:ind w:left="100" w:right="560" w:firstLine="397"/>
        <w:spacing w:after="0" w:line="331" w:lineRule="auto"/>
        <w:tabs>
          <w:tab w:leader="none" w:pos="787"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of any dividend by a (i) Guarantor to the holders of its Equity Interests, other than Non-Guarantor Restricted Subsidiaries and (ii) Non-Guarantor Restricted Subsidiary to holders of its Equity Interests, in either case, on a pro rata basis;</w:t>
      </w:r>
    </w:p>
    <w:p>
      <w:pPr>
        <w:spacing w:after="0" w:line="18" w:lineRule="exact"/>
        <w:rPr>
          <w:rFonts w:ascii="Times New Roman" w:cs="Times New Roman" w:eastAsia="Times New Roman" w:hAnsi="Times New Roman"/>
          <w:sz w:val="16"/>
          <w:szCs w:val="16"/>
          <w:color w:val="auto"/>
        </w:rPr>
      </w:pPr>
    </w:p>
    <w:p>
      <w:pPr>
        <w:ind w:left="100" w:right="100" w:firstLine="397"/>
        <w:spacing w:after="0" w:line="248" w:lineRule="auto"/>
        <w:tabs>
          <w:tab w:leader="none" w:pos="73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Equity Interests deemed to occur upon (a) exercise of stock options to the extent that shares of such Equity Interests represent a portion of the exercise price of such options, (b) the withholding of a portion of the Equity Interests granted or awarded to an employee to pay taxes associated therewith in accordance with customary stock option plans or other benefit plans established in the ordinary course of business or (c) upon the exercise of any call option or capped call option (or substantively equivalent derivative transaction) described in the definition of “Permitted Bond Hedge Transaction” in connection with a Permitted Bond Hedge Transaction ;</w:t>
      </w:r>
    </w:p>
    <w:p>
      <w:pPr>
        <w:spacing w:after="0" w:line="83" w:lineRule="exact"/>
        <w:rPr>
          <w:rFonts w:ascii="Times New Roman" w:cs="Times New Roman" w:eastAsia="Times New Roman" w:hAnsi="Times New Roman"/>
          <w:sz w:val="18"/>
          <w:szCs w:val="18"/>
          <w:color w:val="auto"/>
        </w:rPr>
      </w:pPr>
    </w:p>
    <w:p>
      <w:pPr>
        <w:ind w:left="100" w:right="20" w:firstLine="397"/>
        <w:spacing w:after="0" w:line="249" w:lineRule="auto"/>
        <w:tabs>
          <w:tab w:leader="none" w:pos="78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redemption or other acquisition or retirement for value of Equity Interests of the Company or any Restricted Subsidiary held by any member of the Company’s (or any Restricted Subsidiary’s) management in accordance with customary stock option plans or other benefit plans established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expended pursuant to this clause (vi) shall not exceed $2.0 million in any fiscal year of the Company (with any unused amounts carrying over to the next fiscal year of the Company);</w:t>
      </w:r>
    </w:p>
    <w:p>
      <w:pPr>
        <w:spacing w:after="0" w:line="82" w:lineRule="exact"/>
        <w:rPr>
          <w:rFonts w:ascii="Times New Roman" w:cs="Times New Roman" w:eastAsia="Times New Roman" w:hAnsi="Times New Roman"/>
          <w:sz w:val="18"/>
          <w:szCs w:val="18"/>
          <w:color w:val="auto"/>
        </w:rPr>
      </w:pPr>
    </w:p>
    <w:p>
      <w:pPr>
        <w:ind w:left="100" w:firstLine="397"/>
        <w:spacing w:after="0" w:line="256" w:lineRule="auto"/>
        <w:tabs>
          <w:tab w:leader="none" w:pos="8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paid upon the vesting of Equity Interests issued in accordance with customary stock option plans or other benefit plans established in the ordinary course of business when the Company was a real estate investment trust provided that the aggregate amount of Restricted Payments made pursuant to this clause (vii) shall not exceed $5.0 million;</w:t>
      </w:r>
    </w:p>
    <w:p>
      <w:pPr>
        <w:spacing w:after="0" w:line="73" w:lineRule="exact"/>
        <w:rPr>
          <w:rFonts w:ascii="Times New Roman" w:cs="Times New Roman" w:eastAsia="Times New Roman" w:hAnsi="Times New Roman"/>
          <w:sz w:val="18"/>
          <w:szCs w:val="18"/>
          <w:color w:val="auto"/>
        </w:rPr>
      </w:pPr>
    </w:p>
    <w:p>
      <w:pPr>
        <w:ind w:left="100" w:right="100" w:firstLine="397"/>
        <w:spacing w:after="0" w:line="268" w:lineRule="auto"/>
        <w:tabs>
          <w:tab w:leader="none" w:pos="88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defeasance or other retirement for value of any Permitted Convertible Indebtedness, including any payments required in connection with a conversion of any Permitted Convertible Indebtedness;</w:t>
      </w:r>
    </w:p>
    <w:p>
      <w:pPr>
        <w:spacing w:after="0" w:line="1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860"/>
          </w:cols>
          <w:pgMar w:left="1440" w:top="266" w:right="599" w:bottom="1440" w:gutter="0" w:footer="0" w:header="0"/>
        </w:sectPr>
      </w:pPr>
    </w:p>
    <w:bookmarkStart w:id="134" w:name="page135"/>
    <w:bookmarkEnd w:id="134"/>
    <w:p>
      <w:pPr>
        <w:ind w:left="1660" w:hanging="303"/>
        <w:spacing w:after="0"/>
        <w:tabs>
          <w:tab w:leader="none" w:pos="1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payments made in connection with (including, without limitation, purchases of) any Permitted Bond Hedge Transaction;</w:t>
      </w:r>
    </w:p>
    <w:p>
      <w:pPr>
        <w:spacing w:after="0" w:line="108"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(A) to exercise or settle any Permitted Warrant Transaction (a) by delivery of common stock of the Company,</w:t>
      </w:r>
    </w:p>
    <w:p>
      <w:pPr>
        <w:spacing w:after="0" w:line="21" w:lineRule="exact"/>
        <w:rPr>
          <w:rFonts w:ascii="Times New Roman" w:cs="Times New Roman" w:eastAsia="Times New Roman" w:hAnsi="Times New Roman"/>
          <w:sz w:val="18"/>
          <w:szCs w:val="18"/>
          <w:color w:val="auto"/>
        </w:rPr>
      </w:pPr>
    </w:p>
    <w:p>
      <w:pPr>
        <w:ind w:left="960" w:firstLine="7"/>
        <w:spacing w:after="0" w:line="245" w:lineRule="auto"/>
        <w:tabs>
          <w:tab w:leader="none" w:pos="12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set-off against the related Permitted Bond Hedge Transaction or (c) with cash payments in an aggregate amount not to exceed the aggregate amount of any payments received by the Company or any of the Restricted Subsidiaries pursuant to the exercise or settlement of any related Permitted Bond Hedge Transaction, or (B) to terminate any Permitted Warrant Transaction; and</w:t>
      </w:r>
    </w:p>
    <w:p>
      <w:pPr>
        <w:spacing w:after="0" w:line="84" w:lineRule="exact"/>
        <w:rPr>
          <w:rFonts w:ascii="Times New Roman" w:cs="Times New Roman" w:eastAsia="Times New Roman" w:hAnsi="Times New Roman"/>
          <w:sz w:val="18"/>
          <w:szCs w:val="18"/>
          <w:color w:val="auto"/>
        </w:rPr>
      </w:pPr>
    </w:p>
    <w:p>
      <w:pPr>
        <w:ind w:left="960" w:firstLine="397"/>
        <w:spacing w:after="0" w:line="256" w:lineRule="auto"/>
        <w:tabs>
          <w:tab w:leader="none" w:pos="164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redemptions, purchases, defeasances and other payments of Specified Junior Debt prior to the Stated Maturity thereof so long as, after giving pro forma effect to such Restricted Payment, the Company would be in compliance with the Total Leverage Ratio test set forth in Section 4.13(a) hereof and the Senior Secured Leverage Ratio test set forth in Section 4.13(b) hereof.</w:t>
      </w:r>
    </w:p>
    <w:p>
      <w:pPr>
        <w:spacing w:after="0" w:line="179" w:lineRule="exact"/>
        <w:rPr>
          <w:sz w:val="20"/>
          <w:szCs w:val="20"/>
          <w:color w:val="auto"/>
        </w:rPr>
      </w:pPr>
    </w:p>
    <w:p>
      <w:pPr>
        <w:ind w:right="400" w:firstLine="965"/>
        <w:spacing w:after="0" w:line="256" w:lineRule="auto"/>
        <w:rPr>
          <w:sz w:val="20"/>
          <w:szCs w:val="20"/>
          <w:color w:val="auto"/>
        </w:rPr>
      </w:pPr>
      <w:r>
        <w:rPr>
          <w:rFonts w:ascii="Times New Roman" w:cs="Times New Roman" w:eastAsia="Times New Roman" w:hAnsi="Times New Roman"/>
          <w:sz w:val="18"/>
          <w:szCs w:val="18"/>
          <w:color w:val="auto"/>
        </w:rPr>
        <w:t>The amount of all Restricted Payments (other than cash) shall be the Fair Market Value on the date of the Restricted Payment of the asset(s) or securities proposed to be transferred or issued by the Company or a Restricted Subsidiary, as the case may be, pursuant to the Restricted Payment.</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4.08</w:t>
      </w:r>
      <w:r>
        <w:rPr>
          <w:sz w:val="20"/>
          <w:szCs w:val="20"/>
          <w:color w:val="auto"/>
        </w:rPr>
        <w:tab/>
      </w:r>
      <w:r>
        <w:rPr>
          <w:rFonts w:ascii="Times New Roman" w:cs="Times New Roman" w:eastAsia="Times New Roman" w:hAnsi="Times New Roman"/>
          <w:sz w:val="16"/>
          <w:szCs w:val="16"/>
          <w:u w:val="single" w:color="auto"/>
          <w:color w:val="auto"/>
        </w:rPr>
        <w:t>Dividend and Other Payment Restrictions Affecting Restricted Subsidiaries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340" w:firstLine="967"/>
        <w:spacing w:after="0" w:line="268" w:lineRule="auto"/>
        <w:tabs>
          <w:tab w:leader="none" w:pos="120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of the Restricted Subsidiaries to, directly or indirectly, create or permit to exist or become effective any consensual encumbrance or restriction on the ability of any Restricted Subsidiary to:</w:t>
      </w:r>
    </w:p>
    <w:p>
      <w:pPr>
        <w:spacing w:after="0" w:line="63" w:lineRule="exact"/>
        <w:rPr>
          <w:rFonts w:ascii="Times New Roman" w:cs="Times New Roman" w:eastAsia="Times New Roman" w:hAnsi="Times New Roman"/>
          <w:sz w:val="18"/>
          <w:szCs w:val="18"/>
          <w:color w:val="auto"/>
        </w:rPr>
      </w:pPr>
    </w:p>
    <w:p>
      <w:pPr>
        <w:ind w:left="960" w:right="260" w:firstLine="397"/>
        <w:spacing w:after="0" w:line="268" w:lineRule="auto"/>
        <w:tabs>
          <w:tab w:leader="none" w:pos="155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on its Capital Stock to the Company or any of the Restricted Subsidiaries or pay any Indebtedness owed to the Company or any of the Restricted Subsidiaries ;</w:t>
      </w:r>
    </w:p>
    <w:p>
      <w:pPr>
        <w:spacing w:after="0" w:line="63" w:lineRule="exact"/>
        <w:rPr>
          <w:rFonts w:ascii="Times New Roman" w:cs="Times New Roman" w:eastAsia="Times New Roman" w:hAnsi="Times New Roman"/>
          <w:sz w:val="18"/>
          <w:szCs w:val="18"/>
          <w:color w:val="auto"/>
        </w:rPr>
      </w:pPr>
    </w:p>
    <w:p>
      <w:pPr>
        <w:ind w:left="1620" w:hanging="263"/>
        <w:spacing w:after="0"/>
        <w:tabs>
          <w:tab w:leader="none" w:pos="1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the Company or any of the Restricted Subsidiaries ; or</w:t>
      </w:r>
    </w:p>
    <w:p>
      <w:pPr>
        <w:spacing w:after="0" w:line="108"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properties or assets to the Company or any of the Restricted Subsidiaries .</w:t>
      </w:r>
    </w:p>
    <w:p>
      <w:pPr>
        <w:spacing w:after="0" w:line="21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However, the restrictions set forth in Section 4.08(a) hereof shall not apply to encumbrances or restrictions existing under or by reason</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of:</w:t>
      </w:r>
    </w:p>
    <w:p>
      <w:pPr>
        <w:spacing w:after="0" w:line="90" w:lineRule="exact"/>
        <w:rPr>
          <w:rFonts w:ascii="Times New Roman" w:cs="Times New Roman" w:eastAsia="Times New Roman" w:hAnsi="Times New Roman"/>
          <w:sz w:val="16"/>
          <w:szCs w:val="16"/>
          <w:color w:val="auto"/>
        </w:rPr>
      </w:pPr>
    </w:p>
    <w:p>
      <w:pPr>
        <w:ind w:left="1560" w:hanging="203"/>
        <w:spacing w:after="0"/>
        <w:tabs>
          <w:tab w:leader="none" w:pos="15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governing Existing Indebtedness and the Credit Facilities as in effect on the date hereof and any amendments,</w:t>
      </w:r>
    </w:p>
    <w:p>
      <w:pPr>
        <w:spacing w:after="0" w:line="21" w:lineRule="exact"/>
        <w:rPr>
          <w:rFonts w:ascii="Times New Roman" w:cs="Times New Roman" w:eastAsia="Times New Roman" w:hAnsi="Times New Roman"/>
          <w:sz w:val="18"/>
          <w:szCs w:val="18"/>
          <w:color w:val="auto"/>
        </w:rPr>
      </w:pPr>
    </w:p>
    <w:p>
      <w:pPr>
        <w:ind w:left="9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modifications, restatements, renewals, increases, supplements, refundings, replacements or refinancings of those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amendments, modifications, restatements, renewals, increases, supplements, refundings, replacements or refinancings are not materially more restrictive, taken as a whole, with respect to such dividend and other payment restrictions than those contained in those agreements on the date hereof;</w:t>
      </w:r>
    </w:p>
    <w:p>
      <w:pPr>
        <w:spacing w:after="0" w:line="83" w:lineRule="exact"/>
        <w:rPr>
          <w:rFonts w:ascii="Times New Roman" w:cs="Times New Roman" w:eastAsia="Times New Roman" w:hAnsi="Times New Roman"/>
          <w:sz w:val="18"/>
          <w:szCs w:val="18"/>
          <w:color w:val="auto"/>
        </w:rPr>
      </w:pPr>
    </w:p>
    <w:p>
      <w:pPr>
        <w:ind w:left="960" w:right="320" w:firstLine="397"/>
        <w:spacing w:after="0" w:line="268" w:lineRule="auto"/>
        <w:tabs>
          <w:tab w:leader="none" w:pos="160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the Notes, the Guarantees, the Second Lien Collateral Trust Agreement, the other Security Documents and the First Lien/Second Lien Intercreditor Agreement;</w:t>
      </w:r>
    </w:p>
    <w:p>
      <w:pPr>
        <w:spacing w:after="0" w:line="63"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rule, regulation or order;</w:t>
      </w:r>
    </w:p>
    <w:p>
      <w:pPr>
        <w:spacing w:after="0" w:line="108" w:lineRule="exact"/>
        <w:rPr>
          <w:rFonts w:ascii="Times New Roman" w:cs="Times New Roman" w:eastAsia="Times New Roman" w:hAnsi="Times New Roman"/>
          <w:sz w:val="18"/>
          <w:szCs w:val="18"/>
          <w:color w:val="auto"/>
        </w:rPr>
      </w:pPr>
    </w:p>
    <w:p>
      <w:pPr>
        <w:ind w:left="960" w:firstLine="397"/>
        <w:spacing w:after="0" w:line="249" w:lineRule="auto"/>
        <w:tabs>
          <w:tab w:leader="none" w:pos="164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instrument governing Indebtedness or Capital Stock of a Person acquired by the Company or any of the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Indebtedness, such Indebtedness was permitted by the terms of this Indenture to be incurred;</w:t>
      </w:r>
    </w:p>
    <w:p>
      <w:pPr>
        <w:spacing w:after="0" w:line="82" w:lineRule="exact"/>
        <w:rPr>
          <w:rFonts w:ascii="Times New Roman" w:cs="Times New Roman" w:eastAsia="Times New Roman" w:hAnsi="Times New Roman"/>
          <w:sz w:val="18"/>
          <w:szCs w:val="18"/>
          <w:color w:val="auto"/>
        </w:rPr>
      </w:pPr>
    </w:p>
    <w:p>
      <w:pPr>
        <w:jc w:val="both"/>
        <w:ind w:left="960" w:right="40" w:firstLine="397"/>
        <w:spacing w:after="0" w:line="256" w:lineRule="auto"/>
        <w:tabs>
          <w:tab w:leader="none" w:pos="159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of any contract or agreement entered into in the ordinary course of business and customary provisions restricting subletting or transfer of any interest in real or personal property contained in any lease or easement agreement of the Company or any Restricted Subsidiaries;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00"/>
          </w:cols>
          <w:pgMar w:left="580" w:top="266" w:right="619" w:bottom="1440" w:gutter="0" w:footer="0" w:header="0"/>
        </w:sectPr>
      </w:pPr>
    </w:p>
    <w:bookmarkStart w:id="135" w:name="page136"/>
    <w:bookmarkEnd w:id="135"/>
    <w:p>
      <w:pPr>
        <w:ind w:left="920" w:right="120" w:firstLine="397"/>
        <w:spacing w:after="0" w:line="268" w:lineRule="auto"/>
        <w:tabs>
          <w:tab w:leader="none" w:pos="16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purchase money obligations for property acquired in the ordinary course of business that impose restrictions on that property of the nature described in Section 4.08(a)(iii) hereof;</w:t>
      </w:r>
    </w:p>
    <w:p>
      <w:pPr>
        <w:spacing w:after="0" w:line="63" w:lineRule="exact"/>
        <w:rPr>
          <w:rFonts w:ascii="Times New Roman" w:cs="Times New Roman" w:eastAsia="Times New Roman" w:hAnsi="Times New Roman"/>
          <w:sz w:val="18"/>
          <w:szCs w:val="18"/>
          <w:color w:val="auto"/>
        </w:rPr>
      </w:pPr>
    </w:p>
    <w:p>
      <w:pPr>
        <w:ind w:left="920" w:right="60" w:firstLine="397"/>
        <w:spacing w:after="0" w:line="256" w:lineRule="auto"/>
        <w:tabs>
          <w:tab w:leader="none" w:pos="165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sale or other disposition of all or substantially all of the assets or Capital Stock of a Restricted Subsidiary that restricts distributions by that Restricted Subsidiary pending its sale or other disposition of all or substantially all of the assets or Capital Stock of such Restricted Subsidiary;</w:t>
      </w:r>
    </w:p>
    <w:p>
      <w:pPr>
        <w:spacing w:after="0" w:line="71" w:lineRule="exact"/>
        <w:rPr>
          <w:rFonts w:ascii="Times New Roman" w:cs="Times New Roman" w:eastAsia="Times New Roman" w:hAnsi="Times New Roman"/>
          <w:sz w:val="18"/>
          <w:szCs w:val="18"/>
          <w:color w:val="auto"/>
        </w:rPr>
      </w:pPr>
    </w:p>
    <w:p>
      <w:pPr>
        <w:ind w:left="920" w:right="220" w:firstLine="397"/>
        <w:spacing w:after="0" w:line="257" w:lineRule="auto"/>
        <w:tabs>
          <w:tab w:leader="none" w:pos="170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restrictions contained in the agreements governing such Permitted Refinancing Indebtedness with respect to dividends and other payments are not materially more restrictive, taken as a whole, than those contained in the agreements governing the Indebtedness being refinanced;</w:t>
      </w:r>
    </w:p>
    <w:p>
      <w:pPr>
        <w:spacing w:after="0" w:line="73" w:lineRule="exact"/>
        <w:rPr>
          <w:rFonts w:ascii="Times New Roman" w:cs="Times New Roman" w:eastAsia="Times New Roman" w:hAnsi="Times New Roman"/>
          <w:sz w:val="18"/>
          <w:szCs w:val="18"/>
          <w:color w:val="auto"/>
        </w:rPr>
      </w:pPr>
    </w:p>
    <w:p>
      <w:pPr>
        <w:ind w:left="920" w:right="320" w:firstLine="397"/>
        <w:spacing w:after="0" w:line="268" w:lineRule="auto"/>
        <w:tabs>
          <w:tab w:leader="none" w:pos="16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otherwise permitted to be incurred under Section 4.12 hereof that limit the right of the debtor to dispose of the assets subject to such Liens;</w:t>
      </w:r>
    </w:p>
    <w:p>
      <w:pPr>
        <w:spacing w:after="0" w:line="63" w:lineRule="exact"/>
        <w:rPr>
          <w:rFonts w:ascii="Times New Roman" w:cs="Times New Roman" w:eastAsia="Times New Roman" w:hAnsi="Times New Roman"/>
          <w:sz w:val="18"/>
          <w:szCs w:val="18"/>
          <w:color w:val="auto"/>
        </w:rPr>
      </w:pPr>
    </w:p>
    <w:p>
      <w:pPr>
        <w:ind w:left="920" w:right="120" w:firstLine="397"/>
        <w:spacing w:after="0" w:line="268" w:lineRule="auto"/>
        <w:tabs>
          <w:tab w:leader="none" w:pos="155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with respect to the disposition or distribution of assets or property in joint venture agreements, asset sale agreements, stock sale agreements and other similar agreements entered into in the ordinary course of business;</w:t>
      </w:r>
    </w:p>
    <w:p>
      <w:pPr>
        <w:spacing w:after="0" w:line="63" w:lineRule="exact"/>
        <w:rPr>
          <w:rFonts w:ascii="Times New Roman" w:cs="Times New Roman" w:eastAsia="Times New Roman" w:hAnsi="Times New Roman"/>
          <w:sz w:val="18"/>
          <w:szCs w:val="18"/>
          <w:color w:val="auto"/>
        </w:rPr>
      </w:pPr>
    </w:p>
    <w:p>
      <w:pPr>
        <w:ind w:left="1620" w:hanging="303"/>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cash or other deposits or net worth imposed by customers under contracts entered into in the ordinary course of</w:t>
      </w:r>
    </w:p>
    <w:p>
      <w:pPr>
        <w:spacing w:after="0" w:line="44"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business;</w:t>
      </w:r>
    </w:p>
    <w:p>
      <w:pPr>
        <w:spacing w:after="0" w:line="90" w:lineRule="exact"/>
        <w:rPr>
          <w:rFonts w:ascii="Times New Roman" w:cs="Times New Roman" w:eastAsia="Times New Roman" w:hAnsi="Times New Roman"/>
          <w:sz w:val="16"/>
          <w:szCs w:val="16"/>
          <w:color w:val="auto"/>
        </w:rPr>
      </w:pPr>
    </w:p>
    <w:p>
      <w:pPr>
        <w:ind w:left="920" w:right="100" w:firstLine="397"/>
        <w:spacing w:after="0" w:line="285" w:lineRule="auto"/>
        <w:tabs>
          <w:tab w:leader="none" w:pos="165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Indebtedness incurred in compliance with Section 4.09 hereof by any Foreign Subsidiary or any Guarantor, or any agreement pursuant to which such Indebtedness is issued, if the encumbrance or restriction applies only to such Foreign Subsidiary or Guarantor and only in the event of a payment default or default with respect to a financial covenant contained in the Indebtedness or agreement and the encumbrance or restriction is not materially more disadvantageous to the Holders of the Notes than is customary in comparable financings (as determined by the Board of Directors of the Company) and the Board of Directors of the Company determines that any such encumbrance or restriction will not materially affect the Company’s ability to pay interest or principal on the Notes; or</w:t>
      </w:r>
    </w:p>
    <w:p>
      <w:pPr>
        <w:spacing w:after="0" w:line="56" w:lineRule="exact"/>
        <w:rPr>
          <w:rFonts w:ascii="Times New Roman" w:cs="Times New Roman" w:eastAsia="Times New Roman" w:hAnsi="Times New Roman"/>
          <w:sz w:val="16"/>
          <w:szCs w:val="16"/>
          <w:color w:val="auto"/>
        </w:rPr>
      </w:pPr>
    </w:p>
    <w:p>
      <w:pPr>
        <w:ind w:left="920" w:right="140" w:firstLine="397"/>
        <w:spacing w:after="0" w:line="256" w:lineRule="auto"/>
        <w:tabs>
          <w:tab w:leader="none" w:pos="170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arrangement or circumstance arising or agreed to in the ordinary course of business, not relating to any Indebtedness, and that does not, individually or in the aggregate, detract from the value of property or assets of the Company or any Restricted Subsidiaries in any manner material to the Company or any Restricted Subsidiaries.</w:t>
      </w:r>
    </w:p>
    <w:p>
      <w:pPr>
        <w:spacing w:after="0" w:line="205" w:lineRule="exact"/>
        <w:rPr>
          <w:sz w:val="20"/>
          <w:szCs w:val="20"/>
          <w:color w:val="auto"/>
        </w:rPr>
      </w:pPr>
    </w:p>
    <w:p>
      <w:pPr>
        <w:ind w:left="380"/>
        <w:spacing w:after="0"/>
        <w:tabs>
          <w:tab w:leader="none" w:pos="1860" w:val="left"/>
        </w:tabs>
        <w:rPr>
          <w:sz w:val="20"/>
          <w:szCs w:val="20"/>
          <w:color w:val="auto"/>
        </w:rPr>
      </w:pPr>
      <w:r>
        <w:rPr>
          <w:rFonts w:ascii="Times New Roman" w:cs="Times New Roman" w:eastAsia="Times New Roman" w:hAnsi="Times New Roman"/>
          <w:sz w:val="18"/>
          <w:szCs w:val="18"/>
          <w:u w:val="single" w:color="auto"/>
          <w:color w:val="auto"/>
        </w:rPr>
        <w:t>Section 4.09</w:t>
      </w:r>
      <w:r>
        <w:rPr>
          <w:sz w:val="20"/>
          <w:szCs w:val="20"/>
          <w:color w:val="auto"/>
        </w:rPr>
        <w:tab/>
      </w:r>
      <w:r>
        <w:rPr>
          <w:rFonts w:ascii="Times New Roman" w:cs="Times New Roman" w:eastAsia="Times New Roman" w:hAnsi="Times New Roman"/>
          <w:sz w:val="16"/>
          <w:szCs w:val="16"/>
          <w:u w:val="single" w:color="auto"/>
          <w:color w:val="auto"/>
        </w:rPr>
        <w:t>Incurrence of Indebtedness and Issuance of Preferred Stock</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40" w:firstLine="967"/>
        <w:spacing w:after="0" w:line="252" w:lineRule="auto"/>
        <w:tabs>
          <w:tab w:leader="none" w:pos="11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Restricted Subsidiary to, directly or indirectly, create, incur, issue, assume, guarantee or otherwise become directly or indirectly liable, contingently or otherwise, with respect to (collectively, “</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any Indebtedness (including Acquired Debt), and the Company will not issue any Disqualified Stock and will not permit any Restricted Subsidiary to issue any Disqualified Stock or Preferred Stock.</w:t>
      </w:r>
    </w:p>
    <w:p>
      <w:pPr>
        <w:spacing w:after="0" w:line="182" w:lineRule="exact"/>
        <w:rPr>
          <w:rFonts w:ascii="Times New Roman" w:cs="Times New Roman" w:eastAsia="Times New Roman" w:hAnsi="Times New Roman"/>
          <w:sz w:val="18"/>
          <w:szCs w:val="18"/>
          <w:color w:val="auto"/>
        </w:rPr>
      </w:pPr>
    </w:p>
    <w:p>
      <w:pPr>
        <w:ind w:left="-40" w:right="140" w:firstLine="967"/>
        <w:spacing w:after="0" w:line="268" w:lineRule="auto"/>
        <w:tabs>
          <w:tab w:leader="none" w:pos="117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will not prohibit the incurrence of any of the following items of Indebtedness or the issuance of Disqualified Stock or Preferred Stock, as set forth below (collectively,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20" w:firstLine="397"/>
        <w:spacing w:after="0" w:line="248" w:lineRule="auto"/>
        <w:tabs>
          <w:tab w:leader="none" w:pos="151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and any Restricted Subsidiary of Indebtedness under one or more Credit Facilities in an aggregate principal amount at any one time outstanding under this clause (i) not to exceed the sum of the principal amount outstanding and revolving commitments under the Exchange Credit Agreement and the 2017 Credit Agreement on the Issue Date, after giving effect to the Refinancing Transactions, and with such amount being permanently reduced dollar-for-dollar by the principal amount of any Indebtedness outstanding under the Exchange Credit Agreement as of the Issue Date that is permanently prepaid pursuant to any mandatory prepayment provisions thereunder;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660"/>
          </w:cols>
          <w:pgMar w:left="620" w:top="266" w:right="619" w:bottom="1440" w:gutter="0" w:footer="0" w:header="0"/>
        </w:sectPr>
      </w:pPr>
    </w:p>
    <w:bookmarkStart w:id="136" w:name="page137"/>
    <w:bookmarkEnd w:id="136"/>
    <w:p>
      <w:pPr>
        <w:ind w:left="760" w:hanging="263"/>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incurrence by the Company and any Restricted Subsidiary of Existing Indebtedness;</w:t>
      </w:r>
    </w:p>
    <w:p>
      <w:pPr>
        <w:spacing w:after="0" w:line="108" w:lineRule="exact"/>
        <w:rPr>
          <w:rFonts w:ascii="Times New Roman" w:cs="Times New Roman" w:eastAsia="Times New Roman" w:hAnsi="Times New Roman"/>
          <w:sz w:val="18"/>
          <w:szCs w:val="18"/>
          <w:color w:val="auto"/>
        </w:rPr>
      </w:pPr>
    </w:p>
    <w:p>
      <w:pPr>
        <w:ind w:left="100" w:right="320" w:firstLine="397"/>
        <w:spacing w:after="0" w:line="268" w:lineRule="auto"/>
        <w:tabs>
          <w:tab w:leader="none" w:pos="79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of Indebtedness represented by the Notes to be issued on the date hereof and any Guarantees thereof by any Guarantor;</w:t>
      </w:r>
    </w:p>
    <w:p>
      <w:pPr>
        <w:spacing w:after="0" w:line="63" w:lineRule="exact"/>
        <w:rPr>
          <w:rFonts w:ascii="Times New Roman" w:cs="Times New Roman" w:eastAsia="Times New Roman" w:hAnsi="Times New Roman"/>
          <w:sz w:val="18"/>
          <w:szCs w:val="18"/>
          <w:color w:val="auto"/>
        </w:rPr>
      </w:pPr>
    </w:p>
    <w:p>
      <w:pPr>
        <w:ind w:left="100" w:firstLine="397"/>
        <w:spacing w:after="0" w:line="249" w:lineRule="auto"/>
        <w:tabs>
          <w:tab w:leader="none" w:pos="7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Restricted Subsidiary of Indebtedness represented by Capital Lease Obligations, mortgage financings or purchase money obligations, in each case, incurred for the purpose of financing all or any part of the purchase price or cost of construction or improvement of property, plant or equipment used in the business of the Company or such Restricted Subsidiary, in an aggregate principal amount, including all Permitted Refinancing Indebtedness incurred to refund, refinance or replace any Indebtedness incurred pursuant to this clause (iv), not to exceed $40.0 million at any one time outstanding;</w:t>
      </w:r>
    </w:p>
    <w:p>
      <w:pPr>
        <w:spacing w:after="0" w:line="82" w:lineRule="exact"/>
        <w:rPr>
          <w:rFonts w:ascii="Times New Roman" w:cs="Times New Roman" w:eastAsia="Times New Roman" w:hAnsi="Times New Roman"/>
          <w:sz w:val="18"/>
          <w:szCs w:val="18"/>
          <w:color w:val="auto"/>
        </w:rPr>
      </w:pPr>
    </w:p>
    <w:p>
      <w:pPr>
        <w:ind w:left="100" w:right="40" w:firstLine="397"/>
        <w:spacing w:after="0" w:line="256" w:lineRule="auto"/>
        <w:tabs>
          <w:tab w:leader="none" w:pos="73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of the Restricted Subsidiaries of Permitted Refinancing Indebtedness in exchange for, or the net proceeds of which are used to refund, refinance or replace Indebtedness (other than intercompany Indebtedness) that was permitted by this Indenture to be incurred under clauses (ii), (iii), (v) or (xvi) of this Section 4.09(b);</w:t>
      </w:r>
    </w:p>
    <w:p>
      <w:pPr>
        <w:spacing w:after="0" w:line="73" w:lineRule="exact"/>
        <w:rPr>
          <w:rFonts w:ascii="Times New Roman" w:cs="Times New Roman" w:eastAsia="Times New Roman" w:hAnsi="Times New Roman"/>
          <w:sz w:val="18"/>
          <w:szCs w:val="18"/>
          <w:color w:val="auto"/>
        </w:rPr>
      </w:pPr>
    </w:p>
    <w:p>
      <w:pPr>
        <w:ind w:left="100" w:right="60" w:firstLine="397"/>
        <w:spacing w:after="0" w:line="268" w:lineRule="auto"/>
        <w:tabs>
          <w:tab w:leader="none" w:pos="7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Company or any Restricted Subsidiary of intercompany Indebtedness between or among the Company and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w:t>
      </w:r>
    </w:p>
    <w:p>
      <w:pPr>
        <w:spacing w:after="0" w:line="63" w:lineRule="exact"/>
        <w:rPr>
          <w:rFonts w:ascii="Times New Roman" w:cs="Times New Roman" w:eastAsia="Times New Roman" w:hAnsi="Times New Roman"/>
          <w:sz w:val="18"/>
          <w:szCs w:val="18"/>
          <w:color w:val="auto"/>
        </w:rPr>
      </w:pPr>
    </w:p>
    <w:p>
      <w:pPr>
        <w:ind w:left="1080" w:right="140" w:firstLine="343"/>
        <w:spacing w:after="0" w:line="256" w:lineRule="auto"/>
        <w:tabs>
          <w:tab w:leader="none" w:pos="16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Guarantor is the obligor on such Indebtedness, such Indebtedness must be expressly subordinated to the prior payment in full in cash of all Obligations with respect to the Notes, in the case of the Company, or the Note Guarantee, in the case of a Guarantor; and</w:t>
      </w:r>
    </w:p>
    <w:p>
      <w:pPr>
        <w:spacing w:after="0" w:line="73" w:lineRule="exact"/>
        <w:rPr>
          <w:rFonts w:ascii="Times New Roman" w:cs="Times New Roman" w:eastAsia="Times New Roman" w:hAnsi="Times New Roman"/>
          <w:sz w:val="18"/>
          <w:szCs w:val="18"/>
          <w:color w:val="auto"/>
        </w:rPr>
      </w:pPr>
    </w:p>
    <w:p>
      <w:pPr>
        <w:ind w:left="1080" w:right="60" w:firstLine="343"/>
        <w:spacing w:after="0" w:line="249" w:lineRule="auto"/>
        <w:tabs>
          <w:tab w:leader="none" w:pos="16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subsequent issuance or transfer of Equity Interests that results in any such Indebtedness being held by a Person other than the Company or a Restricted Subsidiary and (ii) any sale or other transfer of any such Indebtedness to a Person that is not either the Company or a Restricted Subsidiary; will be deemed, in each case, to constitute an incurrence of such Indebtedness by the Company or such Restricted Subsidiary, as the case may be, that was not permitted by this clause (vi);</w:t>
      </w:r>
    </w:p>
    <w:p>
      <w:pPr>
        <w:spacing w:after="0" w:line="82" w:lineRule="exact"/>
        <w:rPr>
          <w:rFonts w:ascii="Times New Roman" w:cs="Times New Roman" w:eastAsia="Times New Roman" w:hAnsi="Times New Roman"/>
          <w:sz w:val="18"/>
          <w:szCs w:val="18"/>
          <w:color w:val="auto"/>
        </w:rPr>
      </w:pPr>
    </w:p>
    <w:p>
      <w:pPr>
        <w:jc w:val="both"/>
        <w:ind w:left="100" w:right="40" w:firstLine="397"/>
        <w:spacing w:after="0" w:line="252" w:lineRule="auto"/>
        <w:tabs>
          <w:tab w:leader="none" w:pos="8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Restricted Subsidiary of Hedging Obligations that are incurred for the purpose of fixing, hedging or swapping interest rate risk with respect to any Indebtedness that is permitted by the terms of this Indenture to be outstanding or for hedging foreign currency exchange risk, in each case to the extent the Hedging Obligations are incurred in the ordinary course of the Company’s financial management and not for any speculative purpose;</w:t>
      </w:r>
    </w:p>
    <w:p>
      <w:pPr>
        <w:spacing w:after="0" w:line="76" w:lineRule="exact"/>
        <w:rPr>
          <w:rFonts w:ascii="Times New Roman" w:cs="Times New Roman" w:eastAsia="Times New Roman" w:hAnsi="Times New Roman"/>
          <w:sz w:val="18"/>
          <w:szCs w:val="18"/>
          <w:color w:val="auto"/>
        </w:rPr>
      </w:pPr>
    </w:p>
    <w:p>
      <w:pPr>
        <w:ind w:left="100" w:right="280" w:firstLine="397"/>
        <w:spacing w:after="0" w:line="268" w:lineRule="auto"/>
        <w:tabs>
          <w:tab w:leader="none" w:pos="88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the Company or any Restricted Subsidiary of Indebtedness of the Company or a Restricted Subsidiary that was permitted to be incurred by another provision of this Section 4.09;</w:t>
      </w:r>
    </w:p>
    <w:p>
      <w:pPr>
        <w:spacing w:after="0" w:line="63" w:lineRule="exact"/>
        <w:rPr>
          <w:rFonts w:ascii="Times New Roman" w:cs="Times New Roman" w:eastAsia="Times New Roman" w:hAnsi="Times New Roman"/>
          <w:sz w:val="18"/>
          <w:szCs w:val="18"/>
          <w:color w:val="auto"/>
        </w:rPr>
      </w:pPr>
    </w:p>
    <w:p>
      <w:pPr>
        <w:ind w:left="100" w:right="20" w:firstLine="397"/>
        <w:spacing w:after="0" w:line="252" w:lineRule="auto"/>
        <w:tabs>
          <w:tab w:leader="none" w:pos="7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 of interest, the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deemed to be an incurrence of Indebtedness or an issuance of Disqualified Stock for purposes of this Section 4.09;</w:t>
      </w:r>
    </w:p>
    <w:p>
      <w:pPr>
        <w:spacing w:after="0" w:line="76" w:lineRule="exact"/>
        <w:rPr>
          <w:rFonts w:ascii="Times New Roman" w:cs="Times New Roman" w:eastAsia="Times New Roman" w:hAnsi="Times New Roman"/>
          <w:sz w:val="18"/>
          <w:szCs w:val="18"/>
          <w:color w:val="auto"/>
        </w:rPr>
      </w:pPr>
    </w:p>
    <w:p>
      <w:pPr>
        <w:ind w:left="100" w:right="140" w:firstLine="397"/>
        <w:spacing w:after="0" w:line="248" w:lineRule="auto"/>
        <w:tabs>
          <w:tab w:leader="none" w:pos="73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Company or any Restricted Subsidiary of Indebtedness, including Indebtedness represented by letters of credit for the account of the Company or any Restricted Subsidiary, incurred in respect of workers’ compensation claims, self-insurance obligations, performance, proposal, completion, surety and similar bonds and completion guarantees provided by the Company or any Restricted Subsidiary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obligation to perform is that of the Company or the Restricted Subsidiaries and not that of the Company’s Unrestricted Subsidiaries;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underlying obligation is not in respect of borrowed money;</w:t>
      </w:r>
    </w:p>
    <w:p>
      <w:pPr>
        <w:spacing w:after="0" w:line="1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860"/>
          </w:cols>
          <w:pgMar w:left="1440" w:top="266" w:right="599" w:bottom="1440" w:gutter="0" w:footer="0" w:header="0"/>
        </w:sectPr>
      </w:pPr>
    </w:p>
    <w:bookmarkStart w:id="137" w:name="page138"/>
    <w:bookmarkEnd w:id="137"/>
    <w:p>
      <w:pPr>
        <w:ind w:left="100" w:right="40" w:firstLine="397"/>
        <w:spacing w:after="0" w:line="256" w:lineRule="auto"/>
        <w:tabs>
          <w:tab w:leader="none" w:pos="78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incurrence by the Company or any Guarantor of additional Indebtedness in an aggregate principal amount (or accreted value, as applicable) at any one time outstanding, including all Permitted Refinancing Indebtedness incurred to refund, refinance or replace any Indebtedness incurred pursuant to this clause (xi), not to exceed $15.0 million at any one time outstanding;</w:t>
      </w:r>
    </w:p>
    <w:p>
      <w:pPr>
        <w:spacing w:after="0" w:line="73" w:lineRule="exact"/>
        <w:rPr>
          <w:rFonts w:ascii="Times New Roman" w:cs="Times New Roman" w:eastAsia="Times New Roman" w:hAnsi="Times New Roman"/>
          <w:sz w:val="18"/>
          <w:szCs w:val="18"/>
          <w:color w:val="auto"/>
        </w:rPr>
      </w:pPr>
    </w:p>
    <w:p>
      <w:pPr>
        <w:ind w:left="100" w:right="40" w:firstLine="397"/>
        <w:spacing w:after="0" w:line="248" w:lineRule="auto"/>
        <w:tabs>
          <w:tab w:leader="none" w:pos="8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Restricted Subsidiary of Indebtedness, including but not limited to Indebtedness represented by letters of credit for the account of the Company or any Restricted Subsidiary, arising from agreements of the Company or a Restricted Subsidiary providing for indemnification, adjustment of purchase price or similar obligations, in each case, incurred or assumed in connection with the disposition of any business, assets or Equity Interests of the Company or a Restricted Subsidiary, other than guarantees of Indebtedness incurred by any Person acquiring all or any portion of such business, assets or Equity Interests for the purpose of financing such acquisition;</w:t>
      </w:r>
    </w:p>
    <w:p>
      <w:pPr>
        <w:spacing w:after="0" w:line="83" w:lineRule="exact"/>
        <w:rPr>
          <w:rFonts w:ascii="Times New Roman" w:cs="Times New Roman" w:eastAsia="Times New Roman" w:hAnsi="Times New Roman"/>
          <w:sz w:val="18"/>
          <w:szCs w:val="18"/>
          <w:color w:val="auto"/>
        </w:rPr>
      </w:pPr>
    </w:p>
    <w:p>
      <w:pPr>
        <w:ind w:left="100" w:firstLine="397"/>
        <w:spacing w:after="0" w:line="256" w:lineRule="auto"/>
        <w:tabs>
          <w:tab w:leader="none" w:pos="88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Company or any Restricted Subsidiary of Indebtedness arising from the honoring by a bank or other financial institution of a check, draft or similar instrument (except in the case of daylight overdrafts) drawn against insufficient funds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extinguished within five Business Days of incurrence;</w:t>
      </w:r>
    </w:p>
    <w:p>
      <w:pPr>
        <w:spacing w:after="0" w:line="71" w:lineRule="exact"/>
        <w:rPr>
          <w:rFonts w:ascii="Times New Roman" w:cs="Times New Roman" w:eastAsia="Times New Roman" w:hAnsi="Times New Roman"/>
          <w:sz w:val="18"/>
          <w:szCs w:val="18"/>
          <w:color w:val="auto"/>
        </w:rPr>
      </w:pPr>
    </w:p>
    <w:p>
      <w:pPr>
        <w:ind w:left="100" w:right="180" w:firstLine="397"/>
        <w:spacing w:after="0" w:line="257" w:lineRule="auto"/>
        <w:tabs>
          <w:tab w:leader="none" w:pos="87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Preferred Stock of a Restricted Subsidiary to the Company that is pledged as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subsequent transfer that results in such Preferred Stock being held by a Person other than the Company or a Guarantor will be deemed to constitute an issuance of Preferred Stock not permitted by this clause (xiv);</w:t>
      </w:r>
    </w:p>
    <w:p>
      <w:pPr>
        <w:spacing w:after="0" w:line="73" w:lineRule="exact"/>
        <w:rPr>
          <w:rFonts w:ascii="Times New Roman" w:cs="Times New Roman" w:eastAsia="Times New Roman" w:hAnsi="Times New Roman"/>
          <w:sz w:val="18"/>
          <w:szCs w:val="18"/>
          <w:color w:val="auto"/>
        </w:rPr>
      </w:pPr>
    </w:p>
    <w:p>
      <w:pPr>
        <w:ind w:left="100" w:firstLine="397"/>
        <w:spacing w:after="0" w:line="277" w:lineRule="auto"/>
        <w:tabs>
          <w:tab w:leader="none" w:pos="826"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of Acquired Debt (but not any Indebtedness incurred in connection with, or in contemplation of such other Person merging with or into, or becoming a Subsidiary of, the Company) in a transaction that would constitute a Permitted Acquisition; provided, however, that (i) such Person either merges with or into the Company or becomes a Guarantor pursuant to the terms and conditions set forth in this Indenture, (ii) on the date such Person becomes a Subsidiary or is acquired by, or merges with or into, the Company and after giving pro forma effect thereto, the Total Leverage Ratio would be no greater than such ratio for the Company and the Restricted Subsidiaries immediately prior to such transaction and (iii) the aggregate principal amount of such Indebtedness incurred under this clause (xv), including all Permitted Refinancing Indebtedness incurred to refund, refinance or replace any Indebtedness, shall not exceed</w:t>
      </w:r>
    </w:p>
    <w:p>
      <w:pPr>
        <w:spacing w:after="0" w:line="3" w:lineRule="exact"/>
        <w:rPr>
          <w:rFonts w:ascii="Times New Roman" w:cs="Times New Roman" w:eastAsia="Times New Roman" w:hAnsi="Times New Roman"/>
          <w:sz w:val="16"/>
          <w:szCs w:val="16"/>
          <w:color w:val="auto"/>
        </w:rPr>
      </w:pPr>
    </w:p>
    <w:p>
      <w:pPr>
        <w:ind w:left="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$37.5 million at any one time outstanding;</w:t>
      </w:r>
    </w:p>
    <w:p>
      <w:pPr>
        <w:spacing w:after="0" w:line="88" w:lineRule="exact"/>
        <w:rPr>
          <w:rFonts w:ascii="Times New Roman" w:cs="Times New Roman" w:eastAsia="Times New Roman" w:hAnsi="Times New Roman"/>
          <w:sz w:val="16"/>
          <w:szCs w:val="16"/>
          <w:color w:val="auto"/>
        </w:rPr>
      </w:pPr>
    </w:p>
    <w:p>
      <w:pPr>
        <w:ind w:left="100" w:right="180" w:firstLine="397"/>
        <w:spacing w:after="0" w:line="257" w:lineRule="auto"/>
        <w:tabs>
          <w:tab w:leader="none" w:pos="87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Company or any Restricted Subsidiary of Indebtedness of any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such Guarantees of Indebtedness of any Unrestricted Subsidiary shall not exceed $15.0 million at any one time outstanding;</w:t>
      </w:r>
    </w:p>
    <w:p>
      <w:pPr>
        <w:spacing w:after="0" w:line="73" w:lineRule="exact"/>
        <w:rPr>
          <w:rFonts w:ascii="Times New Roman" w:cs="Times New Roman" w:eastAsia="Times New Roman" w:hAnsi="Times New Roman"/>
          <w:sz w:val="18"/>
          <w:szCs w:val="18"/>
          <w:color w:val="auto"/>
        </w:rPr>
      </w:pPr>
    </w:p>
    <w:p>
      <w:pPr>
        <w:ind w:left="920" w:hanging="423"/>
        <w:spacing w:after="0"/>
        <w:tabs>
          <w:tab w:leader="none" w:pos="9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and any Restricted Subsidiary of unsecured Indebtedness (i) for borrowed money or</w:t>
      </w:r>
    </w:p>
    <w:p>
      <w:pPr>
        <w:spacing w:after="0" w:line="21" w:lineRule="exact"/>
        <w:rPr>
          <w:rFonts w:ascii="Times New Roman" w:cs="Times New Roman" w:eastAsia="Times New Roman" w:hAnsi="Times New Roman"/>
          <w:sz w:val="18"/>
          <w:szCs w:val="18"/>
          <w:color w:val="auto"/>
        </w:rPr>
      </w:pPr>
    </w:p>
    <w:p>
      <w:pPr>
        <w:ind w:left="100" w:right="80" w:firstLine="7"/>
        <w:spacing w:after="0" w:line="244" w:lineRule="auto"/>
        <w:tabs>
          <w:tab w:leader="none" w:pos="35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respect of letters of credit facilities of the Company or any Restricted Subsidiary; provided that (a) any Indebtedness incurred under this clause (xvii) will have a scheduled maturity date that is later than the scheduled maturity date of the 2028 Private Exchange Notes and (b) the Total Leverage Ratio immediately after giving pro forma effect to the incurrence of such Indebtedness will be no greater than the lesser of (x) the Total Leverage Ratio immediately before giving pro forma effect to the incurrence of such Indebtedness plus 1.25 to 1.00 and (y) 5.00 to 1.00;</w:t>
      </w:r>
    </w:p>
    <w:p>
      <w:pPr>
        <w:spacing w:after="0" w:line="86" w:lineRule="exact"/>
        <w:rPr>
          <w:rFonts w:ascii="Times New Roman" w:cs="Times New Roman" w:eastAsia="Times New Roman" w:hAnsi="Times New Roman"/>
          <w:sz w:val="18"/>
          <w:szCs w:val="18"/>
          <w:color w:val="auto"/>
        </w:rPr>
      </w:pPr>
    </w:p>
    <w:p>
      <w:pPr>
        <w:ind w:left="100" w:right="20" w:firstLine="397"/>
        <w:spacing w:after="0" w:line="247" w:lineRule="auto"/>
        <w:tabs>
          <w:tab w:leader="none" w:pos="97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and any Restricted Subsidiary of additional Indebtedness in an aggregate principal amount, including all Permitted Refinancing Indebtedness incurred to refund, refinance or replace any Indebtedness incurred pursuant to this clause (xviii), not to exceed (a) $215.0 million of Indebtedness at any one time outstanding, plus (b) an additional $125.0 million if the First Lien Secured Leverage Ratio, immediately after giving pro forma effect to the incurrence of such Indebtedness, would be no greater than 2.00x (plus, in the case of any Permitted Refinancing Indebtedness, the Additional Refinancing Amount); provided that availability under this clause (xviii)(b) will be reduced by up to $50.0 million, on a dollar-for-dollar basis, on account of any prepayment or repayment of the 2023 Notes or the 2024 Notes in excess of $200.0 million from (x) cash from operations and (y) cash proceeds from the 2017 Credit Agreement;</w:t>
      </w:r>
    </w:p>
    <w:p>
      <w:pPr>
        <w:spacing w:after="0" w:line="1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860"/>
          </w:cols>
          <w:pgMar w:left="1440" w:top="266" w:right="599" w:bottom="1440" w:gutter="0" w:footer="0" w:header="0"/>
        </w:sectPr>
      </w:pPr>
    </w:p>
    <w:bookmarkStart w:id="138" w:name="page139"/>
    <w:bookmarkEnd w:id="138"/>
    <w:p>
      <w:pPr>
        <w:ind w:left="959" w:firstLine="397"/>
        <w:spacing w:after="0" w:line="249" w:lineRule="auto"/>
        <w:tabs>
          <w:tab w:leader="none" w:pos="173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incurrence by the Company and any Guarantor of additional Indebtedness that is secured by a Lien that is pari passu with the Notes and the 2028 Private Exchange Notes in an aggregate principal amount, including all Permitted Refinancing Indebtedness incurred to refund, refinance or replace any Indebtedness incurred pursuant to this clause (xix), not to exceed $50.0 million at any one time outstanding; provided that availability under this clause (xix) will be reduced on a dollar-for-dollar basis on account of any Indebtedness incurred pursuant to clause (xxii);</w:t>
      </w:r>
    </w:p>
    <w:p>
      <w:pPr>
        <w:spacing w:after="0" w:line="82" w:lineRule="exact"/>
        <w:rPr>
          <w:rFonts w:ascii="Times New Roman" w:cs="Times New Roman" w:eastAsia="Times New Roman" w:hAnsi="Times New Roman"/>
          <w:sz w:val="18"/>
          <w:szCs w:val="18"/>
          <w:color w:val="auto"/>
        </w:rPr>
      </w:pPr>
    </w:p>
    <w:p>
      <w:pPr>
        <w:ind w:left="959" w:right="200" w:firstLine="397"/>
        <w:spacing w:after="0" w:line="288" w:lineRule="auto"/>
        <w:tabs>
          <w:tab w:leader="none" w:pos="1685"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by the Company and any Restricted Subsidiary of Indebtedness to finance the acquisition, construction or improvement of the GEO HQ, Guarantees by the Company or any Restricted Subsidiary of any such Indebtedness, and extensions, renewals and replacements of any such Indebtedness and Guarantees that do not increase the outstanding principal amount thereof; provided that the aggregate principal amount of Indebtedness permitted by this clause (xx), including all Permitted Refinancing Indebtedness incurred to refund, refinance or replace any such Indebtedness, shall not exceed $50.0 million at any one time outstanding;</w:t>
      </w:r>
    </w:p>
    <w:p>
      <w:pPr>
        <w:spacing w:after="0" w:line="52" w:lineRule="exact"/>
        <w:rPr>
          <w:rFonts w:ascii="Times New Roman" w:cs="Times New Roman" w:eastAsia="Times New Roman" w:hAnsi="Times New Roman"/>
          <w:sz w:val="16"/>
          <w:szCs w:val="16"/>
          <w:color w:val="auto"/>
        </w:rPr>
      </w:pPr>
    </w:p>
    <w:p>
      <w:pPr>
        <w:ind w:left="1739" w:hanging="383"/>
        <w:spacing w:after="0"/>
        <w:tabs>
          <w:tab w:leader="none" w:pos="173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under any Permitted Convertible Indebtedness Call Transaction; and</w:t>
      </w:r>
    </w:p>
    <w:p>
      <w:pPr>
        <w:spacing w:after="0" w:line="108" w:lineRule="exact"/>
        <w:rPr>
          <w:rFonts w:ascii="Times New Roman" w:cs="Times New Roman" w:eastAsia="Times New Roman" w:hAnsi="Times New Roman"/>
          <w:sz w:val="18"/>
          <w:szCs w:val="18"/>
          <w:color w:val="auto"/>
        </w:rPr>
      </w:pPr>
    </w:p>
    <w:p>
      <w:pPr>
        <w:ind w:left="959" w:right="60" w:firstLine="397"/>
        <w:spacing w:after="0" w:line="243" w:lineRule="auto"/>
        <w:tabs>
          <w:tab w:leader="none" w:pos="1782"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by the Company and any Guarantor of additional Indebtedness on or before October 15, 2024 that is secured by a Lien on the Collateral that is junior to the 2017 Credit Agreement and the Exchange Credit Agreement and senior to the Notes and the 2028 Private Exchanges Notes in an aggregate principal amount, including all Permitted Refinancing Indebtedness incurred to refund, refinance or replace any Indebtedness incurred pursuant to this clause (xxii), not to exceed [$107.0 million minus the principal amount of the Notes issued in exchange for participating 2023 Notes]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at any one time outstanding; provided that the holders of such Indebtedness or their Designated Representative shall have become party to the First Lien/Second Lien Intercreditor Agreement.</w:t>
      </w:r>
    </w:p>
    <w:p>
      <w:pPr>
        <w:spacing w:after="0" w:line="86" w:lineRule="exact"/>
        <w:rPr>
          <w:rFonts w:ascii="Times New Roman" w:cs="Times New Roman" w:eastAsia="Times New Roman" w:hAnsi="Times New Roman"/>
          <w:sz w:val="17"/>
          <w:szCs w:val="17"/>
          <w:color w:val="auto"/>
        </w:rPr>
      </w:pPr>
    </w:p>
    <w:p>
      <w:pPr>
        <w:ind w:left="1199" w:hanging="233"/>
        <w:spacing w:after="0"/>
        <w:tabs>
          <w:tab w:leader="none" w:pos="119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this Section 4.09:</w:t>
      </w:r>
    </w:p>
    <w:p>
      <w:pPr>
        <w:spacing w:after="0" w:line="108" w:lineRule="exact"/>
        <w:rPr>
          <w:rFonts w:ascii="Times New Roman" w:cs="Times New Roman" w:eastAsia="Times New Roman" w:hAnsi="Times New Roman"/>
          <w:sz w:val="18"/>
          <w:szCs w:val="18"/>
          <w:color w:val="auto"/>
        </w:rPr>
      </w:pPr>
    </w:p>
    <w:p>
      <w:pPr>
        <w:ind w:left="959" w:right="20" w:firstLine="397"/>
        <w:spacing w:after="0" w:line="247" w:lineRule="auto"/>
        <w:tabs>
          <w:tab w:leader="none" w:pos="155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item of proposed Indebtedness meets the criteria of more than one of the categories of Permitted Debt described in clauses (i) through (xxii) of Section 4.09(b) hereof, or is entitled to be incurred pursuant to Section 4.09(a) hereof, the Company shall be permitted to classify such item of Indebtedness on the date of its incurrence, or later reclassify all or a portion of such item of Indebtedness, in any manner that complies with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under the Credit Agreements outstanding on the date on which Notes (i) are first issued and authenticated under this Indenture shall be deemed to have been incurred on such date in reliance on the exception provided in Section 4.09(b)(i) hereof and may not be reclassified and (ii) any Indebtedness incurred pursuant to Section 4.09(b)(xviii) hereof that constitutes First Lien Secured Obligations shall not be reclassified;</w:t>
      </w:r>
    </w:p>
    <w:p>
      <w:pPr>
        <w:spacing w:after="0" w:line="86" w:lineRule="exact"/>
        <w:rPr>
          <w:rFonts w:ascii="Times New Roman" w:cs="Times New Roman" w:eastAsia="Times New Roman" w:hAnsi="Times New Roman"/>
          <w:sz w:val="18"/>
          <w:szCs w:val="18"/>
          <w:color w:val="auto"/>
        </w:rPr>
      </w:pPr>
    </w:p>
    <w:p>
      <w:pPr>
        <w:ind w:left="959" w:right="120" w:firstLine="397"/>
        <w:spacing w:after="0" w:line="256" w:lineRule="auto"/>
        <w:tabs>
          <w:tab w:leader="none" w:pos="160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Indebtedness outstanding under any clause of this Section 4.09 shall be determined after giving effect to the application of proceeds of any such Indebtedness incurred to refund, refinance or replace any such other Indebtedness to the extent proceeds will be used substantially concurrently with such incurrence;</w:t>
      </w:r>
    </w:p>
    <w:p>
      <w:pPr>
        <w:spacing w:after="0" w:line="73" w:lineRule="exact"/>
        <w:rPr>
          <w:rFonts w:ascii="Times New Roman" w:cs="Times New Roman" w:eastAsia="Times New Roman" w:hAnsi="Times New Roman"/>
          <w:sz w:val="18"/>
          <w:szCs w:val="18"/>
          <w:color w:val="auto"/>
        </w:rPr>
      </w:pPr>
    </w:p>
    <w:p>
      <w:pPr>
        <w:ind w:left="959" w:right="40" w:firstLine="397"/>
        <w:spacing w:after="0" w:line="248" w:lineRule="auto"/>
        <w:tabs>
          <w:tab w:leader="none" w:pos="165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 or a Restricted Subsidiary’s entry into an instrument containing a binding commitment in respect of any revolving Indebtedness, the Company may elect, pursuant to an Officer’s Certificate delivered to the Trustee, to treat all or any portion of such commitment (any such amount elected until revoked as described below, an “Elected Amount”) under any Indebtedness which is to be incurred (or any commitment in respect thereof) or secured by a Lien, as the case may be, as being incurred as of such election date, and (i) any subsequent incurrence of Indebtedness under such commitment (so long as the total amount under such Indebtedness does not exceed the Elected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429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42" w:lineRule="exact"/>
        <w:rPr>
          <w:sz w:val="20"/>
          <w:szCs w:val="20"/>
          <w:color w:val="auto"/>
        </w:rPr>
      </w:pPr>
    </w:p>
    <w:p>
      <w:pPr>
        <w:ind w:left="5279" w:right="5120" w:hanging="5279"/>
        <w:spacing w:after="0" w:line="362" w:lineRule="auto"/>
        <w:tabs>
          <w:tab w:leader="none" w:pos="424" w:val="left"/>
        </w:tabs>
        <w:numPr>
          <w:ilvl w:val="0"/>
          <w:numId w:val="9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NTD: To be replaced with relevant amount before execution of indenture. 45</w:t>
      </w:r>
    </w:p>
    <w:p>
      <w:pPr>
        <w:sectPr>
          <w:pgSz w:w="11900" w:h="16838" w:orient="portrait"/>
          <w:cols w:equalWidth="0" w:num="1">
            <w:col w:w="10719"/>
          </w:cols>
          <w:pgMar w:left="581" w:top="266" w:right="599" w:bottom="1440" w:gutter="0" w:footer="0" w:header="0"/>
        </w:sectPr>
      </w:pPr>
    </w:p>
    <w:bookmarkStart w:id="139" w:name="page140"/>
    <w:bookmarkEnd w:id="139"/>
    <w:p>
      <w:pPr>
        <w:ind w:left="960" w:right="8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shall not be deemed, for purposes of any calculation under this Indenture, to be an incurrence of additional Indebtedness or an additional Lien at such subsequent time, (ii) the Company may revoke an election of an Elected Amount at any time pursuant to an Officer’s Certificate delivered to the Trustee and (iii) for purposes of all subsequent calculations of the First Lien Secured Leverage Ratio and the Total Leverage Ratio, the Elected Amount (if any) shall be deemed to be outstanding, whether or not such amount is actually outstanding, so long as the applicable commitment remains outstanding;</w:t>
      </w:r>
    </w:p>
    <w:p>
      <w:pPr>
        <w:spacing w:after="0" w:line="83" w:lineRule="exact"/>
        <w:rPr>
          <w:sz w:val="20"/>
          <w:szCs w:val="20"/>
          <w:color w:val="auto"/>
        </w:rPr>
      </w:pPr>
    </w:p>
    <w:p>
      <w:pPr>
        <w:ind w:left="960" w:right="20" w:firstLine="397"/>
        <w:spacing w:after="0" w:line="247" w:lineRule="auto"/>
        <w:tabs>
          <w:tab w:leader="none" w:pos="164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Indebtedness originally incurred in reliance upon the First Lien Secured Leverage Ratio or the Total Leverage Ratio under either clause (xvii) or (xviii) of Section 4.09(b) is being Refinanced under either clause (xvii) or (xviii), as applicable, of Section 4.09(b) and such Refinancing would cause the maximum amount of Indebtedness thereunder to be exceeded at such time, then such Refinancing will nevertheless be permitted thereunder and such Indebtedness will be deemed to have been incurred under either clause (xvii) or (xviii), as applicable, of Section 4.09(b) so long as (x) the Liens, if any, securing such Refinancing Indebtedness have a lien priority equal or junior to the Liens securing the Indebtedness being Refinanced and (y) the principal amount of such Refinancing Indebtedness does not exceed the principal amount of Indebtedness being Refinanced;</w:t>
      </w:r>
    </w:p>
    <w:p>
      <w:pPr>
        <w:spacing w:after="0" w:line="86" w:lineRule="exact"/>
        <w:rPr>
          <w:rFonts w:ascii="Times New Roman" w:cs="Times New Roman" w:eastAsia="Times New Roman" w:hAnsi="Times New Roman"/>
          <w:sz w:val="18"/>
          <w:szCs w:val="18"/>
          <w:color w:val="auto"/>
        </w:rPr>
      </w:pPr>
    </w:p>
    <w:p>
      <w:pPr>
        <w:ind w:left="960" w:right="460" w:firstLine="397"/>
        <w:spacing w:after="0" w:line="256" w:lineRule="auto"/>
        <w:tabs>
          <w:tab w:leader="none" w:pos="159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4.09, the maximum amount of Indebtedness that the Company or any Restricted Subsidiary may incur pursuant to this Section 4.09 shall not be deemed to be exceeded solely as a result of fluctuations in exchange rates or currency values; and</w:t>
      </w:r>
    </w:p>
    <w:p>
      <w:pPr>
        <w:spacing w:after="0" w:line="73" w:lineRule="exact"/>
        <w:rPr>
          <w:rFonts w:ascii="Times New Roman" w:cs="Times New Roman" w:eastAsia="Times New Roman" w:hAnsi="Times New Roman"/>
          <w:sz w:val="18"/>
          <w:szCs w:val="18"/>
          <w:color w:val="auto"/>
        </w:rPr>
      </w:pPr>
    </w:p>
    <w:p>
      <w:pPr>
        <w:ind w:left="960" w:right="80" w:firstLine="397"/>
        <w:spacing w:after="0" w:line="252" w:lineRule="auto"/>
        <w:tabs>
          <w:tab w:leader="none" w:pos="164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or obligations in respect of letters of credit relating to, Indebtedness which is otherwise included in the determination of a particular amount of Indebtedness shall not be included in the determination of such amount of Indebtedness; provided that the Incurrence of the Indebtedness represented by such guarantee or letter of credit, as the case may be, was in compliance with this Section 4.09.</w:t>
      </w:r>
    </w:p>
    <w:p>
      <w:pPr>
        <w:spacing w:after="0" w:line="182" w:lineRule="exact"/>
        <w:rPr>
          <w:rFonts w:ascii="Times New Roman" w:cs="Times New Roman" w:eastAsia="Times New Roman" w:hAnsi="Times New Roman"/>
          <w:sz w:val="18"/>
          <w:szCs w:val="18"/>
          <w:color w:val="auto"/>
        </w:rPr>
      </w:pPr>
    </w:p>
    <w:p>
      <w:pPr>
        <w:ind w:firstLine="967"/>
        <w:spacing w:after="0" w:line="247" w:lineRule="auto"/>
        <w:tabs>
          <w:tab w:leader="none" w:pos="121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Permitted Refinancing Indebtedness does not exceed the principal amount of such Indebtedness being Refinanced.</w:t>
      </w:r>
    </w:p>
    <w:p>
      <w:pPr>
        <w:spacing w:after="0" w:line="191" w:lineRule="exact"/>
        <w:rPr>
          <w:rFonts w:ascii="Times New Roman" w:cs="Times New Roman" w:eastAsia="Times New Roman" w:hAnsi="Times New Roman"/>
          <w:sz w:val="18"/>
          <w:szCs w:val="18"/>
          <w:color w:val="auto"/>
        </w:rPr>
      </w:pPr>
    </w:p>
    <w:p>
      <w:pPr>
        <w:ind w:firstLine="967"/>
        <w:spacing w:after="0" w:line="285" w:lineRule="auto"/>
        <w:tabs>
          <w:tab w:leader="none" w:pos="1203"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and shall not permit any Guarantor to, incur any Indebtedness (including Permitted Debt) that is contractually subordinated in right of payment to any other Indebtedness of the Company or such Guarantor unless such Indebtedness is also contractually subordinated in right of payment to the Notes or such Note Guarantee on substantially identical terms;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for all purposes under this Indenture, no Indebtedness of the Company or any Guarantor will be deemed to be contractually subordinated in right of payment to any other Indebtedness of the Company or any Guarantor solely by virtue of being unsecured or by virtue of the fact that the holders of Secured Indebtedness have entered into intercreditor arrangements giving one or more of such holders priority over the other holders in the collateral held by them.</w:t>
      </w:r>
    </w:p>
    <w:p>
      <w:pPr>
        <w:spacing w:after="0" w:line="187"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4.10</w:t>
      </w:r>
      <w:r>
        <w:rPr>
          <w:sz w:val="20"/>
          <w:szCs w:val="20"/>
          <w:color w:val="auto"/>
        </w:rPr>
        <w:tab/>
      </w:r>
      <w:r>
        <w:rPr>
          <w:rFonts w:ascii="Times New Roman" w:cs="Times New Roman" w:eastAsia="Times New Roman" w:hAnsi="Times New Roman"/>
          <w:sz w:val="16"/>
          <w:szCs w:val="16"/>
          <w:u w:val="single" w:color="auto"/>
          <w:color w:val="auto"/>
        </w:rPr>
        <w:t>Asset Sales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The Company shall not, and shall not permit any of the Restricted Subsidiaries to, directly or indirectly, consummate an Asset Sale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w:t>
      </w:r>
    </w:p>
    <w:p>
      <w:pPr>
        <w:spacing w:after="0" w:line="196" w:lineRule="exact"/>
        <w:rPr>
          <w:sz w:val="20"/>
          <w:szCs w:val="20"/>
          <w:color w:val="auto"/>
        </w:rPr>
      </w:pPr>
    </w:p>
    <w:p>
      <w:pPr>
        <w:jc w:val="both"/>
        <w:ind w:left="960" w:right="380" w:firstLine="397"/>
        <w:spacing w:after="0" w:line="256" w:lineRule="auto"/>
        <w:tabs>
          <w:tab w:leader="none" w:pos="15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Restricted Subsidiary, as the case may be) receives consideration at least equal to the Fair Market Value (measured as of the date of the definitive agreement with respect to such Asset Sale) of the assets or Equity Interests issued or sold or otherwise disposed of (except in respect of Designated Assets sold pursuant to a Designated Asset Contract);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00"/>
          </w:cols>
          <w:pgMar w:left="580" w:top="266" w:right="619" w:bottom="1440" w:gutter="0" w:footer="0" w:header="0"/>
        </w:sectPr>
      </w:pPr>
    </w:p>
    <w:bookmarkStart w:id="140" w:name="page141"/>
    <w:bookmarkEnd w:id="140"/>
    <w:p>
      <w:pPr>
        <w:ind w:left="880" w:right="60" w:firstLine="397"/>
        <w:spacing w:after="0" w:line="252" w:lineRule="auto"/>
        <w:tabs>
          <w:tab w:leader="none" w:pos="152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Fair Market Value or Designated Asset Value, as applicable, in the case of any Asset Sales or series of related Asset Sales having a Fair Market Value of $35.0 million or more, is determined by the Company’s Board of Directors (or a duly appointed committee thereof) and evidenced by a resolution of the Board of Directors (or a duly appointed committee thereof) set forth in an Officer’s Certificate delivered to the Trustee; and</w:t>
      </w:r>
    </w:p>
    <w:p>
      <w:pPr>
        <w:spacing w:after="0" w:line="182" w:lineRule="exact"/>
        <w:rPr>
          <w:rFonts w:ascii="Times New Roman" w:cs="Times New Roman" w:eastAsia="Times New Roman" w:hAnsi="Times New Roman"/>
          <w:sz w:val="18"/>
          <w:szCs w:val="18"/>
          <w:color w:val="auto"/>
        </w:rPr>
      </w:pPr>
    </w:p>
    <w:p>
      <w:pPr>
        <w:ind w:left="880" w:right="20" w:firstLine="397"/>
        <w:spacing w:after="0" w:line="268" w:lineRule="auto"/>
        <w:tabs>
          <w:tab w:leader="none" w:pos="157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consideration received in the Asset Sale by the Company or such Restricted Subsidiary is in the form of cash or Cash Equivalents. For purposes of this Section 4.10(a)(iii) only, each of the following will be deemed to be cash:</w:t>
      </w:r>
    </w:p>
    <w:p>
      <w:pPr>
        <w:spacing w:after="0" w:line="168" w:lineRule="exact"/>
        <w:rPr>
          <w:rFonts w:ascii="Times New Roman" w:cs="Times New Roman" w:eastAsia="Times New Roman" w:hAnsi="Times New Roman"/>
          <w:sz w:val="18"/>
          <w:szCs w:val="18"/>
          <w:color w:val="auto"/>
        </w:rPr>
      </w:pPr>
    </w:p>
    <w:p>
      <w:pPr>
        <w:ind w:left="1320" w:right="40" w:firstLine="369"/>
        <w:spacing w:after="0" w:line="249" w:lineRule="auto"/>
        <w:tabs>
          <w:tab w:leader="none" w:pos="1941"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the Company’s or such Restricted Subsidiary’s most recent balance sheet or in the footnotes thereto, of the Company or any Restricted Subsidiary (other than contingent liabilities and liabilities that are by their terms subordinated to the Notes or any Note Guarantee) that are assumed by the transferee of any such assets in right of payment or secured on a junior basis on the Collateral and for which the Company or such Restricted Subsidiary, as the case may be, have been released or indemnified against further liability;</w:t>
      </w:r>
    </w:p>
    <w:p>
      <w:pPr>
        <w:spacing w:after="0" w:line="188" w:lineRule="exact"/>
        <w:rPr>
          <w:rFonts w:ascii="Times New Roman" w:cs="Times New Roman" w:eastAsia="Times New Roman" w:hAnsi="Times New Roman"/>
          <w:sz w:val="18"/>
          <w:szCs w:val="18"/>
          <w:color w:val="auto"/>
        </w:rPr>
      </w:pPr>
    </w:p>
    <w:p>
      <w:pPr>
        <w:jc w:val="both"/>
        <w:ind w:left="1320" w:right="100" w:firstLine="369"/>
        <w:spacing w:after="0" w:line="256" w:lineRule="auto"/>
        <w:tabs>
          <w:tab w:leader="none" w:pos="1941"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notes or other obligations received by the Company or any such Restricted Subsidiary from such transferee that are converted by the Company or such Restricted Subsidiary into cash or Cash Equivalents within 90 days after the applicable Asset Sale, to the extent of the cash or Cash Equivalents received in that conversion;</w:t>
      </w:r>
    </w:p>
    <w:p>
      <w:pPr>
        <w:spacing w:after="0" w:line="178" w:lineRule="exact"/>
        <w:rPr>
          <w:rFonts w:ascii="Times New Roman" w:cs="Times New Roman" w:eastAsia="Times New Roman" w:hAnsi="Times New Roman"/>
          <w:sz w:val="18"/>
          <w:szCs w:val="18"/>
          <w:color w:val="auto"/>
        </w:rPr>
      </w:pPr>
    </w:p>
    <w:p>
      <w:pPr>
        <w:ind w:left="1320" w:right="440" w:firstLine="369"/>
        <w:spacing w:after="0" w:line="293" w:lineRule="auto"/>
        <w:tabs>
          <w:tab w:leader="none" w:pos="1941"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or other obligations or Indebtedness actually received by the Company or any such Restricted Subsidiary as consideration for the sale or other disposition of a Designated Asset pursuant to a contract with a governmental or quasi-governmental agency, but only to the extent that such notes or other obligations or Indebtedness were explicitly required to be included, or permitted to be included solely at the option of the purchaser, in such consideration pursuant to such contract;</w:t>
      </w:r>
    </w:p>
    <w:p>
      <w:pPr>
        <w:spacing w:after="0" w:line="153" w:lineRule="exact"/>
        <w:rPr>
          <w:rFonts w:ascii="Times New Roman" w:cs="Times New Roman" w:eastAsia="Times New Roman" w:hAnsi="Times New Roman"/>
          <w:sz w:val="16"/>
          <w:szCs w:val="16"/>
          <w:color w:val="auto"/>
        </w:rPr>
      </w:pPr>
    </w:p>
    <w:p>
      <w:pPr>
        <w:ind w:left="1320" w:right="20" w:firstLine="369"/>
        <w:spacing w:after="0" w:line="268" w:lineRule="auto"/>
        <w:tabs>
          <w:tab w:leader="none" w:pos="1941"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Indebtedness actually received by the Company or any Restricted Subsidiary as consideration for the sale or other disposition of an Unoccupied Facility; and</w:t>
      </w:r>
    </w:p>
    <w:p>
      <w:pPr>
        <w:spacing w:after="0" w:line="168" w:lineRule="exact"/>
        <w:rPr>
          <w:rFonts w:ascii="Times New Roman" w:cs="Times New Roman" w:eastAsia="Times New Roman" w:hAnsi="Times New Roman"/>
          <w:sz w:val="18"/>
          <w:szCs w:val="18"/>
          <w:color w:val="auto"/>
        </w:rPr>
      </w:pPr>
    </w:p>
    <w:p>
      <w:pPr>
        <w:ind w:left="1320" w:right="20" w:firstLine="369"/>
        <w:spacing w:after="0" w:line="278" w:lineRule="auto"/>
        <w:tabs>
          <w:tab w:leader="none" w:pos="1941"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Designated Non-Cash Consideration received by the Company or any such Restricted Subsidiary in the Asset Sale, in an aggregate amount in any fiscal year of the Company (measured on the date such Designated Non-Cash Consideration was received without giving effect to subsequent changes in value), when taken together with all other Designated Non-Cash Consideration received as consideration pursuant to this clause (5) during such fiscal year (but, to the extent that any such Designated Non-Cash Consideration is sold or otherwise liquidated for cash, minus the lesser of (x) the amount of the cash received (less the cost of disposition, if any) and (y) the initial amount of such Designated Non-Cash Consideration), not to exceed</w:t>
      </w:r>
    </w:p>
    <w:p>
      <w:pPr>
        <w:ind w:left="1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$50.0 million.</w:t>
      </w:r>
    </w:p>
    <w:p>
      <w:pPr>
        <w:spacing w:after="0" w:line="195" w:lineRule="exact"/>
        <w:rPr>
          <w:rFonts w:ascii="Times New Roman" w:cs="Times New Roman" w:eastAsia="Times New Roman" w:hAnsi="Times New Roman"/>
          <w:sz w:val="16"/>
          <w:szCs w:val="16"/>
          <w:color w:val="auto"/>
        </w:rPr>
      </w:pPr>
    </w:p>
    <w:p>
      <w:pPr>
        <w:ind w:left="-80" w:firstLine="967"/>
        <w:spacing w:after="0" w:line="268" w:lineRule="auto"/>
        <w:tabs>
          <w:tab w:leader="none" w:pos="113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from the later of the date of an Asset Sale or the receipt of any Net Proceeds from an Asset Sale, the Company (or the applicable Restricted Subsidiary, as the case may be) may apply such Net Proceeds, at its option:</w:t>
      </w:r>
    </w:p>
    <w:p>
      <w:pPr>
        <w:spacing w:after="0" w:line="168" w:lineRule="exact"/>
        <w:rPr>
          <w:rFonts w:ascii="Times New Roman" w:cs="Times New Roman" w:eastAsia="Times New Roman" w:hAnsi="Times New Roman"/>
          <w:sz w:val="18"/>
          <w:szCs w:val="18"/>
          <w:color w:val="auto"/>
        </w:rPr>
      </w:pPr>
    </w:p>
    <w:p>
      <w:pPr>
        <w:ind w:left="880" w:right="20" w:firstLine="397"/>
        <w:spacing w:after="0" w:line="249" w:lineRule="auto"/>
        <w:tabs>
          <w:tab w:leader="none" w:pos="147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prepay, repay, redeem or purchase (A) for so long as the Indebtedness incurred under the Credit Agreements as of the Issue Date remains outstanding, (i) Indebtedness under such Credit Agreements or (ii) Indebtedness otherwise permitted to be prepaid, repaid, redeemed or purchased under such Credit Agreements and (B), thereafter, (i) other Indebtedness and other Obligations that are secured by a Lien or (ii) the 2023 Notes, the 2024 Notes, the 2026 Notes and the Exchangeable 2026 Notes, and, in each case, if the Indebtedness repaid is revolving credit Indebtedness, to correspondingly reduce commitments with respect thereto;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80"/>
          </w:cols>
          <w:pgMar w:left="660" w:top="266" w:right="659" w:bottom="1440" w:gutter="0" w:footer="0" w:header="0"/>
        </w:sectPr>
      </w:pPr>
    </w:p>
    <w:bookmarkStart w:id="141" w:name="page142"/>
    <w:bookmarkEnd w:id="141"/>
    <w:p>
      <w:pPr>
        <w:ind w:left="960" w:right="60" w:firstLine="397"/>
        <w:spacing w:after="0" w:line="256" w:lineRule="auto"/>
        <w:tabs>
          <w:tab w:leader="none" w:pos="160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acquire, or enter into a definitive agreement to acquire, all or substantially all of the assets of, a Permitted Business or a majority of the Voting Stock of a Person engaged in a Permitted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becomes a Restricted Subsidiary and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in the case of a definitive agreement, that such acquisition closes within 120 days of such 180-day period;</w:t>
      </w:r>
    </w:p>
    <w:p>
      <w:pPr>
        <w:spacing w:after="0" w:line="178"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capital expenditure in or that is used or useful in a Permitted Business (provided that the completion of</w:t>
      </w:r>
    </w:p>
    <w:p>
      <w:pPr>
        <w:spacing w:after="0" w:line="21" w:lineRule="exact"/>
        <w:rPr>
          <w:rFonts w:ascii="Times New Roman" w:cs="Times New Roman" w:eastAsia="Times New Roman" w:hAnsi="Times New Roman"/>
          <w:sz w:val="18"/>
          <w:szCs w:val="18"/>
          <w:color w:val="auto"/>
        </w:rPr>
      </w:pPr>
    </w:p>
    <w:p>
      <w:pPr>
        <w:ind w:left="960" w:right="80" w:firstLine="7"/>
        <w:spacing w:after="0" w:line="274" w:lineRule="auto"/>
        <w:tabs>
          <w:tab w:leader="none" w:pos="119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of new facilities, (b) expansions to existing facilities and (c) repair or construction of damaged or destroyed facilities, in each case, which commences within such 180-day period may extend for an additional 18 month period if (x) the Net Proceeds to be used for such construction, expansion or repair are committed specifically for such activity within such 180-day period and (y) such facilities shall, following such construction, expansion or repair, become Collateral pursuant to the terms and conditions set forth under</w:t>
      </w:r>
    </w:p>
    <w:p>
      <w:pPr>
        <w:ind w:left="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Section 12.06);</w:t>
      </w:r>
    </w:p>
    <w:p>
      <w:pPr>
        <w:spacing w:after="0" w:line="195" w:lineRule="exact"/>
        <w:rPr>
          <w:rFonts w:ascii="Times New Roman" w:cs="Times New Roman" w:eastAsia="Times New Roman" w:hAnsi="Times New Roman"/>
          <w:sz w:val="16"/>
          <w:szCs w:val="16"/>
          <w:color w:val="auto"/>
        </w:rPr>
      </w:pPr>
    </w:p>
    <w:p>
      <w:pPr>
        <w:ind w:left="1660" w:hanging="303"/>
        <w:spacing w:after="0"/>
        <w:tabs>
          <w:tab w:leader="none" w:pos="16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other long-term assets that are used or useful in a Permitted Business; or</w:t>
      </w:r>
    </w:p>
    <w:p>
      <w:pPr>
        <w:spacing w:after="0" w:line="21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14" w:lineRule="exact"/>
        <w:rPr>
          <w:sz w:val="20"/>
          <w:szCs w:val="20"/>
          <w:color w:val="auto"/>
        </w:rPr>
      </w:pPr>
    </w:p>
    <w:p>
      <w:pPr>
        <w:ind w:firstLine="965"/>
        <w:spacing w:after="0" w:line="249" w:lineRule="auto"/>
        <w:rPr>
          <w:sz w:val="20"/>
          <w:szCs w:val="20"/>
          <w:color w:val="auto"/>
        </w:rPr>
      </w:pPr>
      <w:r>
        <w:rPr>
          <w:rFonts w:ascii="Times New Roman" w:cs="Times New Roman" w:eastAsia="Times New Roman" w:hAnsi="Times New Roman"/>
          <w:sz w:val="18"/>
          <w:szCs w:val="18"/>
          <w:color w:val="auto"/>
        </w:rPr>
        <w:t>Notwithstanding the above, within 180 days from the later of the date of an Asset Sale relating to, or the receipt of any Net Proceeds from an Asset Sale relating to, B.I. Incorporated or a material portion of its business or sale (including Sale and Leasebacks Transactions) of GEO HQ, the Company (or the applicable Restricted Subsidiary, as the case may be) must apply such Net Proceeds to prepay, repay, redeem or purchase First Lien Secured Obligations or to make an Asset Sale Offer as described below and such Net Proceeds shall not be permitted to be applied as set forth in clauses (ii) – (v) above.</w:t>
      </w:r>
    </w:p>
    <w:p>
      <w:pPr>
        <w:spacing w:after="0" w:line="188" w:lineRule="exact"/>
        <w:rPr>
          <w:sz w:val="20"/>
          <w:szCs w:val="20"/>
          <w:color w:val="auto"/>
        </w:rPr>
      </w:pPr>
    </w:p>
    <w:p>
      <w:pPr>
        <w:ind w:right="640" w:firstLine="965"/>
        <w:spacing w:after="0" w:line="268" w:lineRule="auto"/>
        <w:rPr>
          <w:sz w:val="20"/>
          <w:szCs w:val="20"/>
          <w:color w:val="auto"/>
        </w:rPr>
      </w:pPr>
      <w:r>
        <w:rPr>
          <w:rFonts w:ascii="Times New Roman" w:cs="Times New Roman" w:eastAsia="Times New Roman" w:hAnsi="Times New Roman"/>
          <w:sz w:val="18"/>
          <w:szCs w:val="18"/>
          <w:color w:val="auto"/>
        </w:rPr>
        <w:t>Pending the final application of any Net Proceeds, the Company (or the applicable Restricted Subsidiary) may temporarily reduce revolving credit borrowings or otherwise invest the Net Proceeds as cash or in Cash Equivalents.</w:t>
      </w:r>
    </w:p>
    <w:p>
      <w:pPr>
        <w:spacing w:after="0" w:line="169" w:lineRule="exact"/>
        <w:rPr>
          <w:sz w:val="20"/>
          <w:szCs w:val="20"/>
          <w:color w:val="auto"/>
        </w:rPr>
      </w:pPr>
    </w:p>
    <w:p>
      <w:pPr>
        <w:ind w:right="20" w:firstLine="967"/>
        <w:spacing w:after="0" w:line="245" w:lineRule="auto"/>
        <w:tabs>
          <w:tab w:leader="none" w:pos="120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Proceeds from Asset Sales that are not applied or invested as provided in clause (b) of this Section 4.10, or that the Company determines will not be applied or invested as provided in clause (b) of this Section 4.10, shall constitute “</w:t>
      </w:r>
      <w:r>
        <w:rPr>
          <w:rFonts w:ascii="Times New Roman" w:cs="Times New Roman" w:eastAsia="Times New Roman" w:hAnsi="Times New Roman"/>
          <w:sz w:val="18"/>
          <w:szCs w:val="18"/>
          <w:b w:val="1"/>
          <w:bCs w:val="1"/>
          <w:color w:val="auto"/>
        </w:rPr>
        <w:t>Excess Proceeds</w:t>
      </w:r>
      <w:r>
        <w:rPr>
          <w:rFonts w:ascii="Times New Roman" w:cs="Times New Roman" w:eastAsia="Times New Roman" w:hAnsi="Times New Roman"/>
          <w:sz w:val="18"/>
          <w:szCs w:val="18"/>
          <w:color w:val="auto"/>
        </w:rPr>
        <w:t>.” When (1) the amount of Excess Proceeds received from any individual Asset Sale exceeds $7.5 million or (2) the aggregate amount of Excess Proceeds received (x) during any fiscal year of the Company exceeds $22.5 million or (y) at any time during the term of the Notes exceeds $75.0 million, the Company shall make an offer (an “</w:t>
      </w:r>
      <w:r>
        <w:rPr>
          <w:rFonts w:ascii="Times New Roman" w:cs="Times New Roman" w:eastAsia="Times New Roman" w:hAnsi="Times New Roman"/>
          <w:sz w:val="18"/>
          <w:szCs w:val="18"/>
          <w:b w:val="1"/>
          <w:bCs w:val="1"/>
          <w:color w:val="auto"/>
        </w:rPr>
        <w:t>Asset Sale Offer</w:t>
      </w:r>
      <w:r>
        <w:rPr>
          <w:rFonts w:ascii="Times New Roman" w:cs="Times New Roman" w:eastAsia="Times New Roman" w:hAnsi="Times New Roman"/>
          <w:sz w:val="18"/>
          <w:szCs w:val="18"/>
          <w:color w:val="auto"/>
        </w:rPr>
        <w:t>”) to all Holders of Notes and, at the Company’s option, all holders of other Indebtedness that is pari passu in right of payment and lien priority with the Notes containing provisions similar to those set forth in this Indenture with respect to offers to purchase or redeem with the proceeds of sales of assets, to purchase on a pro rata basis the maximum principal amount of Notes and such other pari passu Indebtedness that may be purchased out of the Excess Proceeds. The offer price in any Asset Sale Offer will be equal to 100% of the principal amount, plus accrued and unpaid interest, if any, to the date of purchase, and shall be payable in cash. If any Excess Proceeds remain after consummation of an Asset Sale Offer, the Company may use those Excess Proceeds for any purpose not otherwise prohibited by this Indenture. If the aggregate principal amount of Notes and other pari passu Indebtedness tendered into such Asset Sale Offer exceeds the amount of Excess Proceeds, the Notes and such other pari passu Indebtedness shall be purchased on a pro rata basis. Upon completion of each Asset Sale Offer, the amount of Excess Proceeds shall be reset at zero. The Company may satisfy the foregoing obligations with respect to any Net Proceeds prior to the expiration of the relevant 180-day period (or later period as described above) or with respect to Excess Proceeds in an amount equal to or less than the amount set forth in clause (1), (2)(x) or (2)(y), as applicable, of the first sentence of this clause (c).</w:t>
      </w:r>
    </w:p>
    <w:p>
      <w:pPr>
        <w:spacing w:after="0" w:line="195" w:lineRule="exact"/>
        <w:rPr>
          <w:rFonts w:ascii="Times New Roman" w:cs="Times New Roman" w:eastAsia="Times New Roman" w:hAnsi="Times New Roman"/>
          <w:sz w:val="18"/>
          <w:szCs w:val="18"/>
          <w:color w:val="auto"/>
        </w:rPr>
      </w:pPr>
    </w:p>
    <w:p>
      <w:pPr>
        <w:ind w:right="40" w:firstLine="967"/>
        <w:spacing w:after="0" w:line="249" w:lineRule="auto"/>
        <w:tabs>
          <w:tab w:leader="none" w:pos="121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this Indenture, the Company shall comply with the applicable securities laws and regulations and shall not be deemed to have breached its obligations under this Section 4.10 by virtue of such compliance.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00"/>
          </w:cols>
          <w:pgMar w:left="580" w:top="266" w:right="619" w:bottom="1440" w:gutter="0" w:footer="0" w:header="0"/>
        </w:sectPr>
      </w:pPr>
    </w:p>
    <w:bookmarkStart w:id="142" w:name="page143"/>
    <w:bookmarkEnd w:id="142"/>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4.11</w:t>
      </w:r>
      <w:r>
        <w:rPr>
          <w:sz w:val="20"/>
          <w:szCs w:val="20"/>
          <w:color w:val="auto"/>
        </w:rPr>
        <w:tab/>
      </w:r>
      <w:r>
        <w:rPr>
          <w:rFonts w:ascii="Times New Roman" w:cs="Times New Roman" w:eastAsia="Times New Roman" w:hAnsi="Times New Roman"/>
          <w:sz w:val="16"/>
          <w:szCs w:val="16"/>
          <w:u w:val="single" w:color="auto"/>
          <w:color w:val="auto"/>
        </w:rPr>
        <w:t>Transactions with Affiliates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360" w:firstLine="967"/>
        <w:spacing w:after="0" w:line="256" w:lineRule="auto"/>
        <w:tabs>
          <w:tab w:leader="none" w:pos="120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of the Restricted Subsidiaries to, make any payment to, or sell, lease, transfer or otherwise dispose of any of its properties or assets to, or purchase any property or assets from, or enter into or amend any contract, agreement, loan, advance or guarantee with, or for the benefit of, any Affiliate (each, an “</w:t>
      </w:r>
      <w:r>
        <w:rPr>
          <w:rFonts w:ascii="Times New Roman" w:cs="Times New Roman" w:eastAsia="Times New Roman" w:hAnsi="Times New Roman"/>
          <w:sz w:val="18"/>
          <w:szCs w:val="18"/>
          <w:b w:val="1"/>
          <w:bCs w:val="1"/>
          <w:color w:val="auto"/>
        </w:rPr>
        <w:t>Affiliate Transaction</w:t>
      </w:r>
      <w:r>
        <w:rPr>
          <w:rFonts w:ascii="Times New Roman" w:cs="Times New Roman" w:eastAsia="Times New Roman" w:hAnsi="Times New Roman"/>
          <w:sz w:val="18"/>
          <w:szCs w:val="18"/>
          <w:color w:val="auto"/>
        </w:rPr>
        <w:t>”), unless:</w:t>
      </w:r>
    </w:p>
    <w:p>
      <w:pPr>
        <w:spacing w:after="0" w:line="178" w:lineRule="exact"/>
        <w:rPr>
          <w:rFonts w:ascii="Times New Roman" w:cs="Times New Roman" w:eastAsia="Times New Roman" w:hAnsi="Times New Roman"/>
          <w:sz w:val="18"/>
          <w:szCs w:val="18"/>
          <w:color w:val="auto"/>
        </w:rPr>
      </w:pPr>
    </w:p>
    <w:p>
      <w:pPr>
        <w:jc w:val="both"/>
        <w:ind w:left="960" w:right="260" w:firstLine="397"/>
        <w:spacing w:after="0" w:line="256" w:lineRule="auto"/>
        <w:tabs>
          <w:tab w:leader="none" w:pos="155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Transaction is on terms that are not materially less favorable to the Company or the relevant Restricted Subsidiary than those that would have been obtained in a comparable transaction by the Company or such Restricted Subsidiary with an unrelated Person; and</w:t>
      </w:r>
    </w:p>
    <w:p>
      <w:pPr>
        <w:spacing w:after="0" w:line="178" w:lineRule="exact"/>
        <w:rPr>
          <w:rFonts w:ascii="Times New Roman" w:cs="Times New Roman" w:eastAsia="Times New Roman" w:hAnsi="Times New Roman"/>
          <w:sz w:val="18"/>
          <w:szCs w:val="18"/>
          <w:color w:val="auto"/>
        </w:rPr>
      </w:pPr>
    </w:p>
    <w:p>
      <w:pPr>
        <w:ind w:left="960" w:right="60" w:firstLine="397"/>
        <w:spacing w:after="0" w:line="252" w:lineRule="auto"/>
        <w:tabs>
          <w:tab w:leader="none" w:pos="160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with respect to any Affiliate Transaction or series of related Affiliate Transactions involving aggregate consideration in excess of $12.5 million, a resolution of the Board of Directors of the Company set forth in an Officer’s Certificate certifying that such Affiliate Transaction complies with this Section 4.11 and that such Affiliate Transaction has been approved by a majority of the disinterested members of the Board of Directors of the Company.</w:t>
      </w:r>
    </w:p>
    <w:p>
      <w:pPr>
        <w:spacing w:after="0" w:line="182"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shall not be deemed to be Affiliate Transactions and, therefore, shall not be subject to the provisions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4.11(a):</w:t>
      </w:r>
    </w:p>
    <w:p>
      <w:pPr>
        <w:spacing w:after="0" w:line="196" w:lineRule="exact"/>
        <w:rPr>
          <w:sz w:val="20"/>
          <w:szCs w:val="20"/>
          <w:color w:val="auto"/>
        </w:rPr>
      </w:pPr>
    </w:p>
    <w:p>
      <w:pPr>
        <w:ind w:left="960" w:right="60" w:firstLine="397"/>
        <w:spacing w:after="0" w:line="256" w:lineRule="auto"/>
        <w:tabs>
          <w:tab w:leader="none" w:pos="15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agreements and reasonable employment arrangements (including severance and retirement agreements) entered into by the Company or any of the Restricted Subsidiaries in the ordinary course of business of the Company or such Restricted Subsidiary, in each case approved by the disinterested members of the Board of Directors of the Company;</w:t>
      </w:r>
    </w:p>
    <w:p>
      <w:pPr>
        <w:spacing w:after="0" w:line="178" w:lineRule="exact"/>
        <w:rPr>
          <w:rFonts w:ascii="Times New Roman" w:cs="Times New Roman" w:eastAsia="Times New Roman" w:hAnsi="Times New Roman"/>
          <w:sz w:val="18"/>
          <w:szCs w:val="18"/>
          <w:color w:val="auto"/>
        </w:rPr>
      </w:pPr>
    </w:p>
    <w:p>
      <w:pPr>
        <w:ind w:left="1620" w:hanging="263"/>
        <w:spacing w:after="0"/>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Company and/or the Restricted Subsidiaries ;</w:t>
      </w:r>
    </w:p>
    <w:p>
      <w:pPr>
        <w:spacing w:after="0" w:line="213"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reasonable directors fees to Persons who are not otherwise Affiliates of the Company;</w:t>
      </w:r>
    </w:p>
    <w:p>
      <w:pPr>
        <w:spacing w:after="0" w:line="213"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Equity Interests (other than Disqualified Stock) of the Company;</w:t>
      </w:r>
    </w:p>
    <w:p>
      <w:pPr>
        <w:spacing w:after="0" w:line="213" w:lineRule="exact"/>
        <w:rPr>
          <w:rFonts w:ascii="Times New Roman" w:cs="Times New Roman" w:eastAsia="Times New Roman" w:hAnsi="Times New Roman"/>
          <w:sz w:val="18"/>
          <w:szCs w:val="18"/>
          <w:color w:val="auto"/>
        </w:rPr>
      </w:pPr>
    </w:p>
    <w:p>
      <w:pPr>
        <w:ind w:left="1600" w:hanging="243"/>
        <w:spacing w:after="0"/>
        <w:tabs>
          <w:tab w:leader="none" w:pos="16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and Restricted Payments that are permitted by Section 4.07;</w:t>
      </w:r>
    </w:p>
    <w:p>
      <w:pPr>
        <w:spacing w:after="0" w:line="213" w:lineRule="exact"/>
        <w:rPr>
          <w:rFonts w:ascii="Times New Roman" w:cs="Times New Roman" w:eastAsia="Times New Roman" w:hAnsi="Times New Roman"/>
          <w:sz w:val="18"/>
          <w:szCs w:val="18"/>
          <w:color w:val="auto"/>
        </w:rPr>
      </w:pPr>
    </w:p>
    <w:p>
      <w:pPr>
        <w:ind w:left="960" w:firstLine="397"/>
        <w:spacing w:after="0" w:line="252" w:lineRule="auto"/>
        <w:tabs>
          <w:tab w:leader="none" w:pos="16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securities, or other payments, awards or grants in cash, securities or otherwise pursuant to, or the funding of employment arrangements, stock options and stock ownership plans and other reasonable fees, compensation, benefits and indemnities paid or entered into by the Company or any of the Restricted Subsidiaries in the ordinary course of business to or with officers, directors or employees of the Company and the Restricted Subsidiaries ;</w:t>
      </w:r>
    </w:p>
    <w:p>
      <w:pPr>
        <w:spacing w:after="0" w:line="182" w:lineRule="exact"/>
        <w:rPr>
          <w:rFonts w:ascii="Times New Roman" w:cs="Times New Roman" w:eastAsia="Times New Roman" w:hAnsi="Times New Roman"/>
          <w:sz w:val="18"/>
          <w:szCs w:val="18"/>
          <w:color w:val="auto"/>
        </w:rPr>
      </w:pPr>
    </w:p>
    <w:p>
      <w:pPr>
        <w:ind w:left="960" w:right="360" w:firstLine="397"/>
        <w:spacing w:after="0" w:line="268" w:lineRule="auto"/>
        <w:tabs>
          <w:tab w:leader="none" w:pos="169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pledge of any Government Operating Agreement to secure Non-Recourse Project Financing Indebtedness related to the facility that is the subject of such Government Operating Agreement; and</w:t>
      </w:r>
    </w:p>
    <w:p>
      <w:pPr>
        <w:spacing w:after="0" w:line="168" w:lineRule="exact"/>
        <w:rPr>
          <w:rFonts w:ascii="Times New Roman" w:cs="Times New Roman" w:eastAsia="Times New Roman" w:hAnsi="Times New Roman"/>
          <w:sz w:val="18"/>
          <w:szCs w:val="18"/>
          <w:color w:val="auto"/>
        </w:rPr>
      </w:pPr>
    </w:p>
    <w:p>
      <w:pPr>
        <w:ind w:left="960" w:right="280" w:firstLine="397"/>
        <w:spacing w:after="0" w:line="303" w:lineRule="auto"/>
        <w:tabs>
          <w:tab w:leader="none" w:pos="174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agreement as in effect as of the Issue Date or any amendment thereto (so long as any such agreement together with all amendments thereto, taken as a whole, is not more disadvantageous to the holders of the Notes in any material respect than the original agreement as in effect on the Issue Date) or any transaction contemplated thereby as determined in good faith by the Company.</w:t>
      </w:r>
    </w:p>
    <w:p>
      <w:pPr>
        <w:spacing w:after="0" w:line="171"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4.12</w:t>
      </w:r>
      <w:r>
        <w:rPr>
          <w:sz w:val="20"/>
          <w:szCs w:val="20"/>
          <w:color w:val="auto"/>
        </w:rPr>
        <w:tab/>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right="80" w:firstLine="965"/>
        <w:spacing w:after="0" w:line="293" w:lineRule="auto"/>
        <w:rPr>
          <w:sz w:val="20"/>
          <w:szCs w:val="20"/>
          <w:color w:val="auto"/>
        </w:rPr>
      </w:pPr>
      <w:r>
        <w:rPr>
          <w:rFonts w:ascii="Times New Roman" w:cs="Times New Roman" w:eastAsia="Times New Roman" w:hAnsi="Times New Roman"/>
          <w:sz w:val="16"/>
          <w:szCs w:val="16"/>
          <w:color w:val="auto"/>
        </w:rPr>
        <w:t>The Company will not, and will not permit any of the Restricted Subsidiaries to, create, incur, assume or otherwise cause or suffer to exist or become effective any Lien of any kind, other than Permitted Liens (the “</w:t>
      </w:r>
      <w:r>
        <w:rPr>
          <w:rFonts w:ascii="Times New Roman" w:cs="Times New Roman" w:eastAsia="Times New Roman" w:hAnsi="Times New Roman"/>
          <w:sz w:val="16"/>
          <w:szCs w:val="16"/>
          <w:b w:val="1"/>
          <w:bCs w:val="1"/>
          <w:color w:val="auto"/>
        </w:rPr>
        <w:t>Initial Lien</w:t>
      </w:r>
      <w:r>
        <w:rPr>
          <w:rFonts w:ascii="Times New Roman" w:cs="Times New Roman" w:eastAsia="Times New Roman" w:hAnsi="Times New Roman"/>
          <w:sz w:val="16"/>
          <w:szCs w:val="16"/>
          <w:color w:val="auto"/>
        </w:rPr>
        <w:t>”), upon any of their property or assets, now owned or hereafter acquired securing any Indebtedness; except, in the case of any property that does not constitute Collateral, any Initial Lien securing any Indebtedness if the Notes are secured equally and ratably with (or prior to) the obligations so secured for so long as such obligations are so secured by the Initial Lien.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580" w:top="266" w:right="599" w:bottom="1440" w:gutter="0" w:footer="0" w:header="0"/>
        </w:sectPr>
      </w:pPr>
    </w:p>
    <w:bookmarkStart w:id="143" w:name="page144"/>
    <w:bookmarkEnd w:id="143"/>
    <w:p>
      <w:pPr>
        <w:ind w:right="400" w:firstLine="965"/>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Lien created for the benefit of the Holders of the Notes pursuant to the last clause of the preceding paragraph shall provide by its terms that such Lien shall be automatically and unconditionally released and discharged upon the release and discharge of the Initial Lien.</w:t>
      </w:r>
    </w:p>
    <w:p>
      <w:pPr>
        <w:spacing w:after="0" w:line="123" w:lineRule="exact"/>
        <w:rPr>
          <w:sz w:val="20"/>
          <w:szCs w:val="20"/>
          <w:color w:val="auto"/>
        </w:rPr>
      </w:pPr>
    </w:p>
    <w:p>
      <w:pPr>
        <w:ind w:right="60" w:firstLine="965"/>
        <w:spacing w:after="0" w:line="248" w:lineRule="auto"/>
        <w:rPr>
          <w:sz w:val="20"/>
          <w:szCs w:val="20"/>
          <w:color w:val="auto"/>
        </w:rPr>
      </w:pPr>
      <w:r>
        <w:rPr>
          <w:rFonts w:ascii="Times New Roman" w:cs="Times New Roman" w:eastAsia="Times New Roman" w:hAnsi="Times New Roman"/>
          <w:sz w:val="18"/>
          <w:szCs w:val="18"/>
          <w:color w:val="auto"/>
        </w:rPr>
        <w:t>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or in the form of common stock of the Company, accretion of original issue discount or liquidation preference and increases in the amount of Indebtedness outstanding solely as a result of fluctuations in the exchange rate of currencies or increases in the value of property securing such Indebtedness.</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4.13</w:t>
      </w:r>
      <w:r>
        <w:rPr>
          <w:sz w:val="20"/>
          <w:szCs w:val="20"/>
          <w:color w:val="auto"/>
        </w:rPr>
        <w:tab/>
      </w:r>
      <w:r>
        <w:rPr>
          <w:rFonts w:ascii="Times New Roman" w:cs="Times New Roman" w:eastAsia="Times New Roman" w:hAnsi="Times New Roman"/>
          <w:sz w:val="16"/>
          <w:szCs w:val="16"/>
          <w:u w:val="single" w:color="auto"/>
          <w:color w:val="auto"/>
        </w:rPr>
        <w:t>Certain Financial Covenants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40" w:firstLine="967"/>
        <w:spacing w:after="0" w:line="268" w:lineRule="auto"/>
        <w:tabs>
          <w:tab w:leader="none" w:pos="120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 The Company will not permit the Total Leverage Ratio on the last day of any of the Company’s fiscal quarters to exceed 6.50 to 1.00.</w:t>
      </w:r>
    </w:p>
    <w:p>
      <w:pPr>
        <w:spacing w:after="0" w:line="168" w:lineRule="exact"/>
        <w:rPr>
          <w:rFonts w:ascii="Times New Roman" w:cs="Times New Roman" w:eastAsia="Times New Roman" w:hAnsi="Times New Roman"/>
          <w:sz w:val="18"/>
          <w:szCs w:val="18"/>
          <w:color w:val="auto"/>
        </w:rPr>
      </w:pPr>
    </w:p>
    <w:p>
      <w:pPr>
        <w:ind w:right="160" w:firstLine="967"/>
        <w:spacing w:after="0" w:line="256" w:lineRule="auto"/>
        <w:tabs>
          <w:tab w:leader="none" w:pos="121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Senior Secured Leverage Ratio</w:t>
      </w:r>
      <w:r>
        <w:rPr>
          <w:rFonts w:ascii="Times New Roman" w:cs="Times New Roman" w:eastAsia="Times New Roman" w:hAnsi="Times New Roman"/>
          <w:sz w:val="18"/>
          <w:szCs w:val="18"/>
          <w:color w:val="auto"/>
        </w:rPr>
        <w:t>. The Company will not permit the Senior Secured Leverage Ratio on the last day of any of the Company’s fiscal quarters ending prior to December 31, 2025 to exceed 4.75 to 1.00 and will not permit the Senior Secured Leverage Ratio on the last day of any of the Company’s fiscal quarters ending on or after December 31, 2025 to exceed 3.75 to 1.00.</w:t>
      </w:r>
    </w:p>
    <w:p>
      <w:pPr>
        <w:spacing w:after="0" w:line="178" w:lineRule="exact"/>
        <w:rPr>
          <w:rFonts w:ascii="Times New Roman" w:cs="Times New Roman" w:eastAsia="Times New Roman" w:hAnsi="Times New Roman"/>
          <w:sz w:val="18"/>
          <w:szCs w:val="18"/>
          <w:color w:val="auto"/>
        </w:rPr>
      </w:pPr>
    </w:p>
    <w:p>
      <w:pPr>
        <w:ind w:right="100" w:firstLine="967"/>
        <w:spacing w:after="0" w:line="256" w:lineRule="auto"/>
        <w:tabs>
          <w:tab w:leader="none" w:pos="120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The Company will not permit the ratio of (a) Adjusted EBITDA for any period of four consecutive fiscal quarters to (b) Interest Expense minus Interest Expense attributable to Indebtedness of Unrestricted Subsidiaries and Other Consolidated Persons that is Non-Recourse to the Company and the Restricted Subsidiaries for such four quarter period, to be less than 1.375 to 1.00.</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4.14</w:t>
      </w:r>
      <w:r>
        <w:rPr>
          <w:sz w:val="20"/>
          <w:szCs w:val="20"/>
          <w:color w:val="auto"/>
        </w:rPr>
        <w:tab/>
      </w:r>
      <w:r>
        <w:rPr>
          <w:rFonts w:ascii="Times New Roman" w:cs="Times New Roman" w:eastAsia="Times New Roman" w:hAnsi="Times New Roman"/>
          <w:sz w:val="16"/>
          <w:szCs w:val="16"/>
          <w:u w:val="single" w:color="auto"/>
          <w:color w:val="auto"/>
        </w:rPr>
        <w:t>Offer to Repurchase upon a Change of Control</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7"/>
        <w:spacing w:after="0" w:line="245" w:lineRule="auto"/>
        <w:tabs>
          <w:tab w:leader="none" w:pos="120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the Company shall offer to repurchase all or any part (equal to a minimum denomination of $2,000 or an integral multiple of $1,000 in excess thereof) of each Holder’s Notes pursuant to the offer described below (the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provided that any unpurchased portion of a Note must be in a minimum denomination of $2,000. In the Change of Control Offer, the Company will offer an offer price in cash equal to 101% of the aggregate principal amount of Notes repurchased, plus accrued and unpaid interest, on the Notes repurchased to, but not including, the date of purchase (subject to the rights of Holders on the relevant record date to receive interest due on the relevant interest payment date if the Notes have not been redeemed or repurchased prior to such date) (the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Within 30 days following any Change of Control, the Company shall mail or send a notice to each Holder describing the transaction or transactions that constitute the Change of Control and offering to repurchase Notes on the date (the “</w:t>
      </w:r>
      <w:r>
        <w:rPr>
          <w:rFonts w:ascii="Times New Roman" w:cs="Times New Roman" w:eastAsia="Times New Roman" w:hAnsi="Times New Roman"/>
          <w:sz w:val="18"/>
          <w:szCs w:val="18"/>
          <w:b w:val="1"/>
          <w:bCs w:val="1"/>
          <w:color w:val="auto"/>
        </w:rPr>
        <w:t>Change of Control Payment Date</w:t>
      </w:r>
      <w:r>
        <w:rPr>
          <w:rFonts w:ascii="Times New Roman" w:cs="Times New Roman" w:eastAsia="Times New Roman" w:hAnsi="Times New Roman"/>
          <w:sz w:val="18"/>
          <w:szCs w:val="18"/>
          <w:color w:val="auto"/>
        </w:rPr>
        <w:t>”) specified in the notice, which date will be no earlier than 30 days and no later than 60 days from the date such notice is sent, pursuant to the procedures described in Section 3.09 hereof and described in such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this Indenture relating to such Change of Control Offer, the Company shall comply with the applicable securities laws and regulations and shall be deemed not to have breached its obligations under this Section 4.14 by virtue of such compliance.</w:t>
      </w:r>
    </w:p>
    <w:p>
      <w:pPr>
        <w:spacing w:after="0" w:line="196" w:lineRule="exact"/>
        <w:rPr>
          <w:rFonts w:ascii="Times New Roman" w:cs="Times New Roman" w:eastAsia="Times New Roman" w:hAnsi="Times New Roman"/>
          <w:sz w:val="18"/>
          <w:szCs w:val="18"/>
          <w:color w:val="auto"/>
        </w:rPr>
      </w:pPr>
    </w:p>
    <w:p>
      <w:pPr>
        <w:ind w:right="80" w:firstLine="967"/>
        <w:spacing w:after="0" w:line="246" w:lineRule="auto"/>
        <w:tabs>
          <w:tab w:leader="none" w:pos="121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Change of Control Payment Date, the Company shall, to the extent lawful: (1) accept for payment all Notes or portions thereof properly tendered pursuant to the Change of Control Offer, (2) deposit with the Paying Agent an amount equal to the Change of Control Payment in respect of all Notes or portions thereof properly tendered and (3) deliver or cause to be delivered to the Trustee the Notes properly accepted together with an Officer’s Certificate stating the aggregate principal amount of Notes or portions thereof being purchased by the Company. The Paying Agent shall promptly send to each Holder of Notes properly tendered the Change of Control Payment for such Notes (to the extent received from the Company), and the Trustee shall promptly authenticate and mail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minimum principal amount of $2,000 or an integral multiple of $1,000 in excess thereof. The Company shall publicly announce the results of the Change of Control Offer on or as soon as practicable after the Change of Control Payment Date.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20"/>
          </w:cols>
          <w:pgMar w:left="580" w:top="266" w:right="599" w:bottom="1440" w:gutter="0" w:footer="0" w:header="0"/>
        </w:sectPr>
      </w:pPr>
    </w:p>
    <w:bookmarkStart w:id="144" w:name="page145"/>
    <w:bookmarkEnd w:id="144"/>
    <w:p>
      <w:pPr>
        <w:ind w:right="60" w:firstLine="967"/>
        <w:spacing w:after="0" w:line="247" w:lineRule="auto"/>
        <w:tabs>
          <w:tab w:leader="none" w:pos="120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anything to the contrary in this Section 4.14, the Company shall not be required to make a Change of Control Offer upon a Change of Control if (i) a third party makes the Change of Control Offer in the manner, at the times and otherwise in compliance with the requirements set forth in this Section 4.14 and all other provisions of this Indenture applicable to a Change of Control Offer made by the Company and purchases all Notes properly tendered and not withdrawn under such Change of Control Offer or (ii) notice of redemption has been given pursuant to this Indenture as described above under Section 3.07, unless and until there is a default in payment of the applicable redemption price. Notwithstanding anything to the contrary contained herein, a Change of Control Offer may be made in advance of a Change of Control, conditioned upon the consummation of such Change of Control, if a definitive agreement is in place for the Change of Control at the time the Change of Control Offer is made.</w:t>
      </w:r>
    </w:p>
    <w:p>
      <w:pPr>
        <w:spacing w:after="0" w:line="188" w:lineRule="exact"/>
        <w:rPr>
          <w:rFonts w:ascii="Times New Roman" w:cs="Times New Roman" w:eastAsia="Times New Roman" w:hAnsi="Times New Roman"/>
          <w:sz w:val="18"/>
          <w:szCs w:val="18"/>
          <w:color w:val="auto"/>
        </w:rPr>
      </w:pPr>
    </w:p>
    <w:p>
      <w:pPr>
        <w:ind w:right="60" w:firstLine="967"/>
        <w:spacing w:after="0" w:line="252" w:lineRule="auto"/>
        <w:tabs>
          <w:tab w:leader="none" w:pos="121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Offer is made, the Company may not have available funds sufficient to pay the Change of Control Payment for all of the Notes that might be delivered by Holders of the Notes seeking to accept the Change of Control Offer. The Company’s failure to make or consummate the Change of Control Offer or pay the Change of Control Payment when due will give the Trustee and the Holders of the Notes the rights described under Section 6.01 hereof.</w:t>
      </w:r>
    </w:p>
    <w:p>
      <w:pPr>
        <w:spacing w:after="0" w:line="182" w:lineRule="exact"/>
        <w:rPr>
          <w:rFonts w:ascii="Times New Roman" w:cs="Times New Roman" w:eastAsia="Times New Roman" w:hAnsi="Times New Roman"/>
          <w:sz w:val="18"/>
          <w:szCs w:val="18"/>
          <w:color w:val="auto"/>
        </w:rPr>
      </w:pPr>
    </w:p>
    <w:p>
      <w:pPr>
        <w:ind w:right="280" w:firstLine="967"/>
        <w:spacing w:after="0" w:line="268" w:lineRule="auto"/>
        <w:tabs>
          <w:tab w:leader="none" w:pos="120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Holder’s right to require the Company to repurchase such Holder’s Notes upon a Change of Control may deter a third party from acquiring the Company in a transaction which constitutes a Change of Control.</w:t>
      </w:r>
    </w:p>
    <w:p>
      <w:pPr>
        <w:spacing w:after="0" w:line="168" w:lineRule="exact"/>
        <w:rPr>
          <w:rFonts w:ascii="Times New Roman" w:cs="Times New Roman" w:eastAsia="Times New Roman" w:hAnsi="Times New Roman"/>
          <w:sz w:val="18"/>
          <w:szCs w:val="18"/>
          <w:color w:val="auto"/>
        </w:rPr>
      </w:pPr>
    </w:p>
    <w:p>
      <w:pPr>
        <w:ind w:right="140" w:firstLine="967"/>
        <w:spacing w:after="0" w:line="252" w:lineRule="auto"/>
        <w:tabs>
          <w:tab w:leader="none" w:pos="1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Indenture will not afford Holders of the Notes the right to require the Company to repurchase the Notes in the event of a highly leveraged transaction or certain transactions with the Company’s management or Affiliates, including a reorganization, restructuring, merger or similar transaction (including, in certain circumstances, an acquisition of the Company by management or its affiliates) involving the Company that may adversely affect Holders of the Notes, if such transaction is not a transaction defined as a Change of Control.</w:t>
      </w:r>
    </w:p>
    <w:p>
      <w:pPr>
        <w:spacing w:after="0" w:line="208"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4.15</w:t>
      </w:r>
      <w:r>
        <w:rPr>
          <w:sz w:val="20"/>
          <w:szCs w:val="20"/>
          <w:color w:val="auto"/>
        </w:rPr>
        <w:tab/>
      </w:r>
      <w:r>
        <w:rPr>
          <w:rFonts w:ascii="Times New Roman" w:cs="Times New Roman" w:eastAsia="Times New Roman" w:hAnsi="Times New Roman"/>
          <w:sz w:val="16"/>
          <w:szCs w:val="16"/>
          <w:u w:val="single" w:color="auto"/>
          <w:color w:val="auto"/>
        </w:rPr>
        <w:t>Designation of Restricted and Unrestricted Subsidiaries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5"/>
        <w:spacing w:after="0" w:line="246" w:lineRule="auto"/>
        <w:rPr>
          <w:sz w:val="20"/>
          <w:szCs w:val="20"/>
          <w:color w:val="auto"/>
        </w:rPr>
      </w:pPr>
      <w:r>
        <w:rPr>
          <w:rFonts w:ascii="Times New Roman" w:cs="Times New Roman" w:eastAsia="Times New Roman" w:hAnsi="Times New Roman"/>
          <w:sz w:val="18"/>
          <w:szCs w:val="18"/>
          <w:color w:val="auto"/>
        </w:rPr>
        <w:t xml:space="preserve">The Board of Directors of the Company may designate any Restricted Subsidiary to be an Unrestricted Subsidiary if that designation would not cause a Default or Event of Default. If a Restricted Subsidiary is designated as an Unrestricted Subsidiary, the aggregate Fair Market Value of all outstanding Investments owned by the Company and the Restricted Subsidiaries in the Subsidiary properly designated shall be deemed to be Investments made as of the time of the designation, subject to the limitations on Restricted Payments. That designation will only be permitted if the Investment would be permitted at that time and if the Restricted Subsidiary otherwise meets the definition of an Unrestricted Subsidiary. The Board of Directors of the Company may redesignate any Unrestricted Subsidiary to be a Restricted Subsidiary if the redesignation would not cause a Default;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designation shall be deemed to be an incurrence of Indebtedness by a Restricted Subsidiary of the Company of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of such Unrestricted Subsidiary and such designation shall only be permitted if (1) such Indebtedness is permitted under Section 4.09, calculated on a pro forma basis as if such designation had occurred at the beginning of the four-quarter reference period; and (2) no Default or Event of Default would be in existence following such designation.</w:t>
      </w:r>
    </w:p>
    <w:p>
      <w:pPr>
        <w:spacing w:after="0" w:line="218"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4.16</w:t>
      </w:r>
      <w:r>
        <w:rPr>
          <w:sz w:val="20"/>
          <w:szCs w:val="20"/>
          <w:color w:val="auto"/>
        </w:rPr>
        <w:tab/>
      </w:r>
      <w:r>
        <w:rPr>
          <w:rFonts w:ascii="Times New Roman" w:cs="Times New Roman" w:eastAsia="Times New Roman" w:hAnsi="Times New Roman"/>
          <w:sz w:val="16"/>
          <w:szCs w:val="16"/>
          <w:u w:val="single" w:color="auto"/>
          <w:color w:val="auto"/>
        </w:rPr>
        <w:t>Payments for Consent</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20" w:firstLine="965"/>
        <w:spacing w:after="0" w:line="248" w:lineRule="auto"/>
        <w:rPr>
          <w:sz w:val="20"/>
          <w:szCs w:val="20"/>
          <w:color w:val="auto"/>
        </w:rPr>
      </w:pPr>
      <w:r>
        <w:rPr>
          <w:rFonts w:ascii="Times New Roman" w:cs="Times New Roman" w:eastAsia="Times New Roman" w:hAnsi="Times New Roman"/>
          <w:sz w:val="18"/>
          <w:szCs w:val="18"/>
          <w:color w:val="auto"/>
        </w:rPr>
        <w:t>The Company shall not, and shall not permit any of the Restricted Subsidiaries to, directly or indirectly (including, without limitation, through participation in any transaction in which any Affiliate of the Company does), pay or cause to be paid or provided any consideration, whether by way of interest, fee or otherwise, to or for the benefit of any Holder of Notes for or as an inducement to any consent, waiver or amendment of any of the terms or provisions of this Indenture, the Notes or the Security Documents, unless such consideration is offered to be paid to all Holders of the Notes, and is paid to all such Holders that consent, waive or agree to amend in the time frame set forth in the solicitation documents relating to such consent, waiver or agreement.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680"/>
          </w:cols>
          <w:pgMar w:left="580" w:top="265" w:right="639" w:bottom="1440" w:gutter="0" w:footer="0" w:header="0"/>
        </w:sectPr>
      </w:pPr>
    </w:p>
    <w:bookmarkStart w:id="145" w:name="page146"/>
    <w:bookmarkEnd w:id="145"/>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4.17</w:t>
      </w:r>
      <w:r>
        <w:rPr>
          <w:sz w:val="20"/>
          <w:szCs w:val="20"/>
          <w:color w:val="auto"/>
        </w:rPr>
        <w:tab/>
      </w:r>
      <w:r>
        <w:rPr>
          <w:rFonts w:ascii="Times New Roman" w:cs="Times New Roman" w:eastAsia="Times New Roman" w:hAnsi="Times New Roman"/>
          <w:sz w:val="16"/>
          <w:szCs w:val="16"/>
          <w:u w:val="single" w:color="auto"/>
          <w:color w:val="auto"/>
        </w:rPr>
        <w:t>Sale and Leaseback Transactions</w:t>
      </w:r>
      <w:r>
        <w:rPr>
          <w:rFonts w:ascii="Times New Roman" w:cs="Times New Roman" w:eastAsia="Times New Roman" w:hAnsi="Times New Roman"/>
          <w:sz w:val="16"/>
          <w:szCs w:val="16"/>
          <w:color w:val="auto"/>
        </w:rPr>
        <w:t>.</w:t>
      </w:r>
    </w:p>
    <w:p>
      <w:pPr>
        <w:spacing w:after="0" w:line="21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 xml:space="preserve">The Company shall not, and shall not permit any Restricted Subsidiary to, enter into any Sale and Leaseback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or any Restricted Subsidiary may enter into a Sale and Leaseback Transaction if:</w:t>
      </w:r>
    </w:p>
    <w:p>
      <w:pPr>
        <w:spacing w:after="0" w:line="167" w:lineRule="exact"/>
        <w:rPr>
          <w:sz w:val="20"/>
          <w:szCs w:val="20"/>
          <w:color w:val="auto"/>
        </w:rPr>
      </w:pPr>
    </w:p>
    <w:p>
      <w:pPr>
        <w:ind w:left="960" w:right="520" w:firstLine="397"/>
        <w:spacing w:after="0" w:line="256" w:lineRule="auto"/>
        <w:tabs>
          <w:tab w:leader="none" w:pos="15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that Restricted Subsidiary, as applicable, could have (a) incurred Indebtedness in an amount equal to the Attributable Debt relating to such Sale and Leaseback Transaction under Section 4.09 hereof and (b) incurred a Lien to secure such Indebtedness pursuant to Section 4.12 hereof;</w:t>
      </w:r>
    </w:p>
    <w:p>
      <w:pPr>
        <w:spacing w:after="0" w:line="178" w:lineRule="exact"/>
        <w:rPr>
          <w:rFonts w:ascii="Times New Roman" w:cs="Times New Roman" w:eastAsia="Times New Roman" w:hAnsi="Times New Roman"/>
          <w:sz w:val="18"/>
          <w:szCs w:val="18"/>
          <w:color w:val="auto"/>
        </w:rPr>
      </w:pPr>
    </w:p>
    <w:p>
      <w:pPr>
        <w:ind w:left="960" w:right="340" w:firstLine="397"/>
        <w:spacing w:after="0" w:line="268" w:lineRule="auto"/>
        <w:tabs>
          <w:tab w:leader="none" w:pos="16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cash proceeds of that Sale and Leaseback Transaction are at least equal to the Fair Market Value and set forth in an Officer’s Certificate delivered to the Trustee, of the property that is the subject of that Sale and Leaseback Transaction; and</w:t>
      </w:r>
    </w:p>
    <w:p>
      <w:pPr>
        <w:spacing w:after="0" w:line="168" w:lineRule="exact"/>
        <w:rPr>
          <w:rFonts w:ascii="Times New Roman" w:cs="Times New Roman" w:eastAsia="Times New Roman" w:hAnsi="Times New Roman"/>
          <w:sz w:val="18"/>
          <w:szCs w:val="18"/>
          <w:color w:val="auto"/>
        </w:rPr>
      </w:pPr>
    </w:p>
    <w:p>
      <w:pPr>
        <w:ind w:left="960" w:right="380" w:firstLine="397"/>
        <w:spacing w:after="0" w:line="268" w:lineRule="auto"/>
        <w:tabs>
          <w:tab w:leader="none" w:pos="165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assets in that Sale and Leaseback Transaction is permitted by, and the Company applies the proceeds of such transaction in compliance with, Section 4.10 hereof.</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4.18</w:t>
      </w:r>
      <w:r>
        <w:rPr>
          <w:sz w:val="20"/>
          <w:szCs w:val="20"/>
          <w:color w:val="auto"/>
        </w:rPr>
        <w:tab/>
      </w:r>
      <w:r>
        <w:rPr>
          <w:rFonts w:ascii="Times New Roman" w:cs="Times New Roman" w:eastAsia="Times New Roman" w:hAnsi="Times New Roman"/>
          <w:sz w:val="16"/>
          <w:szCs w:val="16"/>
          <w:u w:val="single" w:color="auto"/>
          <w:color w:val="auto"/>
        </w:rPr>
        <w:t>Additional Note Guarantees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7"/>
        <w:spacing w:after="0" w:line="268" w:lineRule="auto"/>
        <w:tabs>
          <w:tab w:leader="none" w:pos="120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initially be fully and unconditionally guaranteed by each of the Initial Guarantors and may be guaranteed by additional Subsidiaries of the Company pursuant to this Section 4.18.</w:t>
      </w:r>
    </w:p>
    <w:p>
      <w:pPr>
        <w:spacing w:after="0" w:line="168" w:lineRule="exact"/>
        <w:rPr>
          <w:rFonts w:ascii="Times New Roman" w:cs="Times New Roman" w:eastAsia="Times New Roman" w:hAnsi="Times New Roman"/>
          <w:sz w:val="18"/>
          <w:szCs w:val="18"/>
          <w:color w:val="auto"/>
        </w:rPr>
      </w:pPr>
    </w:p>
    <w:p>
      <w:pPr>
        <w:ind w:firstLine="967"/>
        <w:spacing w:after="0" w:line="248" w:lineRule="auto"/>
        <w:tabs>
          <w:tab w:leader="none" w:pos="121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permit any of the Restricted Subsidiaries that are not Guarantors, directly or indirectly, to Guarantee the payment of any Indebtedness of the Company or any Guarantor under any Credit Facility or evidenced by bonds, notes or other debt securities in an aggregate principal amount of $50.0 million or more (“</w:t>
      </w:r>
      <w:r>
        <w:rPr>
          <w:rFonts w:ascii="Times New Roman" w:cs="Times New Roman" w:eastAsia="Times New Roman" w:hAnsi="Times New Roman"/>
          <w:sz w:val="18"/>
          <w:szCs w:val="18"/>
          <w:b w:val="1"/>
          <w:bCs w:val="1"/>
          <w:color w:val="auto"/>
        </w:rPr>
        <w:t>Triggering Indebtedness</w:t>
      </w:r>
      <w:r>
        <w:rPr>
          <w:rFonts w:ascii="Times New Roman" w:cs="Times New Roman" w:eastAsia="Times New Roman" w:hAnsi="Times New Roman"/>
          <w:sz w:val="18"/>
          <w:szCs w:val="18"/>
          <w:color w:val="auto"/>
        </w:rPr>
        <w:t xml:space="preserve">”), unless, in each case, such Restricted Subsidiary within 10 Business Days, executes and delivers a supplemental indenture providing for the Guarantee of the payment of the Notes by such Restricted Subsidiary, which Note Guarantee shall be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Subsidiary’s Guarantee of such other Indebtedness (other than, solely to the extent provided in the First Lien/Second Lien Intercreditor Agreement, the First Lien Secured Obligations).</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4.19</w:t>
      </w:r>
      <w:r>
        <w:rPr>
          <w:sz w:val="20"/>
          <w:szCs w:val="20"/>
          <w:color w:val="auto"/>
        </w:rPr>
        <w:tab/>
      </w:r>
      <w:r>
        <w:rPr>
          <w:rFonts w:ascii="Times New Roman" w:cs="Times New Roman" w:eastAsia="Times New Roman" w:hAnsi="Times New Roman"/>
          <w:sz w:val="16"/>
          <w:szCs w:val="16"/>
          <w:u w:val="single" w:color="auto"/>
          <w:color w:val="auto"/>
        </w:rPr>
        <w:t>Foreign Subsidiary Unrestricted Cash</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580" w:firstLine="965"/>
        <w:spacing w:after="0" w:line="268" w:lineRule="auto"/>
        <w:rPr>
          <w:sz w:val="20"/>
          <w:szCs w:val="20"/>
          <w:color w:val="auto"/>
        </w:rPr>
      </w:pPr>
      <w:r>
        <w:rPr>
          <w:rFonts w:ascii="Times New Roman" w:cs="Times New Roman" w:eastAsia="Times New Roman" w:hAnsi="Times New Roman"/>
          <w:sz w:val="18"/>
          <w:szCs w:val="18"/>
          <w:color w:val="auto"/>
        </w:rPr>
        <w:t>The Company shall not, and shall not permit any Subsidiary to, permit the aggregate amount of Unrestricted Cash held by Foreign Subsidiaries as of the last day of any fiscal quarter to exceed $125.0 million.</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4.20</w:t>
      </w:r>
      <w:r>
        <w:rPr>
          <w:sz w:val="20"/>
          <w:szCs w:val="20"/>
          <w:color w:val="auto"/>
        </w:rPr>
        <w:tab/>
      </w:r>
      <w:r>
        <w:rPr>
          <w:rFonts w:ascii="Times New Roman" w:cs="Times New Roman" w:eastAsia="Times New Roman" w:hAnsi="Times New Roman"/>
          <w:sz w:val="16"/>
          <w:szCs w:val="16"/>
          <w:u w:val="single" w:color="auto"/>
          <w:color w:val="auto"/>
        </w:rPr>
        <w:t>Financial Calculations for Limited Condition Transactions; Certain Calculations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60" w:firstLine="967"/>
        <w:spacing w:after="0" w:line="247" w:lineRule="auto"/>
        <w:tabs>
          <w:tab w:leader="none" w:pos="12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compliance with or availability under any basket, test or ratio under this Indenture or compliance with any provision of this Indenture in connection with any Limited Condition Transaction and any actions or transactions related thereto, at the option of the Company (the Company’s election to exercise such option in connection with any Limited Condition Transaction, an “</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the date of determination of whether any such action is permitted, shall be deemed to be the date the definitive agreements for such Limited Condition Transaction are entered into (the “</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Company could have taken such action on the relevant LCT Test Date in compliance with such ratio or basket, such ratio or basket shall be deemed to have been complied with.</w:t>
      </w:r>
    </w:p>
    <w:p>
      <w:pPr>
        <w:spacing w:after="0" w:line="188" w:lineRule="exact"/>
        <w:rPr>
          <w:rFonts w:ascii="Times New Roman" w:cs="Times New Roman" w:eastAsia="Times New Roman" w:hAnsi="Times New Roman"/>
          <w:sz w:val="18"/>
          <w:szCs w:val="18"/>
          <w:color w:val="auto"/>
        </w:rPr>
      </w:pPr>
    </w:p>
    <w:p>
      <w:pPr>
        <w:ind w:firstLine="967"/>
        <w:spacing w:after="0" w:line="248" w:lineRule="auto"/>
        <w:tabs>
          <w:tab w:leader="none" w:pos="121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if the Company has made an LCT Election and any of the baskets, tests or ratios for which compliance was determined or tested as of the LCT Test Date are thereafter exceeded as a result of fluctuations in any such basket, test or ratio (including due to fluctuations of the Company or the target of any Limited Condition Transaction) at or prior to the consummation of the relevant transaction or action, such baskets or ratios will not be deemed to have been exceeded as a result of such fluctuations (provided, however, that if any tests or ratios improve or baskets increase as a result of such fluctuations, such improved test, ratios or baskets may be utilized) and (b) such baskets, tests or ratios shall not be tested at the time of consummation of such Limited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680"/>
          </w:cols>
          <w:pgMar w:left="580" w:top="266" w:right="639" w:bottom="1440" w:gutter="0" w:footer="0" w:header="0"/>
        </w:sectPr>
      </w:pPr>
    </w:p>
    <w:bookmarkStart w:id="146" w:name="page147"/>
    <w:bookmarkEnd w:id="146"/>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Condition Transaction or related transactions. If the Company has made an LCT Election for any Limited Condition Transaction, then in connection with any subsequent calculation of any basket, test or ratio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basket, test or ratio shall be calculated on a pro forma basis assuming such Limited Condition Transaction and other transactions in connection therewith (including any incurrence of debt and the use of proceeds thereof) had been consummated.</w:t>
      </w:r>
    </w:p>
    <w:p>
      <w:pPr>
        <w:spacing w:after="0" w:line="189" w:lineRule="exact"/>
        <w:rPr>
          <w:sz w:val="20"/>
          <w:szCs w:val="20"/>
          <w:color w:val="auto"/>
        </w:rPr>
      </w:pPr>
    </w:p>
    <w:p>
      <w:pPr>
        <w:ind w:right="40" w:firstLine="967"/>
        <w:spacing w:after="0" w:line="249" w:lineRule="auto"/>
        <w:tabs>
          <w:tab w:leader="none" w:pos="120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permissibility of any action, change, transaction or event that requires a calculation of any financial ratio or test (including any leverage ratio), other than compliance with the financial covenants set forth under Section 4.13 hereof, such financial ratio or test shall be calculated at the time such action is taken,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w:t>
      </w:r>
    </w:p>
    <w:p>
      <w:pPr>
        <w:spacing w:after="0" w:line="188" w:lineRule="exact"/>
        <w:rPr>
          <w:rFonts w:ascii="Times New Roman" w:cs="Times New Roman" w:eastAsia="Times New Roman" w:hAnsi="Times New Roman"/>
          <w:sz w:val="18"/>
          <w:szCs w:val="18"/>
          <w:color w:val="auto"/>
        </w:rPr>
      </w:pPr>
    </w:p>
    <w:p>
      <w:pPr>
        <w:ind w:right="20" w:firstLine="967"/>
        <w:spacing w:after="0" w:line="249" w:lineRule="auto"/>
        <w:tabs>
          <w:tab w:leader="none" w:pos="12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pro forma adjustments to any financial ratio or test, pro forma effect shall be given to acquisitions that have been made by the specified Person or any of the Restricted Subsidiaries , including through mergers or consolidations and including any related financing transactions, during the four-quarter reference period or subsequent to such reference period and on or prior to the calculation date will be given pro forma effect as if they had occurred on the first day of the four-quarter reference period. For the avoidance of doubt, the Trustee shall have no duty to calculate, or verify the calculation, of any ratio, basket, amount or test in connection with a Limited Condition Transaction.</w:t>
      </w:r>
    </w:p>
    <w:p>
      <w:pPr>
        <w:spacing w:after="0" w:line="1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5.01</w:t>
      </w:r>
      <w:r>
        <w:rPr>
          <w:sz w:val="20"/>
          <w:szCs w:val="20"/>
          <w:color w:val="auto"/>
        </w:rPr>
        <w:tab/>
      </w:r>
      <w:r>
        <w:rPr>
          <w:rFonts w:ascii="Times New Roman" w:cs="Times New Roman" w:eastAsia="Times New Roman" w:hAnsi="Times New Roman"/>
          <w:sz w:val="16"/>
          <w:szCs w:val="16"/>
          <w:u w:val="single" w:color="auto"/>
          <w:color w:val="auto"/>
        </w:rPr>
        <w:t>Merger, Consolidation or Sale of Assets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20" w:firstLine="967"/>
        <w:spacing w:after="0" w:line="288" w:lineRule="auto"/>
        <w:tabs>
          <w:tab w:leader="none" w:pos="1203"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in a single transaction or a series of related transactions, consolidate with or merge with or into any other Person or sell, assign, convey, transfer, lease or otherwise dispose of all or substantially all of its properties and assets to any Person or group of affiliated Persons, or permit any of the Restricted Subsidiaries to enter into any such transaction or transactions if such transaction or transactions, in the aggregate, would result in an assignment, conveyance, transfer, lease or disposition of all or substantially all of the properties and assets of the Company and the Restricted Subsidiaries taken as a whole to any other Person or group of affiliated Persons, unless at the time and after giving effect thereto:</w:t>
      </w:r>
    </w:p>
    <w:p>
      <w:pPr>
        <w:spacing w:after="0" w:line="157" w:lineRule="exact"/>
        <w:rPr>
          <w:rFonts w:ascii="Times New Roman" w:cs="Times New Roman" w:eastAsia="Times New Roman" w:hAnsi="Times New Roman"/>
          <w:sz w:val="16"/>
          <w:szCs w:val="16"/>
          <w:color w:val="auto"/>
        </w:rPr>
      </w:pPr>
    </w:p>
    <w:p>
      <w:pPr>
        <w:jc w:val="both"/>
        <w:ind w:left="960" w:right="300" w:firstLine="397"/>
        <w:spacing w:after="0" w:line="303" w:lineRule="auto"/>
        <w:tabs>
          <w:tab w:leader="none" w:pos="1559"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(A) the Company is the surviving Person; or (B) the Person formed by or surviving any such consolidation or merger (if other than the Company) or to which such sale, assignment, lease, transfer, conveyance or other disposition has been made is an entity organized or existing under the laws of the United States, any state of the United States or the District of Columbia;</w:t>
      </w:r>
    </w:p>
    <w:p>
      <w:pPr>
        <w:spacing w:after="0" w:line="144" w:lineRule="exact"/>
        <w:rPr>
          <w:rFonts w:ascii="Times New Roman" w:cs="Times New Roman" w:eastAsia="Times New Roman" w:hAnsi="Times New Roman"/>
          <w:sz w:val="16"/>
          <w:szCs w:val="16"/>
          <w:color w:val="auto"/>
        </w:rPr>
      </w:pPr>
    </w:p>
    <w:p>
      <w:pPr>
        <w:ind w:left="960" w:firstLine="397"/>
        <w:spacing w:after="0" w:line="246" w:lineRule="auto"/>
        <w:tabs>
          <w:tab w:leader="none" w:pos="160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Company) or the Person to which such sale, assignment, lease, transfer, conveyance or other disposition has been made (i) assumes all the obligations of the Company under the Notes, this Indenture, the Second Lien Collateral Trust Agreement, the other Security Documents (as applicable) and the First Lien/Second Lien Intercreditor Agreement pursuant to agreements reasonably satisfactory to the Trustee and (ii) to the extent required by and subject to the limitations set forth in the Security Documents, agrees to cause such amendments, supplements or other instruments to be executed, filed and recorded in such jurisdictions as may be required by applicable law to preserve and protect the Liens on the Collateral owned by or transferred to such surviving Person, together with such financing statements or comparable documents to the extent required by and subject to the limitations set forth in the Security Documents, 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191"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20"/>
          </w:cols>
          <w:pgMar w:left="580" w:top="266" w:right="599" w:bottom="1440" w:gutter="0" w:footer="0" w:header="0"/>
        </w:sectPr>
      </w:pPr>
    </w:p>
    <w:bookmarkStart w:id="147" w:name="page148"/>
    <w:bookmarkEnd w:id="147"/>
    <w:p>
      <w:pPr>
        <w:ind w:left="960" w:right="140" w:firstLine="397"/>
        <w:spacing w:after="0" w:line="248" w:lineRule="auto"/>
        <w:tabs>
          <w:tab w:leader="none" w:pos="164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or the other Person formed by or surviving any such consolidation or merger (if other than the Company), or to which such sale, assignment, lease, transfer, conveyance or other disposition has been made will, on the date of such transaction after giving pro forma effect thereto and to any related financing transactions as if the same had occurred at the beginning of the applicable four-quarter period, either (x) be permitted to incur at least $1.00 of additional Indebtedness pursuant to the Total Leverage Ratio test set forth in Section 4.13(a) hereof or (y) have a Total Leverage Ratio that would be no greater than such ratio for the Company and the Restricted Subsidiaries immediately prior to such transaction; and</w:t>
      </w:r>
    </w:p>
    <w:p>
      <w:pPr>
        <w:spacing w:after="0" w:line="188" w:lineRule="exact"/>
        <w:rPr>
          <w:rFonts w:ascii="Times New Roman" w:cs="Times New Roman" w:eastAsia="Times New Roman" w:hAnsi="Times New Roman"/>
          <w:sz w:val="18"/>
          <w:szCs w:val="18"/>
          <w:color w:val="auto"/>
        </w:rPr>
      </w:pPr>
    </w:p>
    <w:p>
      <w:pPr>
        <w:ind w:left="960" w:right="220" w:firstLine="397"/>
        <w:spacing w:after="0" w:line="248" w:lineRule="auto"/>
        <w:tabs>
          <w:tab w:leader="none" w:pos="159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other Person formed by or surviving any such consolidation or merger (if other than the Company), or to which such sale, assignment, lease, transfer, conveyance or other disposition has been made shall have delivered to the Trustee, in form and substance reasonably satisfactory to the Trustee, an Officer’s Certificate and an Opinion of Counsel, each stating that such consolidation, merger, sale, assignment, lease, conveyance, transfer, or other disposition, and if a supplemental indenture is required in connection with such transaction, such supplemental indenture, comply with the requirements of this Indenture and that all conditions precedent herein provided for relating to such transaction have been complied with.</w:t>
      </w:r>
    </w:p>
    <w:p>
      <w:pPr>
        <w:spacing w:after="0" w:line="188" w:lineRule="exact"/>
        <w:rPr>
          <w:rFonts w:ascii="Times New Roman" w:cs="Times New Roman" w:eastAsia="Times New Roman" w:hAnsi="Times New Roman"/>
          <w:sz w:val="18"/>
          <w:szCs w:val="18"/>
          <w:color w:val="auto"/>
        </w:rPr>
      </w:pPr>
    </w:p>
    <w:p>
      <w:pPr>
        <w:ind w:right="80" w:firstLine="967"/>
        <w:spacing w:after="0" w:line="303" w:lineRule="auto"/>
        <w:tabs>
          <w:tab w:leader="none" w:pos="1213"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Clauses (iv) and (v) of Section 5.01(a) shall not apply to: (a) a transaction the principal purpose of which is to change the state of organization of the Company and that does not have as one of its purposes the evasion of such clause, (b) a sale, transfer or other disposition of assets between or among the Company and any of the Restricted Subsidiaries or (c) any merger or consolidation of a Restricted Subsidiary into the Company.</w:t>
      </w:r>
    </w:p>
    <w:p>
      <w:pPr>
        <w:spacing w:after="0" w:line="171"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5.02</w:t>
      </w:r>
      <w:r>
        <w:rPr>
          <w:sz w:val="20"/>
          <w:szCs w:val="20"/>
          <w:color w:val="auto"/>
        </w:rPr>
        <w:tab/>
      </w:r>
      <w:r>
        <w:rPr>
          <w:rFonts w:ascii="Times New Roman" w:cs="Times New Roman" w:eastAsia="Times New Roman" w:hAnsi="Times New Roman"/>
          <w:sz w:val="16"/>
          <w:szCs w:val="16"/>
          <w:u w:val="single" w:color="auto"/>
          <w:color w:val="auto"/>
        </w:rPr>
        <w:t>Successor Corporation Substituted</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Upon any consolidation or merger, or any sale, assignment, transfer, conveyance or other disposition of all or substantially all of the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Company, in accordance with Section 5.01 hereof, the successor corporation formed by such consolidation or into or with which the Company 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merged or to which such sale, assignment, transfer, conveyance or other disposition is made shall succeed to, and be substituted for (so that from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of such consolidation, merger, sale, assignment, conveyance or other disposition, the provisions of this Indenture referring to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shall refer instead to the successor corporation and not to the Company) and may exercise all rights and powers of, the Company under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with the same effect as if such successor Person had been named as the company herein.</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6.01</w:t>
      </w:r>
      <w:r>
        <w:rPr>
          <w:sz w:val="20"/>
          <w:szCs w:val="20"/>
          <w:color w:val="auto"/>
        </w:rPr>
        <w:tab/>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w:t>
      </w:r>
    </w:p>
    <w:p>
      <w:pPr>
        <w:spacing w:after="0" w:line="212" w:lineRule="exact"/>
        <w:rPr>
          <w:sz w:val="20"/>
          <w:szCs w:val="20"/>
          <w:color w:val="auto"/>
        </w:rPr>
      </w:pPr>
    </w:p>
    <w:p>
      <w:pPr>
        <w:ind w:left="1200" w:hanging="233"/>
        <w:spacing w:after="0"/>
        <w:tabs>
          <w:tab w:leader="none" w:pos="12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1560" w:hanging="203"/>
        <w:spacing w:after="0"/>
        <w:tabs>
          <w:tab w:leader="none" w:pos="15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w:t>
      </w:r>
    </w:p>
    <w:p>
      <w:pPr>
        <w:spacing w:after="0" w:line="213" w:lineRule="exact"/>
        <w:rPr>
          <w:rFonts w:ascii="Times New Roman" w:cs="Times New Roman" w:eastAsia="Times New Roman" w:hAnsi="Times New Roman"/>
          <w:sz w:val="18"/>
          <w:szCs w:val="18"/>
          <w:color w:val="auto"/>
        </w:rPr>
      </w:pPr>
    </w:p>
    <w:p>
      <w:pPr>
        <w:ind w:left="1620" w:hanging="263"/>
        <w:spacing w:after="0"/>
        <w:tabs>
          <w:tab w:leader="none" w:pos="1620"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when due of the principal of, or premiums, including the Redemption Price Premium, if any, on the Notes;</w:t>
      </w:r>
    </w:p>
    <w:p>
      <w:pPr>
        <w:spacing w:after="0" w:line="236" w:lineRule="exact"/>
        <w:rPr>
          <w:rFonts w:ascii="Times New Roman" w:cs="Times New Roman" w:eastAsia="Times New Roman" w:hAnsi="Times New Roman"/>
          <w:sz w:val="16"/>
          <w:szCs w:val="16"/>
          <w:color w:val="auto"/>
        </w:rPr>
      </w:pPr>
    </w:p>
    <w:p>
      <w:pPr>
        <w:ind w:left="1660" w:hanging="303"/>
        <w:spacing w:after="0"/>
        <w:tabs>
          <w:tab w:leader="none" w:pos="1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comply with Sections 4.10, 4.14 or 5.01 hereof;</w:t>
      </w:r>
    </w:p>
    <w:p>
      <w:pPr>
        <w:spacing w:after="0" w:line="213" w:lineRule="exact"/>
        <w:rPr>
          <w:rFonts w:ascii="Times New Roman" w:cs="Times New Roman" w:eastAsia="Times New Roman" w:hAnsi="Times New Roman"/>
          <w:sz w:val="18"/>
          <w:szCs w:val="18"/>
          <w:color w:val="auto"/>
        </w:rPr>
      </w:pPr>
    </w:p>
    <w:p>
      <w:pPr>
        <w:ind w:left="960" w:right="20" w:firstLine="397"/>
        <w:spacing w:after="0" w:line="268" w:lineRule="auto"/>
        <w:tabs>
          <w:tab w:leader="none" w:pos="164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Guarantor for 60 consecutive days after notice to comply with any of the other agreements in this Indenture;</w:t>
      </w:r>
    </w:p>
    <w:p>
      <w:pPr>
        <w:spacing w:after="0" w:line="168" w:lineRule="exact"/>
        <w:rPr>
          <w:rFonts w:ascii="Times New Roman" w:cs="Times New Roman" w:eastAsia="Times New Roman" w:hAnsi="Times New Roman"/>
          <w:sz w:val="18"/>
          <w:szCs w:val="18"/>
          <w:color w:val="auto"/>
        </w:rPr>
      </w:pPr>
    </w:p>
    <w:p>
      <w:pPr>
        <w:ind w:left="960" w:right="20" w:firstLine="397"/>
        <w:spacing w:after="0" w:line="252" w:lineRule="auto"/>
        <w:tabs>
          <w:tab w:leader="none" w:pos="159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Company or any Restricted Subsidiary (or the payment of which is guaranteed by the Company or any Restricted Subsidiary) whether such Indebtedness or guarantee now exists, or is created after the date hereof, if that default: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680"/>
          </w:cols>
          <w:pgMar w:left="580" w:top="266" w:right="639" w:bottom="1440" w:gutter="0" w:footer="0" w:header="0"/>
        </w:sectPr>
      </w:pPr>
    </w:p>
    <w:bookmarkStart w:id="148" w:name="page149"/>
    <w:bookmarkEnd w:id="148"/>
    <w:p>
      <w:pPr>
        <w:ind w:left="1160" w:hanging="251"/>
        <w:spacing w:after="0"/>
        <w:tabs>
          <w:tab w:leader="none" w:pos="11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is caused by a failure to make any payment due at final maturity of such Indebtedness (a “</w:t>
      </w:r>
      <w:r>
        <w:rPr>
          <w:rFonts w:ascii="Times New Roman" w:cs="Times New Roman" w:eastAsia="Times New Roman" w:hAnsi="Times New Roman"/>
          <w:sz w:val="18"/>
          <w:szCs w:val="18"/>
          <w:b w:val="1"/>
          <w:bCs w:val="1"/>
          <w:color w:val="auto"/>
        </w:rPr>
        <w:t>Payment Default</w:t>
      </w:r>
      <w:r>
        <w:rPr>
          <w:rFonts w:ascii="Times New Roman" w:cs="Times New Roman" w:eastAsia="Times New Roman" w:hAnsi="Times New Roman"/>
          <w:sz w:val="18"/>
          <w:szCs w:val="18"/>
          <w:color w:val="auto"/>
        </w:rPr>
        <w:t>”); or</w:t>
      </w:r>
    </w:p>
    <w:p>
      <w:pPr>
        <w:spacing w:after="0" w:line="215" w:lineRule="exact"/>
        <w:rPr>
          <w:rFonts w:ascii="Times New Roman" w:cs="Times New Roman" w:eastAsia="Times New Roman" w:hAnsi="Times New Roman"/>
          <w:sz w:val="18"/>
          <w:szCs w:val="18"/>
          <w:color w:val="auto"/>
        </w:rPr>
      </w:pPr>
    </w:p>
    <w:p>
      <w:pPr>
        <w:ind w:left="1160" w:hanging="251"/>
        <w:spacing w:after="0"/>
        <w:tabs>
          <w:tab w:leader="none" w:pos="11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w:t>
      </w:r>
    </w:p>
    <w:p>
      <w:pPr>
        <w:spacing w:after="0" w:line="214" w:lineRule="exact"/>
        <w:rPr>
          <w:sz w:val="20"/>
          <w:szCs w:val="20"/>
          <w:color w:val="auto"/>
        </w:rPr>
      </w:pPr>
    </w:p>
    <w:p>
      <w:pPr>
        <w:ind w:left="100" w:right="60"/>
        <w:spacing w:after="0" w:line="268"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$50.0 million or more;</w:t>
      </w:r>
    </w:p>
    <w:p>
      <w:pPr>
        <w:spacing w:after="0" w:line="169" w:lineRule="exact"/>
        <w:rPr>
          <w:sz w:val="20"/>
          <w:szCs w:val="20"/>
          <w:color w:val="auto"/>
        </w:rPr>
      </w:pPr>
    </w:p>
    <w:p>
      <w:pPr>
        <w:ind w:left="100" w:right="220" w:firstLine="397"/>
        <w:spacing w:after="0" w:line="268" w:lineRule="auto"/>
        <w:tabs>
          <w:tab w:leader="none" w:pos="78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Restricted Subsidiary to pay final judgments not covered by insurance aggregating in excess of $50.0 million, which judgments are not paid, discharged or stayed for a period of 60 days;</w:t>
      </w:r>
    </w:p>
    <w:p>
      <w:pPr>
        <w:spacing w:after="0" w:line="168" w:lineRule="exact"/>
        <w:rPr>
          <w:rFonts w:ascii="Times New Roman" w:cs="Times New Roman" w:eastAsia="Times New Roman" w:hAnsi="Times New Roman"/>
          <w:sz w:val="18"/>
          <w:szCs w:val="18"/>
          <w:color w:val="auto"/>
        </w:rPr>
      </w:pPr>
    </w:p>
    <w:p>
      <w:pPr>
        <w:ind w:left="100" w:firstLine="397"/>
        <w:spacing w:after="0" w:line="256" w:lineRule="auto"/>
        <w:tabs>
          <w:tab w:leader="none" w:pos="8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any Note Guarantee shall be held in any judicial proceeding to be unenforceable or invalid or shall cease for any reason to be in full force and effect or any Guarantor, or any Person acting on behalf of any Guarantor, shall deny or disaffirm its obligations under its Note Guarantee;</w:t>
      </w:r>
    </w:p>
    <w:p>
      <w:pPr>
        <w:spacing w:after="0" w:line="178" w:lineRule="exact"/>
        <w:rPr>
          <w:rFonts w:ascii="Times New Roman" w:cs="Times New Roman" w:eastAsia="Times New Roman" w:hAnsi="Times New Roman"/>
          <w:sz w:val="18"/>
          <w:szCs w:val="18"/>
          <w:color w:val="auto"/>
        </w:rPr>
      </w:pPr>
    </w:p>
    <w:p>
      <w:pPr>
        <w:ind w:left="100" w:right="240" w:firstLine="397"/>
        <w:spacing w:after="0" w:line="268" w:lineRule="auto"/>
        <w:tabs>
          <w:tab w:leader="none" w:pos="88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Restricted Subsidiary that is a Significant Subsidiary or any group of Restricted Subsidiaries that, taken together, would constitute a Significant Subsidiary, pursuant to or within the meaning of Bankruptcy Law:</w:t>
      </w:r>
    </w:p>
    <w:p>
      <w:pPr>
        <w:spacing w:after="0" w:line="168" w:lineRule="exact"/>
        <w:rPr>
          <w:rFonts w:ascii="Times New Roman" w:cs="Times New Roman" w:eastAsia="Times New Roman" w:hAnsi="Times New Roman"/>
          <w:sz w:val="18"/>
          <w:szCs w:val="18"/>
          <w:color w:val="auto"/>
        </w:rPr>
      </w:pPr>
    </w:p>
    <w:p>
      <w:pPr>
        <w:ind w:left="1160" w:hanging="251"/>
        <w:spacing w:after="0"/>
        <w:tabs>
          <w:tab w:leader="none" w:pos="11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13" w:lineRule="exact"/>
        <w:rPr>
          <w:rFonts w:ascii="Times New Roman" w:cs="Times New Roman" w:eastAsia="Times New Roman" w:hAnsi="Times New Roman"/>
          <w:sz w:val="18"/>
          <w:szCs w:val="18"/>
          <w:color w:val="auto"/>
        </w:rPr>
      </w:pPr>
    </w:p>
    <w:p>
      <w:pPr>
        <w:ind w:left="1160" w:hanging="251"/>
        <w:spacing w:after="0"/>
        <w:tabs>
          <w:tab w:leader="none" w:pos="11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13" w:lineRule="exact"/>
        <w:rPr>
          <w:rFonts w:ascii="Times New Roman" w:cs="Times New Roman" w:eastAsia="Times New Roman" w:hAnsi="Times New Roman"/>
          <w:sz w:val="18"/>
          <w:szCs w:val="18"/>
          <w:color w:val="auto"/>
        </w:rPr>
      </w:pPr>
    </w:p>
    <w:p>
      <w:pPr>
        <w:ind w:left="1160" w:hanging="251"/>
        <w:spacing w:after="0"/>
        <w:tabs>
          <w:tab w:leader="none" w:pos="11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13" w:lineRule="exact"/>
        <w:rPr>
          <w:rFonts w:ascii="Times New Roman" w:cs="Times New Roman" w:eastAsia="Times New Roman" w:hAnsi="Times New Roman"/>
          <w:sz w:val="18"/>
          <w:szCs w:val="18"/>
          <w:color w:val="auto"/>
        </w:rPr>
      </w:pPr>
    </w:p>
    <w:p>
      <w:pPr>
        <w:ind w:left="1160" w:hanging="251"/>
        <w:spacing w:after="0"/>
        <w:tabs>
          <w:tab w:leader="none" w:pos="11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and</w:t>
      </w:r>
    </w:p>
    <w:p>
      <w:pPr>
        <w:spacing w:after="0" w:line="213" w:lineRule="exact"/>
        <w:rPr>
          <w:rFonts w:ascii="Times New Roman" w:cs="Times New Roman" w:eastAsia="Times New Roman" w:hAnsi="Times New Roman"/>
          <w:sz w:val="18"/>
          <w:szCs w:val="18"/>
          <w:color w:val="auto"/>
        </w:rPr>
      </w:pPr>
    </w:p>
    <w:p>
      <w:pPr>
        <w:ind w:left="800" w:hanging="303"/>
        <w:spacing w:after="0"/>
        <w:tabs>
          <w:tab w:leader="none" w:pos="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13" w:lineRule="exact"/>
        <w:rPr>
          <w:rFonts w:ascii="Times New Roman" w:cs="Times New Roman" w:eastAsia="Times New Roman" w:hAnsi="Times New Roman"/>
          <w:sz w:val="18"/>
          <w:szCs w:val="18"/>
          <w:color w:val="auto"/>
        </w:rPr>
      </w:pPr>
    </w:p>
    <w:p>
      <w:pPr>
        <w:ind w:left="540" w:right="300" w:firstLine="369"/>
        <w:spacing w:after="0" w:line="268" w:lineRule="auto"/>
        <w:tabs>
          <w:tab w:leader="none" w:pos="116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Restricted Subsidiary that is a Significant Subsidiary or any group of Restricted Subsidiaries that, taken together, would constitute a Significant Subsidiary, in an involuntary case; or</w:t>
      </w:r>
    </w:p>
    <w:p>
      <w:pPr>
        <w:spacing w:after="0" w:line="168" w:lineRule="exact"/>
        <w:rPr>
          <w:rFonts w:ascii="Times New Roman" w:cs="Times New Roman" w:eastAsia="Times New Roman" w:hAnsi="Times New Roman"/>
          <w:sz w:val="18"/>
          <w:szCs w:val="18"/>
          <w:color w:val="auto"/>
        </w:rPr>
      </w:pPr>
    </w:p>
    <w:p>
      <w:pPr>
        <w:ind w:left="540" w:right="80" w:firstLine="369"/>
        <w:spacing w:after="0" w:line="252" w:lineRule="auto"/>
        <w:tabs>
          <w:tab w:leader="none" w:pos="116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Restricted Subsidiary that is a Significant Subsidiary or any group of Restricted Subsidiaries that, taken together, would constitute a Significant Subsidiary or for all or substantially all of the property of the Company or any Restricted Subsidiary that is a Significant Subsidiary or any group of Restricted Subsidiaries that, taken together, would constitute a Significant Subsidiary, or</w:t>
      </w:r>
    </w:p>
    <w:p>
      <w:pPr>
        <w:spacing w:after="0" w:line="182" w:lineRule="exact"/>
        <w:rPr>
          <w:rFonts w:ascii="Times New Roman" w:cs="Times New Roman" w:eastAsia="Times New Roman" w:hAnsi="Times New Roman"/>
          <w:sz w:val="18"/>
          <w:szCs w:val="18"/>
          <w:color w:val="auto"/>
        </w:rPr>
      </w:pPr>
    </w:p>
    <w:p>
      <w:pPr>
        <w:ind w:left="540" w:right="680" w:firstLine="369"/>
        <w:spacing w:after="0" w:line="268" w:lineRule="auto"/>
        <w:tabs>
          <w:tab w:leader="none" w:pos="116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any Restricted Subsidiary that is a Significant Subsidiary or any group of Restricted Subsidiaries that, taken together, would constitute a Significant Subsidiary; and</w:t>
      </w:r>
    </w:p>
    <w:p>
      <w:pPr>
        <w:spacing w:after="0" w:line="168" w:lineRule="exact"/>
        <w:rPr>
          <w:rFonts w:ascii="Times New Roman" w:cs="Times New Roman" w:eastAsia="Times New Roman" w:hAnsi="Times New Roman"/>
          <w:sz w:val="18"/>
          <w:szCs w:val="18"/>
          <w:color w:val="auto"/>
        </w:rPr>
      </w:pPr>
    </w:p>
    <w:p>
      <w:pPr>
        <w:ind w:left="100" w:right="60" w:firstLine="397"/>
        <w:spacing w:after="0" w:line="247" w:lineRule="auto"/>
        <w:tabs>
          <w:tab w:leader="none" w:pos="7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portion of the Collateral purported to be covered by the Security Documents, (A) the failure of the security interest with respect to such Collateral under the applicable Security Documents, at any time, to be in full force and effect for any reason other than in accordance with the terms of the applicable Security Documents and the terms of this Indenture, the Second Lien Collateral Trust Agreement and the First Lien/Second Lien Intercreditor Agreement, as applicable, or due to the satisfaction in full of all obligations under this Indenture and discharge of this Indenture, if such failure continues for 60 days or (B) the assertion by the Company or any Guarantor, in any pleading in any court of competent jurisdiction, that the security interest with respect to such Collateral under the applicable Security Documents is invalid or unenforceable.</w:t>
      </w:r>
    </w:p>
    <w:p>
      <w:pPr>
        <w:spacing w:after="0" w:line="1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860"/>
          </w:cols>
          <w:pgMar w:left="1440" w:top="264" w:right="599" w:bottom="1440" w:gutter="0" w:footer="0" w:header="0"/>
        </w:sectPr>
      </w:pPr>
    </w:p>
    <w:bookmarkStart w:id="149" w:name="page150"/>
    <w:bookmarkEnd w:id="149"/>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6.02</w:t>
      </w:r>
      <w:r>
        <w:rPr>
          <w:sz w:val="20"/>
          <w:szCs w:val="20"/>
          <w:color w:val="auto"/>
        </w:rPr>
        <w:tab/>
      </w:r>
      <w:r>
        <w:rPr>
          <w:rFonts w:ascii="Times New Roman" w:cs="Times New Roman" w:eastAsia="Times New Roman" w:hAnsi="Times New Roman"/>
          <w:sz w:val="16"/>
          <w:szCs w:val="16"/>
          <w:u w:val="single" w:color="auto"/>
          <w:color w:val="auto"/>
        </w:rPr>
        <w:t>Acceleration</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100" w:firstLine="967"/>
        <w:spacing w:after="0" w:line="288" w:lineRule="auto"/>
        <w:tabs>
          <w:tab w:leader="none" w:pos="120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Event of Default specified in clause (viii) or (ix) of Section 6.01(a) hereof, with respect to the Company or any Restricted Subsidiary that is a Significant Subsidiary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and all obligations owing hereunder and thereunder to be due and payable immediately by notice in writing to the Company specifying the Event of Default.</w:t>
      </w:r>
    </w:p>
    <w:p>
      <w:pPr>
        <w:spacing w:after="0" w:line="157" w:lineRule="exact"/>
        <w:rPr>
          <w:rFonts w:ascii="Times New Roman" w:cs="Times New Roman" w:eastAsia="Times New Roman" w:hAnsi="Times New Roman"/>
          <w:sz w:val="16"/>
          <w:szCs w:val="16"/>
          <w:color w:val="auto"/>
        </w:rPr>
      </w:pPr>
    </w:p>
    <w:p>
      <w:pPr>
        <w:ind w:right="120" w:firstLine="967"/>
        <w:spacing w:after="0" w:line="252" w:lineRule="auto"/>
        <w:tabs>
          <w:tab w:leader="none" w:pos="121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declaration of acceleration of the Notes because an Event of Default has occurred and is continuing as a result of the acceleration of any Indebtedness described in clause (v) of Section 6.01(a) hereof, the declaration of acceleration of the Notes shall be automatically annulled if the holders of any Indebtedness described in clause (v) of Section 6.01(a) hereof have rescinded the declaration of acceleration in respect of the Indebtedness within 30 days of the date of the declaration and if:</w:t>
      </w:r>
    </w:p>
    <w:p>
      <w:pPr>
        <w:spacing w:after="0" w:line="182" w:lineRule="exact"/>
        <w:rPr>
          <w:rFonts w:ascii="Times New Roman" w:cs="Times New Roman" w:eastAsia="Times New Roman" w:hAnsi="Times New Roman"/>
          <w:sz w:val="18"/>
          <w:szCs w:val="18"/>
          <w:color w:val="auto"/>
        </w:rPr>
      </w:pPr>
    </w:p>
    <w:p>
      <w:pPr>
        <w:ind w:left="1560" w:hanging="203"/>
        <w:spacing w:after="0"/>
        <w:tabs>
          <w:tab w:leader="none" w:pos="1560"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annulment of the acceleration of Notes would not conflict with any judgment or decree of a court of competent jurisdiction;</w:t>
      </w:r>
    </w:p>
    <w:p>
      <w:pPr>
        <w:spacing w:after="0" w:line="44" w:lineRule="exact"/>
        <w:rPr>
          <w:rFonts w:ascii="Times New Roman" w:cs="Times New Roman" w:eastAsia="Times New Roman" w:hAnsi="Times New Roman"/>
          <w:sz w:val="16"/>
          <w:szCs w:val="16"/>
          <w:color w:val="auto"/>
        </w:rPr>
      </w:pPr>
    </w:p>
    <w:p>
      <w:pPr>
        <w:ind w:left="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195" w:lineRule="exact"/>
        <w:rPr>
          <w:rFonts w:ascii="Times New Roman" w:cs="Times New Roman" w:eastAsia="Times New Roman" w:hAnsi="Times New Roman"/>
          <w:sz w:val="16"/>
          <w:szCs w:val="16"/>
          <w:color w:val="auto"/>
        </w:rPr>
      </w:pPr>
    </w:p>
    <w:p>
      <w:pPr>
        <w:ind w:left="960" w:right="380" w:firstLine="397"/>
        <w:spacing w:after="0" w:line="268" w:lineRule="auto"/>
        <w:tabs>
          <w:tab w:leader="none" w:pos="160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Events of Default, except nonpayment of principal or interest on the Notes that became due solely because of the acceleration of the Notes, have been cured or waived.</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6.03</w:t>
      </w:r>
      <w:r>
        <w:rPr>
          <w:sz w:val="20"/>
          <w:szCs w:val="20"/>
          <w:color w:val="auto"/>
        </w:rPr>
        <w:tab/>
      </w:r>
      <w:r>
        <w:rPr>
          <w:rFonts w:ascii="Times New Roman" w:cs="Times New Roman" w:eastAsia="Times New Roman" w:hAnsi="Times New Roman"/>
          <w:sz w:val="16"/>
          <w:szCs w:val="16"/>
          <w:u w:val="single" w:color="auto"/>
          <w:color w:val="auto"/>
        </w:rPr>
        <w:t>Other Remedies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460" w:firstLine="967"/>
        <w:spacing w:after="0" w:line="331" w:lineRule="auto"/>
        <w:tabs>
          <w:tab w:leader="none" w:pos="1203"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Event of Default occurs and is continuing, the Trustee may pursue any available remedy to collect the payment of principal, premium, if any, interest, if any, with respect to, the Notes or to enforce the performance of any provision of the Notes or this Indenture.</w:t>
      </w:r>
    </w:p>
    <w:p>
      <w:pPr>
        <w:spacing w:after="0" w:line="123" w:lineRule="exact"/>
        <w:rPr>
          <w:rFonts w:ascii="Times New Roman" w:cs="Times New Roman" w:eastAsia="Times New Roman" w:hAnsi="Times New Roman"/>
          <w:sz w:val="16"/>
          <w:szCs w:val="16"/>
          <w:color w:val="auto"/>
        </w:rPr>
      </w:pPr>
    </w:p>
    <w:p>
      <w:pPr>
        <w:ind w:right="40" w:firstLine="967"/>
        <w:spacing w:after="0" w:line="303" w:lineRule="auto"/>
        <w:tabs>
          <w:tab w:leader="none" w:pos="121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44" w:lineRule="exact"/>
        <w:rPr>
          <w:rFonts w:ascii="Times New Roman" w:cs="Times New Roman" w:eastAsia="Times New Roman" w:hAnsi="Times New Roman"/>
          <w:sz w:val="16"/>
          <w:szCs w:val="16"/>
          <w:color w:val="auto"/>
        </w:rPr>
      </w:pPr>
    </w:p>
    <w:p>
      <w:pPr>
        <w:ind w:firstLine="967"/>
        <w:spacing w:after="0" w:line="252" w:lineRule="auto"/>
        <w:tabs>
          <w:tab w:leader="none" w:pos="120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accelerated or otherwise become due prior to their stated maturity, in each case as a result of an Event of Default (including, but not limited to, an Event of Default specified in clauses (viii) or (ix) of Section 6.01(a) (including the acceleration of any portion of the Indebtedness evidenced by the Notes by operation of law)), then the additional amount that shall then be due and payable on the Premium Effective Date shall be equal to:</w:t>
      </w:r>
    </w:p>
    <w:p>
      <w:pPr>
        <w:spacing w:after="0" w:line="182" w:lineRule="exact"/>
        <w:rPr>
          <w:rFonts w:ascii="Times New Roman" w:cs="Times New Roman" w:eastAsia="Times New Roman" w:hAnsi="Times New Roman"/>
          <w:sz w:val="18"/>
          <w:szCs w:val="18"/>
          <w:color w:val="auto"/>
        </w:rPr>
      </w:pPr>
    </w:p>
    <w:p>
      <w:pPr>
        <w:ind w:left="960" w:right="540" w:firstLine="397"/>
        <w:spacing w:after="0" w:line="268" w:lineRule="auto"/>
        <w:tabs>
          <w:tab w:leader="none" w:pos="155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redemption price (expressed as a percentage of principal amount) in effect on the Premium Effective Date in accordance with Section 3.07(a), as applicable, plus</w:t>
      </w:r>
    </w:p>
    <w:p>
      <w:pPr>
        <w:spacing w:after="0" w:line="166" w:lineRule="exact"/>
        <w:rPr>
          <w:rFonts w:ascii="Times New Roman" w:cs="Times New Roman" w:eastAsia="Times New Roman" w:hAnsi="Times New Roman"/>
          <w:sz w:val="18"/>
          <w:szCs w:val="18"/>
          <w:color w:val="auto"/>
        </w:rPr>
      </w:pPr>
    </w:p>
    <w:p>
      <w:pPr>
        <w:ind w:left="1620" w:hanging="263"/>
        <w:spacing w:after="0"/>
        <w:tabs>
          <w:tab w:leader="none" w:pos="16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to, but excluding, the Premium Effective Date (collectively,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40" w:firstLine="965"/>
        <w:spacing w:after="0" w:line="246" w:lineRule="auto"/>
        <w:rPr>
          <w:sz w:val="20"/>
          <w:szCs w:val="20"/>
          <w:color w:val="auto"/>
        </w:rPr>
      </w:pPr>
      <w:r>
        <w:rPr>
          <w:rFonts w:ascii="Times New Roman" w:cs="Times New Roman" w:eastAsia="Times New Roman" w:hAnsi="Times New Roman"/>
          <w:sz w:val="18"/>
          <w:szCs w:val="18"/>
          <w:color w:val="auto"/>
        </w:rPr>
        <w:t>in each case, as if such acceleration gave rise to an optional redemption of the Notes (including, for the avoidance of doubt an optional redemption made pursuant to Section 3.07) so accelerated on the Premium Effective Date. Without limiting the generality of the foregoing, it is understood and agreed that if the Notes are accelerated or otherwise become due prior to their stated maturity, in each case, as a result of an Event of Default (including, but not limited to, an Event of Default specified in clauses (viii) or (ix) of Section 6.01(a) (including the acceleration of any portion of the Indebtedness evidenced by the Notes by operation of law)), the amount by which the applicable Redemption Price exceeds the principal amount of the Notes (the “</w:t>
      </w:r>
      <w:r>
        <w:rPr>
          <w:rFonts w:ascii="Times New Roman" w:cs="Times New Roman" w:eastAsia="Times New Roman" w:hAnsi="Times New Roman"/>
          <w:sz w:val="18"/>
          <w:szCs w:val="18"/>
          <w:b w:val="1"/>
          <w:bCs w:val="1"/>
          <w:color w:val="auto"/>
        </w:rPr>
        <w:t>Redemption Price Premium</w:t>
      </w:r>
      <w:r>
        <w:rPr>
          <w:rFonts w:ascii="Times New Roman" w:cs="Times New Roman" w:eastAsia="Times New Roman" w:hAnsi="Times New Roman"/>
          <w:sz w:val="18"/>
          <w:szCs w:val="18"/>
          <w:color w:val="auto"/>
        </w:rPr>
        <w:t>”) with respect to an optional redemption of the Notes shall be due and payable as though the Notes had been optionally redeemed on the Premium Effective Date and shall constitute part of the Obligations with respect to the Notes in view of the impracticability and difficulty of ascertaining actual damages and by mutual agreement of the parties as to a reasonable calculation of each Holder’s lost profits as a result thereof. The Redemption Price Premium shall be presumed to be liquidated damages sustained by each Holder as the result of the payment or settlement of the Notes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20"/>
          </w:cols>
          <w:pgMar w:left="580" w:top="266" w:right="599" w:bottom="1440" w:gutter="0" w:footer="0" w:header="0"/>
        </w:sectPr>
      </w:pPr>
    </w:p>
    <w:bookmarkStart w:id="150" w:name="page151"/>
    <w:bookmarkEnd w:id="150"/>
    <w:p>
      <w:pPr>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a claim in a proceeding described in in clauses (viii) and (ix) of Section 6.01(a) in respect of the Notes, in each case arising out of the acceleration of the Notes, or in the event the Notes or this Indenture are satisfied, released or discharged through foreclosure after acceleration of the Notes, whether by judicial proceeding, deed in lieu of foreclosure or by any other means (the date of such payment, settlement, satisfaction, release or discharge being the “</w:t>
      </w:r>
      <w:r>
        <w:rPr>
          <w:rFonts w:ascii="Times New Roman" w:cs="Times New Roman" w:eastAsia="Times New Roman" w:hAnsi="Times New Roman"/>
          <w:sz w:val="16"/>
          <w:szCs w:val="16"/>
          <w:b w:val="1"/>
          <w:bCs w:val="1"/>
          <w:color w:val="auto"/>
        </w:rPr>
        <w:t>Premium Effective Date</w:t>
      </w:r>
      <w:r>
        <w:rPr>
          <w:rFonts w:ascii="Times New Roman" w:cs="Times New Roman" w:eastAsia="Times New Roman" w:hAnsi="Times New Roman"/>
          <w:sz w:val="16"/>
          <w:szCs w:val="16"/>
          <w:color w:val="auto"/>
        </w:rPr>
        <w:t>”). The Company and each Guarantor agrees that the Redemption Price Premium is reasonable under the circumstances currently existing. THE COMPANY AND EACH GUARANTOR EXPRESSLY WAIVES (TO THE FULLEST EXTENT THEY MAY LAWFULLY DO SO) THE PROVISIONS OF ANY PRESENT OR FUTURE STATUTE OR LAW THAT PROHIBITS OR MAY PROHIBIT THE COLLECTION OF THE FOREGOING PREMIUM IN CONNECTION WITH ANY SUCH PAYMENT, SETTLEMENT, SATISFACTION, RELEASE OR DISCHARGE AFTER SUCH AN ACCELERATION. The Company and each Guarantor expressly agrees (to the fullest extent they may lawfully do so) that: (A) the Redemption Price Premium is reasonable and is the product of an arm’s length transaction between sophisticated business entities ably represented by counsel; (B) the Redemption Price Premium shall be payable notwithstanding the then prevailing market rates at the Premium Effective Date; (C) there has been a course of conduct between the Holders and the Company giving specific consideration in this transaction for such agreement to pay the Redemption Price Premium; and (D) the Company shall be estopped hereafter from claiming differently than as agreed to in this</w:t>
      </w:r>
    </w:p>
    <w:p>
      <w:pPr>
        <w:spacing w:after="0" w:line="18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Section 6.03(c). The Company expressly acknowledges that its agreement to pay the Redemption Price Premium to the Holders as herein described is a material inducement to the Holders to purchase the Notes.</w:t>
      </w:r>
    </w:p>
    <w:p>
      <w:pPr>
        <w:spacing w:after="0" w:line="213"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6.04</w:t>
      </w:r>
      <w:r>
        <w:rPr>
          <w:sz w:val="20"/>
          <w:szCs w:val="20"/>
          <w:color w:val="auto"/>
        </w:rPr>
        <w:tab/>
      </w:r>
      <w:r>
        <w:rPr>
          <w:rFonts w:ascii="Times New Roman" w:cs="Times New Roman" w:eastAsia="Times New Roman" w:hAnsi="Times New Roman"/>
          <w:sz w:val="16"/>
          <w:szCs w:val="16"/>
          <w:u w:val="single" w:color="auto"/>
          <w:color w:val="auto"/>
        </w:rPr>
        <w:t>Waiver of Past Defaults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Holders of a majority in aggregate principal amount of the then outstanding Notes by notice to the Trustee, may on behalf of the Holders of all of the Notes, waive any existing Default or Event of Default and its consequences hereunder, except a continuing Default or Event of Default in the payment of interest or premium, if any, on, or the principal of, the Notes (including in connection with an offer to purchase)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Holders of a majority in aggregate principal amount of the then outstanding Notes may rescind an acceleration and its consequences, including any related payment default that resulted from such acceleration). The Company shall send to the Trustee an Officer’s Certificate stating that the requisite percentage of Holders have consented to such waiver and attaching copies of such consents. In case of any such waiver, the Company, the Trustee and the Holders shall be restored to their former positions and rights hereunder and under the Notes, respectively. This Section 6.04 shall be in lieu of Section 316(a)(1)(B) of the TIA and such Section 316(a)(1)(B) of the TIA is hereby expressly excluded from this Indenture and the Notes, as permitted by the TIA.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3"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6.05</w:t>
      </w:r>
      <w:r>
        <w:rPr>
          <w:sz w:val="20"/>
          <w:szCs w:val="20"/>
          <w:color w:val="auto"/>
        </w:rPr>
        <w:tab/>
      </w:r>
      <w:r>
        <w:rPr>
          <w:rFonts w:ascii="Times New Roman" w:cs="Times New Roman" w:eastAsia="Times New Roman" w:hAnsi="Times New Roman"/>
          <w:sz w:val="16"/>
          <w:szCs w:val="16"/>
          <w:u w:val="single" w:color="auto"/>
          <w:color w:val="auto"/>
        </w:rPr>
        <w:t>Control by Majority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Holders of a majority in aggregate principal amount of the then outstanding Notes may direct the time, method and place of conducting any proceeding for exercising any remedy available to the Trustee with respect to the Notes, or exercising any trust or power conferred on it and the Trustee may take any other action deemed proper by the Trustee which is not inconsistent with such direction. However, the Trustee may refuse to follow any direction that conflicts with law or this Indenture or that the Trustee determines may be unduly prejudicial to the rights of other Holders of Notes or that may involve the Trustee in personal liability. The Trustee may withhold from Holders of the Notes notice of any continuing Default or Event of Default (except a Default or Event of Default relating to the payment of principal or interest) if it determines that withholding notice is in their interest. In case an Event of Default occurs and is continuing, the Trustee will be under no obligation to exercise any of the rights or powers under this Indenture at the request or direction of any Holders of a majority in principal amount of the then outstanding Notes unless such Holders have offered to the Trustee indemnity or security satisfactory to the Trustee against any loss, liability or expense.</w:t>
      </w:r>
    </w:p>
    <w:p>
      <w:pPr>
        <w:spacing w:after="0" w:line="22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6.06</w:t>
      </w:r>
      <w:r>
        <w:rPr>
          <w:sz w:val="20"/>
          <w:szCs w:val="20"/>
          <w:color w:val="auto"/>
        </w:rPr>
        <w:tab/>
      </w:r>
      <w:r>
        <w:rPr>
          <w:rFonts w:ascii="Times New Roman" w:cs="Times New Roman" w:eastAsia="Times New Roman" w:hAnsi="Times New Roman"/>
          <w:sz w:val="16"/>
          <w:szCs w:val="16"/>
          <w:u w:val="single" w:color="auto"/>
          <w:color w:val="auto"/>
        </w:rPr>
        <w:t>Limitation on Suits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1200" w:hanging="233"/>
        <w:spacing w:after="0"/>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pursue a remedy with respect to this Indenture, or the Notes only if:</w:t>
      </w:r>
    </w:p>
    <w:p>
      <w:pPr>
        <w:spacing w:after="0" w:line="213" w:lineRule="exact"/>
        <w:rPr>
          <w:rFonts w:ascii="Times New Roman" w:cs="Times New Roman" w:eastAsia="Times New Roman" w:hAnsi="Times New Roman"/>
          <w:sz w:val="18"/>
          <w:szCs w:val="18"/>
          <w:color w:val="auto"/>
        </w:rPr>
      </w:pPr>
    </w:p>
    <w:p>
      <w:pPr>
        <w:ind w:left="5280" w:right="3620" w:hanging="3923"/>
        <w:spacing w:after="0" w:line="435" w:lineRule="auto"/>
        <w:tabs>
          <w:tab w:leader="none" w:pos="157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 57</w:t>
      </w:r>
    </w:p>
    <w:p>
      <w:pPr>
        <w:sectPr>
          <w:pgSz w:w="11900" w:h="16838" w:orient="portrait"/>
          <w:cols w:equalWidth="0" w:num="1">
            <w:col w:w="10720"/>
          </w:cols>
          <w:pgMar w:left="580" w:top="265" w:right="599" w:bottom="1440" w:gutter="0" w:footer="0" w:header="0"/>
        </w:sectPr>
      </w:pPr>
    </w:p>
    <w:bookmarkStart w:id="151" w:name="page152"/>
    <w:bookmarkEnd w:id="151"/>
    <w:p>
      <w:pPr>
        <w:ind w:left="1620" w:hanging="263"/>
        <w:spacing w:after="0"/>
        <w:tabs>
          <w:tab w:leader="none" w:pos="162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Holders of at least 25% in principal amount of the then outstanding Notes make a written request to the Trustee to pursue the</w:t>
      </w:r>
    </w:p>
    <w:p>
      <w:pPr>
        <w:spacing w:after="0" w:line="44" w:lineRule="exact"/>
        <w:rPr>
          <w:rFonts w:ascii="Times New Roman" w:cs="Times New Roman" w:eastAsia="Times New Roman" w:hAnsi="Times New Roman"/>
          <w:sz w:val="16"/>
          <w:szCs w:val="16"/>
          <w:color w:val="auto"/>
        </w:rPr>
      </w:pPr>
    </w:p>
    <w:p>
      <w:pPr>
        <w:ind w:left="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remedy;</w:t>
      </w:r>
    </w:p>
    <w:p>
      <w:pPr>
        <w:spacing w:after="0" w:line="195" w:lineRule="exact"/>
        <w:rPr>
          <w:rFonts w:ascii="Times New Roman" w:cs="Times New Roman" w:eastAsia="Times New Roman" w:hAnsi="Times New Roman"/>
          <w:sz w:val="16"/>
          <w:szCs w:val="16"/>
          <w:color w:val="auto"/>
        </w:rPr>
      </w:pPr>
    </w:p>
    <w:p>
      <w:pPr>
        <w:ind w:left="960" w:right="260" w:firstLine="397"/>
        <w:spacing w:after="0" w:line="268" w:lineRule="auto"/>
        <w:tabs>
          <w:tab w:leader="none" w:pos="165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of a Note or Holders of Notes offer and, if requested, provide to the Trustee indemnity satisfactory to the Trustee against any loss, liability or expense that might be incurred by it in connection with the request or direction;</w:t>
      </w:r>
    </w:p>
    <w:p>
      <w:pPr>
        <w:spacing w:after="0" w:line="168" w:lineRule="exact"/>
        <w:rPr>
          <w:rFonts w:ascii="Times New Roman" w:cs="Times New Roman" w:eastAsia="Times New Roman" w:hAnsi="Times New Roman"/>
          <w:sz w:val="18"/>
          <w:szCs w:val="18"/>
          <w:color w:val="auto"/>
        </w:rPr>
      </w:pPr>
    </w:p>
    <w:p>
      <w:pPr>
        <w:ind w:left="960" w:right="520" w:firstLine="397"/>
        <w:spacing w:after="0" w:line="268" w:lineRule="auto"/>
        <w:tabs>
          <w:tab w:leader="none" w:pos="16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and, if requested, the provision of indemnity; and</w:t>
      </w:r>
    </w:p>
    <w:p>
      <w:pPr>
        <w:spacing w:after="0" w:line="168" w:lineRule="exact"/>
        <w:rPr>
          <w:rFonts w:ascii="Times New Roman" w:cs="Times New Roman" w:eastAsia="Times New Roman" w:hAnsi="Times New Roman"/>
          <w:sz w:val="18"/>
          <w:szCs w:val="18"/>
          <w:color w:val="auto"/>
        </w:rPr>
      </w:pPr>
    </w:p>
    <w:p>
      <w:pPr>
        <w:ind w:left="960" w:right="160" w:firstLine="397"/>
        <w:spacing w:after="0" w:line="268" w:lineRule="auto"/>
        <w:tabs>
          <w:tab w:leader="none" w:pos="159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principal amount of the then outstanding Notes do not give the Trustee a direction inconsistent with the request.</w:t>
      </w:r>
    </w:p>
    <w:p>
      <w:pPr>
        <w:spacing w:after="0" w:line="168" w:lineRule="exact"/>
        <w:rPr>
          <w:rFonts w:ascii="Times New Roman" w:cs="Times New Roman" w:eastAsia="Times New Roman" w:hAnsi="Times New Roman"/>
          <w:sz w:val="18"/>
          <w:szCs w:val="18"/>
          <w:color w:val="auto"/>
        </w:rPr>
      </w:pPr>
    </w:p>
    <w:p>
      <w:pPr>
        <w:ind w:right="180" w:firstLine="967"/>
        <w:spacing w:after="0" w:line="256" w:lineRule="auto"/>
        <w:tabs>
          <w:tab w:leader="none" w:pos="121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forbearances are unduly prejudicial to such Holders).</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6.07</w:t>
      </w:r>
      <w:r>
        <w:rPr>
          <w:sz w:val="20"/>
          <w:szCs w:val="20"/>
          <w:color w:val="auto"/>
        </w:rPr>
        <w:tab/>
      </w:r>
      <w:r>
        <w:rPr>
          <w:rFonts w:ascii="Times New Roman" w:cs="Times New Roman" w:eastAsia="Times New Roman" w:hAnsi="Times New Roman"/>
          <w:sz w:val="16"/>
          <w:szCs w:val="16"/>
          <w:u w:val="single" w:color="auto"/>
          <w:color w:val="auto"/>
        </w:rPr>
        <w:t>Rights of Holders of Notes to Receive Payment</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right="180"/>
        <w:spacing w:after="0" w:line="303" w:lineRule="auto"/>
        <w:rPr>
          <w:sz w:val="20"/>
          <w:szCs w:val="20"/>
          <w:color w:val="auto"/>
        </w:rPr>
      </w:pPr>
      <w:r>
        <w:rPr>
          <w:rFonts w:ascii="Times New Roman" w:cs="Times New Roman" w:eastAsia="Times New Roman" w:hAnsi="Times New Roman"/>
          <w:sz w:val="16"/>
          <w:szCs w:val="16"/>
          <w:color w:val="auto"/>
        </w:rPr>
        <w:t>Notwithstanding any other provision of this Indenture, the right of any Holder of a Note to receive payment of principal, premium, if any, interest on, with respect to,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71"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6.08</w:t>
      </w:r>
      <w:r>
        <w:rPr>
          <w:sz w:val="20"/>
          <w:szCs w:val="20"/>
          <w:color w:val="auto"/>
        </w:rPr>
        <w:tab/>
      </w:r>
      <w:r>
        <w:rPr>
          <w:rFonts w:ascii="Times New Roman" w:cs="Times New Roman" w:eastAsia="Times New Roman" w:hAnsi="Times New Roman"/>
          <w:sz w:val="16"/>
          <w:szCs w:val="16"/>
          <w:u w:val="single" w:color="auto"/>
          <w:color w:val="auto"/>
        </w:rPr>
        <w:t>Collection Suit by Trustee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If an Event of Default specified in Section 6.01(a)(i) or (a)(ii) hereof occurs and is continuing, the Trustee is authorized to recover judgment in its own name and as Trustee of an express trust against the Company for the whole amount of principal of, premium, if any, interest, if any, remaining unpaid on the Notes and interest on overdue principal and premium, if any, and, to the extent lawful, interest, if any, and such further amount as shall be sufficient to cover the costs and expenses of collection, including the reasonable compensation, expenses, disbursements and advances of the Trustee, its agents and counsel.</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6.09</w:t>
      </w:r>
      <w:r>
        <w:rPr>
          <w:sz w:val="20"/>
          <w:szCs w:val="20"/>
          <w:color w:val="auto"/>
        </w:rPr>
        <w:tab/>
      </w:r>
      <w:r>
        <w:rPr>
          <w:rFonts w:ascii="Times New Roman" w:cs="Times New Roman" w:eastAsia="Times New Roman" w:hAnsi="Times New Roman"/>
          <w:sz w:val="16"/>
          <w:szCs w:val="16"/>
          <w:u w:val="single" w:color="auto"/>
          <w:color w:val="auto"/>
        </w:rPr>
        <w:t>Trustee May File Proofs of Claim</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Guarantor (or any other obligor upon the Notes), its creditors or its property and shall be entitled and empowered to collect, receive and distribute any money or other securities or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20"/>
          </w:cols>
          <w:pgMar w:left="580" w:top="266" w:right="599" w:bottom="1440" w:gutter="0" w:footer="0" w:header="0"/>
        </w:sectPr>
      </w:pPr>
    </w:p>
    <w:bookmarkStart w:id="152" w:name="page153"/>
    <w:bookmarkEnd w:id="152"/>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6.10</w:t>
      </w:r>
      <w:r>
        <w:rPr>
          <w:sz w:val="20"/>
          <w:szCs w:val="20"/>
          <w:color w:val="auto"/>
        </w:rPr>
        <w:tab/>
      </w:r>
      <w:r>
        <w:rPr>
          <w:rFonts w:ascii="Times New Roman" w:cs="Times New Roman" w:eastAsia="Times New Roman" w:hAnsi="Times New Roman"/>
          <w:sz w:val="16"/>
          <w:szCs w:val="16"/>
          <w:u w:val="single" w:color="auto"/>
          <w:color w:val="auto"/>
        </w:rPr>
        <w:t>Priorities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If the Trustee collects any money pursuant to this Article Six, it shall pay out the money in the following order:</w:t>
      </w:r>
    </w:p>
    <w:p>
      <w:pPr>
        <w:spacing w:after="0" w:line="214" w:lineRule="exact"/>
        <w:rPr>
          <w:sz w:val="20"/>
          <w:szCs w:val="20"/>
          <w:color w:val="auto"/>
        </w:rPr>
      </w:pPr>
    </w:p>
    <w:p>
      <w:pPr>
        <w:ind w:right="60" w:firstLine="965"/>
        <w:spacing w:after="0" w:line="331" w:lineRule="auto"/>
        <w:rPr>
          <w:sz w:val="20"/>
          <w:szCs w:val="20"/>
          <w:color w:val="auto"/>
        </w:rPr>
      </w:pPr>
      <w:r>
        <w:rPr>
          <w:rFonts w:ascii="Times New Roman" w:cs="Times New Roman" w:eastAsia="Times New Roman" w:hAnsi="Times New Roman"/>
          <w:sz w:val="16"/>
          <w:szCs w:val="16"/>
          <w:color w:val="auto"/>
        </w:rPr>
        <w:t>First: to the Trustee and the Second Lien Collateral Trustee, and their agents and attorneys for amounts due under Section 7.07 hereof, including payment of all compensation, expense and liabilities incurred, and all advances made, by the Trustee and the costs and expenses of collection;</w:t>
      </w:r>
    </w:p>
    <w:p>
      <w:pPr>
        <w:spacing w:after="0" w:line="123" w:lineRule="exact"/>
        <w:rPr>
          <w:sz w:val="20"/>
          <w:szCs w:val="20"/>
          <w:color w:val="auto"/>
        </w:rPr>
      </w:pPr>
    </w:p>
    <w:p>
      <w:pPr>
        <w:ind w:right="240" w:firstLine="965"/>
        <w:spacing w:after="0" w:line="256" w:lineRule="auto"/>
        <w:rPr>
          <w:sz w:val="20"/>
          <w:szCs w:val="20"/>
          <w:color w:val="auto"/>
        </w:rPr>
      </w:pPr>
      <w:r>
        <w:rPr>
          <w:rFonts w:ascii="Times New Roman" w:cs="Times New Roman" w:eastAsia="Times New Roman" w:hAnsi="Times New Roman"/>
          <w:sz w:val="18"/>
          <w:szCs w:val="18"/>
          <w:color w:val="auto"/>
        </w:rPr>
        <w:t>Second: to Holders of Notes for amounts due and unpaid on the Notes for principal, premium, if any, interest, if any, ratably, without preference or priority of any kind, according to the amounts due and payable on the Notes for principal, premium, if any, interest, if any, respectively; and</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Third: to the Company or to such party as a court of competent jurisdiction shall direct.</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 The Trustee may fix a record date and payment date for any payment to Holders of Notes pursuant to this Section 6.10.</w:t>
      </w:r>
    </w:p>
    <w:p>
      <w:pPr>
        <w:spacing w:after="0" w:line="24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6.11</w:t>
      </w:r>
      <w:r>
        <w:rPr>
          <w:sz w:val="20"/>
          <w:szCs w:val="20"/>
          <w:color w:val="auto"/>
        </w:rPr>
        <w:tab/>
      </w:r>
      <w:r>
        <w:rPr>
          <w:rFonts w:ascii="Times New Roman" w:cs="Times New Roman" w:eastAsia="Times New Roman" w:hAnsi="Times New Roman"/>
          <w:sz w:val="16"/>
          <w:szCs w:val="16"/>
          <w:u w:val="single" w:color="auto"/>
          <w:color w:val="auto"/>
        </w:rPr>
        <w:t>Undertaking for Costs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of a Note pursuant to Section 6.07 hereof, or a suit by Holders of more than ten percent in principal amount of the then outstanding Notes.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 AND COLLATERAL TRUSTEE</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7.01</w:t>
      </w:r>
      <w:r>
        <w:rPr>
          <w:sz w:val="20"/>
          <w:szCs w:val="20"/>
          <w:color w:val="auto"/>
        </w:rPr>
        <w:tab/>
      </w:r>
      <w:r>
        <w:rPr>
          <w:rFonts w:ascii="Times New Roman" w:cs="Times New Roman" w:eastAsia="Times New Roman" w:hAnsi="Times New Roman"/>
          <w:sz w:val="16"/>
          <w:szCs w:val="16"/>
          <w:u w:val="single" w:color="auto"/>
          <w:color w:val="auto"/>
        </w:rPr>
        <w:t>Duties of Trustee and Second Lien Collateral Trustee.</w:t>
      </w:r>
    </w:p>
    <w:p>
      <w:pPr>
        <w:spacing w:after="0" w:line="214" w:lineRule="exact"/>
        <w:rPr>
          <w:sz w:val="20"/>
          <w:szCs w:val="20"/>
          <w:color w:val="auto"/>
        </w:rPr>
      </w:pPr>
    </w:p>
    <w:p>
      <w:pPr>
        <w:ind w:right="100" w:firstLine="967"/>
        <w:spacing w:after="0" w:line="256" w:lineRule="auto"/>
        <w:tabs>
          <w:tab w:leader="none" w:pos="120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8" w:lineRule="exact"/>
        <w:rPr>
          <w:rFonts w:ascii="Times New Roman" w:cs="Times New Roman" w:eastAsia="Times New Roman" w:hAnsi="Times New Roman"/>
          <w:sz w:val="18"/>
          <w:szCs w:val="18"/>
          <w:color w:val="auto"/>
        </w:rPr>
      </w:pPr>
    </w:p>
    <w:p>
      <w:pPr>
        <w:ind w:right="400" w:firstLine="967"/>
        <w:spacing w:after="0" w:line="268" w:lineRule="auto"/>
        <w:tabs>
          <w:tab w:leader="none" w:pos="12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Trustee, except during the continuance of an Event of Default, and at all times with respect to the Second Lien Collateral Trustee:</w:t>
      </w:r>
    </w:p>
    <w:p>
      <w:pPr>
        <w:spacing w:after="0" w:line="168" w:lineRule="exact"/>
        <w:rPr>
          <w:rFonts w:ascii="Times New Roman" w:cs="Times New Roman" w:eastAsia="Times New Roman" w:hAnsi="Times New Roman"/>
          <w:sz w:val="18"/>
          <w:szCs w:val="18"/>
          <w:color w:val="auto"/>
        </w:rPr>
      </w:pPr>
    </w:p>
    <w:p>
      <w:pPr>
        <w:ind w:left="960" w:firstLine="397"/>
        <w:spacing w:after="0" w:line="248" w:lineRule="auto"/>
        <w:tabs>
          <w:tab w:leader="none" w:pos="155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and the Second Lien Collateral Trustee shall be determined solely by the express provisions of this Indenture and the Second Lien Collateral Trust Agreement and the Trustee and the Second Lien Collateral Trustee need perform only those duties that are specifically set forth in this Indenture and the Security Documents and no others, and no implied covenants or obligations shall be read into this Indenture against the Trustee and the Second Lien Collateral Trustee (it being agreed that the permissive right of the Trustee and the Second Lien Collateral Trustee to do things enumerated in this Indenture or the Security Documents shall not be construed as a duty); and</w:t>
      </w:r>
    </w:p>
    <w:p>
      <w:pPr>
        <w:spacing w:after="0" w:line="188" w:lineRule="exact"/>
        <w:rPr>
          <w:rFonts w:ascii="Times New Roman" w:cs="Times New Roman" w:eastAsia="Times New Roman" w:hAnsi="Times New Roman"/>
          <w:sz w:val="18"/>
          <w:szCs w:val="18"/>
          <w:color w:val="auto"/>
        </w:rPr>
      </w:pPr>
    </w:p>
    <w:p>
      <w:pPr>
        <w:ind w:left="960" w:right="60" w:firstLine="397"/>
        <w:spacing w:after="0" w:line="282" w:lineRule="auto"/>
        <w:tabs>
          <w:tab w:leader="none" w:pos="1608"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on its part, each of the Trustee and the Second Lien Collateral Trustee may conclusively rely, as to the truth of the statements and the correctness of the opinions expressed therein, upon certificates or opinions furnished to the Trustee and/or the Second Lien Collateral Trustee and conforming to the requirements of this Indenture. The Trustee and the Second Lien Collateral Trustee shall be under no duty to make any investigation as to any statement contained in any such instance, but may accept the same as conclusive evidence of the truth and accuracy of such statement or the correctness of such opinions. However, in the case of certificates or opinions required by any provision hereof to be provided to it, the Trustee and the Second Lien Collateral Trustee, as applicable, shall examine the certificates and opinions to determine whether or not they conform to the requirements of this Indenture and the Security Documents (but need not confirm or investigate the accuracy of mathematical calculations or other facts stated therein).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20"/>
          </w:cols>
          <w:pgMar w:left="580" w:top="266" w:right="599" w:bottom="1440" w:gutter="0" w:footer="0" w:header="0"/>
        </w:sectPr>
      </w:pPr>
    </w:p>
    <w:bookmarkStart w:id="153" w:name="page154"/>
    <w:bookmarkEnd w:id="153"/>
    <w:p>
      <w:pPr>
        <w:ind w:right="640" w:firstLine="967"/>
        <w:spacing w:after="0" w:line="268" w:lineRule="auto"/>
        <w:tabs>
          <w:tab w:leader="none" w:pos="120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Trustee may not be relieved from liabilities for its own negligent action, its own negligent failure to act, or its own willful misconduct, except that:</w:t>
      </w:r>
    </w:p>
    <w:p>
      <w:pPr>
        <w:spacing w:after="0" w:line="168" w:lineRule="exact"/>
        <w:rPr>
          <w:rFonts w:ascii="Times New Roman" w:cs="Times New Roman" w:eastAsia="Times New Roman" w:hAnsi="Times New Roman"/>
          <w:sz w:val="18"/>
          <w:szCs w:val="18"/>
          <w:color w:val="auto"/>
        </w:rPr>
      </w:pPr>
    </w:p>
    <w:p>
      <w:pPr>
        <w:ind w:left="1560" w:hanging="203"/>
        <w:spacing w:after="0"/>
        <w:tabs>
          <w:tab w:leader="none" w:pos="15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13" w:lineRule="exact"/>
        <w:rPr>
          <w:rFonts w:ascii="Times New Roman" w:cs="Times New Roman" w:eastAsia="Times New Roman" w:hAnsi="Times New Roman"/>
          <w:sz w:val="18"/>
          <w:szCs w:val="18"/>
          <w:color w:val="auto"/>
        </w:rPr>
      </w:pPr>
    </w:p>
    <w:p>
      <w:pPr>
        <w:ind w:left="960" w:right="120" w:firstLine="397"/>
        <w:spacing w:after="0" w:line="268" w:lineRule="auto"/>
        <w:tabs>
          <w:tab w:leader="none" w:pos="160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 and</w:t>
      </w:r>
    </w:p>
    <w:p>
      <w:pPr>
        <w:spacing w:after="0" w:line="168" w:lineRule="exact"/>
        <w:rPr>
          <w:rFonts w:ascii="Times New Roman" w:cs="Times New Roman" w:eastAsia="Times New Roman" w:hAnsi="Times New Roman"/>
          <w:sz w:val="18"/>
          <w:szCs w:val="18"/>
          <w:color w:val="auto"/>
        </w:rPr>
      </w:pPr>
    </w:p>
    <w:p>
      <w:pPr>
        <w:ind w:left="960" w:right="340" w:firstLine="397"/>
        <w:spacing w:after="0" w:line="268" w:lineRule="auto"/>
        <w:tabs>
          <w:tab w:leader="none" w:pos="16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 6.05 hereof.</w:t>
      </w:r>
    </w:p>
    <w:p>
      <w:pPr>
        <w:spacing w:after="0" w:line="168"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of the Second Lien Collateral Trustee shall be limited as provided in the Second Lien Collateral Trust Agreement.</w:t>
      </w:r>
    </w:p>
    <w:p>
      <w:pPr>
        <w:spacing w:after="0" w:line="213" w:lineRule="exact"/>
        <w:rPr>
          <w:rFonts w:ascii="Times New Roman" w:cs="Times New Roman" w:eastAsia="Times New Roman" w:hAnsi="Times New Roman"/>
          <w:sz w:val="18"/>
          <w:szCs w:val="18"/>
          <w:color w:val="auto"/>
        </w:rPr>
      </w:pPr>
    </w:p>
    <w:p>
      <w:pPr>
        <w:ind w:right="80" w:firstLine="967"/>
        <w:spacing w:after="0" w:line="268" w:lineRule="auto"/>
        <w:tabs>
          <w:tab w:leader="none" w:pos="120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and the Security Documents, as applicable, that in any way relates to the Trustee or the Second Lien Collateral Trustee is subject to paragraphs (a), (b), (c), (d) and (f) of this Section 7.01.</w:t>
      </w:r>
    </w:p>
    <w:p>
      <w:pPr>
        <w:spacing w:after="0" w:line="168" w:lineRule="exact"/>
        <w:rPr>
          <w:rFonts w:ascii="Times New Roman" w:cs="Times New Roman" w:eastAsia="Times New Roman" w:hAnsi="Times New Roman"/>
          <w:sz w:val="18"/>
          <w:szCs w:val="18"/>
          <w:color w:val="auto"/>
        </w:rPr>
      </w:pPr>
    </w:p>
    <w:p>
      <w:pPr>
        <w:ind w:right="40" w:firstLine="967"/>
        <w:spacing w:after="0" w:line="249" w:lineRule="auto"/>
        <w:tabs>
          <w:tab w:leader="none" w:pos="118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or the Second Lien Collateral Trustee to expend or risk its own funds or incur any liability. Neither the Trustee nor the Second Lien Collateral Trustee shall be under any obligation to exercise any of its rights and powers under this Indenture or the Security Documents at the request of any Holders, unless such Holder shall have offered to the Trustee or the Second Lien Collateral Trustee , as applicable, security or indemnity satisfactory to it against any loss, costs, liability or expense that might be incurred by it in connection with the request or direction.</w:t>
      </w:r>
    </w:p>
    <w:p>
      <w:pPr>
        <w:spacing w:after="0" w:line="188"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Money held in trust by the Trustee or the Second Lien Collateral Trustee need not be segregated from other funds except to the extent</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required by law.</w:t>
      </w:r>
    </w:p>
    <w:p>
      <w:pPr>
        <w:spacing w:after="0" w:line="195" w:lineRule="exact"/>
        <w:rPr>
          <w:rFonts w:ascii="Times New Roman" w:cs="Times New Roman" w:eastAsia="Times New Roman" w:hAnsi="Times New Roman"/>
          <w:sz w:val="16"/>
          <w:szCs w:val="16"/>
          <w:color w:val="auto"/>
        </w:rPr>
      </w:pPr>
    </w:p>
    <w:p>
      <w:pPr>
        <w:ind w:right="80" w:firstLine="967"/>
        <w:spacing w:after="0" w:line="268" w:lineRule="auto"/>
        <w:tabs>
          <w:tab w:leader="none" w:pos="121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Second Lien Collateral Trustee shall be liable for interest or investment income on any money received by it except as the Trustee or the Second Lien Collateral Trustee may agree in writing with the Company.</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7.02</w:t>
      </w:r>
      <w:r>
        <w:rPr>
          <w:sz w:val="20"/>
          <w:szCs w:val="20"/>
          <w:color w:val="auto"/>
        </w:rPr>
        <w:tab/>
      </w:r>
      <w:r>
        <w:rPr>
          <w:rFonts w:ascii="Times New Roman" w:cs="Times New Roman" w:eastAsia="Times New Roman" w:hAnsi="Times New Roman"/>
          <w:sz w:val="16"/>
          <w:szCs w:val="16"/>
          <w:u w:val="single" w:color="auto"/>
          <w:color w:val="auto"/>
        </w:rPr>
        <w:t>Certain Rights of Trustee and Second Lien Collateral Trustee.</w:t>
      </w:r>
    </w:p>
    <w:p>
      <w:pPr>
        <w:spacing w:after="0" w:line="214" w:lineRule="exact"/>
        <w:rPr>
          <w:sz w:val="20"/>
          <w:szCs w:val="20"/>
          <w:color w:val="auto"/>
        </w:rPr>
      </w:pPr>
    </w:p>
    <w:p>
      <w:pPr>
        <w:ind w:right="40" w:firstLine="967"/>
        <w:spacing w:after="0" w:line="256" w:lineRule="auto"/>
        <w:tabs>
          <w:tab w:leader="none" w:pos="120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Trustee and the Second Lien Collateral Trustee may conclusively rely upon any document believed by it to be genuine and to have been signed or presented by the proper Person. Neither the Trustee nor the Second Lien Collateral Trustee need investigate any fact or matter stated in the document.</w:t>
      </w:r>
    </w:p>
    <w:p>
      <w:pPr>
        <w:spacing w:after="0" w:line="178" w:lineRule="exact"/>
        <w:rPr>
          <w:rFonts w:ascii="Times New Roman" w:cs="Times New Roman" w:eastAsia="Times New Roman" w:hAnsi="Times New Roman"/>
          <w:sz w:val="18"/>
          <w:szCs w:val="18"/>
          <w:color w:val="auto"/>
        </w:rPr>
      </w:pPr>
    </w:p>
    <w:p>
      <w:pPr>
        <w:ind w:firstLine="967"/>
        <w:spacing w:after="0" w:line="249" w:lineRule="auto"/>
        <w:tabs>
          <w:tab w:leader="none" w:pos="12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or the Second Lien Collateral Trustee acts or refrains from acting, it may require an Officer’s Certificate or an Opinion of Counsel or both. Neither the Trustee nor the Second Lien Collateral Trustee shall be liable for any action it takes or omits to take in good faith in reliance on such Officer’s Certificate or Opinion of Counsel. The Trustee and the Second Lien Collateral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88" w:lineRule="exact"/>
        <w:rPr>
          <w:rFonts w:ascii="Times New Roman" w:cs="Times New Roman" w:eastAsia="Times New Roman" w:hAnsi="Times New Roman"/>
          <w:sz w:val="18"/>
          <w:szCs w:val="18"/>
          <w:color w:val="auto"/>
        </w:rPr>
      </w:pPr>
    </w:p>
    <w:p>
      <w:pPr>
        <w:ind w:right="500" w:firstLine="967"/>
        <w:spacing w:after="0" w:line="268" w:lineRule="auto"/>
        <w:tabs>
          <w:tab w:leader="none" w:pos="120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Second Lien Collateral Trustee may act through its attorneys and agents and shall not be responsible for the misconduct or negligence of any attorney or agent appointed with due care by it hereunder.</w:t>
      </w:r>
    </w:p>
    <w:p>
      <w:pPr>
        <w:spacing w:after="0" w:line="168" w:lineRule="exact"/>
        <w:rPr>
          <w:rFonts w:ascii="Times New Roman" w:cs="Times New Roman" w:eastAsia="Times New Roman" w:hAnsi="Times New Roman"/>
          <w:sz w:val="18"/>
          <w:szCs w:val="18"/>
          <w:color w:val="auto"/>
        </w:rPr>
      </w:pPr>
    </w:p>
    <w:p>
      <w:pPr>
        <w:ind w:right="260" w:firstLine="967"/>
        <w:spacing w:after="0" w:line="268" w:lineRule="auto"/>
        <w:tabs>
          <w:tab w:leader="none" w:pos="12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Second Lien Collateral Trustee shall be liable for any action it takes or omits to take in good faith that it believes to be authorized or within the rights or powers conferred upon it by this Indenture or the Security Documents.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680"/>
          </w:cols>
          <w:pgMar w:left="580" w:top="266" w:right="639" w:bottom="1440" w:gutter="0" w:footer="0" w:header="0"/>
        </w:sectPr>
      </w:pPr>
    </w:p>
    <w:bookmarkStart w:id="154" w:name="page155"/>
    <w:bookmarkEnd w:id="154"/>
    <w:p>
      <w:pPr>
        <w:ind w:right="40" w:firstLine="967"/>
        <w:spacing w:after="0" w:line="268" w:lineRule="auto"/>
        <w:tabs>
          <w:tab w:leader="none" w:pos="12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Unless otherwise specifically provided in this Indenture, any demand, request, direction or notice from the Company shall be sufficient if signed by an Officer of the Company.</w:t>
      </w:r>
    </w:p>
    <w:p>
      <w:pPr>
        <w:spacing w:after="0" w:line="168" w:lineRule="exact"/>
        <w:rPr>
          <w:rFonts w:ascii="Times New Roman" w:cs="Times New Roman" w:eastAsia="Times New Roman" w:hAnsi="Times New Roman"/>
          <w:sz w:val="18"/>
          <w:szCs w:val="18"/>
          <w:color w:val="auto"/>
        </w:rPr>
      </w:pPr>
    </w:p>
    <w:p>
      <w:pPr>
        <w:ind w:firstLine="967"/>
        <w:spacing w:after="0" w:line="252" w:lineRule="auto"/>
        <w:tabs>
          <w:tab w:leader="none" w:pos="118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Second Lien Collateral Trustee shall be under any obligation to exercise any of the rights or powers vested in it by this Indenture or the Security Documents at the request or direction of any of the Holders unless such Holders shall have offered to the Trustee or the Second Lien Collateral Trustee, as applicable, security or indemnity satisfactory to it against the costs, expenses and liabilities that might be incurred by it in compliance with such request or direction.</w:t>
      </w:r>
    </w:p>
    <w:p>
      <w:pPr>
        <w:spacing w:after="0" w:line="182" w:lineRule="exact"/>
        <w:rPr>
          <w:rFonts w:ascii="Times New Roman" w:cs="Times New Roman" w:eastAsia="Times New Roman" w:hAnsi="Times New Roman"/>
          <w:sz w:val="18"/>
          <w:szCs w:val="18"/>
          <w:color w:val="auto"/>
        </w:rPr>
      </w:pPr>
    </w:p>
    <w:p>
      <w:pPr>
        <w:ind w:right="140" w:firstLine="967"/>
        <w:spacing w:after="0" w:line="303" w:lineRule="auto"/>
        <w:tabs>
          <w:tab w:leader="none" w:pos="121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the Second Lien Collateral Trustee shall be deemed to have notice of any Default or Event of Default unless a Responsible Officer of the Trustee or the Second Lien Collateral Trustee has actual knowledge thereof or unless written notice of such event is sent to the Trustee or the Second Lien Collateral Trustee, as applicable, in accordance with Section 13.02 hereof, and such notice references the Notes.</w:t>
      </w:r>
    </w:p>
    <w:p>
      <w:pPr>
        <w:spacing w:after="0" w:line="144" w:lineRule="exact"/>
        <w:rPr>
          <w:rFonts w:ascii="Times New Roman" w:cs="Times New Roman" w:eastAsia="Times New Roman" w:hAnsi="Times New Roman"/>
          <w:sz w:val="16"/>
          <w:szCs w:val="16"/>
          <w:color w:val="auto"/>
        </w:rPr>
      </w:pPr>
    </w:p>
    <w:p>
      <w:pPr>
        <w:ind w:right="220" w:firstLine="967"/>
        <w:spacing w:after="0" w:line="256" w:lineRule="auto"/>
        <w:tabs>
          <w:tab w:leader="none" w:pos="121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by it in good faith at the direction of the Holders of not less than a majority in principal amount of the outstanding Notes as to the time, method and place of conducting any proceedings for any remedy available to the Trustee or the exercising of any power conferred by this Indenture.</w:t>
      </w:r>
    </w:p>
    <w:p>
      <w:pPr>
        <w:spacing w:after="0" w:line="178" w:lineRule="exact"/>
        <w:rPr>
          <w:rFonts w:ascii="Times New Roman" w:cs="Times New Roman" w:eastAsia="Times New Roman" w:hAnsi="Times New Roman"/>
          <w:sz w:val="18"/>
          <w:szCs w:val="18"/>
          <w:color w:val="auto"/>
        </w:rPr>
      </w:pPr>
    </w:p>
    <w:p>
      <w:pPr>
        <w:jc w:val="both"/>
        <w:ind w:right="160" w:firstLine="967"/>
        <w:spacing w:after="0" w:line="256" w:lineRule="auto"/>
        <w:tabs>
          <w:tab w:leader="none" w:pos="117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omitted to be taken, by the Trustee or the Second Lien Collateral Trustee in good faith pursuant to this Indenture upon the request or authority or consent of any person who, at the time of making such request or giving such authority or consent, is a Holder shall be conclusive and binding upon future Holders and upon Notes executed and delivered in exchange therefor or in place thereof.</w:t>
      </w:r>
    </w:p>
    <w:p>
      <w:pPr>
        <w:spacing w:after="0" w:line="178" w:lineRule="exact"/>
        <w:rPr>
          <w:rFonts w:ascii="Times New Roman" w:cs="Times New Roman" w:eastAsia="Times New Roman" w:hAnsi="Times New Roman"/>
          <w:sz w:val="18"/>
          <w:szCs w:val="18"/>
          <w:color w:val="auto"/>
        </w:rPr>
      </w:pPr>
    </w:p>
    <w:p>
      <w:pPr>
        <w:ind w:right="200" w:firstLine="967"/>
        <w:spacing w:after="0" w:line="303" w:lineRule="auto"/>
        <w:tabs>
          <w:tab w:leader="none" w:pos="1174"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the Second Lien Collateral Trustee shall be bound to make any investigation into the facts or matters stated in any resolution, certificate, statement, instrument, opinion, report, notice, request, consent, order, approval, bond, debenture, note or other paper or document unless requested in writing to do so by the Holders of not less than a majority in principal amount of the Notes at the time outstanding.</w:t>
      </w:r>
    </w:p>
    <w:p>
      <w:pPr>
        <w:spacing w:after="0" w:line="144" w:lineRule="exact"/>
        <w:rPr>
          <w:rFonts w:ascii="Times New Roman" w:cs="Times New Roman" w:eastAsia="Times New Roman" w:hAnsi="Times New Roman"/>
          <w:sz w:val="16"/>
          <w:szCs w:val="16"/>
          <w:color w:val="auto"/>
        </w:rPr>
      </w:pPr>
    </w:p>
    <w:p>
      <w:pPr>
        <w:ind w:right="20" w:firstLine="967"/>
        <w:spacing w:after="0" w:line="252" w:lineRule="auto"/>
        <w:tabs>
          <w:tab w:leader="none" w:pos="121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and the Second Lien Collateral Trustee, including, without limitation, its right to be indemnified, are extended to, and shall be enforceable by, the Trustee and the Second Lien Collateral Trustee in each of its capacities hereunder, and to each officer, director. employee, agent and custodian of the Trustee and the Second Lien Collateral Trustee and any other Person employed by the Trustee or the Second Lien Collateral Trustee to act hereunder.</w:t>
      </w:r>
    </w:p>
    <w:p>
      <w:pPr>
        <w:spacing w:after="0" w:line="182" w:lineRule="exact"/>
        <w:rPr>
          <w:rFonts w:ascii="Times New Roman" w:cs="Times New Roman" w:eastAsia="Times New Roman" w:hAnsi="Times New Roman"/>
          <w:sz w:val="18"/>
          <w:szCs w:val="18"/>
          <w:color w:val="auto"/>
        </w:rPr>
      </w:pPr>
    </w:p>
    <w:p>
      <w:pPr>
        <w:ind w:right="60" w:firstLine="967"/>
        <w:spacing w:after="0" w:line="252" w:lineRule="auto"/>
        <w:tabs>
          <w:tab w:leader="none" w:pos="117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Second Lien Collateral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2" w:lineRule="exact"/>
        <w:rPr>
          <w:rFonts w:ascii="Times New Roman" w:cs="Times New Roman" w:eastAsia="Times New Roman" w:hAnsi="Times New Roman"/>
          <w:sz w:val="18"/>
          <w:szCs w:val="18"/>
          <w:color w:val="auto"/>
        </w:rPr>
      </w:pPr>
    </w:p>
    <w:p>
      <w:pPr>
        <w:ind w:right="20" w:firstLine="967"/>
        <w:spacing w:after="0" w:line="256" w:lineRule="auto"/>
        <w:tabs>
          <w:tab w:leader="none" w:pos="126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or the Second Lien Collateral Trustee be responsible or liable for special, indirect, punitive or consequential loss or damage of any kind whatsoever (including, but not limited to, loss of profit) irrespective of whether the Trustee or the Second Lien Collateral Trustee, as applicable, has been advised of the likelihood of such loss or damage and regardless of the form of action.</w:t>
      </w:r>
    </w:p>
    <w:p>
      <w:pPr>
        <w:spacing w:after="0" w:line="178" w:lineRule="exact"/>
        <w:rPr>
          <w:rFonts w:ascii="Times New Roman" w:cs="Times New Roman" w:eastAsia="Times New Roman" w:hAnsi="Times New Roman"/>
          <w:sz w:val="18"/>
          <w:szCs w:val="18"/>
          <w:color w:val="auto"/>
        </w:rPr>
      </w:pPr>
    </w:p>
    <w:p>
      <w:pPr>
        <w:ind w:firstLine="967"/>
        <w:spacing w:after="0" w:line="268" w:lineRule="auto"/>
        <w:tabs>
          <w:tab w:leader="none" w:pos="121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and the Second Lien Collateral Trustee shall be required to give any bond or surety in respect of the performance of its powers and duties hereunder.</w:t>
      </w:r>
    </w:p>
    <w:p>
      <w:pPr>
        <w:spacing w:after="0" w:line="168" w:lineRule="exact"/>
        <w:rPr>
          <w:rFonts w:ascii="Times New Roman" w:cs="Times New Roman" w:eastAsia="Times New Roman" w:hAnsi="Times New Roman"/>
          <w:sz w:val="18"/>
          <w:szCs w:val="18"/>
          <w:color w:val="auto"/>
        </w:rPr>
      </w:pPr>
    </w:p>
    <w:p>
      <w:pPr>
        <w:ind w:right="60" w:firstLine="967"/>
        <w:spacing w:after="0" w:line="252" w:lineRule="auto"/>
        <w:tabs>
          <w:tab w:leader="none" w:pos="121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or the Second Lien Collateral Trustee shall deem it desirable that a matter be proved or established prior to taking, suffering or omitting any action hereunder or thereunder, the Trustee or the Second Lien Collateral Trustee (unless other evidence be herein specifically prescribed) may, in the absence of negligence or willful misconduct on its part, as determined by a nonappealable order of a court of competent jurisdiction, conclusively rely upon an Officer’s Certificate.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720"/>
          </w:cols>
          <w:pgMar w:left="580" w:top="266" w:right="599" w:bottom="1440" w:gutter="0" w:footer="0" w:header="0"/>
        </w:sectPr>
      </w:pPr>
    </w:p>
    <w:bookmarkStart w:id="155" w:name="page156"/>
    <w:bookmarkEnd w:id="155"/>
    <w:p>
      <w:pPr>
        <w:ind w:firstLine="967"/>
        <w:spacing w:after="0" w:line="268" w:lineRule="auto"/>
        <w:tabs>
          <w:tab w:leader="none" w:pos="121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Neither the Trustee nor the Second Lien Collateral Trustee shall be deemed to have knowledge of any fact or matter unless such fact or matter is known to a Responsible Officer of the Trustee or the Second Lien Collateral Trustee, as applicable.</w:t>
      </w:r>
    </w:p>
    <w:p>
      <w:pPr>
        <w:spacing w:after="0" w:line="168" w:lineRule="exact"/>
        <w:rPr>
          <w:rFonts w:ascii="Times New Roman" w:cs="Times New Roman" w:eastAsia="Times New Roman" w:hAnsi="Times New Roman"/>
          <w:sz w:val="18"/>
          <w:szCs w:val="18"/>
          <w:color w:val="auto"/>
        </w:rPr>
      </w:pPr>
    </w:p>
    <w:p>
      <w:pPr>
        <w:ind w:right="100" w:firstLine="967"/>
        <w:spacing w:after="0" w:line="268" w:lineRule="auto"/>
        <w:tabs>
          <w:tab w:leader="none" w:pos="121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 omission, breach, misconduct or liability whatsoever of the Second Lien Collateral Trustee and the Second Lien Collateral Trustee shall not be liable for any act, omission, breach, misconduct or liability whatsoever of the Trustee.</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7.03</w:t>
      </w:r>
      <w:r>
        <w:rPr>
          <w:sz w:val="20"/>
          <w:szCs w:val="20"/>
          <w:color w:val="auto"/>
        </w:rPr>
        <w:tab/>
      </w:r>
      <w:r>
        <w:rPr>
          <w:rFonts w:ascii="Times New Roman" w:cs="Times New Roman" w:eastAsia="Times New Roman" w:hAnsi="Times New Roman"/>
          <w:sz w:val="16"/>
          <w:szCs w:val="16"/>
          <w:u w:val="single" w:color="auto"/>
          <w:color w:val="auto"/>
        </w:rPr>
        <w:t>Individual Rights of Trustee or Second Lien Collateral Trustee.</w:t>
      </w:r>
    </w:p>
    <w:p>
      <w:pPr>
        <w:spacing w:after="0" w:line="214" w:lineRule="exact"/>
        <w:rPr>
          <w:sz w:val="20"/>
          <w:szCs w:val="20"/>
          <w:color w:val="auto"/>
        </w:rPr>
      </w:pPr>
    </w:p>
    <w:p>
      <w:pPr>
        <w:ind w:right="160" w:firstLine="965"/>
        <w:spacing w:after="0" w:line="249" w:lineRule="auto"/>
        <w:rPr>
          <w:sz w:val="20"/>
          <w:szCs w:val="20"/>
          <w:color w:val="auto"/>
        </w:rPr>
      </w:pPr>
      <w:r>
        <w:rPr>
          <w:rFonts w:ascii="Times New Roman" w:cs="Times New Roman" w:eastAsia="Times New Roman" w:hAnsi="Times New Roman"/>
          <w:sz w:val="18"/>
          <w:szCs w:val="18"/>
          <w:color w:val="auto"/>
        </w:rPr>
        <w:t>The Trustee or the Second Lien Collateral Trustee in its individual or any other capacity may become the owner or pledgee of Notes and may become a creditor of, or otherwise deal with, the Company or any of its Affiliates with the same rights it would have if it were not Trustee or Second Lien Collateral Trustee. However, in the event that the Trustee acquires any conflicting interest as described in the TIA, it must eliminate such conflict within 90 days, apply to the SEC for permission to continue as Trustee or resign. Any Agent may do the same with like rights and duties. The Trustee is also subject to Sections 7.10 and 7.11 hereof.</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7.04</w:t>
      </w:r>
      <w:r>
        <w:rPr>
          <w:sz w:val="20"/>
          <w:szCs w:val="20"/>
          <w:color w:val="auto"/>
        </w:rPr>
        <w:tab/>
      </w:r>
      <w:r>
        <w:rPr>
          <w:rFonts w:ascii="Times New Roman" w:cs="Times New Roman" w:eastAsia="Times New Roman" w:hAnsi="Times New Roman"/>
          <w:sz w:val="16"/>
          <w:szCs w:val="16"/>
          <w:u w:val="single" w:color="auto"/>
          <w:color w:val="auto"/>
        </w:rPr>
        <w:t>Disclaimer</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60" w:firstLine="965"/>
        <w:spacing w:after="0" w:line="247" w:lineRule="auto"/>
        <w:rPr>
          <w:sz w:val="20"/>
          <w:szCs w:val="20"/>
          <w:color w:val="auto"/>
        </w:rPr>
      </w:pPr>
      <w:r>
        <w:rPr>
          <w:rFonts w:ascii="Times New Roman" w:cs="Times New Roman" w:eastAsia="Times New Roman" w:hAnsi="Times New Roman"/>
          <w:sz w:val="18"/>
          <w:szCs w:val="18"/>
          <w:color w:val="auto"/>
        </w:rPr>
        <w:t>Each of the Trustee and the Second Lien Collateral Trustee shall not be responsible for and makes no representation as to the validity or adequacy of this Indenture or the Security Documents,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In accepting the trust hereby created, the Trustee acts solely as Trustee for the Holders and not in its individual capacity and all persons, including without limitation the Holders of Notes and the Company having any claim against the Trustee arising from this Indenture shall look only to the funds and accounts held by the Trustee hereunder for payment.</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7.05</w:t>
      </w:r>
      <w:r>
        <w:rPr>
          <w:sz w:val="20"/>
          <w:szCs w:val="20"/>
          <w:color w:val="auto"/>
        </w:rPr>
        <w:tab/>
      </w:r>
      <w:r>
        <w:rPr>
          <w:rFonts w:ascii="Times New Roman" w:cs="Times New Roman" w:eastAsia="Times New Roman" w:hAnsi="Times New Roman"/>
          <w:sz w:val="16"/>
          <w:szCs w:val="16"/>
          <w:u w:val="single" w:color="auto"/>
          <w:color w:val="auto"/>
        </w:rPr>
        <w:t>Notice of Defaults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140" w:firstLine="965"/>
        <w:spacing w:after="0" w:line="249" w:lineRule="auto"/>
        <w:rPr>
          <w:sz w:val="20"/>
          <w:szCs w:val="20"/>
          <w:color w:val="auto"/>
        </w:rPr>
      </w:pPr>
      <w:r>
        <w:rPr>
          <w:rFonts w:ascii="Times New Roman" w:cs="Times New Roman" w:eastAsia="Times New Roman" w:hAnsi="Times New Roman"/>
          <w:sz w:val="18"/>
          <w:szCs w:val="18"/>
          <w:color w:val="auto"/>
        </w:rPr>
        <w:t>If a Default or Event of Default occurs and is continuing and if it is actually known to a Responsible Officer of the Trustee, the Trustee shall mail to Holders of Notes and the Second Lien Collateral Trustee a notice of the Default or Event of Default within 90 days after it is actually known to a Responsible Officer of the Trustee or written notice of it is received by the Trustee.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7.06</w:t>
      </w:r>
      <w:r>
        <w:rPr>
          <w:sz w:val="20"/>
          <w:szCs w:val="20"/>
          <w:color w:val="auto"/>
        </w:rPr>
        <w:tab/>
      </w:r>
      <w:r>
        <w:rPr>
          <w:rFonts w:ascii="Times New Roman" w:cs="Times New Roman" w:eastAsia="Times New Roman" w:hAnsi="Times New Roman"/>
          <w:sz w:val="16"/>
          <w:szCs w:val="16"/>
          <w:u w:val="single" w:color="auto"/>
          <w:color w:val="auto"/>
        </w:rPr>
        <w:t>Reports by Trustee to Holders of the Notes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right="20" w:firstLine="967"/>
        <w:spacing w:after="0" w:line="252" w:lineRule="auto"/>
        <w:tabs>
          <w:tab w:leader="none" w:pos="12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each May 1 beginning with the May 1 following the date hereof, and for so long as Notes remain outstanding, the Trustee shall mail to the Holders of the Notes a brief report dated as of such reporting date that complies with TIA § 313(a) (but if no event described in TIA § 313(a) has occurred within the twelve months preceding the reporting date, no report need be transmitted). The Trustee also shall comply with TIA § 313(b)(2). The Trustee shall also transmit all reports as required by TIA § 313(c).</w:t>
      </w:r>
    </w:p>
    <w:p>
      <w:pPr>
        <w:spacing w:after="0" w:line="182" w:lineRule="exact"/>
        <w:rPr>
          <w:rFonts w:ascii="Times New Roman" w:cs="Times New Roman" w:eastAsia="Times New Roman" w:hAnsi="Times New Roman"/>
          <w:sz w:val="18"/>
          <w:szCs w:val="18"/>
          <w:color w:val="auto"/>
        </w:rPr>
      </w:pPr>
    </w:p>
    <w:p>
      <w:pPr>
        <w:ind w:firstLine="967"/>
        <w:spacing w:after="0" w:line="256" w:lineRule="auto"/>
        <w:tabs>
          <w:tab w:leader="none" w:pos="121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report at the time of its transmission to the Holders of Notes shall be transmitted to the Company and filed with the SEC and each stock exchange on which the Notes are listed in accordance with TIA § 313(d). The Company shall promptly notify the Trustee in writing when the Notes are listed on any stock exchange or any delisting thereof.</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680"/>
          </w:cols>
          <w:pgMar w:left="580" w:top="266" w:right="639" w:bottom="1440" w:gutter="0" w:footer="0" w:header="0"/>
        </w:sectPr>
      </w:pPr>
    </w:p>
    <w:bookmarkStart w:id="156" w:name="page157"/>
    <w:bookmarkEnd w:id="156"/>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7.07</w:t>
      </w:r>
      <w:r>
        <w:rPr>
          <w:sz w:val="20"/>
          <w:szCs w:val="20"/>
          <w:color w:val="auto"/>
        </w:rPr>
        <w:tab/>
      </w:r>
      <w:r>
        <w:rPr>
          <w:rFonts w:ascii="Times New Roman" w:cs="Times New Roman" w:eastAsia="Times New Roman" w:hAnsi="Times New Roman"/>
          <w:sz w:val="16"/>
          <w:szCs w:val="16"/>
          <w:u w:val="single" w:color="auto"/>
          <w:color w:val="auto"/>
        </w:rPr>
        <w:t>Compensation and Indemnity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7"/>
        <w:spacing w:after="0" w:line="247" w:lineRule="auto"/>
        <w:tabs>
          <w:tab w:leader="none" w:pos="120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Trustee and the Second Lien Collateral Trustee (in each case, acting in any capacity hereunder or under the Security Documents) from time to time such compensation as shall be agreed in writing between the Company and the Trustee and the Second Lien Collateral Trustee for its acceptance of this Indenture and the Security Documents and services hereunder and thereunder. The Trustee’s and the Second Lien Collateral Trustee’s compensation shall not be limited by any law on compensation of a trustee of an express trust. The Company shall reimburse the Trustee and the Second Lien Collateral Trustee promptly upon request for all reasonable disbursements, advances and expenses incurred or made by it in addition to the compensation for its services. Such expenses shall include the reasonable compensation, disbursements and expenses of the Trustee’s and Second Lien Collateral Trustee’s agents and counsel.</w:t>
      </w:r>
    </w:p>
    <w:p>
      <w:pPr>
        <w:spacing w:after="0" w:line="191" w:lineRule="exact"/>
        <w:rPr>
          <w:rFonts w:ascii="Times New Roman" w:cs="Times New Roman" w:eastAsia="Times New Roman" w:hAnsi="Times New Roman"/>
          <w:sz w:val="18"/>
          <w:szCs w:val="18"/>
          <w:color w:val="auto"/>
        </w:rPr>
      </w:pPr>
    </w:p>
    <w:p>
      <w:pPr>
        <w:ind w:right="20" w:firstLine="967"/>
        <w:spacing w:after="0" w:line="245" w:lineRule="auto"/>
        <w:tabs>
          <w:tab w:leader="none" w:pos="121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jointly and severally, shall indemnify each of the Trustee, any predecessor Trustee and the Second Lien Collateral Trustee (in each case, acting in any capacity hereunder or under the Security Documents) against any and all losses, liabilities, damages, claims or expenses (including reasonable attorneys’ fees and expenses) incurred by it arising out of or in connection with the acceptance or administration of its duties under this Indenture or the Security Documents, including the reasonable costs and expenses of enforcing this Indenture or the Security Documents against the Company and the Guarantors (including this Section 7.07) and defending itself against or investigating any claim (whether asserted by either of the Company or any Guarantor or any Holder or any other person) or liability in connection with the exercise or performance of any of its powers or duties hereunder or thereunder, except to the extent any such loss, liability, damage, claim or expense may be attributable to its gross negligence or willful misconduct. The Trustee or the Second Lien Collateral Trustee, as applicable, shall notify the Company and the Guarantors promptly of any claim for which it may seek indemnity. Failure by the Trustee or the Second Lien Collateral Trustee to so notify the Company and the Guarantors shall not relieve the Company or the Guarantors of their obligations hereunder. The Company shall defend the claim and the Trustee and the Second Lien Collateral Trustee shall reasonably cooperate at the Company’s expense in the defense. The Trustee and the Second Lien Collateral Trustee may have separate counsel and the Company and the Guarantors, jointly and severally, shall pay the reasonable fees and expenses of such counsel. Neither the Company nor any Guarantor need pay for any settlement made without its consent, which consent shall not be unreasonably withheld.</w:t>
      </w:r>
    </w:p>
    <w:p>
      <w:pPr>
        <w:spacing w:after="0" w:line="196" w:lineRule="exact"/>
        <w:rPr>
          <w:rFonts w:ascii="Times New Roman" w:cs="Times New Roman" w:eastAsia="Times New Roman" w:hAnsi="Times New Roman"/>
          <w:sz w:val="18"/>
          <w:szCs w:val="18"/>
          <w:color w:val="auto"/>
        </w:rPr>
      </w:pPr>
    </w:p>
    <w:p>
      <w:pPr>
        <w:ind w:firstLine="967"/>
        <w:spacing w:after="0" w:line="268" w:lineRule="auto"/>
        <w:tabs>
          <w:tab w:leader="none" w:pos="120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7.07 shall survive the satisfaction and discharge of this Indenture, the termination of the Second Lien Collateral Trust Agreement and resignation or removal of the Trustee or the Second Lien Collateral Trustee.</w:t>
      </w:r>
    </w:p>
    <w:p>
      <w:pPr>
        <w:spacing w:after="0" w:line="168" w:lineRule="exact"/>
        <w:rPr>
          <w:rFonts w:ascii="Times New Roman" w:cs="Times New Roman" w:eastAsia="Times New Roman" w:hAnsi="Times New Roman"/>
          <w:sz w:val="18"/>
          <w:szCs w:val="18"/>
          <w:color w:val="auto"/>
        </w:rPr>
      </w:pPr>
    </w:p>
    <w:p>
      <w:pPr>
        <w:ind w:right="40" w:firstLine="967"/>
        <w:spacing w:after="0" w:line="249" w:lineRule="auto"/>
        <w:tabs>
          <w:tab w:leader="none" w:pos="121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Company’s payment obligations in this Section, the Trustee and the Second Lien Collateral Trustee shall each have a Lien prior to the Notes on all money or property held or collected by the Trustee or the Second Lien Collateral Trustee, as applicable, except that held in trust to pay principal and interest on particular Notes. Such Liens shall survive the satisfaction and discharge of this Indenture, the termination of the Second Lien Collateral Trust Agreement, any termination or rejection of this Indenture or the Second Lien Collateral Trust Agreement under any Bankruptcy Law and resignation or removal of the Trustee or the Second Lien Collateral Trustee.</w:t>
      </w:r>
    </w:p>
    <w:p>
      <w:pPr>
        <w:spacing w:after="0" w:line="188" w:lineRule="exact"/>
        <w:rPr>
          <w:rFonts w:ascii="Times New Roman" w:cs="Times New Roman" w:eastAsia="Times New Roman" w:hAnsi="Times New Roman"/>
          <w:sz w:val="18"/>
          <w:szCs w:val="18"/>
          <w:color w:val="auto"/>
        </w:rPr>
      </w:pPr>
    </w:p>
    <w:p>
      <w:pPr>
        <w:ind w:right="140" w:firstLine="967"/>
        <w:spacing w:after="0" w:line="256" w:lineRule="auto"/>
        <w:tabs>
          <w:tab w:leader="none" w:pos="120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6.01(a)(viii) or (ix) hereof occurs, the expenses and the compensation for the services (including the fees and expenses of its agents and counsel) are intended to constitute expenses of administration under any Bankruptcy Law.</w:t>
      </w:r>
    </w:p>
    <w:p>
      <w:pPr>
        <w:spacing w:after="0" w:line="178"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the provisions of TIA § 313(b)(2) to the extent applicable.</w:t>
      </w:r>
    </w:p>
    <w:p>
      <w:pPr>
        <w:spacing w:after="0" w:line="24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7.08</w:t>
      </w:r>
      <w:r>
        <w:rPr>
          <w:sz w:val="20"/>
          <w:szCs w:val="20"/>
          <w:color w:val="auto"/>
        </w:rPr>
        <w:tab/>
      </w:r>
      <w:r>
        <w:rPr>
          <w:rFonts w:ascii="Times New Roman" w:cs="Times New Roman" w:eastAsia="Times New Roman" w:hAnsi="Times New Roman"/>
          <w:sz w:val="16"/>
          <w:szCs w:val="16"/>
          <w:u w:val="single" w:color="auto"/>
          <w:color w:val="auto"/>
        </w:rPr>
        <w:t>Replacement of Trustee or Second Lien Collateral Trustee.</w:t>
      </w:r>
    </w:p>
    <w:p>
      <w:pPr>
        <w:spacing w:after="0" w:line="214" w:lineRule="exact"/>
        <w:rPr>
          <w:sz w:val="20"/>
          <w:szCs w:val="20"/>
          <w:color w:val="auto"/>
        </w:rPr>
      </w:pPr>
    </w:p>
    <w:p>
      <w:pPr>
        <w:ind w:right="180" w:firstLine="967"/>
        <w:spacing w:after="0" w:line="303" w:lineRule="auto"/>
        <w:tabs>
          <w:tab w:leader="none" w:pos="1203"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resignation or removal of the Trustee and appointment of a successor Trustee shall become effective only upon the successor Trustee’s acceptance of appointment as provided in this Section 7.08. A resignation or removal of the Second Lien Collateral Trustee and appointment of a successor Second Lien Collateral Trustee shall become effective only in accordance with the Second Lien Collateral Trust Agreement.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720"/>
          </w:cols>
          <w:pgMar w:left="580" w:top="266" w:right="599" w:bottom="1440" w:gutter="0" w:footer="0" w:header="0"/>
        </w:sectPr>
      </w:pPr>
    </w:p>
    <w:bookmarkStart w:id="157" w:name="page158"/>
    <w:bookmarkEnd w:id="157"/>
    <w:p>
      <w:pPr>
        <w:ind w:right="20" w:firstLine="967"/>
        <w:spacing w:after="0" w:line="256" w:lineRule="auto"/>
        <w:tabs>
          <w:tab w:leader="none" w:pos="121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3" w:lineRule="exact"/>
        <w:rPr>
          <w:rFonts w:ascii="Times New Roman" w:cs="Times New Roman" w:eastAsia="Times New Roman" w:hAnsi="Times New Roman"/>
          <w:sz w:val="18"/>
          <w:szCs w:val="18"/>
          <w:color w:val="auto"/>
        </w:rPr>
      </w:pPr>
    </w:p>
    <w:p>
      <w:pPr>
        <w:ind w:left="1560" w:hanging="203"/>
        <w:spacing w:after="0"/>
        <w:tabs>
          <w:tab w:leader="none" w:pos="15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 hereof;</w:t>
      </w:r>
    </w:p>
    <w:p>
      <w:pPr>
        <w:spacing w:after="0" w:line="108" w:lineRule="exact"/>
        <w:rPr>
          <w:rFonts w:ascii="Times New Roman" w:cs="Times New Roman" w:eastAsia="Times New Roman" w:hAnsi="Times New Roman"/>
          <w:sz w:val="18"/>
          <w:szCs w:val="18"/>
          <w:color w:val="auto"/>
        </w:rPr>
      </w:pPr>
    </w:p>
    <w:p>
      <w:pPr>
        <w:ind w:left="960" w:right="780" w:firstLine="397"/>
        <w:spacing w:after="0" w:line="268" w:lineRule="auto"/>
        <w:tabs>
          <w:tab w:leader="none" w:pos="160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63"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08"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13" w:lineRule="exact"/>
        <w:rPr>
          <w:rFonts w:ascii="Times New Roman" w:cs="Times New Roman" w:eastAsia="Times New Roman" w:hAnsi="Times New Roman"/>
          <w:sz w:val="18"/>
          <w:szCs w:val="18"/>
          <w:color w:val="auto"/>
        </w:rPr>
      </w:pPr>
    </w:p>
    <w:p>
      <w:pPr>
        <w:ind w:right="40" w:firstLine="967"/>
        <w:spacing w:after="0" w:line="256" w:lineRule="auto"/>
        <w:tabs>
          <w:tab w:leader="none" w:pos="120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w:t>
      </w:r>
    </w:p>
    <w:p>
      <w:pPr>
        <w:spacing w:after="0" w:line="178" w:lineRule="exact"/>
        <w:rPr>
          <w:rFonts w:ascii="Times New Roman" w:cs="Times New Roman" w:eastAsia="Times New Roman" w:hAnsi="Times New Roman"/>
          <w:sz w:val="18"/>
          <w:szCs w:val="18"/>
          <w:color w:val="auto"/>
        </w:rPr>
      </w:pPr>
    </w:p>
    <w:p>
      <w:pPr>
        <w:ind w:right="480" w:firstLine="967"/>
        <w:spacing w:after="0" w:line="256" w:lineRule="auto"/>
        <w:tabs>
          <w:tab w:leader="none" w:pos="121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30 days after the retiring Trustee resigns or is removed, the retiring Trustee, the Company, or the Holders of Notes of at least 10% in aggregate principal amount of the then outstanding Notes may petition at the expense of the Company any court of competent jurisdiction for the appointment of a successor Trustee.</w:t>
      </w:r>
    </w:p>
    <w:p>
      <w:pPr>
        <w:spacing w:after="0" w:line="178" w:lineRule="exact"/>
        <w:rPr>
          <w:rFonts w:ascii="Times New Roman" w:cs="Times New Roman" w:eastAsia="Times New Roman" w:hAnsi="Times New Roman"/>
          <w:sz w:val="18"/>
          <w:szCs w:val="18"/>
          <w:color w:val="auto"/>
        </w:rPr>
      </w:pPr>
    </w:p>
    <w:p>
      <w:pPr>
        <w:ind w:right="340" w:firstLine="967"/>
        <w:spacing w:after="0" w:line="268" w:lineRule="auto"/>
        <w:tabs>
          <w:tab w:leader="none" w:pos="120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68" w:lineRule="exact"/>
        <w:rPr>
          <w:rFonts w:ascii="Times New Roman" w:cs="Times New Roman" w:eastAsia="Times New Roman" w:hAnsi="Times New Roman"/>
          <w:sz w:val="18"/>
          <w:szCs w:val="18"/>
          <w:color w:val="auto"/>
        </w:rPr>
      </w:pPr>
    </w:p>
    <w:p>
      <w:pPr>
        <w:ind w:right="40" w:firstLine="967"/>
        <w:spacing w:after="0" w:line="248" w:lineRule="auto"/>
        <w:tabs>
          <w:tab w:leader="none" w:pos="118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hereof. Notwithstanding replacement of the Trustee pursuant to this Section 7.08 or Section 7.09, the Company’s obligations under Section 7.07 hereof shall continue for the benefit of the retiring Trustee.</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7.09</w:t>
      </w:r>
      <w:r>
        <w:rPr>
          <w:sz w:val="20"/>
          <w:szCs w:val="20"/>
          <w:color w:val="auto"/>
        </w:rPr>
        <w:tab/>
      </w:r>
      <w:r>
        <w:rPr>
          <w:rFonts w:ascii="Times New Roman" w:cs="Times New Roman" w:eastAsia="Times New Roman" w:hAnsi="Times New Roman"/>
          <w:sz w:val="16"/>
          <w:szCs w:val="16"/>
          <w:u w:val="single" w:color="auto"/>
          <w:color w:val="auto"/>
        </w:rPr>
        <w:t>Successor by Merger, Etc.</w:t>
      </w:r>
    </w:p>
    <w:p>
      <w:pPr>
        <w:spacing w:after="0" w:line="214" w:lineRule="exact"/>
        <w:rPr>
          <w:sz w:val="20"/>
          <w:szCs w:val="20"/>
          <w:color w:val="auto"/>
        </w:rPr>
      </w:pPr>
    </w:p>
    <w:p>
      <w:pPr>
        <w:ind w:right="60" w:firstLine="965"/>
        <w:spacing w:after="0" w:line="256" w:lineRule="auto"/>
        <w:rPr>
          <w:sz w:val="20"/>
          <w:szCs w:val="20"/>
          <w:color w:val="auto"/>
        </w:rPr>
      </w:pPr>
      <w:r>
        <w:rPr>
          <w:rFonts w:ascii="Times New Roman" w:cs="Times New Roman" w:eastAsia="Times New Roman" w:hAnsi="Times New Roman"/>
          <w:sz w:val="18"/>
          <w:szCs w:val="18"/>
          <w:color w:val="auto"/>
        </w:rPr>
        <w:t>If the Trustee or Second Lien Collateral Trustee consolidates, merges or converts into, or transfers all or substantially all of its corporate trust business or assets to, another Person, the successor Person without any further act shall be the successor Trustee or Second Lien Collateral Trustee, as applicable.</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7.10</w:t>
      </w:r>
      <w:r>
        <w:rPr>
          <w:sz w:val="20"/>
          <w:szCs w:val="20"/>
          <w:color w:val="auto"/>
        </w:rPr>
        <w:tab/>
      </w:r>
      <w:r>
        <w:rPr>
          <w:rFonts w:ascii="Times New Roman" w:cs="Times New Roman" w:eastAsia="Times New Roman" w:hAnsi="Times New Roman"/>
          <w:sz w:val="16"/>
          <w:szCs w:val="16"/>
          <w:u w:val="single" w:color="auto"/>
          <w:color w:val="auto"/>
        </w:rPr>
        <w:t>Eligibility; Disqualification</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220" w:firstLine="965"/>
        <w:spacing w:after="0" w:line="252" w:lineRule="auto"/>
        <w:rPr>
          <w:sz w:val="20"/>
          <w:szCs w:val="20"/>
          <w:color w:val="auto"/>
        </w:rPr>
      </w:pPr>
      <w:r>
        <w:rPr>
          <w:rFonts w:ascii="Times New Roman" w:cs="Times New Roman" w:eastAsia="Times New Roman" w:hAnsi="Times New Roman"/>
          <w:sz w:val="18"/>
          <w:szCs w:val="18"/>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$150,000 as set forth in its most recent published annual report of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is subject to TIA § 310(b).</w:t>
      </w:r>
    </w:p>
    <w:p>
      <w:pPr>
        <w:spacing w:after="0" w:line="24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7.11</w:t>
      </w:r>
      <w:r>
        <w:rPr>
          <w:sz w:val="20"/>
          <w:szCs w:val="20"/>
          <w:color w:val="auto"/>
        </w:rPr>
        <w:tab/>
      </w:r>
      <w:r>
        <w:rPr>
          <w:rFonts w:ascii="Times New Roman" w:cs="Times New Roman" w:eastAsia="Times New Roman" w:hAnsi="Times New Roman"/>
          <w:sz w:val="16"/>
          <w:szCs w:val="16"/>
          <w:u w:val="single" w:color="auto"/>
          <w:color w:val="auto"/>
        </w:rPr>
        <w:t>Preferential Collection of Claims Against Company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5"/>
        <w:spacing w:after="0" w:line="249" w:lineRule="auto"/>
        <w:rPr>
          <w:sz w:val="20"/>
          <w:szCs w:val="20"/>
          <w:color w:val="auto"/>
        </w:rPr>
      </w:pPr>
      <w:r>
        <w:rPr>
          <w:rFonts w:ascii="Times New Roman" w:cs="Times New Roman" w:eastAsia="Times New Roman" w:hAnsi="Times New Roman"/>
          <w:sz w:val="18"/>
          <w:szCs w:val="18"/>
          <w:color w:val="auto"/>
        </w:rPr>
        <w:t xml:space="preserve">The Trustee is subject to TIA § 311(a), excluding any creditor relationship listed in TIA § 311(b). A Trustee who has resigned or been removed shall be subject to TIA § 311(a) to the extent indicated therein. The Trustee hereby waives any right to set-off any claim that it may have against the Company in any capacity (other than as Trustee and Paying Agent) against any of the assets of the Company held by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Trustee is or becomes a lender of any other Indebtedness permitted hereunder to be</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with the Notes, then such waiver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apply to the extent of such Indebtedness.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720"/>
          </w:cols>
          <w:pgMar w:left="580" w:top="266" w:right="599" w:bottom="1440" w:gutter="0" w:footer="0" w:header="0"/>
        </w:sectPr>
      </w:pPr>
    </w:p>
    <w:bookmarkStart w:id="158" w:name="page159"/>
    <w:bookmarkEnd w:id="158"/>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7.12</w:t>
      </w:r>
      <w:r>
        <w:rPr>
          <w:sz w:val="20"/>
          <w:szCs w:val="20"/>
          <w:color w:val="auto"/>
        </w:rPr>
        <w:tab/>
      </w:r>
      <w:r>
        <w:rPr>
          <w:rFonts w:ascii="Times New Roman" w:cs="Times New Roman" w:eastAsia="Times New Roman" w:hAnsi="Times New Roman"/>
          <w:sz w:val="16"/>
          <w:szCs w:val="16"/>
          <w:u w:val="single" w:color="auto"/>
          <w:color w:val="auto"/>
        </w:rPr>
        <w:t>Application for Instructions from the Company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5"/>
        <w:spacing w:after="0" w:line="246" w:lineRule="auto"/>
        <w:rPr>
          <w:sz w:val="20"/>
          <w:szCs w:val="20"/>
          <w:color w:val="auto"/>
        </w:rPr>
      </w:pPr>
      <w:r>
        <w:rPr>
          <w:rFonts w:ascii="Times New Roman" w:cs="Times New Roman" w:eastAsia="Times New Roman" w:hAnsi="Times New Roman"/>
          <w:sz w:val="18"/>
          <w:szCs w:val="18"/>
          <w:color w:val="auto"/>
        </w:rPr>
        <w:t>Any application by the Trustee or the Second Lien Collateral Trustee for written instructions from the Company may, at the option of the Trustee or the Second Lien Collateral Trustee, as applicable, set forth in writing any action proposed to be taken or omitted by the Trustee or the Second Lien Collateral Trustee under this Indenture or the Security Documents and the date on and/or after which such action shall be taken or such omission shall be effective. Neither the Trustee nor the Second Lien Collateral Trustee shall be liable for any action taken by, or omission of, the Trustee or the Second Lien Collateral Trustee in accordance with a proposal included in such application on or after the date specified in such application (which date shall not be less than five (5) Business Days after the date any Officer of the Company actually receives such application, unless any such Officer shall have consented in writing to any earlier date) unless prior to taking any such action (or the effective date in the case of an omission), the Trustee and the Second Lien Collateral Trustee, as applicable, shall have received written instructions in response to such application specifying the action to be taken or omitted.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8.01</w:t>
      </w:r>
      <w:r>
        <w:rPr>
          <w:sz w:val="20"/>
          <w:szCs w:val="20"/>
          <w:color w:val="auto"/>
        </w:rPr>
        <w:tab/>
      </w:r>
      <w:r>
        <w:rPr>
          <w:rFonts w:ascii="Times New Roman" w:cs="Times New Roman" w:eastAsia="Times New Roman" w:hAnsi="Times New Roman"/>
          <w:sz w:val="16"/>
          <w:szCs w:val="16"/>
          <w:u w:val="single" w:color="auto"/>
          <w:color w:val="auto"/>
        </w:rPr>
        <w:t>Option to Effect Legal Defeasance or Covenant Defeasance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60" w:firstLine="965"/>
        <w:spacing w:after="0" w:line="331" w:lineRule="auto"/>
        <w:rPr>
          <w:sz w:val="20"/>
          <w:szCs w:val="20"/>
          <w:color w:val="auto"/>
        </w:rPr>
      </w:pPr>
      <w:r>
        <w:rPr>
          <w:rFonts w:ascii="Times New Roman" w:cs="Times New Roman" w:eastAsia="Times New Roman" w:hAnsi="Times New Roman"/>
          <w:sz w:val="16"/>
          <w:szCs w:val="16"/>
          <w:color w:val="auto"/>
        </w:rPr>
        <w:t>The Company may, at the option of the Board of Directors evidenced by a resolution set forth in an Officer’s Certificate, at any time, elect to have either Section 8.02 or 8.03 hereof be applied to all outstanding Notes upon compliance with the conditions set forth below in this Article Eight.</w:t>
      </w:r>
    </w:p>
    <w:p>
      <w:pPr>
        <w:spacing w:after="0" w:line="15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8.02</w:t>
      </w:r>
      <w:r>
        <w:rPr>
          <w:sz w:val="20"/>
          <w:szCs w:val="20"/>
          <w:color w:val="auto"/>
        </w:rPr>
        <w:tab/>
      </w:r>
      <w:r>
        <w:rPr>
          <w:rFonts w:ascii="Times New Roman" w:cs="Times New Roman" w:eastAsia="Times New Roman" w:hAnsi="Times New Roman"/>
          <w:sz w:val="16"/>
          <w:szCs w:val="16"/>
          <w:u w:val="single" w:color="auto"/>
          <w:color w:val="auto"/>
        </w:rPr>
        <w:t>Legal Defeasance and Discharge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5"/>
        <w:spacing w:after="0" w:line="245" w:lineRule="auto"/>
        <w:rPr>
          <w:sz w:val="20"/>
          <w:szCs w:val="20"/>
          <w:color w:val="auto"/>
        </w:rPr>
      </w:pPr>
      <w:r>
        <w:rPr>
          <w:rFonts w:ascii="Times New Roman" w:cs="Times New Roman" w:eastAsia="Times New Roman" w:hAnsi="Times New Roman"/>
          <w:sz w:val="18"/>
          <w:szCs w:val="18"/>
          <w:color w:val="auto"/>
        </w:rPr>
        <w:t>Upon the Company’s exercise under Section 8.01 hereof of the option applicable to this Section 8.02, the Company shall, subject to the satisfaction of the conditions set forth in Section 8.04 hereof, be deemed to have been discharged from its obligations with respect to all outstanding Notes and all obligations of the Guarantors shall be deemed to have been discharged with respect to their obligations under the Note Guarantees and have Liens on the Collateral securing the Notes released on the date the conditions set forth below are satisfied (hereinafter,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For this purpose, Legal Defeasance means that the Company and the Guarantors shall be deemed to have paid and discharged the entire Indebtedness represented by the outstanding Notes and Guarantees, respectively, which shall thereafter be deemed to be “outstanding” only for the purposes of Section 8.05 hereof and the other Sections of this Indenture referred to in (a) and (b) below, and to have satisfied all its other obligations under such Notes and this Indenture (and the Trustee, on reasonable demand of and at the expense of the Company, shall execute proper instruments acknowledging the same), except for the following provisions which shall survive until otherwise terminated or discharged hereunder: (a) the rights of Holders of outstanding Notes to receive solely from the trust fund described in Section 8.04 hereof, and as more fully set forth in such Section, payments in respect of the principal of, premium on, if any, or interest on, such Notes when such payments are due, (b) the Company’s obligations with respect to such Notes under Article Two hereof concerning issuing temporary Notes, registration of Notes and mutilated, destroyed, lost or stolen Notes and the Company’s obligations under Section 4.02 hereof, (c) the rights, powers, trusts, duties and immunities of the Trustee hereunder and the Company’s and the Guarantors’ obligations in connection therewith and (d) this Article Eight. Subject to compliance with this Article Eight, the Company may exercise its option under this Section 8.02 notwithstanding the prior exercise of its option under Section 8.03 hereof.</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8.03 Covenant Defeasance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right="40" w:firstLine="965"/>
        <w:spacing w:after="0" w:line="247" w:lineRule="auto"/>
        <w:rPr>
          <w:sz w:val="20"/>
          <w:szCs w:val="20"/>
          <w:color w:val="auto"/>
        </w:rPr>
      </w:pPr>
      <w:r>
        <w:rPr>
          <w:rFonts w:ascii="Times New Roman" w:cs="Times New Roman" w:eastAsia="Times New Roman" w:hAnsi="Times New Roman"/>
          <w:sz w:val="18"/>
          <w:szCs w:val="18"/>
          <w:color w:val="auto"/>
        </w:rPr>
        <w:t>Upon the Company’s exercise under Section 8.01 hereof of the option applicable to this Section 8.03, the Company shall, subject to the satisfaction of the conditions set forth in Section 8.04 hereof, be released from its obligations under the covenants contained in Sections 4.07, 4.08, 4.09, 4.10, 4.11, 4.12, 4.13, 4.14, 4.15, 4.16, 4.17, 4.18 and 4.19 hereof and clause (iv) of Section 5.01(a) hereof with respect to the outstanding Notes and have Liens on the Collateral securing the Notes released (including its obligation to make Change of Control Offers and Asset Sale Offers) on and after the date the conditions set forth in Section 8.04 hereof are satisfied (hereinafter,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and the Notes shall thereafter be deemed not “outstanding” for the purposes of any direction, waiver, consent or declaration or act of Holders (and the consequences of any thereof) in connection with such covenants, but shall continue to be deemed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20"/>
          </w:cols>
          <w:pgMar w:left="580" w:top="266" w:right="599" w:bottom="1440" w:gutter="0" w:footer="0" w:header="0"/>
        </w:sectPr>
      </w:pPr>
    </w:p>
    <w:bookmarkStart w:id="159" w:name="page160"/>
    <w:bookmarkEnd w:id="159"/>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“outstanding” for all other purposes hereunder (it being understood that such Notes shall not be deemed outstanding for accounting purposes). For this purpose, Covenant Defeasance means that, with respect to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(except with respect to Sections 6.01(a)(i), (a)(ii), (a)(viii) and (a) (ix)), but, except as specified above, the remainder of this Indenture and such Notes shall be unaffected thereby. In addition, upon the Company’s exercise under Section 8.01 hereof of the option applicable to this Section 8.03, subject to the satisfaction of the conditions set forth in Section 8.04 hereof, Sections 6.01(a)(iii) through (vii) shall not constitute Events of Default.</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8.04</w:t>
      </w:r>
      <w:r>
        <w:rPr>
          <w:sz w:val="20"/>
          <w:szCs w:val="20"/>
          <w:color w:val="auto"/>
        </w:rPr>
        <w:tab/>
      </w:r>
      <w:r>
        <w:rPr>
          <w:rFonts w:ascii="Times New Roman" w:cs="Times New Roman" w:eastAsia="Times New Roman" w:hAnsi="Times New Roman"/>
          <w:sz w:val="16"/>
          <w:szCs w:val="16"/>
          <w:u w:val="single" w:color="auto"/>
          <w:color w:val="auto"/>
        </w:rPr>
        <w:t>Conditions to Legal or Covenant Defeasance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1200" w:hanging="233"/>
        <w:spacing w:after="0"/>
        <w:tabs>
          <w:tab w:leader="none" w:pos="12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shall be the conditions to the application of either Section 8.02 or 8.03 hereof to the outstanding Notes:</w:t>
      </w:r>
    </w:p>
    <w:p>
      <w:pPr>
        <w:spacing w:after="0" w:line="213" w:lineRule="exact"/>
        <w:rPr>
          <w:rFonts w:ascii="Times New Roman" w:cs="Times New Roman" w:eastAsia="Times New Roman" w:hAnsi="Times New Roman"/>
          <w:sz w:val="18"/>
          <w:szCs w:val="18"/>
          <w:color w:val="auto"/>
        </w:rPr>
      </w:pPr>
    </w:p>
    <w:p>
      <w:pPr>
        <w:ind w:left="960" w:right="140" w:firstLine="397"/>
        <w:spacing w:after="0" w:line="248" w:lineRule="auto"/>
        <w:tabs>
          <w:tab w:leader="none" w:pos="155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irrevocably deposit with the Trustee, in trust, for the benefit of the Holders of the Notes, cash in U.S. dollars, non-callable Government Securities, or a combination thereof, in amounts as will be sufficient (as to non-callable Government Securities or a combination thereof with U.S. Dollars, in the opinion of a nationally recognized investment bank, appraisal firm or firm of independent public accountants) to pay the principal of, premium on, if any, and interest on, the outstanding Notes on the stated date for payment thereof or on the applicable redemption date, as the case may be, and the Company must specify whether such Notes are being defeased to such stated date for payment or to a particular redemption date;</w:t>
      </w:r>
    </w:p>
    <w:p>
      <w:pPr>
        <w:spacing w:after="0" w:line="188" w:lineRule="exact"/>
        <w:rPr>
          <w:rFonts w:ascii="Times New Roman" w:cs="Times New Roman" w:eastAsia="Times New Roman" w:hAnsi="Times New Roman"/>
          <w:sz w:val="18"/>
          <w:szCs w:val="18"/>
          <w:color w:val="auto"/>
        </w:rPr>
      </w:pPr>
    </w:p>
    <w:p>
      <w:pPr>
        <w:ind w:left="960" w:firstLine="397"/>
        <w:spacing w:after="0" w:line="247" w:lineRule="auto"/>
        <w:tabs>
          <w:tab w:leader="none" w:pos="160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Company shall deliver to the Trustee an Opinion of Counsel reasonably acceptable to the Trustee confirming that, subject to customary assumptions and exclusions, (a) the Company has received from, or there has been published by, the Internal Revenue Service a ruling or (b) since the Issue Date, there has been a change in the applicable U.S. federal income tax law, in either case to the effect that, and based thereon such Opinion of Counsel will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91" w:lineRule="exact"/>
        <w:rPr>
          <w:rFonts w:ascii="Times New Roman" w:cs="Times New Roman" w:eastAsia="Times New Roman" w:hAnsi="Times New Roman"/>
          <w:sz w:val="18"/>
          <w:szCs w:val="18"/>
          <w:color w:val="auto"/>
        </w:rPr>
      </w:pPr>
    </w:p>
    <w:p>
      <w:pPr>
        <w:ind w:left="960" w:right="220" w:firstLine="397"/>
        <w:spacing w:after="0" w:line="249" w:lineRule="auto"/>
        <w:tabs>
          <w:tab w:leader="none" w:pos="16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Company shall deliver to the Trustee an Opinion of Counsel reasonably acceptable to the Trustee confirming that, subject to customary assumptions and exclusions,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88" w:lineRule="exact"/>
        <w:rPr>
          <w:rFonts w:ascii="Times New Roman" w:cs="Times New Roman" w:eastAsia="Times New Roman" w:hAnsi="Times New Roman"/>
          <w:sz w:val="18"/>
          <w:szCs w:val="18"/>
          <w:color w:val="auto"/>
        </w:rPr>
      </w:pPr>
    </w:p>
    <w:p>
      <w:pPr>
        <w:ind w:left="960" w:right="500" w:firstLine="397"/>
        <w:spacing w:after="0" w:line="256" w:lineRule="auto"/>
        <w:tabs>
          <w:tab w:leader="none" w:pos="164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78" w:lineRule="exact"/>
        <w:rPr>
          <w:rFonts w:ascii="Times New Roman" w:cs="Times New Roman" w:eastAsia="Times New Roman" w:hAnsi="Times New Roman"/>
          <w:sz w:val="18"/>
          <w:szCs w:val="18"/>
          <w:color w:val="auto"/>
        </w:rPr>
      </w:pPr>
    </w:p>
    <w:p>
      <w:pPr>
        <w:ind w:left="960" w:right="260" w:firstLine="397"/>
        <w:spacing w:after="0" w:line="252" w:lineRule="auto"/>
        <w:tabs>
          <w:tab w:leader="none" w:pos="159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the Guarantors is a party or by which the Company or any of the Guarantors is bound;</w:t>
      </w:r>
    </w:p>
    <w:p>
      <w:pPr>
        <w:spacing w:after="0" w:line="182" w:lineRule="exact"/>
        <w:rPr>
          <w:rFonts w:ascii="Times New Roman" w:cs="Times New Roman" w:eastAsia="Times New Roman" w:hAnsi="Times New Roman"/>
          <w:sz w:val="18"/>
          <w:szCs w:val="18"/>
          <w:color w:val="auto"/>
        </w:rPr>
      </w:pPr>
    </w:p>
    <w:p>
      <w:pPr>
        <w:ind w:left="960" w:right="180" w:firstLine="397"/>
        <w:spacing w:after="0" w:line="256" w:lineRule="auto"/>
        <w:tabs>
          <w:tab w:leader="none" w:pos="164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of Notes over the other creditors of the Company or with the intent of defeating, hindering, delaying or defrauding any creditors of the Company or others;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720"/>
          </w:cols>
          <w:pgMar w:left="580" w:top="266" w:right="599" w:bottom="1440" w:gutter="0" w:footer="0" w:header="0"/>
        </w:sectPr>
      </w:pPr>
    </w:p>
    <w:bookmarkStart w:id="160" w:name="page161"/>
    <w:bookmarkEnd w:id="160"/>
    <w:p>
      <w:pPr>
        <w:ind w:left="960" w:right="240" w:firstLine="397"/>
        <w:spacing w:after="0" w:line="303" w:lineRule="auto"/>
        <w:tabs>
          <w:tab w:leader="none" w:pos="1696"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shall have delivered to the Trustee an Opinion of Counsel to the effect that the creation of the defeasance trust does not violate the Investment Company Act of 1940 and after the passage of 123 days following the deposit, the trust fund will not be subject to the effect of Section 547 of the U.S. Bankruptcy Code or Section 15 of the New York Debtor and Creditor Law; and</w:t>
      </w:r>
    </w:p>
    <w:p>
      <w:pPr>
        <w:spacing w:after="0" w:line="144" w:lineRule="exact"/>
        <w:rPr>
          <w:rFonts w:ascii="Times New Roman" w:cs="Times New Roman" w:eastAsia="Times New Roman" w:hAnsi="Times New Roman"/>
          <w:sz w:val="16"/>
          <w:szCs w:val="16"/>
          <w:color w:val="auto"/>
        </w:rPr>
      </w:pPr>
    </w:p>
    <w:p>
      <w:pPr>
        <w:jc w:val="both"/>
        <w:ind w:left="960" w:firstLine="397"/>
        <w:spacing w:after="0" w:line="256" w:lineRule="auto"/>
        <w:tabs>
          <w:tab w:leader="none" w:pos="17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(which Opinion of Counsel may be subject to customary assumptions and exclusions), each stating that all conditions precedent relating to the Legal Defeasance or the Covenant Defeasance have been complied with.</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8.05</w:t>
      </w:r>
      <w:r>
        <w:rPr>
          <w:sz w:val="20"/>
          <w:szCs w:val="20"/>
          <w:color w:val="auto"/>
        </w:rPr>
        <w:tab/>
      </w:r>
      <w:r>
        <w:rPr>
          <w:rFonts w:ascii="Times New Roman" w:cs="Times New Roman" w:eastAsia="Times New Roman" w:hAnsi="Times New Roman"/>
          <w:sz w:val="16"/>
          <w:szCs w:val="16"/>
          <w:u w:val="single" w:color="auto"/>
          <w:color w:val="auto"/>
        </w:rPr>
        <w:t>Deposited Money and Government Securities to Be Held in Trust; Other Miscellaneous Provisions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140" w:firstLine="967"/>
        <w:spacing w:after="0" w:line="249" w:lineRule="auto"/>
        <w:tabs>
          <w:tab w:leader="none" w:pos="120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8.06 hereof, all money and non-callable Government Securities (including the proceeds thereof) deposited with the Trustee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8" w:lineRule="exact"/>
        <w:rPr>
          <w:rFonts w:ascii="Times New Roman" w:cs="Times New Roman" w:eastAsia="Times New Roman" w:hAnsi="Times New Roman"/>
          <w:sz w:val="18"/>
          <w:szCs w:val="18"/>
          <w:color w:val="auto"/>
        </w:rPr>
      </w:pPr>
    </w:p>
    <w:p>
      <w:pPr>
        <w:ind w:right="340" w:firstLine="967"/>
        <w:spacing w:after="0" w:line="256" w:lineRule="auto"/>
        <w:tabs>
          <w:tab w:leader="none" w:pos="121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78" w:lineRule="exact"/>
        <w:rPr>
          <w:rFonts w:ascii="Times New Roman" w:cs="Times New Roman" w:eastAsia="Times New Roman" w:hAnsi="Times New Roman"/>
          <w:sz w:val="18"/>
          <w:szCs w:val="18"/>
          <w:color w:val="auto"/>
        </w:rPr>
      </w:pPr>
    </w:p>
    <w:p>
      <w:pPr>
        <w:ind w:right="100" w:firstLine="967"/>
        <w:spacing w:after="0" w:line="249" w:lineRule="auto"/>
        <w:tabs>
          <w:tab w:leader="none" w:pos="120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Article Eight to the contrary notwithstanding, the Trustee shall deliver or pay to the Company from time to time upon the written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8.06</w:t>
      </w:r>
      <w:r>
        <w:rPr>
          <w:sz w:val="20"/>
          <w:szCs w:val="20"/>
          <w:color w:val="auto"/>
        </w:rPr>
        <w:tab/>
      </w:r>
      <w:r>
        <w:rPr>
          <w:rFonts w:ascii="Times New Roman" w:cs="Times New Roman" w:eastAsia="Times New Roman" w:hAnsi="Times New Roman"/>
          <w:sz w:val="16"/>
          <w:szCs w:val="16"/>
          <w:u w:val="single" w:color="auto"/>
          <w:color w:val="auto"/>
        </w:rPr>
        <w:t>Repayment to the Company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100" w:firstLine="965"/>
        <w:spacing w:after="0" w:line="282" w:lineRule="auto"/>
        <w:rPr>
          <w:sz w:val="20"/>
          <w:szCs w:val="20"/>
          <w:color w:val="auto"/>
        </w:rPr>
      </w:pPr>
      <w:r>
        <w:rPr>
          <w:rFonts w:ascii="Times New Roman" w:cs="Times New Roman" w:eastAsia="Times New Roman" w:hAnsi="Times New Roman"/>
          <w:sz w:val="16"/>
          <w:szCs w:val="16"/>
          <w:color w:val="auto"/>
        </w:rPr>
        <w:t xml:space="preserve">Any money deposited with the Trustee or any Paying Agent, or then held by the Company, in trust for the payment of the principal of, premium, if any, or interest on any Note and remaining unclaimed for two years after such principal, and premium, if any, or interest has become due and payable shall be paid to the Company on its written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Trustee or such Paying Agent, before being required to make any such repayment, shall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Company.</w:t>
      </w:r>
    </w:p>
    <w:p>
      <w:pPr>
        <w:spacing w:after="0" w:line="189"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8.07</w:t>
      </w:r>
      <w:r>
        <w:rPr>
          <w:sz w:val="20"/>
          <w:szCs w:val="20"/>
          <w:color w:val="auto"/>
        </w:rPr>
        <w:tab/>
      </w:r>
      <w:r>
        <w:rPr>
          <w:rFonts w:ascii="Times New Roman" w:cs="Times New Roman" w:eastAsia="Times New Roman" w:hAnsi="Times New Roman"/>
          <w:sz w:val="16"/>
          <w:szCs w:val="16"/>
          <w:u w:val="single" w:color="auto"/>
          <w:color w:val="auto"/>
        </w:rPr>
        <w:t>Reinstatement</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80" w:firstLine="965"/>
        <w:spacing w:after="0" w:line="247"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720"/>
          </w:cols>
          <w:pgMar w:left="580" w:top="266" w:right="59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NINE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222" w:lineRule="exact"/>
        <w:rPr>
          <w:sz w:val="20"/>
          <w:szCs w:val="20"/>
          <w:color w:val="auto"/>
        </w:rPr>
      </w:pPr>
    </w:p>
    <w:p>
      <w:pPr>
        <w:ind w:left="400"/>
        <w:spacing w:after="0"/>
        <w:tabs>
          <w:tab w:leader="none" w:pos="1880" w:val="left"/>
        </w:tabs>
        <w:rPr>
          <w:sz w:val="20"/>
          <w:szCs w:val="20"/>
          <w:color w:val="auto"/>
        </w:rPr>
      </w:pPr>
      <w:r>
        <w:rPr>
          <w:rFonts w:ascii="Times New Roman" w:cs="Times New Roman" w:eastAsia="Times New Roman" w:hAnsi="Times New Roman"/>
          <w:sz w:val="18"/>
          <w:szCs w:val="18"/>
          <w:u w:val="single" w:color="auto"/>
          <w:color w:val="auto"/>
        </w:rPr>
        <w:t>Section 9.01</w:t>
      </w:r>
      <w:r>
        <w:rPr>
          <w:sz w:val="20"/>
          <w:szCs w:val="20"/>
          <w:color w:val="auto"/>
        </w:rPr>
        <w:tab/>
      </w:r>
      <w:r>
        <w:rPr>
          <w:rFonts w:ascii="Times New Roman" w:cs="Times New Roman" w:eastAsia="Times New Roman" w:hAnsi="Times New Roman"/>
          <w:sz w:val="16"/>
          <w:szCs w:val="16"/>
          <w:u w:val="single" w:color="auto"/>
          <w:color w:val="auto"/>
        </w:rPr>
        <w:t>Without Consent of Holders of Notes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20" w:right="40" w:firstLine="967"/>
        <w:spacing w:after="0" w:line="249" w:lineRule="auto"/>
        <w:tabs>
          <w:tab w:leader="none" w:pos="118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9.02 of this Indenture, without the consent of any Holder of Notes, the Company, the Guarantors, and the Trustee and the Second Lien Collateral Trustee may amend or supplement, subject to the terms of the Second Lien Collateral Trust Agreement, the First Lien/Second Lien Intercreditor Agreement and any other Approved Intercreditor Agreement where applicable, this Indenture, the Notes, the Note Guarantees, the Second Lien Collateral Trust Agreement, the other Security Documents, the First Lien/Second Lien Intercreditor Agreement or any other Approved Intercreditor Agreement (and any exhibits hereto and thereto):</w:t>
      </w:r>
    </w:p>
    <w:p>
      <w:pPr>
        <w:spacing w:after="0" w:line="188" w:lineRule="exact"/>
        <w:rPr>
          <w:rFonts w:ascii="Times New Roman" w:cs="Times New Roman" w:eastAsia="Times New Roman" w:hAnsi="Times New Roman"/>
          <w:sz w:val="18"/>
          <w:szCs w:val="18"/>
          <w:color w:val="auto"/>
        </w:rPr>
      </w:pPr>
    </w:p>
    <w:p>
      <w:pPr>
        <w:ind w:left="1540" w:hanging="203"/>
        <w:spacing w:after="0"/>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as provided to the Trustee in an Officer’s Certificate;</w:t>
      </w:r>
    </w:p>
    <w:p>
      <w:pPr>
        <w:spacing w:after="0" w:line="213" w:lineRule="exact"/>
        <w:rPr>
          <w:rFonts w:ascii="Times New Roman" w:cs="Times New Roman" w:eastAsia="Times New Roman" w:hAnsi="Times New Roman"/>
          <w:sz w:val="18"/>
          <w:szCs w:val="18"/>
          <w:color w:val="auto"/>
        </w:rPr>
      </w:pPr>
    </w:p>
    <w:p>
      <w:pPr>
        <w:ind w:left="1600" w:hanging="263"/>
        <w:spacing w:after="0"/>
        <w:tabs>
          <w:tab w:leader="none" w:pos="16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13" w:lineRule="exact"/>
        <w:rPr>
          <w:rFonts w:ascii="Times New Roman" w:cs="Times New Roman" w:eastAsia="Times New Roman" w:hAnsi="Times New Roman"/>
          <w:sz w:val="18"/>
          <w:szCs w:val="18"/>
          <w:color w:val="auto"/>
        </w:rPr>
      </w:pPr>
    </w:p>
    <w:p>
      <w:pPr>
        <w:ind w:left="940" w:firstLine="397"/>
        <w:spacing w:after="0" w:line="252" w:lineRule="auto"/>
        <w:tabs>
          <w:tab w:leader="none" w:pos="163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a Guarantor’s obligations to Holders of Notes and Note Guarantees and under the applicable Security Documents, the First Lien/Second Lien Intercreditor Agreement, the Second Lien Collateral Trust Agreement or any other Approved Intercreditor Agreement in the case of a merger or consolidation or sale of all or substantially all of the Company’s or such Guarantor’s assets, as applicable;</w:t>
      </w:r>
    </w:p>
    <w:p>
      <w:pPr>
        <w:spacing w:after="0" w:line="182" w:lineRule="exact"/>
        <w:rPr>
          <w:rFonts w:ascii="Times New Roman" w:cs="Times New Roman" w:eastAsia="Times New Roman" w:hAnsi="Times New Roman"/>
          <w:sz w:val="18"/>
          <w:szCs w:val="18"/>
          <w:color w:val="auto"/>
        </w:rPr>
      </w:pPr>
    </w:p>
    <w:p>
      <w:pPr>
        <w:ind w:left="940" w:right="40" w:firstLine="397"/>
        <w:spacing w:after="0" w:line="256" w:lineRule="auto"/>
        <w:tabs>
          <w:tab w:leader="none" w:pos="162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Notes or that does not adversely affect the legal rights of such Holder under this Indenture, the Security Documents, the First Lien/Second Lien Intercreditor Agreement, the Second Lien Collateral Trust Agreement or any other Approved Intercreditor Agreement;</w:t>
      </w:r>
    </w:p>
    <w:p>
      <w:pPr>
        <w:spacing w:after="0" w:line="178" w:lineRule="exact"/>
        <w:rPr>
          <w:rFonts w:ascii="Times New Roman" w:cs="Times New Roman" w:eastAsia="Times New Roman" w:hAnsi="Times New Roman"/>
          <w:sz w:val="18"/>
          <w:szCs w:val="18"/>
          <w:color w:val="auto"/>
        </w:rPr>
      </w:pPr>
    </w:p>
    <w:p>
      <w:pPr>
        <w:ind w:left="1580" w:hanging="243"/>
        <w:spacing w:after="0"/>
        <w:tabs>
          <w:tab w:leader="none" w:pos="15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13" w:lineRule="exact"/>
        <w:rPr>
          <w:rFonts w:ascii="Times New Roman" w:cs="Times New Roman" w:eastAsia="Times New Roman" w:hAnsi="Times New Roman"/>
          <w:sz w:val="18"/>
          <w:szCs w:val="18"/>
          <w:color w:val="auto"/>
        </w:rPr>
      </w:pPr>
    </w:p>
    <w:p>
      <w:pPr>
        <w:ind w:left="940" w:firstLine="397"/>
        <w:spacing w:after="0" w:line="248" w:lineRule="auto"/>
        <w:tabs>
          <w:tab w:leader="none" w:pos="162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the Notes, the Note Guarantees, the Second Lien Collateral Trust Agreement, the other Security Documents or the First Lien/Second Lien Intercreditor Agreement to any provision of the “Description of the New Notes” in the Form S-4 to the extent that such provision in the “Description of the New Notes” was intended to be a verbatim recitation of a provision of this Indenture, the Notes, the Note Guarantees, the Second Lien Collateral Trust Agreement, the other Security Documents or the First Lien/Second Lien Intercreditor Agreement, which intent shall be evidenced by an Officer’s Certificate to that effect provided to the Trustee and the Second Lien Collateral Trustee;</w:t>
      </w:r>
    </w:p>
    <w:p>
      <w:pPr>
        <w:spacing w:after="0" w:line="188" w:lineRule="exact"/>
        <w:rPr>
          <w:rFonts w:ascii="Times New Roman" w:cs="Times New Roman" w:eastAsia="Times New Roman" w:hAnsi="Times New Roman"/>
          <w:sz w:val="18"/>
          <w:szCs w:val="18"/>
          <w:color w:val="auto"/>
        </w:rPr>
      </w:pPr>
    </w:p>
    <w:p>
      <w:pPr>
        <w:ind w:left="940" w:right="60" w:firstLine="397"/>
        <w:spacing w:after="0" w:line="268" w:lineRule="auto"/>
        <w:tabs>
          <w:tab w:leader="none" w:pos="167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Guarantor to execute a supplemental indenture and/or Note Guarantee for the purpose of providing a Note Guarantee in accordance with the provisions of this Indenture;</w:t>
      </w:r>
    </w:p>
    <w:p>
      <w:pPr>
        <w:spacing w:after="0" w:line="168" w:lineRule="exact"/>
        <w:rPr>
          <w:rFonts w:ascii="Times New Roman" w:cs="Times New Roman" w:eastAsia="Times New Roman" w:hAnsi="Times New Roman"/>
          <w:sz w:val="18"/>
          <w:szCs w:val="18"/>
          <w:color w:val="auto"/>
        </w:rPr>
      </w:pPr>
    </w:p>
    <w:p>
      <w:pPr>
        <w:ind w:left="940" w:right="40" w:firstLine="397"/>
        <w:spacing w:after="0" w:line="268" w:lineRule="auto"/>
        <w:tabs>
          <w:tab w:leader="none" w:pos="172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confirm or complete the grant of, secure or expand the Collateral securing, or to add additional assets as Collateral to secure, the Notes and Note Guarantees;</w:t>
      </w:r>
    </w:p>
    <w:p>
      <w:pPr>
        <w:spacing w:after="0" w:line="168" w:lineRule="exact"/>
        <w:rPr>
          <w:rFonts w:ascii="Times New Roman" w:cs="Times New Roman" w:eastAsia="Times New Roman" w:hAnsi="Times New Roman"/>
          <w:sz w:val="18"/>
          <w:szCs w:val="18"/>
          <w:color w:val="auto"/>
        </w:rPr>
      </w:pPr>
    </w:p>
    <w:p>
      <w:pPr>
        <w:ind w:left="940" w:right="140" w:firstLine="397"/>
        <w:spacing w:after="0" w:line="303" w:lineRule="auto"/>
        <w:tabs>
          <w:tab w:leader="none" w:pos="1627"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accession of any parties to the Second Lien Collateral Trust Agreement, the other Security Documents, the First Lien/Second Lien Intercreditor Agreement and any other Approved Intercreditor Agreements (and other amendments that are administrative or ministerial in nature), in connection with an incurrence of additional Secured Indebtedness permitted by this Indenture;</w:t>
      </w:r>
    </w:p>
    <w:p>
      <w:pPr>
        <w:spacing w:after="0" w:line="144" w:lineRule="exact"/>
        <w:rPr>
          <w:rFonts w:ascii="Times New Roman" w:cs="Times New Roman" w:eastAsia="Times New Roman" w:hAnsi="Times New Roman"/>
          <w:sz w:val="16"/>
          <w:szCs w:val="16"/>
          <w:color w:val="auto"/>
        </w:rPr>
      </w:pPr>
    </w:p>
    <w:p>
      <w:pPr>
        <w:ind w:left="940" w:firstLine="397"/>
        <w:spacing w:after="0" w:line="249" w:lineRule="auto"/>
        <w:tabs>
          <w:tab w:leader="none" w:pos="157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confirm and evidence the release, subordination, termination or discharge of any Note Guarantee or Lien securing the Notes and the Note Guarantees pursuant to this Indenture, the Second Lien Collateral Trust Agreement, the other applicable Security Documents, the First Lien/Second Lien Intercreditor Agreement or any other Approved Intercreditor Agreement in accordance with or as permitted by this Indenture, the Second Lien Collateral Trust Agreement, the other applicable Security Documents and the First Lien/Second Lien Intercreditor Agreement and any other Approved Intercreditor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680"/>
          </w:cols>
          <w:pgMar w:left="600" w:top="264" w:right="619" w:bottom="1440" w:gutter="0" w:footer="0" w:header="0"/>
        </w:sectPr>
      </w:pPr>
    </w:p>
    <w:bookmarkStart w:id="162" w:name="page163"/>
    <w:bookmarkEnd w:id="162"/>
    <w:p>
      <w:pPr>
        <w:ind w:left="940" w:right="240" w:firstLine="39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(xi) to evidence and provide for the appointment of a successor or replacement Second Lien Collateral Trustee or separate co-collateral trustee under the Second Lien Collateral Trust Agreement, the other applicable Security Documents, the First Lien/Second Lien Intercreditor Agreement or any other Approved Intercreditor Agreement;</w:t>
      </w:r>
    </w:p>
    <w:p>
      <w:pPr>
        <w:spacing w:after="0" w:line="179" w:lineRule="exact"/>
        <w:rPr>
          <w:sz w:val="20"/>
          <w:szCs w:val="20"/>
          <w:color w:val="auto"/>
        </w:rPr>
      </w:pPr>
    </w:p>
    <w:p>
      <w:pPr>
        <w:ind w:left="940" w:right="280" w:firstLine="397"/>
        <w:spacing w:after="0" w:line="268" w:lineRule="auto"/>
        <w:tabs>
          <w:tab w:leader="none" w:pos="167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this Indenture of a successor trustee or separate co-trustee thereunder pursuant to the requirements thereof;</w:t>
      </w:r>
    </w:p>
    <w:p>
      <w:pPr>
        <w:spacing w:after="0" w:line="168" w:lineRule="exact"/>
        <w:rPr>
          <w:rFonts w:ascii="Times New Roman" w:cs="Times New Roman" w:eastAsia="Times New Roman" w:hAnsi="Times New Roman"/>
          <w:sz w:val="18"/>
          <w:szCs w:val="18"/>
          <w:color w:val="auto"/>
        </w:rPr>
      </w:pPr>
    </w:p>
    <w:p>
      <w:pPr>
        <w:ind w:left="1740" w:hanging="403"/>
        <w:spacing w:after="0"/>
        <w:tabs>
          <w:tab w:leader="none" w:pos="17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and procedures of any applicable securities depositary;</w:t>
      </w:r>
    </w:p>
    <w:p>
      <w:pPr>
        <w:spacing w:after="0" w:line="213" w:lineRule="exact"/>
        <w:rPr>
          <w:rFonts w:ascii="Times New Roman" w:cs="Times New Roman" w:eastAsia="Times New Roman" w:hAnsi="Times New Roman"/>
          <w:sz w:val="18"/>
          <w:szCs w:val="18"/>
          <w:color w:val="auto"/>
        </w:rPr>
      </w:pPr>
    </w:p>
    <w:p>
      <w:pPr>
        <w:ind w:left="940" w:right="160" w:firstLine="397"/>
        <w:spacing w:after="0" w:line="256" w:lineRule="auto"/>
        <w:tabs>
          <w:tab w:leader="none" w:pos="171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this Indenture to such extent as shall be necessary to permit or facilitate the defeasance and discharge of the Notes pursuant to the provisions of this Indenture; provided that any such actions shall not adversely affect the interests of Holders of the Notes in any material respect; or</w:t>
      </w:r>
    </w:p>
    <w:p>
      <w:pPr>
        <w:spacing w:after="0" w:line="178" w:lineRule="exact"/>
        <w:rPr>
          <w:rFonts w:ascii="Times New Roman" w:cs="Times New Roman" w:eastAsia="Times New Roman" w:hAnsi="Times New Roman"/>
          <w:sz w:val="18"/>
          <w:szCs w:val="18"/>
          <w:color w:val="auto"/>
        </w:rPr>
      </w:pPr>
    </w:p>
    <w:p>
      <w:pPr>
        <w:ind w:left="940" w:right="120" w:firstLine="397"/>
        <w:spacing w:after="0" w:line="268" w:lineRule="auto"/>
        <w:tabs>
          <w:tab w:leader="none" w:pos="166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as shall be necessary to provide for or facilitate the administration of this Indenture by more than one trustee.</w:t>
      </w:r>
    </w:p>
    <w:p>
      <w:pPr>
        <w:spacing w:after="0" w:line="168" w:lineRule="exact"/>
        <w:rPr>
          <w:rFonts w:ascii="Times New Roman" w:cs="Times New Roman" w:eastAsia="Times New Roman" w:hAnsi="Times New Roman"/>
          <w:sz w:val="18"/>
          <w:szCs w:val="18"/>
          <w:color w:val="auto"/>
        </w:rPr>
      </w:pPr>
    </w:p>
    <w:p>
      <w:pPr>
        <w:ind w:left="-20" w:right="40" w:firstLine="967"/>
        <w:spacing w:after="0" w:line="249" w:lineRule="auto"/>
        <w:tabs>
          <w:tab w:leader="none" w:pos="119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amended or supplemental indenture, and upon receipt by the Trustee of the documents described in Section 7.02 hereof,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214" w:lineRule="exact"/>
        <w:rPr>
          <w:sz w:val="20"/>
          <w:szCs w:val="20"/>
          <w:color w:val="auto"/>
        </w:rPr>
      </w:pPr>
    </w:p>
    <w:p>
      <w:pPr>
        <w:ind w:left="400"/>
        <w:spacing w:after="0"/>
        <w:tabs>
          <w:tab w:leader="none" w:pos="1880" w:val="left"/>
        </w:tabs>
        <w:rPr>
          <w:sz w:val="20"/>
          <w:szCs w:val="20"/>
          <w:color w:val="auto"/>
        </w:rPr>
      </w:pPr>
      <w:r>
        <w:rPr>
          <w:rFonts w:ascii="Times New Roman" w:cs="Times New Roman" w:eastAsia="Times New Roman" w:hAnsi="Times New Roman"/>
          <w:sz w:val="18"/>
          <w:szCs w:val="18"/>
          <w:u w:val="single" w:color="auto"/>
          <w:color w:val="auto"/>
        </w:rPr>
        <w:t>Section 9.02</w:t>
      </w:r>
      <w:r>
        <w:rPr>
          <w:sz w:val="20"/>
          <w:szCs w:val="20"/>
          <w:color w:val="auto"/>
        </w:rPr>
        <w:tab/>
      </w:r>
      <w:r>
        <w:rPr>
          <w:rFonts w:ascii="Times New Roman" w:cs="Times New Roman" w:eastAsia="Times New Roman" w:hAnsi="Times New Roman"/>
          <w:sz w:val="16"/>
          <w:szCs w:val="16"/>
          <w:u w:val="single" w:color="auto"/>
          <w:color w:val="auto"/>
        </w:rPr>
        <w:t>With Consent of Holders of Notes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20" w:firstLine="967"/>
        <w:spacing w:after="0" w:line="277" w:lineRule="auto"/>
        <w:tabs>
          <w:tab w:leader="none" w:pos="118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this Section 9.02(a) and Section 9.02(e) hereof, the Company, the Guarantors, and the Trustee and Second Lien Collateral Trustee may amend or supplement this Indenture, the Notes, the Note Guarantees, the Second Lien Collateral Trust Agreement, the other Security Documents, the First Lien/Second Lien Intercreditor Agreement and any other Approved Intercreditor Agreement may be amended or supplemented, subject to the terms of the Second Lien Collateral Trust Agreement, the First Lien/Second Lien Intercreditor Agreement and any other Approved Intercreditor Agreement, where applicable, with the consent of the Holders of at least a majority in aggregate principal amount of the then outstanding Notes voting as a single class (including, without limitation, consents obtained in connection with a tender offer or exchange offer for, or purchase of, the Notes), and any existing Default or Event of Default (other than a Default or Event of Default in the payment of the principal of, premium on, if any, or interest on, the Notes, except a payment default resulting from an acceleration that has been rescinded) or compliance with any provision of this Indenture, the Notes, the Note Guarantees, the Second Lien Collateral Trust Agreement, the other Security Documents, the First Lien/Second Lien Intercreditor Agreement or any other Approved Intercreditor Agreement may be waived, subject to the terms of the Second Lien Collateral Trust Agreement and the First Lien/Second Lien Intercreditor Agreement, where applicable, with the consent of the Holders of a majority in aggregate principal amount of the then outstanding Notes voting as a single class (including, without limitation, consents obtained in connection with a purchase of, or tender offer or exchange offer for, the Notes); provided that any such amendment, supplement or waiver to release the security interests in the Collateral granted in favor of the Second Lien Collateral Trustee for the benefit of the Trustee and the Holders of the Notes (other than pursuant to the terms of this Indenture, Second Lien Collateral Trust Agreement, the Security Documents, the First Lien/Second Lien Intercreditor Agreement or any other Approved Intercreditor Agreement, as applicable) shall (i) in respect of all or substantially all of the Collateral, require the consent of the Holders of 100% in aggregate principal amount of the Notes and (ii) in respect of Collateral with a Fair Market Value greater than $75.0 million (but, for the avoidance of doubt, less than all or substantially all of the Collateral), require the consent of the Holders of at least 66 2/3% in aggregate principal amount of the Notes. Subject to Sections 6.04 and 6.07 hereof, any existing Default or Event of Default or compliance with any provision of this Indenture or the Notes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700"/>
          </w:cols>
          <w:pgMar w:left="600" w:top="266" w:right="599" w:bottom="1440" w:gutter="0" w:footer="0" w:header="0"/>
        </w:sectPr>
      </w:pPr>
    </w:p>
    <w:bookmarkStart w:id="163" w:name="page164"/>
    <w:bookmarkEnd w:id="163"/>
    <w:p>
      <w:pPr>
        <w:ind w:left="-20" w:right="60" w:firstLine="967"/>
        <w:spacing w:after="0" w:line="288" w:lineRule="auto"/>
        <w:tabs>
          <w:tab w:leader="none" w:pos="1193"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157" w:lineRule="exact"/>
        <w:rPr>
          <w:rFonts w:ascii="Times New Roman" w:cs="Times New Roman" w:eastAsia="Times New Roman" w:hAnsi="Times New Roman"/>
          <w:sz w:val="16"/>
          <w:szCs w:val="16"/>
          <w:color w:val="auto"/>
        </w:rPr>
      </w:pPr>
    </w:p>
    <w:p>
      <w:pPr>
        <w:ind w:left="-20" w:firstLine="967"/>
        <w:spacing w:after="0" w:line="248" w:lineRule="auto"/>
        <w:tabs>
          <w:tab w:leader="none" w:pos="118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88" w:lineRule="exact"/>
        <w:rPr>
          <w:rFonts w:ascii="Times New Roman" w:cs="Times New Roman" w:eastAsia="Times New Roman" w:hAnsi="Times New Roman"/>
          <w:sz w:val="18"/>
          <w:szCs w:val="18"/>
          <w:color w:val="auto"/>
        </w:rPr>
      </w:pPr>
    </w:p>
    <w:p>
      <w:pPr>
        <w:ind w:left="-20" w:right="80" w:firstLine="967"/>
        <w:spacing w:after="0" w:line="268" w:lineRule="auto"/>
        <w:tabs>
          <w:tab w:leader="none" w:pos="119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168" w:lineRule="exact"/>
        <w:rPr>
          <w:rFonts w:ascii="Times New Roman" w:cs="Times New Roman" w:eastAsia="Times New Roman" w:hAnsi="Times New Roman"/>
          <w:sz w:val="18"/>
          <w:szCs w:val="18"/>
          <w:color w:val="auto"/>
        </w:rPr>
      </w:pPr>
    </w:p>
    <w:p>
      <w:pPr>
        <w:ind w:left="-20" w:right="20" w:firstLine="967"/>
        <w:spacing w:after="0" w:line="248" w:lineRule="auto"/>
        <w:tabs>
          <w:tab w:leader="none" w:pos="118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or waiver under this Section becomes effective, the Company shall mail to the Holders of Notes affected thereby a notice briefly describing the amendment, supplement or waiver. Any failure of the Company to mail such notice, or any defect therein, shall not, however, in any way impair or affect the validity of any such amended or supplemental indenture or waiver. Subject to Sections 6.04 and 6.07 hereof, the Holders of a majority in aggregate principal amount of the then outstanding Notes may waive compliance in a particular instance by the Company with any provision of this Indenture, or the Notes. However, without the consent of each Holder affected, an amendment or waiver under this Section 9.02 may not (with respect to any Notes held by a non-consenting Holder):</w:t>
      </w:r>
    </w:p>
    <w:p>
      <w:pPr>
        <w:spacing w:after="0" w:line="188" w:lineRule="exact"/>
        <w:rPr>
          <w:rFonts w:ascii="Times New Roman" w:cs="Times New Roman" w:eastAsia="Times New Roman" w:hAnsi="Times New Roman"/>
          <w:sz w:val="18"/>
          <w:szCs w:val="18"/>
          <w:color w:val="auto"/>
        </w:rPr>
      </w:pPr>
    </w:p>
    <w:p>
      <w:pPr>
        <w:ind w:left="1540" w:hanging="203"/>
        <w:spacing w:after="0"/>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13" w:lineRule="exact"/>
        <w:rPr>
          <w:rFonts w:ascii="Times New Roman" w:cs="Times New Roman" w:eastAsia="Times New Roman" w:hAnsi="Times New Roman"/>
          <w:sz w:val="18"/>
          <w:szCs w:val="18"/>
          <w:color w:val="auto"/>
        </w:rPr>
      </w:pPr>
    </w:p>
    <w:p>
      <w:pPr>
        <w:jc w:val="both"/>
        <w:ind w:left="940" w:right="120" w:firstLine="397"/>
        <w:spacing w:after="0" w:line="256" w:lineRule="auto"/>
        <w:tabs>
          <w:tab w:leader="none" w:pos="158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change the optional redemption dates or optional redemption prices from those provided in Section 3.07 hereof (except amendments or changes to any notice provisions, which may be amended with the consent of Holders of a majority of the Notes);</w:t>
      </w:r>
    </w:p>
    <w:p>
      <w:pPr>
        <w:spacing w:after="0" w:line="178" w:lineRule="exact"/>
        <w:rPr>
          <w:rFonts w:ascii="Times New Roman" w:cs="Times New Roman" w:eastAsia="Times New Roman" w:hAnsi="Times New Roman"/>
          <w:sz w:val="18"/>
          <w:szCs w:val="18"/>
          <w:color w:val="auto"/>
        </w:rPr>
      </w:pPr>
    </w:p>
    <w:p>
      <w:pPr>
        <w:ind w:left="1640" w:hanging="303"/>
        <w:spacing w:after="0"/>
        <w:tabs>
          <w:tab w:leader="none" w:pos="16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213" w:lineRule="exact"/>
        <w:rPr>
          <w:rFonts w:ascii="Times New Roman" w:cs="Times New Roman" w:eastAsia="Times New Roman" w:hAnsi="Times New Roman"/>
          <w:sz w:val="18"/>
          <w:szCs w:val="18"/>
          <w:color w:val="auto"/>
        </w:rPr>
      </w:pPr>
    </w:p>
    <w:p>
      <w:pPr>
        <w:ind w:left="940" w:right="280" w:firstLine="397"/>
        <w:spacing w:after="0" w:line="256" w:lineRule="auto"/>
        <w:tabs>
          <w:tab w:leader="none" w:pos="162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178" w:lineRule="exact"/>
        <w:rPr>
          <w:rFonts w:ascii="Times New Roman" w:cs="Times New Roman" w:eastAsia="Times New Roman" w:hAnsi="Times New Roman"/>
          <w:sz w:val="18"/>
          <w:szCs w:val="18"/>
          <w:color w:val="auto"/>
        </w:rPr>
      </w:pPr>
    </w:p>
    <w:p>
      <w:pPr>
        <w:ind w:left="1580" w:hanging="243"/>
        <w:spacing w:after="0"/>
        <w:tabs>
          <w:tab w:leader="none" w:pos="15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Notes;</w:t>
      </w:r>
    </w:p>
    <w:p>
      <w:pPr>
        <w:spacing w:after="0" w:line="213" w:lineRule="exact"/>
        <w:rPr>
          <w:rFonts w:ascii="Times New Roman" w:cs="Times New Roman" w:eastAsia="Times New Roman" w:hAnsi="Times New Roman"/>
          <w:sz w:val="18"/>
          <w:szCs w:val="18"/>
          <w:color w:val="auto"/>
        </w:rPr>
      </w:pPr>
    </w:p>
    <w:p>
      <w:pPr>
        <w:ind w:left="940" w:right="440" w:firstLine="397"/>
        <w:spacing w:after="0" w:line="268" w:lineRule="auto"/>
        <w:tabs>
          <w:tab w:leader="none" w:pos="162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of Notes to receive payments of principal of, premium on, if any, or interest on, the Notes;</w:t>
      </w:r>
    </w:p>
    <w:p>
      <w:pPr>
        <w:spacing w:after="0" w:line="168" w:lineRule="exact"/>
        <w:rPr>
          <w:rFonts w:ascii="Times New Roman" w:cs="Times New Roman" w:eastAsia="Times New Roman" w:hAnsi="Times New Roman"/>
          <w:sz w:val="18"/>
          <w:szCs w:val="18"/>
          <w:color w:val="auto"/>
        </w:rPr>
      </w:pPr>
    </w:p>
    <w:p>
      <w:pPr>
        <w:ind w:left="940" w:right="280" w:firstLine="397"/>
        <w:spacing w:after="0" w:line="268" w:lineRule="auto"/>
        <w:tabs>
          <w:tab w:leader="none" w:pos="167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Notes (excluding, for the avoidance of doubt, any payment for a repurchase required by Sections 4.10 or 4.14 hereof);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700"/>
          </w:cols>
          <w:pgMar w:left="600" w:top="266" w:right="599" w:bottom="1440" w:gutter="0" w:footer="0" w:header="0"/>
        </w:sectPr>
      </w:pPr>
    </w:p>
    <w:bookmarkStart w:id="164" w:name="page165"/>
    <w:bookmarkEnd w:id="164"/>
    <w:p>
      <w:pPr>
        <w:ind w:left="960" w:right="300" w:firstLine="397"/>
        <w:spacing w:after="0" w:line="268" w:lineRule="auto"/>
        <w:tabs>
          <w:tab w:leader="none" w:pos="174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release any Guarantor from any of its obligations under its Note Guarantee or this Indenture, except in accordance with the terms of this Indenture;</w:t>
      </w:r>
    </w:p>
    <w:p>
      <w:pPr>
        <w:spacing w:after="0" w:line="168"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Notes or the Note Guarantees;</w:t>
      </w:r>
    </w:p>
    <w:p>
      <w:pPr>
        <w:spacing w:after="0" w:line="213" w:lineRule="exact"/>
        <w:rPr>
          <w:rFonts w:ascii="Times New Roman" w:cs="Times New Roman" w:eastAsia="Times New Roman" w:hAnsi="Times New Roman"/>
          <w:sz w:val="18"/>
          <w:szCs w:val="18"/>
          <w:color w:val="auto"/>
        </w:rPr>
      </w:pPr>
    </w:p>
    <w:p>
      <w:pPr>
        <w:ind w:left="960" w:firstLine="397"/>
        <w:spacing w:after="0" w:line="249" w:lineRule="auto"/>
        <w:tabs>
          <w:tab w:leader="none" w:pos="159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change, modify or remove the obligation of the Company to make and consummate an Asset Sale Offer with respect to any Asset Sale in accordance with Section 4.10 hereof after the obligation to make an Asset Sale Offer has arisen or the obligation of the Company to make and consummate a Change of Control Offer in the event of a Change of Control in accordance with Section 4.14 hereof after a Change of Control has occurred, including, in each case, amending, changing, modifying or removing any definition relating thereto;</w:t>
      </w:r>
    </w:p>
    <w:p>
      <w:pPr>
        <w:spacing w:after="0" w:line="188"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change, modify or remove Section 4.16 hereof; or</w:t>
      </w:r>
    </w:p>
    <w:p>
      <w:pPr>
        <w:spacing w:after="0" w:line="213" w:lineRule="exact"/>
        <w:rPr>
          <w:rFonts w:ascii="Times New Roman" w:cs="Times New Roman" w:eastAsia="Times New Roman" w:hAnsi="Times New Roman"/>
          <w:sz w:val="18"/>
          <w:szCs w:val="18"/>
          <w:color w:val="auto"/>
        </w:rPr>
      </w:pPr>
    </w:p>
    <w:p>
      <w:pPr>
        <w:ind w:left="1700" w:hanging="343"/>
        <w:spacing w:after="0"/>
        <w:tabs>
          <w:tab w:leader="none" w:pos="17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4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9.03</w:t>
      </w:r>
      <w:r>
        <w:rPr>
          <w:sz w:val="20"/>
          <w:szCs w:val="20"/>
          <w:color w:val="auto"/>
        </w:rPr>
        <w:tab/>
      </w:r>
      <w:r>
        <w:rPr>
          <w:rFonts w:ascii="Times New Roman" w:cs="Times New Roman" w:eastAsia="Times New Roman" w:hAnsi="Times New Roman"/>
          <w:sz w:val="16"/>
          <w:szCs w:val="16"/>
          <w:u w:val="single" w:color="auto"/>
          <w:color w:val="auto"/>
        </w:rPr>
        <w:t>Compliance with Trust Indenture Act</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160" w:firstLine="965"/>
        <w:spacing w:after="0" w:line="268" w:lineRule="auto"/>
        <w:rPr>
          <w:sz w:val="20"/>
          <w:szCs w:val="20"/>
          <w:color w:val="auto"/>
        </w:rPr>
      </w:pPr>
      <w:r>
        <w:rPr>
          <w:rFonts w:ascii="Times New Roman" w:cs="Times New Roman" w:eastAsia="Times New Roman" w:hAnsi="Times New Roman"/>
          <w:sz w:val="18"/>
          <w:szCs w:val="18"/>
          <w:color w:val="auto"/>
        </w:rPr>
        <w:t>Every amendment or supplement to this Indenture or the Notes shall be set forth in an amended or supplemental indenture that complies with the TIA as then in effect.</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9.04</w:t>
      </w:r>
      <w:r>
        <w:rPr>
          <w:sz w:val="20"/>
          <w:szCs w:val="20"/>
          <w:color w:val="auto"/>
        </w:rPr>
        <w:tab/>
      </w:r>
      <w:r>
        <w:rPr>
          <w:rFonts w:ascii="Times New Roman" w:cs="Times New Roman" w:eastAsia="Times New Roman" w:hAnsi="Times New Roman"/>
          <w:sz w:val="16"/>
          <w:szCs w:val="16"/>
          <w:u w:val="single" w:color="auto"/>
          <w:color w:val="auto"/>
        </w:rPr>
        <w:t>Revocation and Effect of Consents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60" w:firstLine="965"/>
        <w:spacing w:after="0" w:line="249"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9.05</w:t>
      </w:r>
      <w:r>
        <w:rPr>
          <w:sz w:val="20"/>
          <w:szCs w:val="20"/>
          <w:color w:val="auto"/>
        </w:rPr>
        <w:tab/>
      </w:r>
      <w:r>
        <w:rPr>
          <w:rFonts w:ascii="Times New Roman" w:cs="Times New Roman" w:eastAsia="Times New Roman" w:hAnsi="Times New Roman"/>
          <w:sz w:val="16"/>
          <w:szCs w:val="16"/>
          <w:u w:val="single" w:color="auto"/>
          <w:color w:val="auto"/>
        </w:rPr>
        <w:t>Notation on or Exchange of Notes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140" w:firstLine="967"/>
        <w:spacing w:after="0" w:line="256" w:lineRule="auto"/>
        <w:tabs>
          <w:tab w:leader="none" w:pos="120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78"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make the appropriate notation or issue a new Note shall not affect the validity and effect of such amendment, supplement or</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waiver.</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9.06</w:t>
      </w:r>
      <w:r>
        <w:rPr>
          <w:sz w:val="20"/>
          <w:szCs w:val="20"/>
          <w:color w:val="auto"/>
        </w:rPr>
        <w:tab/>
      </w:r>
      <w:r>
        <w:rPr>
          <w:rFonts w:ascii="Times New Roman" w:cs="Times New Roman" w:eastAsia="Times New Roman" w:hAnsi="Times New Roman"/>
          <w:sz w:val="16"/>
          <w:szCs w:val="16"/>
          <w:u w:val="single" w:color="auto"/>
          <w:color w:val="auto"/>
        </w:rPr>
        <w:t>Trustee and Second Lien Collateral Trustee to Sign Amendments, Etc.</w:t>
      </w:r>
    </w:p>
    <w:p>
      <w:pPr>
        <w:spacing w:after="0" w:line="214" w:lineRule="exact"/>
        <w:rPr>
          <w:sz w:val="20"/>
          <w:szCs w:val="20"/>
          <w:color w:val="auto"/>
        </w:rPr>
      </w:pPr>
    </w:p>
    <w:p>
      <w:pPr>
        <w:ind w:right="120" w:firstLine="965"/>
        <w:spacing w:after="0" w:line="247" w:lineRule="auto"/>
        <w:rPr>
          <w:sz w:val="20"/>
          <w:szCs w:val="20"/>
          <w:color w:val="auto"/>
        </w:rPr>
      </w:pPr>
      <w:r>
        <w:rPr>
          <w:rFonts w:ascii="Times New Roman" w:cs="Times New Roman" w:eastAsia="Times New Roman" w:hAnsi="Times New Roman"/>
          <w:sz w:val="18"/>
          <w:szCs w:val="18"/>
          <w:color w:val="auto"/>
        </w:rPr>
        <w:t>The Trustee and the Second Lien Collateral Trustee, as applicable, shall sign any amended or supplemental indenture or Note authorized pursuant to this Article Nine if the amendment or supplement does not adversely affect the rights, duties, liabilities or immunities of the Trustee or the Second Lien Collateral Trustee, as applicable. In executing any amended or supplemental indenture (other than a supplemental indenture adding an additional Note Guarantee pursuant to Section 4.18 hereof) or Note, the Trustee and the Second Lien Collateral Trustee shall be entitled to and receive indemnity reasonably satisfactory to it and shall be provided with, and (subject to Section 7.01 hereof) shall be fully protected in conclusively relying upon, an Officer’s Certificate and an Opinion of Counsel stating that the execution of such amended or supplemental indenture is authorized or permitted by this Indenture and is the legal, valid and binding obligation of the Company, enforceable in accordance with its terms, and that all conditions precedent to such execution have been met.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660"/>
          </w:cols>
          <w:pgMar w:left="580" w:top="266" w:right="65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TEN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222" w:lineRule="exact"/>
        <w:rPr>
          <w:sz w:val="20"/>
          <w:szCs w:val="20"/>
          <w:color w:val="auto"/>
        </w:rPr>
      </w:pPr>
    </w:p>
    <w:p>
      <w:pPr>
        <w:ind w:left="380"/>
        <w:spacing w:after="0"/>
        <w:tabs>
          <w:tab w:leader="none" w:pos="1860" w:val="left"/>
        </w:tabs>
        <w:rPr>
          <w:sz w:val="20"/>
          <w:szCs w:val="20"/>
          <w:color w:val="auto"/>
        </w:rPr>
      </w:pPr>
      <w:r>
        <w:rPr>
          <w:rFonts w:ascii="Times New Roman" w:cs="Times New Roman" w:eastAsia="Times New Roman" w:hAnsi="Times New Roman"/>
          <w:sz w:val="18"/>
          <w:szCs w:val="18"/>
          <w:u w:val="single" w:color="auto"/>
          <w:color w:val="auto"/>
        </w:rPr>
        <w:t>Section 10.01</w:t>
      </w:r>
      <w:r>
        <w:rPr>
          <w:sz w:val="20"/>
          <w:szCs w:val="20"/>
          <w:color w:val="auto"/>
        </w:rPr>
        <w:tab/>
      </w:r>
      <w:r>
        <w:rPr>
          <w:rFonts w:ascii="Times New Roman" w:cs="Times New Roman" w:eastAsia="Times New Roman" w:hAnsi="Times New Roman"/>
          <w:sz w:val="16"/>
          <w:szCs w:val="16"/>
          <w:u w:val="single" w:color="auto"/>
          <w:color w:val="auto"/>
        </w:rPr>
        <w:t>Guarantee.</w:t>
      </w:r>
    </w:p>
    <w:p>
      <w:pPr>
        <w:spacing w:after="0" w:line="214" w:lineRule="exact"/>
        <w:rPr>
          <w:sz w:val="20"/>
          <w:szCs w:val="20"/>
          <w:color w:val="auto"/>
        </w:rPr>
      </w:pPr>
    </w:p>
    <w:p>
      <w:pPr>
        <w:ind w:left="-40" w:firstLine="967"/>
        <w:spacing w:after="0" w:line="245" w:lineRule="auto"/>
        <w:tabs>
          <w:tab w:leader="none" w:pos="116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Issue Date, all of the Initial Guarantors shall Guarantee the obligations of the Company under the Notes and this Indenture as provided in this Article Ten. On the Issue Date, all of the Company’s Subsidiaries that Guarantee the Company’s obligations under the Exchange Credit Agreement are the Initial Guarantors hereunder. Subject to this Article Ten, each of the Guarantors including the Initial Guarantors and any other Subsidiary that may become a Guarantor hereby, jointly and severally, and fully and unconditionally, guarantees to each Holder of a Note authenticated and delivered by the Trustee and to each of the Trustee and the Second Lien Collateral Trustee and its successors and assigns, irrespective of the validity and enforceability of this Indenture, the Notes or the obligations of the Company hereunder or thereunder, that: (a) the principal of, premium, if any, and interest, if any, on the Notes shall be promptly paid in full when due, whether at Stated Maturity, by acceleration, redemption or otherwise, and interest on the overdue principal of, premium, if any, and interest, if any, on the Notes, if lawful (subject in all cases to any applicable grace period provided herein), and all other obligations of the Company to the Holders or the Trustee and the Second Lien Collateral Trustee hereunder or thereunder shall be promptly paid in full or performed, all in accordance with the terms hereof and thereof; and (b) in case of any extension of time of payment or renewal of any Notes or any of such other obligations, the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96" w:lineRule="exact"/>
        <w:rPr>
          <w:rFonts w:ascii="Times New Roman" w:cs="Times New Roman" w:eastAsia="Times New Roman" w:hAnsi="Times New Roman"/>
          <w:sz w:val="18"/>
          <w:szCs w:val="18"/>
          <w:color w:val="auto"/>
        </w:rPr>
      </w:pPr>
    </w:p>
    <w:p>
      <w:pPr>
        <w:ind w:left="-40" w:right="60" w:firstLine="967"/>
        <w:spacing w:after="0" w:line="247" w:lineRule="auto"/>
        <w:tabs>
          <w:tab w:leader="none" w:pos="11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agree that, to the maximum extent permitted under applicable law,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covenants that this Note Guarantee shall not be discharged except by complete performance of the obligations contained in the Notes and this Indenture or except as provided in Section 10.05 hereof.</w:t>
      </w:r>
    </w:p>
    <w:p>
      <w:pPr>
        <w:spacing w:after="0" w:line="188" w:lineRule="exact"/>
        <w:rPr>
          <w:rFonts w:ascii="Times New Roman" w:cs="Times New Roman" w:eastAsia="Times New Roman" w:hAnsi="Times New Roman"/>
          <w:sz w:val="18"/>
          <w:szCs w:val="18"/>
          <w:color w:val="auto"/>
        </w:rPr>
      </w:pPr>
    </w:p>
    <w:p>
      <w:pPr>
        <w:jc w:val="both"/>
        <w:ind w:left="-40" w:right="80" w:firstLine="967"/>
        <w:spacing w:after="0" w:line="252" w:lineRule="auto"/>
        <w:tabs>
          <w:tab w:leader="none" w:pos="116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or the Second Lien Collateral Trustee is required by any court or otherwise to return to the Company, the Guarantors or any custodian, trustee, liquidator or other similar official acting in relation to any of the Company or the Guarantors, any amount paid by any of them to the Trustee, the Second Lien Collateral Trustee or such Holder, this Note Guarantee, to the extent theretofore discharged, shall be reinstated in full force and effect.</w:t>
      </w:r>
    </w:p>
    <w:p>
      <w:pPr>
        <w:spacing w:after="0" w:line="182" w:lineRule="exact"/>
        <w:rPr>
          <w:rFonts w:ascii="Times New Roman" w:cs="Times New Roman" w:eastAsia="Times New Roman" w:hAnsi="Times New Roman"/>
          <w:sz w:val="18"/>
          <w:szCs w:val="18"/>
          <w:color w:val="auto"/>
        </w:rPr>
      </w:pPr>
    </w:p>
    <w:p>
      <w:pPr>
        <w:ind w:left="-40" w:right="60" w:firstLine="967"/>
        <w:spacing w:after="0" w:line="282" w:lineRule="auto"/>
        <w:tabs>
          <w:tab w:leader="none" w:pos="1173"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the Trustee and the Second Lien Collateral Trustee, on the other hand, (x) the maturity of the obligations guaranteed hereby may be accelerated as provided in, but subject to the provisions of, Article Six hereof for the purposes of this Note Guarantee, notwithstanding any stay, injunction or other prohibition preventing such acceleration in respect of the obligations guaranteed hereby, and (y) in the event of any declaration of acceleration of such obligations as provided in Article Six hereof, such obligations (whether or not due and payable) shall forthwith become due and payable by the Guarantors for the purpose of this Note Guarantee. The Guarantors shall have the right to seek contribution from any non-paying Guarantor so long as the exercise of such right does not impair the rights of the Holders under the Note Guarantee.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640"/>
          </w:cols>
          <w:pgMar w:left="620" w:top="264" w:right="639" w:bottom="1440" w:gutter="0" w:footer="0" w:header="0"/>
        </w:sectPr>
      </w:pPr>
    </w:p>
    <w:bookmarkStart w:id="166" w:name="page167"/>
    <w:bookmarkEnd w:id="166"/>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Section 10.02</w:t>
      </w:r>
      <w:r>
        <w:rPr>
          <w:sz w:val="20"/>
          <w:szCs w:val="20"/>
          <w:color w:val="auto"/>
        </w:rPr>
        <w:tab/>
      </w:r>
      <w:r>
        <w:rPr>
          <w:rFonts w:ascii="Times New Roman" w:cs="Times New Roman" w:eastAsia="Times New Roman" w:hAnsi="Times New Roman"/>
          <w:sz w:val="16"/>
          <w:szCs w:val="16"/>
          <w:u w:val="single" w:color="auto"/>
          <w:color w:val="auto"/>
        </w:rPr>
        <w:t>Limitation on Guarantor Liability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40" w:firstLine="965"/>
        <w:spacing w:after="0" w:line="247"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such Note Guarantee. To effectuate the foregoing intention, the Trustee, and the Second Lien Collateral Trustee, the Holders and the Guarantors hereby irrevocably agree that the obligations of such Guarantor shall be limited to the maximum amount as will, after giving effect to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Ten, result in the obligations of such Guarantor under its Note Guarantee not constituting a fraudulent transfer or conveyance.</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10.03</w:t>
      </w:r>
      <w:r>
        <w:rPr>
          <w:sz w:val="20"/>
          <w:szCs w:val="20"/>
          <w:color w:val="auto"/>
        </w:rPr>
        <w:tab/>
      </w:r>
      <w:r>
        <w:rPr>
          <w:rFonts w:ascii="Times New Roman" w:cs="Times New Roman" w:eastAsia="Times New Roman" w:hAnsi="Times New Roman"/>
          <w:sz w:val="16"/>
          <w:szCs w:val="16"/>
          <w:u w:val="single" w:color="auto"/>
          <w:color w:val="auto"/>
        </w:rPr>
        <w:t>Execution and Delivery of a Supplemental Indenture Relating to a Note Guarantee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920" w:firstLine="967"/>
        <w:spacing w:after="0" w:line="268" w:lineRule="auto"/>
        <w:tabs>
          <w:tab w:leader="none" w:pos="12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agrees that its Note Guarantee set forth in Section 10.01 hereof shall remain in full force and effect notwithstanding any failure to endorse on each Note a notation of such Note Guarantee.</w:t>
      </w:r>
    </w:p>
    <w:p>
      <w:pPr>
        <w:spacing w:after="0" w:line="168" w:lineRule="exact"/>
        <w:rPr>
          <w:rFonts w:ascii="Times New Roman" w:cs="Times New Roman" w:eastAsia="Times New Roman" w:hAnsi="Times New Roman"/>
          <w:sz w:val="18"/>
          <w:szCs w:val="18"/>
          <w:color w:val="auto"/>
        </w:rPr>
      </w:pPr>
    </w:p>
    <w:p>
      <w:pPr>
        <w:ind w:right="360" w:firstLine="967"/>
        <w:spacing w:after="0" w:line="268" w:lineRule="auto"/>
        <w:tabs>
          <w:tab w:leader="none" w:pos="121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Officer whose signature is on this Indenture or on a supplemental indenture no longer holds that office at the time the Trustee authenticates the Note, the Note Guarantee shall be valid nevertheless.</w:t>
      </w:r>
    </w:p>
    <w:p>
      <w:pPr>
        <w:spacing w:after="0" w:line="168" w:lineRule="exact"/>
        <w:rPr>
          <w:rFonts w:ascii="Times New Roman" w:cs="Times New Roman" w:eastAsia="Times New Roman" w:hAnsi="Times New Roman"/>
          <w:sz w:val="18"/>
          <w:szCs w:val="18"/>
          <w:color w:val="auto"/>
        </w:rPr>
      </w:pPr>
    </w:p>
    <w:p>
      <w:pPr>
        <w:ind w:right="80" w:firstLine="967"/>
        <w:spacing w:after="0" w:line="268" w:lineRule="auto"/>
        <w:tabs>
          <w:tab w:leader="none" w:pos="120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any Note by the Trustee, after the authentication thereof hereunder, shall constitute due delivery of the Note Guarantee set forth in this Indenture on behalf of the Guarantors.</w:t>
      </w:r>
    </w:p>
    <w:p>
      <w:pPr>
        <w:spacing w:after="0" w:line="168" w:lineRule="exact"/>
        <w:rPr>
          <w:rFonts w:ascii="Times New Roman" w:cs="Times New Roman" w:eastAsia="Times New Roman" w:hAnsi="Times New Roman"/>
          <w:sz w:val="18"/>
          <w:szCs w:val="18"/>
          <w:color w:val="auto"/>
        </w:rPr>
      </w:pPr>
    </w:p>
    <w:p>
      <w:pPr>
        <w:ind w:right="160" w:firstLine="967"/>
        <w:spacing w:after="0" w:line="268" w:lineRule="auto"/>
        <w:tabs>
          <w:tab w:leader="none" w:pos="121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4.18 hereof, the Company shall cause such Subsidiaries to execute supplemental indentures to this Indenture in accordance with Section 4.18 hereof and this Article Ten, to the extent applicable.</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10.04</w:t>
      </w:r>
      <w:r>
        <w:rPr>
          <w:sz w:val="20"/>
          <w:szCs w:val="20"/>
          <w:color w:val="auto"/>
        </w:rPr>
        <w:tab/>
      </w:r>
      <w:r>
        <w:rPr>
          <w:rFonts w:ascii="Times New Roman" w:cs="Times New Roman" w:eastAsia="Times New Roman" w:hAnsi="Times New Roman"/>
          <w:sz w:val="16"/>
          <w:szCs w:val="16"/>
          <w:u w:val="single" w:color="auto"/>
          <w:color w:val="auto"/>
        </w:rPr>
        <w:t>Guarantors May Consolidate, Etc., on Certain Terms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520" w:firstLine="967"/>
        <w:spacing w:after="0" w:line="268" w:lineRule="auto"/>
        <w:tabs>
          <w:tab w:leader="none" w:pos="120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Guarantor may not sell or otherwise dispose of all or substantially all of its assets to, or consolidate with or merge with or into (whether or not such Guarantor is the surviving Person), another Person, other than the Company or another Guarantor, unless:</w:t>
      </w:r>
    </w:p>
    <w:p>
      <w:pPr>
        <w:spacing w:after="0" w:line="168" w:lineRule="exact"/>
        <w:rPr>
          <w:rFonts w:ascii="Times New Roman" w:cs="Times New Roman" w:eastAsia="Times New Roman" w:hAnsi="Times New Roman"/>
          <w:sz w:val="18"/>
          <w:szCs w:val="18"/>
          <w:color w:val="auto"/>
        </w:rPr>
      </w:pPr>
    </w:p>
    <w:p>
      <w:pPr>
        <w:ind w:left="1560" w:hanging="203"/>
        <w:spacing w:after="0"/>
        <w:tabs>
          <w:tab w:leader="none" w:pos="15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that transaction, no Default or Event of Default exists; and</w:t>
      </w:r>
    </w:p>
    <w:p>
      <w:pPr>
        <w:spacing w:after="0" w:line="213" w:lineRule="exact"/>
        <w:rPr>
          <w:rFonts w:ascii="Times New Roman" w:cs="Times New Roman" w:eastAsia="Times New Roman" w:hAnsi="Times New Roman"/>
          <w:sz w:val="18"/>
          <w:szCs w:val="18"/>
          <w:color w:val="auto"/>
        </w:rPr>
      </w:pPr>
    </w:p>
    <w:p>
      <w:pPr>
        <w:ind w:left="1620" w:hanging="263"/>
        <w:spacing w:after="0"/>
        <w:tabs>
          <w:tab w:leader="none" w:pos="16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13" w:lineRule="exact"/>
        <w:rPr>
          <w:rFonts w:ascii="Times New Roman" w:cs="Times New Roman" w:eastAsia="Times New Roman" w:hAnsi="Times New Roman"/>
          <w:sz w:val="18"/>
          <w:szCs w:val="18"/>
          <w:color w:val="auto"/>
        </w:rPr>
      </w:pPr>
    </w:p>
    <w:p>
      <w:pPr>
        <w:ind w:left="1400" w:right="440" w:firstLine="369"/>
        <w:spacing w:after="0" w:line="256" w:lineRule="auto"/>
        <w:tabs>
          <w:tab w:leader="none" w:pos="206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acquiring the property in any such sale or disposition or the Person formed by or surviving any such consolidation or merger assumes all the obligations of that Guarantor under this Indenture, its Note Guarantee and the Security Documents pursuant to a supplemental indenture satisfactory to the Trustee; or</w:t>
      </w:r>
    </w:p>
    <w:p>
      <w:pPr>
        <w:spacing w:after="0" w:line="178" w:lineRule="exact"/>
        <w:rPr>
          <w:rFonts w:ascii="Times New Roman" w:cs="Times New Roman" w:eastAsia="Times New Roman" w:hAnsi="Times New Roman"/>
          <w:sz w:val="18"/>
          <w:szCs w:val="18"/>
          <w:color w:val="auto"/>
        </w:rPr>
      </w:pPr>
    </w:p>
    <w:p>
      <w:pPr>
        <w:ind w:left="1400" w:firstLine="369"/>
        <w:spacing w:after="0" w:line="268" w:lineRule="auto"/>
        <w:tabs>
          <w:tab w:leader="none" w:pos="2051"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or other disposition or consolidation or merger complies with Section 4.10 hereof, including the application of the Net Proceeds therefrom.</w:t>
      </w:r>
    </w:p>
    <w:p>
      <w:pPr>
        <w:spacing w:after="0" w:line="168" w:lineRule="exact"/>
        <w:rPr>
          <w:rFonts w:ascii="Times New Roman" w:cs="Times New Roman" w:eastAsia="Times New Roman" w:hAnsi="Times New Roman"/>
          <w:sz w:val="18"/>
          <w:szCs w:val="18"/>
          <w:color w:val="auto"/>
        </w:rPr>
      </w:pPr>
    </w:p>
    <w:p>
      <w:pPr>
        <w:ind w:right="260" w:firstLine="967"/>
        <w:spacing w:after="0" w:line="252" w:lineRule="auto"/>
        <w:tabs>
          <w:tab w:leader="none" w:pos="121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or conveyance governed by Section 10.04(a)(ii)(A), upon the assumption by the successor Person, by supplemental indenture, executed and delivered to the Trustee and reasonably satisfactory in form to the Trustee, of the due and punctual performance of all of the covenants and conditions of this Indenture to be performed by a Guarantor, such successor Person shall succeed to and be substituted for a Guarantor with the same effect as if it had been named herein as a Guarantor.</w:t>
      </w:r>
    </w:p>
    <w:p>
      <w:pPr>
        <w:spacing w:after="0" w:line="208"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10.05</w:t>
      </w:r>
      <w:r>
        <w:rPr>
          <w:sz w:val="20"/>
          <w:szCs w:val="20"/>
          <w:color w:val="auto"/>
        </w:rPr>
        <w:tab/>
      </w:r>
      <w:r>
        <w:rPr>
          <w:rFonts w:ascii="Times New Roman" w:cs="Times New Roman" w:eastAsia="Times New Roman" w:hAnsi="Times New Roman"/>
          <w:sz w:val="16"/>
          <w:szCs w:val="16"/>
          <w:u w:val="single" w:color="auto"/>
          <w:color w:val="auto"/>
        </w:rPr>
        <w:t>Release of a Guarantor</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20" w:firstLine="967"/>
        <w:spacing w:after="0" w:line="247" w:lineRule="auto"/>
        <w:tabs>
          <w:tab w:leader="none" w:pos="120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Guarantor shall be released and relieved of any obligations under its Note Guarantee hereunder, (i) in connection with any sale of all of the assets, or all of the Capital Stock, of such Guarantor (including by way of merger or consolidation) to a Person that is not (either before or after giving effect to such transaction) a Subsidiary of the Company, if the sale complies with Section 4.10 hereof; (ii) if the Company designates any Restricted Subsidiary that is a Guarantor as an Unrestricted Subsidiary in accordance with the applicable provisions of this Indenture; (iii) upon Legal Defeasance or Covenant Defeasance or satisfaction and discharge of the Notes as permitted under this Indenture; or (iv) upon the substantially concurrent release or termination (other than a termination or release resulting from the payment thereon) of such Guarantor’s Note Guarantee of the applicable Triggering Indebtedness.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720"/>
          </w:cols>
          <w:pgMar w:left="580" w:top="266" w:right="599" w:bottom="1440" w:gutter="0" w:footer="0" w:header="0"/>
        </w:sectPr>
      </w:pPr>
    </w:p>
    <w:bookmarkStart w:id="167" w:name="page168"/>
    <w:bookmarkEnd w:id="167"/>
    <w:p>
      <w:pPr>
        <w:ind w:right="400" w:firstLine="967"/>
        <w:spacing w:after="0" w:line="303" w:lineRule="auto"/>
        <w:tabs>
          <w:tab w:leader="none" w:pos="121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Upon delivery by the Company to the Trustee of an Officer’s Certificate and an Opinion of Counsel to the effect that one of the foregoing requirements has been satisfied and the conditions to the release of a Guarantor under this Section 10.05 have been met, the Trustee shall execute any documents reasonably required in order to evidence the release of such Guarantor from its obligations under its Note Guarantee.</w:t>
      </w:r>
    </w:p>
    <w:p>
      <w:pPr>
        <w:spacing w:after="0" w:line="144" w:lineRule="exact"/>
        <w:rPr>
          <w:rFonts w:ascii="Times New Roman" w:cs="Times New Roman" w:eastAsia="Times New Roman" w:hAnsi="Times New Roman"/>
          <w:sz w:val="16"/>
          <w:szCs w:val="16"/>
          <w:color w:val="auto"/>
        </w:rPr>
      </w:pPr>
    </w:p>
    <w:p>
      <w:pPr>
        <w:ind w:right="320" w:firstLine="967"/>
        <w:spacing w:after="0" w:line="268" w:lineRule="auto"/>
        <w:tabs>
          <w:tab w:leader="none" w:pos="120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Guarantor not released from its obligations under its Note Guarantee shall remain liable for the full amount of principal of and interest on the Notes and for the other obligations of any Guarantor under this Indenture as provided in this Article Ten.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11.01</w:t>
      </w:r>
      <w:r>
        <w:rPr>
          <w:sz w:val="20"/>
          <w:szCs w:val="20"/>
          <w:color w:val="auto"/>
        </w:rPr>
        <w:tab/>
      </w:r>
      <w:r>
        <w:rPr>
          <w:rFonts w:ascii="Times New Roman" w:cs="Times New Roman" w:eastAsia="Times New Roman" w:hAnsi="Times New Roman"/>
          <w:sz w:val="16"/>
          <w:szCs w:val="16"/>
          <w:u w:val="single" w:color="auto"/>
          <w:color w:val="auto"/>
        </w:rPr>
        <w:t>Satisfaction and Discharge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right="240" w:firstLine="967"/>
        <w:spacing w:after="0" w:line="331" w:lineRule="auto"/>
        <w:tabs>
          <w:tab w:leader="none" w:pos="1203"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Indenture shall be discharged and shall cease to be of further effect as to all Notes issued thereunder, and the Collateral shall be released from the Liens in favor of the Second Lien Collateral Trustee and no longer secure the obligations under this Indenture, as applicable, when:</w:t>
      </w:r>
    </w:p>
    <w:p>
      <w:pPr>
        <w:spacing w:after="0" w:line="123" w:lineRule="exact"/>
        <w:rPr>
          <w:rFonts w:ascii="Times New Roman" w:cs="Times New Roman" w:eastAsia="Times New Roman" w:hAnsi="Times New Roman"/>
          <w:sz w:val="16"/>
          <w:szCs w:val="16"/>
          <w:color w:val="auto"/>
        </w:rPr>
      </w:pPr>
    </w:p>
    <w:p>
      <w:pPr>
        <w:ind w:left="1560" w:hanging="203"/>
        <w:spacing w:after="0"/>
        <w:tabs>
          <w:tab w:leader="none" w:pos="15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13" w:lineRule="exact"/>
        <w:rPr>
          <w:rFonts w:ascii="Times New Roman" w:cs="Times New Roman" w:eastAsia="Times New Roman" w:hAnsi="Times New Roman"/>
          <w:sz w:val="18"/>
          <w:szCs w:val="18"/>
          <w:color w:val="auto"/>
        </w:rPr>
      </w:pPr>
    </w:p>
    <w:p>
      <w:pPr>
        <w:ind w:left="1940" w:firstLine="343"/>
        <w:spacing w:after="0" w:line="256" w:lineRule="auto"/>
        <w:tabs>
          <w:tab w:leader="none" w:pos="254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cancellation; or</w:t>
      </w:r>
    </w:p>
    <w:p>
      <w:pPr>
        <w:spacing w:after="0" w:line="178" w:lineRule="exact"/>
        <w:rPr>
          <w:rFonts w:ascii="Times New Roman" w:cs="Times New Roman" w:eastAsia="Times New Roman" w:hAnsi="Times New Roman"/>
          <w:sz w:val="18"/>
          <w:szCs w:val="18"/>
          <w:color w:val="auto"/>
        </w:rPr>
      </w:pPr>
    </w:p>
    <w:p>
      <w:pPr>
        <w:ind w:left="1940" w:right="40" w:firstLine="343"/>
        <w:spacing w:after="0" w:line="246" w:lineRule="auto"/>
        <w:tabs>
          <w:tab w:leader="none" w:pos="2540"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that have not been delivered to the Trustee for cancellation have become due and payable by reason of the sending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thereof, in amounts as will be sufficient, without consideration of any reinvestment of interest, to pay and discharge the entire Indebtedness on the Notes not delivered to the Trustee for cancellation for principal of, premium on, if any, and interest on, the Notes to the date of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a premium, the amount deposited shall be sufficient to the extent that an amount is deposited with the Trustee equal to the premium calculated as of the date of the notice of redemption, with any deficit on the date of redemption only required to be deposited with the Trustee on or prior to the date of redemption (it being understood that any satisfaction and discharge shall be subject to the condition subsequent that such deficit is in fact paid);</w:t>
      </w:r>
    </w:p>
    <w:p>
      <w:pPr>
        <w:spacing w:after="0" w:line="189" w:lineRule="exact"/>
        <w:rPr>
          <w:rFonts w:ascii="Times New Roman" w:cs="Times New Roman" w:eastAsia="Times New Roman" w:hAnsi="Times New Roman"/>
          <w:sz w:val="18"/>
          <w:szCs w:val="18"/>
          <w:color w:val="auto"/>
        </w:rPr>
      </w:pPr>
    </w:p>
    <w:p>
      <w:pPr>
        <w:ind w:left="960" w:right="60" w:firstLine="397"/>
        <w:spacing w:after="0" w:line="247" w:lineRule="auto"/>
        <w:tabs>
          <w:tab w:leader="none" w:pos="160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clause 11.01(a)(i)(2), no Default or Event of Default with respect to the Notes has occurred and is continuing on the date of the deposit (other than a Default or Event of Default resulting from the borrowing of funds to be applied to such deposit and any similar deposit relating to other Indebtedness and, in each case, the granting of Liens to secure such borrowings) and the deposit will not result in a breach or violation of, or constitute a default under, any other instrument to which the Company or any Guarantor is or are a party or by which the Company or any Guarantor is or are bound (other than with respect to the borrowing of funds to be applied concurrently to make the deposit required to effect such satisfaction and discharge and any similar concurrent deposit relating to other Indebtedness, and in each case the granting of Liens to secure such borrowings);</w:t>
      </w:r>
    </w:p>
    <w:p>
      <w:pPr>
        <w:spacing w:after="0" w:line="191" w:lineRule="exact"/>
        <w:rPr>
          <w:rFonts w:ascii="Times New Roman" w:cs="Times New Roman" w:eastAsia="Times New Roman" w:hAnsi="Times New Roman"/>
          <w:sz w:val="18"/>
          <w:szCs w:val="18"/>
          <w:color w:val="auto"/>
        </w:rPr>
      </w:pPr>
    </w:p>
    <w:p>
      <w:pPr>
        <w:ind w:left="1660" w:hanging="303"/>
        <w:spacing w:after="0"/>
        <w:tabs>
          <w:tab w:leader="none" w:pos="16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Guarantor has or have paid or caused to be paid all sums payable by it or them hereunder; and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720"/>
          </w:cols>
          <w:pgMar w:left="580" w:top="266" w:right="599" w:bottom="1440" w:gutter="0" w:footer="0" w:header="0"/>
        </w:sectPr>
      </w:pPr>
    </w:p>
    <w:bookmarkStart w:id="168" w:name="page169"/>
    <w:bookmarkEnd w:id="168"/>
    <w:p>
      <w:pPr>
        <w:ind w:left="960" w:right="120" w:firstLine="397"/>
        <w:spacing w:after="0" w:line="268" w:lineRule="auto"/>
        <w:tabs>
          <w:tab w:leader="none" w:pos="164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has delivered irrevocable instructions to the Trustee hereunder to apply the deposited money toward the payment of the Notes at maturity or the redemption date, as the case may be.</w:t>
      </w:r>
    </w:p>
    <w:p>
      <w:pPr>
        <w:spacing w:after="0" w:line="63" w:lineRule="exact"/>
        <w:rPr>
          <w:rFonts w:ascii="Times New Roman" w:cs="Times New Roman" w:eastAsia="Times New Roman" w:hAnsi="Times New Roman"/>
          <w:sz w:val="18"/>
          <w:szCs w:val="18"/>
          <w:color w:val="auto"/>
        </w:rPr>
      </w:pPr>
    </w:p>
    <w:p>
      <w:pPr>
        <w:ind w:right="660" w:firstLine="967"/>
        <w:spacing w:after="0" w:line="268" w:lineRule="auto"/>
        <w:tabs>
          <w:tab w:leader="none" w:pos="121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must deliver an Officer’s Certificate and an Opinion of Counsel to the Trustee and the Second Lien Collateral Trustee stating that all conditions precedent to satisfaction and discharge have been satisfied.</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11.02</w:t>
      </w:r>
      <w:r>
        <w:rPr>
          <w:sz w:val="20"/>
          <w:szCs w:val="20"/>
          <w:color w:val="auto"/>
        </w:rPr>
        <w:tab/>
      </w:r>
      <w:r>
        <w:rPr>
          <w:rFonts w:ascii="Times New Roman" w:cs="Times New Roman" w:eastAsia="Times New Roman" w:hAnsi="Times New Roman"/>
          <w:sz w:val="16"/>
          <w:szCs w:val="16"/>
          <w:u w:val="single" w:color="auto"/>
          <w:color w:val="auto"/>
        </w:rPr>
        <w:t>Deposited Money and Government Securities to Be Held in Trust; Other Miscellaneous Provisions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20" w:firstLine="965"/>
        <w:spacing w:after="0" w:line="249" w:lineRule="auto"/>
        <w:rPr>
          <w:sz w:val="20"/>
          <w:szCs w:val="20"/>
          <w:color w:val="auto"/>
        </w:rPr>
      </w:pPr>
      <w:r>
        <w:rPr>
          <w:rFonts w:ascii="Times New Roman" w:cs="Times New Roman" w:eastAsia="Times New Roman" w:hAnsi="Times New Roman"/>
          <w:sz w:val="18"/>
          <w:szCs w:val="18"/>
          <w:color w:val="auto"/>
        </w:rPr>
        <w:t>Subject to Section 11.03 hereof, all money and non-callable Government Securities (including the proceeds thereof) deposited with the Trustee pursuant to Section 11.01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be segregated from other funds except to the extent required by law.</w:t>
      </w:r>
    </w:p>
    <w:p>
      <w:pPr>
        <w:spacing w:after="0" w:line="214"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11.03</w:t>
      </w:r>
      <w:r>
        <w:rPr>
          <w:sz w:val="20"/>
          <w:szCs w:val="20"/>
          <w:color w:val="auto"/>
        </w:rPr>
        <w:tab/>
      </w:r>
      <w:r>
        <w:rPr>
          <w:rFonts w:ascii="Times New Roman" w:cs="Times New Roman" w:eastAsia="Times New Roman" w:hAnsi="Times New Roman"/>
          <w:sz w:val="16"/>
          <w:szCs w:val="16"/>
          <w:u w:val="single" w:color="auto"/>
          <w:color w:val="auto"/>
        </w:rPr>
        <w:t>Repayment to the Company</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65"/>
        <w:spacing w:after="0" w:line="282" w:lineRule="auto"/>
        <w:rPr>
          <w:sz w:val="20"/>
          <w:szCs w:val="20"/>
          <w:color w:val="auto"/>
        </w:rPr>
      </w:pPr>
      <w:r>
        <w:rPr>
          <w:rFonts w:ascii="Times New Roman" w:cs="Times New Roman" w:eastAsia="Times New Roman" w:hAnsi="Times New Roman"/>
          <w:sz w:val="16"/>
          <w:szCs w:val="16"/>
          <w:color w:val="auto"/>
        </w:rPr>
        <w:t xml:space="preserve">Any money deposited with the Trustee or any Paying Agent, or then held by the Company, in trust for the payment of the principal of, premium, if any, or interest on any Note and remaining unclaimed for two years after such principal, and premium, if any, or interest has become due and payable shall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Trustee or such Paying Agent, before being required to make any such repayment, shall at the expense of the Company cause to be published once, in the New York Times or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Company.</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COLLATERAL AND SECURITY</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12.01</w:t>
      </w:r>
      <w:r>
        <w:rPr>
          <w:sz w:val="20"/>
          <w:szCs w:val="20"/>
          <w:color w:val="auto"/>
        </w:rPr>
        <w:tab/>
      </w:r>
      <w:r>
        <w:rPr>
          <w:rFonts w:ascii="Times New Roman" w:cs="Times New Roman" w:eastAsia="Times New Roman" w:hAnsi="Times New Roman"/>
          <w:sz w:val="16"/>
          <w:szCs w:val="16"/>
          <w:u w:val="single" w:color="auto"/>
          <w:color w:val="auto"/>
        </w:rPr>
        <w:t>Security</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67"/>
        <w:spacing w:after="0" w:line="288" w:lineRule="auto"/>
        <w:tabs>
          <w:tab w:leader="none" w:pos="1203"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due and punctual payment of the Obligations, including payment of the principal of, premium on, if any, and interest on, the Notes when and as the same shall be due and payable, whether on an interest payment date, at maturity, by acceleration, repurchase, redemption or otherwise, and interest on the overdue principal of, premium on, if any, and interest on the Notes, according to the terms hereunder or thereunder, are secured as provided in the Security Documents which the Company and Guarantors have entered into simultaneously with the execution of this Indenture, or, in certain circumstances, subsequent to the date hereof, and will be secured by any Security Documents hereafter delivered as required by this Indenture.</w:t>
      </w:r>
    </w:p>
    <w:p>
      <w:pPr>
        <w:spacing w:after="0" w:line="52" w:lineRule="exact"/>
        <w:rPr>
          <w:rFonts w:ascii="Times New Roman" w:cs="Times New Roman" w:eastAsia="Times New Roman" w:hAnsi="Times New Roman"/>
          <w:sz w:val="16"/>
          <w:szCs w:val="16"/>
          <w:color w:val="auto"/>
        </w:rPr>
      </w:pPr>
    </w:p>
    <w:p>
      <w:pPr>
        <w:ind w:firstLine="967"/>
        <w:spacing w:after="0" w:line="252" w:lineRule="auto"/>
        <w:tabs>
          <w:tab w:leader="none" w:pos="121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by accepting a Note, acknowledges and agrees to all of the terms and provisions of the Second Lien Collateral Trust Agreement, the First Lien/Second Lien Intercreditor Agreement and the Security Documents (including, without limitation, the provisions providing for foreclosure and release of Collateral), as the same may be amended from time to time pursuant to the provisions of this Indenture, the Second Lien Collateral Trust Agreement, the First Lien/Second Lien Intercreditor Agreement and the Security Documents.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660"/>
          </w:cols>
          <w:pgMar w:left="580" w:top="266" w:right="659" w:bottom="1440" w:gutter="0" w:footer="0" w:header="0"/>
        </w:sectPr>
      </w:pPr>
    </w:p>
    <w:bookmarkStart w:id="169" w:name="page170"/>
    <w:bookmarkEnd w:id="169"/>
    <w:tbl>
      <w:tblPr>
        <w:tblLayout w:type="fixed"/>
        <w:tblInd w:w="42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Second Lien Collateral Trust Agreement, First Lien/Second Lien Intercreditor Agreement and any Other Approved</w:t>
            </w:r>
          </w:p>
        </w:tc>
      </w:tr>
      <w:tr>
        <w:trPr>
          <w:trHeight w:val="190"/>
        </w:trPr>
        <w:tc>
          <w:tcPr>
            <w:tcW w:w="9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6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Intercreditor Agreement.</w:t>
            </w: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right="200" w:firstLine="965"/>
        <w:spacing w:after="0" w:line="247"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Trustee and each Holder, by its acceptance of the Notes, hereby acknowledges that the Liens and security interests securing the Obligations on the Notes, the exercise of any right or remedy by the Second Lien Collateral Trustee under the Security Documents or with respect thereto, and certain rights of the parties thereto are subject to the provisions of the Second Lien Collateral Trust Agreement, the First Lien/Second Lien Intercreditor Agreement and any other applicable Approved Intercreditor Agreement that has been entered into by the Trustee and Second Lien Collateral Trustee pursuant to the terms hereof. In the event of any conflict between the terms of the Second Lien Collateral Trust Agreement, the First Lien/Second Lien Intercreditor Agreement or any such Approved Intercreditor Agreement and the terms of this Indenture or any Security Document, the terms of the Second Lien Collateral Trust Agreement, the First Lien/Second Lien Intercreditor Agreement and any such applicable Approved Intercreditor Agreement shall govern and control.</w:t>
      </w:r>
    </w:p>
    <w:p>
      <w:pPr>
        <w:spacing w:after="0" w:line="188" w:lineRule="exact"/>
        <w:rPr>
          <w:sz w:val="20"/>
          <w:szCs w:val="20"/>
          <w:color w:val="auto"/>
        </w:rPr>
      </w:pPr>
    </w:p>
    <w:p>
      <w:pPr>
        <w:ind w:right="20" w:firstLine="965"/>
        <w:spacing w:after="0" w:line="283" w:lineRule="auto"/>
        <w:rPr>
          <w:sz w:val="20"/>
          <w:szCs w:val="20"/>
          <w:color w:val="auto"/>
        </w:rPr>
      </w:pPr>
      <w:r>
        <w:rPr>
          <w:rFonts w:ascii="Times New Roman" w:cs="Times New Roman" w:eastAsia="Times New Roman" w:hAnsi="Times New Roman"/>
          <w:sz w:val="16"/>
          <w:szCs w:val="16"/>
          <w:color w:val="auto"/>
        </w:rPr>
        <w:t>In furtherance of the foregoing, notwithstanding anything herein to the contrary, (i) the liens and security interests granted to the Second Lien Collateral Trustee are expressly subject and subordinate to the liens and security interests granted in favor of the First Priority Secured Parties (as defined in the First Lien/Second Lien Intercreditor Agreement), including liens and security interests granted to (a) the Exchange Credit Agreement Agent under the Exchange Credit Agreement or (b) Alter Domus Products Corp., as administrative agent under the 2017 Credit Agreement, and (ii) the exercise of any right or remedy by the Second Lien Collateral Trustee or any other secured party hereunder is subject to the limitations and provisions of the First Lien/Second Lien Intercreditor Agreement. In the event of any conflict between the terms of the First Lien/Second Lien Intercreditor Agreement and the terms this Indenture, the terms of the First Lien/Second Lien Intercreditor Agreement shall govern.</w:t>
      </w:r>
    </w:p>
    <w:p>
      <w:pPr>
        <w:spacing w:after="0" w:line="19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12.03</w:t>
      </w:r>
      <w:r>
        <w:rPr>
          <w:sz w:val="20"/>
          <w:szCs w:val="20"/>
          <w:color w:val="auto"/>
        </w:rPr>
        <w:tab/>
      </w:r>
      <w:r>
        <w:rPr>
          <w:rFonts w:ascii="Times New Roman" w:cs="Times New Roman" w:eastAsia="Times New Roman" w:hAnsi="Times New Roman"/>
          <w:sz w:val="16"/>
          <w:szCs w:val="16"/>
          <w:u w:val="single" w:color="auto"/>
          <w:color w:val="auto"/>
        </w:rPr>
        <w:t>Second Lien Collateral Trustee</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jc w:val="both"/>
        <w:ind w:firstLine="967"/>
        <w:spacing w:after="0" w:line="252" w:lineRule="auto"/>
        <w:tabs>
          <w:tab w:leader="none" w:pos="120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each Holder, by its acceptance of the Notes, hereby acknowledge and agree that pursuant to the Second Lien Collateral Trust Agreement, the Second Lien Collateral Trustee shall hold (directly or through co-trustees or agents) in trust for the benefit of all current and future Second Priority Secured Parties a security interest in the Collateral granted to the Second Lien Collateral Trustee pursuant to the applicable Security Document.</w:t>
      </w:r>
    </w:p>
    <w:p>
      <w:pPr>
        <w:spacing w:after="0" w:line="76" w:lineRule="exact"/>
        <w:rPr>
          <w:rFonts w:ascii="Times New Roman" w:cs="Times New Roman" w:eastAsia="Times New Roman" w:hAnsi="Times New Roman"/>
          <w:sz w:val="18"/>
          <w:szCs w:val="18"/>
          <w:color w:val="auto"/>
        </w:rPr>
      </w:pPr>
    </w:p>
    <w:p>
      <w:pPr>
        <w:ind w:right="440" w:firstLine="967"/>
        <w:spacing w:after="0" w:line="285" w:lineRule="auto"/>
        <w:tabs>
          <w:tab w:leader="none" w:pos="1213"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by its acceptance of the Notes (i) appoints Ankura Trust Company, LLC to act on its behalf as second lien collateral trustee under the Security Documents, the First Lien/Second Lien Intercreditor Agreement and the Second Lien Collateral Trust Agreement,</w:t>
      </w:r>
    </w:p>
    <w:p>
      <w:pPr>
        <w:spacing w:after="0" w:line="1" w:lineRule="exact"/>
        <w:rPr>
          <w:rFonts w:ascii="Times New Roman" w:cs="Times New Roman" w:eastAsia="Times New Roman" w:hAnsi="Times New Roman"/>
          <w:sz w:val="16"/>
          <w:szCs w:val="16"/>
          <w:color w:val="auto"/>
        </w:rPr>
      </w:pPr>
    </w:p>
    <w:p>
      <w:pPr>
        <w:ind w:right="80" w:firstLine="1"/>
        <w:spacing w:after="0" w:line="244" w:lineRule="auto"/>
        <w:tabs>
          <w:tab w:leader="none" w:pos="25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and directs the Second Lien Collateral Trustee, and the Trustee if applicable, to enter into the Security Documents, the Second Lien Collateral Trust Agreement and the First Lien/Second Lien Intercreditor Agreement and to perform its obligations and exercise its rights thereunder in accordance therewith, (iii) authorizes the Trustee to direct the Second Lien Collateral Trustee to take such actions on its behalf and to exercise such powers as are delegated to the Second Lien Collateral Trustee by the terms of the Security Documents, the Second Lien Collateral Trust Agreement and the First Lien/Second Lien Intercreditor Agreement, including for the purposes of acquiring, holding and enforcing any and all Liens on Collateral granted by the Company and Guarantors thereunder to secure the Secured Obligations, together with such powers and discretion as are reasonably incidental thereto and (iv) authorizes the Second Lien Collateral Trustee to release or subordinate any Lien granted to or held by the Second Lien Collateral Trustee upon any Collateral as provided in this Indenture, the Second Lien Collateral Trust Agreement, the First Lien/Second Lien Intercreditor Agreement, any other Approved Intercreditor Agreement or the Security Documents. In the case of any Security Documents or any other Approved Intercreditor Agreement (or any amendment or supplement thereof) to be entered into after the Issue Date, the Trustee or the Second Lien Collateral Trustee, as applicable, shall execute and enter into such document in accordance with, and upon receipt of a Security Document Order, as set forth in Section 12.03(f) hereof, in addition to any other requirements herein and therein. It is hereby expressly acknowledged and agreed that, in doing so, the Trustee and the Second Lien Collateral Trustee are not responsible for the terms or contents of such agreements, or for the validity or enforceability thereof, or the sufficiency thereof for any purpose. Whether or not so expressly stated therein, in entering into, or taking (or forbearing from) any action under, the Second Lien Collateral Trust Agreement, the First Lien/Second Lien Intercreditor Agreement, any other Approved Intercreditor Agreement or any other Security Documents, the Trustee and the Second Lien Collateral Trustee each shall have all of the rights, privileges, benefits, immunities, indemnities and other protections granted to it under this Indenture (in addition to those that may be granted to it under the terms of such other agreement or agreements).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720"/>
          </w:cols>
          <w:pgMar w:left="580" w:top="248" w:right="599" w:bottom="1440" w:gutter="0" w:footer="0" w:header="0"/>
        </w:sectPr>
      </w:pPr>
    </w:p>
    <w:bookmarkStart w:id="170" w:name="page171"/>
    <w:bookmarkEnd w:id="170"/>
    <w:p>
      <w:pPr>
        <w:ind w:right="60" w:firstLine="967"/>
        <w:spacing w:after="0" w:line="249" w:lineRule="auto"/>
        <w:tabs>
          <w:tab w:leader="none" w:pos="12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hereby appoints Ankura Trust Company, LLC (and any co-agents, sub-agents or attorneys-in-fact appointed by the Second Lien Collateral Trustee (and which shall be entitled to the benefit of the provisions of the Second Lien Collateral Trust Agreement)) to serve as second lien collateral trustee on behalf of the Second Priority Secured Parties under the Second Lien Collateral Trust Agreement, the First Lien/Second Lien Intercreditor Agreement and the Security Documents as provided therein, with the privileges, powers and immunities as set forth therein and in the Security Documents.</w:t>
      </w:r>
    </w:p>
    <w:p>
      <w:pPr>
        <w:spacing w:after="0" w:line="82"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the Guarantors or any of their respective Affiliates may serve as Second Lien Collateral Trustee.</w:t>
      </w:r>
    </w:p>
    <w:p>
      <w:pPr>
        <w:spacing w:after="0" w:line="108" w:lineRule="exact"/>
        <w:rPr>
          <w:rFonts w:ascii="Times New Roman" w:cs="Times New Roman" w:eastAsia="Times New Roman" w:hAnsi="Times New Roman"/>
          <w:sz w:val="18"/>
          <w:szCs w:val="18"/>
          <w:color w:val="auto"/>
        </w:rPr>
      </w:pPr>
    </w:p>
    <w:p>
      <w:pPr>
        <w:jc w:val="both"/>
        <w:ind w:right="60" w:firstLine="967"/>
        <w:spacing w:after="0" w:line="252" w:lineRule="auto"/>
        <w:tabs>
          <w:tab w:leader="none" w:pos="120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by its acceptance of the Notes, (i) authorize the Second Lien Collateral Trustee (and the Trustee if applicable) to enter into any Approved Intercreditor Agreement (and, subject to Section 12.03(f) hereof, any amendments, amendments and restatements, restatements or waivers of or supplements to or other modifications to, and extensions, restructuring, renewals, replacements of, such agreements) and (ii) acknowledge that each Approved Intercreditor Agreement is (if entered into) binding upon them.</w:t>
      </w:r>
    </w:p>
    <w:p>
      <w:pPr>
        <w:spacing w:after="0" w:line="76" w:lineRule="exact"/>
        <w:rPr>
          <w:rFonts w:ascii="Times New Roman" w:cs="Times New Roman" w:eastAsia="Times New Roman" w:hAnsi="Times New Roman"/>
          <w:sz w:val="18"/>
          <w:szCs w:val="18"/>
          <w:color w:val="auto"/>
        </w:rPr>
      </w:pPr>
    </w:p>
    <w:p>
      <w:pPr>
        <w:ind w:right="20" w:firstLine="967"/>
        <w:spacing w:after="0" w:line="245" w:lineRule="auto"/>
        <w:tabs>
          <w:tab w:leader="none" w:pos="11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receipt by the Second Lien Collateral Trustee of a written request of the Company signed by an Officer of the Company (a “Security Document Order”), in connection with actions permitted under this Indenture, the Second Lien Collateral Trust Agreement, the First Lien/Second Lien Intercreditor Agreement and any other applicable Approved Intercreditor Agreement, the Second Lien Collateral Trustee is hereby authorized to execute and enter into, and shall execute and enter into (without any obligation to review or negotiate the terms of such document), without the further consent of any Holder or the Trustee, any Security Document or amendment or supplement thereto to be executed after the Issue Date; provided that (1) such Security Document, amendment, or supplement is authorized and permitted under this Indenture or any other Note Document and (2) the Second Lien Collateral Trustee shall not be required to execute or enter into any such Security Document which, in the Second Lien Collateral Trustee’s reasonable opinion is reasonably likely to adversely affect the rights, duties, liabilities or immunities of the Second Lien Collateral Trustee or that the Second Lien Collateral Trustee determines is reasonably likely to involve the Second Lien Collateral Trustee in personal liability. Such Security Document Order (which may be included in the Officer’s Certificate referred to below) shall (A) state that it is being delivered to the Second Lien Collateral Trustee pursuant to, and is a Security Document Order referred to in, this Section 12.03(f), (B) certify that the action and execution of documents being requested in such Security Document Order is authorized and permitted under this Indenture or any other Note Document and (C) instruct the Second Lien Collateral Trustee to execute and enter into such Security Document. Other than as set forth in this Indenture, any such execution of a Security Document shall be at the direction and expense of the Company, upon delivery to the Second Lien Collateral Trustee of an Officer’s Certificate and Opinion of Counsel stating that such Security Document, amendment, or supplement is authorized and permitted under this Indenture or any other Note Document and that all conditions precedent to the execution and delivery of the Security Document have been satisfied. The Holders, by their acceptance of the Notes, hereby authorize and direct the Second Lien Collateral Trustee to execute such Security Documents (subject to the first sentence of this Section 12.03(f)).</w:t>
      </w:r>
    </w:p>
    <w:p>
      <w:pPr>
        <w:spacing w:after="0" w:line="219"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12.04</w:t>
      </w:r>
      <w:r>
        <w:rPr>
          <w:sz w:val="20"/>
          <w:szCs w:val="20"/>
          <w:color w:val="auto"/>
        </w:rPr>
        <w:tab/>
      </w:r>
      <w:r>
        <w:rPr>
          <w:rFonts w:ascii="Times New Roman" w:cs="Times New Roman" w:eastAsia="Times New Roman" w:hAnsi="Times New Roman"/>
          <w:sz w:val="16"/>
          <w:szCs w:val="16"/>
          <w:u w:val="single" w:color="auto"/>
          <w:color w:val="auto"/>
        </w:rPr>
        <w:t>Collateral Shared Equally and Ratably</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65"/>
        <w:spacing w:after="0" w:line="248" w:lineRule="auto"/>
        <w:rPr>
          <w:sz w:val="20"/>
          <w:szCs w:val="20"/>
          <w:color w:val="auto"/>
        </w:rPr>
      </w:pPr>
      <w:r>
        <w:rPr>
          <w:rFonts w:ascii="Times New Roman" w:cs="Times New Roman" w:eastAsia="Times New Roman" w:hAnsi="Times New Roman"/>
          <w:sz w:val="18"/>
          <w:szCs w:val="18"/>
          <w:color w:val="auto"/>
        </w:rPr>
        <w:t>Subject to the applicable provisions in the Second Lien Collateral Trust Agreement and the First Lien/Second Lien Intercreditor Agreement, the payment and satisfaction of all of the Obligations under the Note Documents shall be secured equally and ratably by the Liens on the Company’s and the Guarantors’ right, title and interest in the Collateral established in favor of the Second Lien Collateral Trustee for the benefit of the Second Priority Secured Parties pursuant to the Security Documents, the First Lien/Second Lien Intercreditor Agreement and the Second Lien Collateral Trust Agreement and all such Liens will be enforceable by the Second Lien Collateral Trustee for the benefit of all Second Priority Secured Parties equally and ratably.</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12.05</w:t>
      </w:r>
      <w:r>
        <w:rPr>
          <w:sz w:val="20"/>
          <w:szCs w:val="20"/>
          <w:color w:val="auto"/>
        </w:rPr>
        <w:tab/>
      </w:r>
      <w:r>
        <w:rPr>
          <w:rFonts w:ascii="Times New Roman" w:cs="Times New Roman" w:eastAsia="Times New Roman" w:hAnsi="Times New Roman"/>
          <w:sz w:val="16"/>
          <w:szCs w:val="16"/>
          <w:u w:val="single" w:color="auto"/>
          <w:color w:val="auto"/>
        </w:rPr>
        <w:t>Release of Liens on Collateral</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40" w:firstLine="967"/>
        <w:spacing w:after="0" w:line="268" w:lineRule="auto"/>
        <w:tabs>
          <w:tab w:leader="none" w:pos="120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securing the Obligations under the Note Documents will automatically and without the need for any further action by any Person be released in any of the following circumstances:</w:t>
      </w:r>
    </w:p>
    <w:p>
      <w:pPr>
        <w:spacing w:after="0" w:line="63" w:lineRule="exact"/>
        <w:rPr>
          <w:rFonts w:ascii="Times New Roman" w:cs="Times New Roman" w:eastAsia="Times New Roman" w:hAnsi="Times New Roman"/>
          <w:sz w:val="18"/>
          <w:szCs w:val="18"/>
          <w:color w:val="auto"/>
        </w:rPr>
      </w:pPr>
    </w:p>
    <w:p>
      <w:pPr>
        <w:ind w:left="960" w:firstLine="397"/>
        <w:spacing w:after="0" w:line="268" w:lineRule="auto"/>
        <w:tabs>
          <w:tab w:leader="none" w:pos="155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as to any portion of property subject to such Liens which has been taken by eminent domain, condemnation or other similar circumstances or that is or becomes Excluded Property;</w:t>
      </w:r>
    </w:p>
    <w:p>
      <w:pPr>
        <w:spacing w:after="0" w:line="63" w:lineRule="exact"/>
        <w:rPr>
          <w:rFonts w:ascii="Times New Roman" w:cs="Times New Roman" w:eastAsia="Times New Roman" w:hAnsi="Times New Roman"/>
          <w:sz w:val="18"/>
          <w:szCs w:val="18"/>
          <w:color w:val="auto"/>
        </w:rPr>
      </w:pPr>
    </w:p>
    <w:p>
      <w:pPr>
        <w:ind w:left="1620" w:hanging="263"/>
        <w:spacing w:after="0"/>
        <w:tabs>
          <w:tab w:leader="none" w:pos="16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720"/>
          </w:cols>
          <w:pgMar w:left="580" w:top="266" w:right="599" w:bottom="1440" w:gutter="0" w:footer="0" w:header="0"/>
        </w:sectPr>
      </w:pPr>
    </w:p>
    <w:bookmarkStart w:id="171" w:name="page172"/>
    <w:bookmarkEnd w:id="171"/>
    <w:p>
      <w:pPr>
        <w:ind w:left="2060" w:hanging="291"/>
        <w:spacing w:after="0"/>
        <w:tabs>
          <w:tab w:leader="none" w:pos="206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satisfaction and discharge of this Indenture pursuant to Article Eleven hereof; or</w:t>
      </w:r>
    </w:p>
    <w:p>
      <w:pPr>
        <w:spacing w:after="0" w:line="108" w:lineRule="exact"/>
        <w:rPr>
          <w:rFonts w:ascii="Times New Roman" w:cs="Times New Roman" w:eastAsia="Times New Roman" w:hAnsi="Times New Roman"/>
          <w:sz w:val="18"/>
          <w:szCs w:val="18"/>
          <w:color w:val="auto"/>
        </w:rPr>
      </w:pPr>
    </w:p>
    <w:p>
      <w:pPr>
        <w:ind w:left="2040" w:hanging="271"/>
        <w:spacing w:after="0"/>
        <w:tabs>
          <w:tab w:leader="none" w:pos="204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defeasance or covenant defeasance of this Indenture pursuant to Article Eight hereof;</w:t>
      </w:r>
    </w:p>
    <w:p>
      <w:pPr>
        <w:spacing w:after="0" w:line="108" w:lineRule="exact"/>
        <w:rPr>
          <w:rFonts w:ascii="Times New Roman" w:cs="Times New Roman" w:eastAsia="Times New Roman" w:hAnsi="Times New Roman"/>
          <w:sz w:val="18"/>
          <w:szCs w:val="18"/>
          <w:color w:val="auto"/>
        </w:rPr>
      </w:pPr>
    </w:p>
    <w:p>
      <w:pPr>
        <w:ind w:left="960" w:right="40" w:firstLine="397"/>
        <w:spacing w:after="0" w:line="285" w:lineRule="auto"/>
        <w:tabs>
          <w:tab w:leader="none" w:pos="1657"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part, as to any property that (a) is sold, transferred or otherwise disposed of by the Company or any Guarantor (other than to the Company or another Guarantor) in a transaction not prohibited by this Indenture and the Security Documents at the time of such sale, transfer or disposition or in connection with any exercise of remedies pursuant to this Indenture, the Security Documents the Second Lien Collateral Trust Agreement, the other Security Documents or the First Lien/Second Lien Intercreditor Agreement or (b) is owned or at any time acquired by a Guarantor that has been released from its Guarantee in accordance with this Indenture, concurrently with the release of such Guarantee (including in connection with the designation of a Guarantor as an Unrestricted Subsidiary);</w:t>
      </w:r>
    </w:p>
    <w:p>
      <w:pPr>
        <w:spacing w:after="0" w:line="56" w:lineRule="exact"/>
        <w:rPr>
          <w:rFonts w:ascii="Times New Roman" w:cs="Times New Roman" w:eastAsia="Times New Roman" w:hAnsi="Times New Roman"/>
          <w:sz w:val="16"/>
          <w:szCs w:val="16"/>
          <w:color w:val="auto"/>
        </w:rPr>
      </w:pPr>
    </w:p>
    <w:p>
      <w:pPr>
        <w:ind w:left="960" w:right="120" w:firstLine="397"/>
        <w:spacing w:after="0" w:line="256" w:lineRule="auto"/>
        <w:tabs>
          <w:tab w:leader="none" w:pos="164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pursuant to an Act of Required Secured Parties under the Second Lien Collateral Trust Agreement and upon delivery of instructions and any other documentation, in each case as required by this Indenture, the Second Lien Collateral Trust Agreement and the Security Documents;</w:t>
      </w:r>
    </w:p>
    <w:p>
      <w:pPr>
        <w:spacing w:after="0" w:line="73" w:lineRule="exact"/>
        <w:rPr>
          <w:rFonts w:ascii="Times New Roman" w:cs="Times New Roman" w:eastAsia="Times New Roman" w:hAnsi="Times New Roman"/>
          <w:sz w:val="18"/>
          <w:szCs w:val="18"/>
          <w:color w:val="auto"/>
        </w:rPr>
      </w:pPr>
    </w:p>
    <w:p>
      <w:pPr>
        <w:ind w:left="960" w:firstLine="397"/>
        <w:spacing w:after="0" w:line="249" w:lineRule="auto"/>
        <w:tabs>
          <w:tab w:leader="none" w:pos="1598"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asset constituting Collateral if all other Liens on that asset securing First Lien Secured Obligations and any other Second Lien Secured Obligations then secured by that asset (including commitments thereunder) are released or will be released simultaneously therewith, other than by reason of the payment under or termination of any such First Lien Secured Obligations and other Second Lien Secured Obligations to the extent set forth in the Security Documents, the Second Lien Collateral Trust Agreement, and the First Lien/Second Lien Intercreditor Agreement; and</w:t>
      </w:r>
    </w:p>
    <w:p>
      <w:pPr>
        <w:spacing w:after="0" w:line="82" w:lineRule="exact"/>
        <w:rPr>
          <w:rFonts w:ascii="Times New Roman" w:cs="Times New Roman" w:eastAsia="Times New Roman" w:hAnsi="Times New Roman"/>
          <w:sz w:val="18"/>
          <w:szCs w:val="18"/>
          <w:color w:val="auto"/>
        </w:rPr>
      </w:pPr>
    </w:p>
    <w:p>
      <w:pPr>
        <w:ind w:left="960" w:right="280" w:firstLine="397"/>
        <w:spacing w:after="0" w:line="268" w:lineRule="auto"/>
        <w:tabs>
          <w:tab w:leader="none" w:pos="164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in accordance with the applicable provisions of the Security Documents, the Second Lien Collateral Trust Agreement and the First Lien/Second Lien Intercreditor Agreement.</w:t>
      </w:r>
    </w:p>
    <w:p>
      <w:pPr>
        <w:spacing w:after="0" w:line="63" w:lineRule="exact"/>
        <w:rPr>
          <w:rFonts w:ascii="Times New Roman" w:cs="Times New Roman" w:eastAsia="Times New Roman" w:hAnsi="Times New Roman"/>
          <w:sz w:val="18"/>
          <w:szCs w:val="18"/>
          <w:color w:val="auto"/>
        </w:rPr>
      </w:pPr>
    </w:p>
    <w:p>
      <w:pPr>
        <w:ind w:right="40" w:firstLine="967"/>
        <w:spacing w:after="0" w:line="252" w:lineRule="auto"/>
        <w:tabs>
          <w:tab w:leader="none" w:pos="121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Guarantor shall be automatically released from its obligations under the Second Lien Collateral Trust Agreement, the First Lien/Second Lien Intercreditor Agreement and the other Security Documents and the Second Lien Collateral Trustee’s Liens upon the Collateral of such Guarantor and the Capital Stock or other Equity Interests of such Guarantor shall be automatically released if such Guarantor ceases to be a Restricted Subsidiary.</w:t>
      </w:r>
    </w:p>
    <w:p>
      <w:pPr>
        <w:spacing w:after="0" w:line="182"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18"/>
          <w:szCs w:val="18"/>
          <w:color w:val="auto"/>
        </w:rPr>
        <w:t>Notwithstanding anything to the contrary herein, at the request and expense of the Company, the Second Lien Collateral Trustee is irrevocably authorized by the Trustee and each Holder, by its acceptance of the Notes, to:</w:t>
      </w:r>
    </w:p>
    <w:p>
      <w:pPr>
        <w:spacing w:after="0" w:line="63" w:lineRule="exact"/>
        <w:rPr>
          <w:sz w:val="20"/>
          <w:szCs w:val="20"/>
          <w:color w:val="auto"/>
        </w:rPr>
      </w:pPr>
    </w:p>
    <w:p>
      <w:pPr>
        <w:ind w:left="440" w:right="860" w:firstLine="402"/>
        <w:spacing w:after="0" w:line="268" w:lineRule="auto"/>
        <w:tabs>
          <w:tab w:leader="none" w:pos="11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its Lien on any property in connection with the incurrence of any Indebtedness pursuant to clauses (iv) or (xx) of Section 4.09(b)); and</w:t>
      </w:r>
    </w:p>
    <w:p>
      <w:pPr>
        <w:spacing w:after="0" w:line="63" w:lineRule="exact"/>
        <w:rPr>
          <w:rFonts w:ascii="Times New Roman" w:cs="Times New Roman" w:eastAsia="Times New Roman" w:hAnsi="Times New Roman"/>
          <w:sz w:val="18"/>
          <w:szCs w:val="18"/>
          <w:color w:val="auto"/>
        </w:rPr>
      </w:pPr>
    </w:p>
    <w:p>
      <w:pPr>
        <w:ind w:left="440" w:right="160" w:firstLine="402"/>
        <w:spacing w:after="0" w:line="268" w:lineRule="auto"/>
        <w:tabs>
          <w:tab w:leader="none" w:pos="11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its Lien on any property to the holder of any Lien on such property that is permitted by clause (3) or (4) of the definition of “Permitted Liens” or with respect to which an Act of Required Secured Parties has been obtained.</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12.06</w:t>
      </w:r>
      <w:r>
        <w:rPr>
          <w:sz w:val="20"/>
          <w:szCs w:val="20"/>
          <w:color w:val="auto"/>
        </w:rPr>
        <w:tab/>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20" w:firstLine="965"/>
        <w:spacing w:after="0" w:line="283" w:lineRule="auto"/>
        <w:rPr>
          <w:sz w:val="20"/>
          <w:szCs w:val="20"/>
          <w:color w:val="auto"/>
        </w:rPr>
      </w:pPr>
      <w:r>
        <w:rPr>
          <w:rFonts w:ascii="Times New Roman" w:cs="Times New Roman" w:eastAsia="Times New Roman" w:hAnsi="Times New Roman"/>
          <w:sz w:val="16"/>
          <w:szCs w:val="16"/>
          <w:color w:val="auto"/>
        </w:rPr>
        <w:t>Subject to the terms of the Security Documents, the Company and each of the Guarantors will do or cause to be done all acts and things that may be required, or that the Second Lien Collateral Trustee from time to time may reasonably request, to assure and confirm that the Second Lien Collateral Trustee holds, for the benefit of the Second Priority Secured Parties, duly created and enforceable and perfected Liens (subject to Permitted Liens and the terms of this Indenture, the Second Lien Collateral Trust Agreement and the First Lien/Second Lien Intercreditor Agreement) upon the Company’s and each Guarantor’s right, title and interest in the Collateral (including any property or assets of the Company or Guarantors that are acquired or otherwise become Collateral after the Notes are issued), in each case, as contemplated by, and in accordance with the Lien priority required under, this Indenture, the Security Documents, the Second Lien Collateral Trust Agreement and the First Lien/Second Lien Intercreditor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20"/>
          </w:cols>
          <w:pgMar w:left="580" w:top="266" w:right="599" w:bottom="1440" w:gutter="0" w:footer="0" w:header="0"/>
        </w:sectPr>
      </w:pPr>
    </w:p>
    <w:bookmarkStart w:id="172" w:name="page173"/>
    <w:bookmarkEnd w:id="172"/>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12.07</w:t>
      </w:r>
      <w:r>
        <w:rPr>
          <w:sz w:val="20"/>
          <w:szCs w:val="20"/>
          <w:color w:val="auto"/>
        </w:rPr>
        <w:tab/>
      </w:r>
      <w:r>
        <w:rPr>
          <w:rFonts w:ascii="Times New Roman" w:cs="Times New Roman" w:eastAsia="Times New Roman" w:hAnsi="Times New Roman"/>
          <w:sz w:val="16"/>
          <w:szCs w:val="16"/>
          <w:u w:val="single" w:color="auto"/>
          <w:color w:val="auto"/>
        </w:rPr>
        <w:t>Certain Real Estate Deliverables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67"/>
        <w:spacing w:after="0" w:line="256" w:lineRule="auto"/>
        <w:tabs>
          <w:tab w:leader="none" w:pos="120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and will cause each applicable Guarantor to, no later than 120 days (or a later date approved by the Second Lien Collateral Trustee (provided such later date shall be deemed approved if the Exchange Credit Agreement Agent is also extending such time period under the Exchange Credit Agreement)) after the Issue Date, deliver to the Second Lien Collateral Trustee:</w:t>
      </w:r>
    </w:p>
    <w:p>
      <w:pPr>
        <w:spacing w:after="0" w:line="73" w:lineRule="exact"/>
        <w:rPr>
          <w:rFonts w:ascii="Times New Roman" w:cs="Times New Roman" w:eastAsia="Times New Roman" w:hAnsi="Times New Roman"/>
          <w:sz w:val="18"/>
          <w:szCs w:val="18"/>
          <w:color w:val="auto"/>
        </w:rPr>
      </w:pPr>
    </w:p>
    <w:p>
      <w:pPr>
        <w:ind w:left="960" w:firstLine="397"/>
        <w:spacing w:after="0" w:line="247" w:lineRule="auto"/>
        <w:tabs>
          <w:tab w:leader="none" w:pos="1559"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Local Counsel</w:t>
      </w:r>
      <w:r>
        <w:rPr>
          <w:rFonts w:ascii="Times New Roman" w:cs="Times New Roman" w:eastAsia="Times New Roman" w:hAnsi="Times New Roman"/>
          <w:sz w:val="18"/>
          <w:szCs w:val="18"/>
          <w:color w:val="auto"/>
        </w:rPr>
        <w:t>. Opinions of local counsel in the respective jurisdictions in which the properties covered by the Mortgages are located, regarding the enforceability of such Mortgages, and to the extent not covered in such local counsel opinions, opinions of the Company’s or Guarantor’s counsel regarding the due authorization, execution and delivery of the Mortgages, in each case reasonably satisfactory in form and substance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opinions shall be deemed satisfactory if such opinions are substantially similar to the comparable opinions provided under the Exchange Credit Agreement and otherwise satisfactory to the Exchange Credit Agreement Agent, subject to factual changes necessary to reflect the Second Lien Secured Obligations and the Note Documents) (and the Company for itself and on behalf of each Guarantor hereby instructs such counsel to deliver such opinion(s) to the Second Lien Collateral Trustee).</w:t>
      </w:r>
    </w:p>
    <w:p>
      <w:pPr>
        <w:spacing w:after="0" w:line="83" w:lineRule="exact"/>
        <w:rPr>
          <w:rFonts w:ascii="Times New Roman" w:cs="Times New Roman" w:eastAsia="Times New Roman" w:hAnsi="Times New Roman"/>
          <w:sz w:val="18"/>
          <w:szCs w:val="18"/>
          <w:color w:val="auto"/>
        </w:rPr>
      </w:pPr>
    </w:p>
    <w:p>
      <w:pPr>
        <w:ind w:left="960" w:right="80" w:firstLine="397"/>
        <w:spacing w:after="0" w:line="247" w:lineRule="auto"/>
        <w:tabs>
          <w:tab w:leader="none" w:pos="160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Mortgages and Title Insurance</w:t>
      </w:r>
      <w:r>
        <w:rPr>
          <w:rFonts w:ascii="Times New Roman" w:cs="Times New Roman" w:eastAsia="Times New Roman" w:hAnsi="Times New Roman"/>
          <w:sz w:val="18"/>
          <w:szCs w:val="18"/>
          <w:color w:val="auto"/>
        </w:rPr>
        <w:t>. The following documents, each of which shall be executed (and, where appropriate, acknowledged) by Persons satisfactory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Persons shall be deemed satisfactory if such Persons are otherwise satisfactory to the Exchange Credit Agreement Agent for the comparable documents to be delivered under the Exchange Credit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deliver the following documents for any property that is a Material Real Property if doing so would result in costs (administrative or otherwise) that, in the determination of the Second Lien Collateral Trustee in its sole and absolute discretion, would be materially disproportionate to the benefit obtained thereby (provided that such costs shall be deemed materially disproportionate if such costs are deemed materially disproportionate by the Exchange Credit Agreement Agent and not required to be delivered under the Exchange Credit Agreement):</w:t>
      </w:r>
    </w:p>
    <w:p>
      <w:pPr>
        <w:spacing w:after="0" w:line="83" w:lineRule="exact"/>
        <w:rPr>
          <w:rFonts w:ascii="Times New Roman" w:cs="Times New Roman" w:eastAsia="Times New Roman" w:hAnsi="Times New Roman"/>
          <w:sz w:val="18"/>
          <w:szCs w:val="18"/>
          <w:color w:val="auto"/>
        </w:rPr>
      </w:pPr>
    </w:p>
    <w:p>
      <w:pPr>
        <w:ind w:left="1400" w:right="20" w:firstLine="369"/>
        <w:spacing w:after="0" w:line="246" w:lineRule="auto"/>
        <w:tabs>
          <w:tab w:leader="none" w:pos="2060"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Material Real Property, Mortgages in form and substance reasonably satisfactory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Mortgages shall be deemed satisfactory if such Mortgages are substantially similar to the comparable Mortgage provided under the Exchange Credit Agreement which are otherwise satisfactory to the Exchange Credit Agreement Agent, subject to factual changes necessary to reflect the Second Lien Secured Obligations and the Note Documents), duly executed (and, where appropriate in the applicable jurisdiction, acknowledged) and delivered by the Company or such Guarantor, as the case may be, in recordable form (in such number of copies as the Second Lien Collateral Trustee shall have requested) and, to the extent necessary with respect to any leasehold property to be subject to a Mortgage, use commercially reasonable efforts by the Company to obtain consents of the respective landlords with respect to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consents shall be deemed satisfactory if deemed satisfactory to the Exchange Credit Agreement Agent under the Exchange Credit Agreement) and, to the extent necessary under applicable law, for filing in the appropriate county land office(s), UCC financing statements covering fixtures, in each case appropriately completed (the “</w:t>
      </w:r>
      <w:r>
        <w:rPr>
          <w:rFonts w:ascii="Times New Roman" w:cs="Times New Roman" w:eastAsia="Times New Roman" w:hAnsi="Times New Roman"/>
          <w:sz w:val="18"/>
          <w:szCs w:val="18"/>
          <w:u w:val="single" w:color="auto"/>
          <w:color w:val="auto"/>
        </w:rPr>
        <w:t>Fixture Filings</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ind w:left="1400" w:firstLine="369"/>
        <w:spacing w:after="0" w:line="282" w:lineRule="auto"/>
        <w:tabs>
          <w:tab w:leader="none" w:pos="2051" w:val="left"/>
        </w:tabs>
        <w:numPr>
          <w:ilvl w:val="2"/>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ALTA mortgagee policies of title insurance on forms of and issued by one or more title companies satisfactory to the Second Lien Collateral Trustee (the “</w:t>
      </w:r>
      <w:r>
        <w:rPr>
          <w:rFonts w:ascii="Times New Roman" w:cs="Times New Roman" w:eastAsia="Times New Roman" w:hAnsi="Times New Roman"/>
          <w:sz w:val="16"/>
          <w:szCs w:val="16"/>
          <w:u w:val="single" w:color="auto"/>
          <w:color w:val="auto"/>
        </w:rPr>
        <w:t>Title Companies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Title Companies shall be deemed satisfactory if such Title Companies are otherwise satisfactory to the Exchange Credit Agreement Agent under the Exchange Credit Agreement), insuring the validity and second lien priority of the Liens created under such Mortgages (as they may be amended) for and in amounts satisfactory to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amounts shall be deemed satisfactory if such amounts are otherwise satisfactory to the Exchange Credit Agreement Agent under the Exchange Credit Agreement), subject only to such exceptions as are satisfactory to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exceptions shall be deemed satisfactory if such exceptions are otherwise satisfactory to the Exchange Credit Agreement Agent under the Exchange Credit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20"/>
          </w:cols>
          <w:pgMar w:left="580" w:top="266" w:right="599" w:bottom="1440" w:gutter="0" w:footer="0" w:header="0"/>
        </w:sectPr>
      </w:pPr>
    </w:p>
    <w:bookmarkStart w:id="173" w:name="page174"/>
    <w:bookmarkEnd w:id="173"/>
    <w:p>
      <w:pPr>
        <w:ind w:left="54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Agreement) and to the terms of the First Lien/Second Lien Intercreditor Agreement; each such title policy shall contain: (A) full coverage against mechanics’ liens (filed and inchoate) or such surety bonds or other additional collateral as may be satisfactory to the Second Lien Collateral Trustee in its sole discretion in lieu of such coverage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surety bonds or other additional collateral shall be deemed satisfactory if such other surety bonds or other additional collateral are otherwise satisfactory to the Exchange Credit Agreement Agent under the Exchange Credit Agreement), (B) a reference to the relevant survey with no survey exceptions except those theretofore approved by the Second Lien Collateral Trustee (such approval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survey exceptions shall be deemed approved if such survey exceptions are otherwise approved by the Exchange Credit Agreement Agent under the Exchange Credit Agreement)) and (C) such affirmative insurance and endorsements as the Second Lien Collateral Trustee may reasonably require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Company shall not be required to provide any affirmative insurance and endorsements not otherwise required by the Exchange Credit Agreement Agent under the Exchange Credit Agreement subject to changes or additions necessary to reflect, and/or provide substantially similar coverages relative to, the Second Lien Secured Obligations and the Note Documents);</w:t>
      </w:r>
    </w:p>
    <w:p>
      <w:pPr>
        <w:spacing w:after="0" w:line="83" w:lineRule="exact"/>
        <w:rPr>
          <w:sz w:val="20"/>
          <w:szCs w:val="20"/>
          <w:color w:val="auto"/>
        </w:rPr>
      </w:pPr>
    </w:p>
    <w:p>
      <w:pPr>
        <w:ind w:left="540" w:right="60" w:firstLine="369"/>
        <w:spacing w:after="0" w:line="279" w:lineRule="auto"/>
        <w:tabs>
          <w:tab w:leader="none" w:pos="1191"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ALTA, or if not customary in such jurisdiction, as-built surveys of recent date of each of the Facilities to be covered by the Mortgages, showing such matters as may be required by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matters as required by the Exchange Credit Agreement Agent under the Exchange Credit Agreement shall be deemed the only requirements of the Second Lien Collateral Trustee), which surveys shall be in form and content acceptable to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surveys shall be deemed acceptable if such surveys are otherwise acceptable to the Exchange Credit Agreement Agent under the Exchange Credit Agreement) and certified to the Second Lien Collateral Trustee and to the Title Companies, and shall have been prepared by a registered surveyor acceptable to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surveyor shall be deemed acceptable if such surveyor is otherwise satisfactory to the Exchange Credit Agreement Agent under the Exchange Credit Agreement) or, with respect to existing surveys, an affidavit of an authorized signatory of the owner of such property stating that there have been no improvements or encroachments to the property since the date of the respective survey such that the existing survey is no longer accurate, in form acceptable to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affidavit shall be deemed acceptable if such affidavit is otherwise satisfactory to the Exchange Credit Agreement Agent under the Exchange Credit Agreement) and the applicable Title Company in order to remove the standard survey exception;</w:t>
      </w:r>
    </w:p>
    <w:p>
      <w:pPr>
        <w:spacing w:after="0" w:line="272" w:lineRule="exact"/>
        <w:rPr>
          <w:rFonts w:ascii="Times New Roman" w:cs="Times New Roman" w:eastAsia="Times New Roman" w:hAnsi="Times New Roman"/>
          <w:sz w:val="16"/>
          <w:szCs w:val="16"/>
          <w:color w:val="auto"/>
        </w:rPr>
      </w:pPr>
    </w:p>
    <w:p>
      <w:pPr>
        <w:ind w:left="540" w:firstLine="369"/>
        <w:spacing w:after="0" w:line="256" w:lineRule="auto"/>
        <w:tabs>
          <w:tab w:leader="none" w:pos="12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affidavits, certificates, information (including financial data) and instruments of indemnification (including a so-called “gap” indemnification) as shall be required to induce the Title Companies to issue the title policies and endorsements contemplated above; and</w:t>
      </w:r>
    </w:p>
    <w:p>
      <w:pPr>
        <w:spacing w:after="0" w:line="73" w:lineRule="exact"/>
        <w:rPr>
          <w:rFonts w:ascii="Times New Roman" w:cs="Times New Roman" w:eastAsia="Times New Roman" w:hAnsi="Times New Roman"/>
          <w:sz w:val="18"/>
          <w:szCs w:val="18"/>
          <w:color w:val="auto"/>
        </w:rPr>
      </w:pPr>
    </w:p>
    <w:p>
      <w:pPr>
        <w:ind w:left="540" w:firstLine="369"/>
        <w:spacing w:after="0" w:line="248" w:lineRule="auto"/>
        <w:tabs>
          <w:tab w:leader="none" w:pos="118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certificates, documents and information as are reasonably requested by the Second Lien Collateral Trustee, including, without limitation, engineering and structural reports, permanent certificates of occupancy and evidence of zoning compliance, each in form and substance reasonably satisfactory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certificates, documents and information (including the form of any landlord agreements and consents) shall be deemed satisfactory if such other certificates, documents and information (including any landlord agreements and consents) are otherwise satisfactory to the Exchange Credit Agreement Agent under the Exchange Credit Agreement).</w:t>
      </w:r>
    </w:p>
    <w:p>
      <w:pPr>
        <w:spacing w:after="0" w:line="83" w:lineRule="exact"/>
        <w:rPr>
          <w:rFonts w:ascii="Times New Roman" w:cs="Times New Roman" w:eastAsia="Times New Roman" w:hAnsi="Times New Roman"/>
          <w:sz w:val="18"/>
          <w:szCs w:val="18"/>
          <w:color w:val="auto"/>
        </w:rPr>
      </w:pPr>
    </w:p>
    <w:p>
      <w:pPr>
        <w:ind w:left="100" w:right="160" w:firstLine="397"/>
        <w:spacing w:after="0" w:line="252" w:lineRule="auto"/>
        <w:tabs>
          <w:tab w:leader="none" w:pos="79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shall have paid to the Title Companies (i) all expenses and premiums of the Title Companies in connection with the issuance of such policies and (ii) an amount equal to the recording, mortgage, intangibles, transfer and stamp taxes payable in connection with recording the Mortgages, any amendments to the Mortgages and the Fixture Filings in the appropriate county land office(s).</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9860"/>
          </w:cols>
          <w:pgMar w:left="1440" w:top="266" w:right="599" w:bottom="1440" w:gutter="0" w:footer="0" w:header="0"/>
        </w:sectPr>
      </w:pPr>
    </w:p>
    <w:bookmarkStart w:id="174" w:name="page175"/>
    <w:bookmarkEnd w:id="174"/>
    <w:p>
      <w:pPr>
        <w:ind w:right="60" w:firstLine="967"/>
        <w:spacing w:after="0" w:line="249" w:lineRule="auto"/>
        <w:tabs>
          <w:tab w:leader="none" w:pos="121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the Company or any Guarantor shall acquire any Material Real Property (or shall make improvements upon any existing real property interest resulting in such interest together with such improvements constituting Material Real Property), or if any existing real property interest shall constitute a Material Real Property, including, without limitation, as a result of the limitation set forth in clause (b) of the definition of “Material Real Property”, and, in each case, so long as the Exchange Credit Agreement is outstanding, only if the Exchange Credit Agreement Agent elects to encumber such property, then:</w:t>
      </w:r>
    </w:p>
    <w:p>
      <w:pPr>
        <w:spacing w:after="0" w:line="82" w:lineRule="exact"/>
        <w:rPr>
          <w:rFonts w:ascii="Times New Roman" w:cs="Times New Roman" w:eastAsia="Times New Roman" w:hAnsi="Times New Roman"/>
          <w:sz w:val="18"/>
          <w:szCs w:val="18"/>
          <w:color w:val="auto"/>
        </w:rPr>
      </w:pPr>
    </w:p>
    <w:p>
      <w:pPr>
        <w:ind w:left="960" w:firstLine="397"/>
        <w:spacing w:after="0" w:line="278" w:lineRule="auto"/>
        <w:tabs>
          <w:tab w:leader="none" w:pos="1559"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and will cause each applicable Guarantor to, (x) no later than 10 Business Days prior to execution of a Mortgage encumbering any such Material Real Property not located in a Flood Zone, deliver a completed Federal Emergency Management Agency Standard Flood Hazard Determination from a third-party vendor with respect to such real property, (y) no later than 30 days prior to execution of a Mortgage encumbering any such Material Real Property any portion of which is located in a Flood Zone, (i) furnish to the Second Lien Collateral Trustee a written notice of the Company or such Guarantor’s intent to encumber such Material Real Property and that all or a portion of such Material Real Property is located in a Flood Zone and whether or not flood insurance coverage is available,</w:t>
      </w:r>
    </w:p>
    <w:p>
      <w:pPr>
        <w:ind w:left="960" w:right="60" w:firstLine="7"/>
        <w:spacing w:after="0" w:line="244" w:lineRule="auto"/>
        <w:tabs>
          <w:tab w:leader="none" w:pos="12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Federal Emergency Management Agency Standard Flood Hazard Determination from a third-party vendor, and (iii) if required by the Flood Act, evidence of the required flood insurance as further described in clause (F) below, and (z) no later than 120 days (or a later date approved by the Exchange Credit Agreement Agent, if (to the extent the Exchange Credit Agreement Agent is also extending such time period under the Exchange Credit Agreement) also approved by the Exchange Credit Agreement Agent under the Exchange Credit Agreement)) after such acquisition or designation, deliver to the Second Lien Collateral Trustee (each of which shall be executed (and where appropriate acknowledged) by Persons satisfactory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Persons shall be deemed satisfactory if such Persons are otherwise satisfactory to the Exchange Credit Agreement Agent under the Exchange Credit Agreement):</w:t>
      </w:r>
    </w:p>
    <w:p>
      <w:pPr>
        <w:spacing w:after="0" w:line="84" w:lineRule="exact"/>
        <w:rPr>
          <w:rFonts w:ascii="Times New Roman" w:cs="Times New Roman" w:eastAsia="Times New Roman" w:hAnsi="Times New Roman"/>
          <w:sz w:val="18"/>
          <w:szCs w:val="18"/>
          <w:color w:val="auto"/>
        </w:rPr>
      </w:pPr>
    </w:p>
    <w:p>
      <w:pPr>
        <w:ind w:left="1400" w:firstLine="369"/>
        <w:spacing w:after="0" w:line="246" w:lineRule="auto"/>
        <w:tabs>
          <w:tab w:leader="none" w:pos="206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form and substance satisfactory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Mortgages shall be deemed satisfactory if such Mortgages are substantially similar to the comparable Mortgage provided under the Exchange Credit Agreement which are otherwise satisfactory to the Exchange Credit Agreement Agent, subject to factual changes necessary to reflect the Second Lien Secured Obligations and the Note Documents ), duly executed (and, where appropriate in the applicable jurisdiction, acknowledged), and delivered by the Company or such Guarantor, as the case may be, in recordable form (in such number of copies as the Second Lien Collateral Trustee shall have requested) and, to the extent necessary with respect to any leasehold property to be subject to a Mortgage, use commercially reasonable efforts by the Company to obtain consents of the respective landlords with respect to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covenant shall be deemed satisfactory if deemed satisfactory to the Exchange Credit Agreement Agent under the Exchange Credit Agreement) and, to the extent necessary under applicable law, for filing in the appropriate county land office(s), Fixture Filings;</w:t>
      </w:r>
    </w:p>
    <w:p>
      <w:pPr>
        <w:spacing w:after="0" w:line="88" w:lineRule="exact"/>
        <w:rPr>
          <w:rFonts w:ascii="Times New Roman" w:cs="Times New Roman" w:eastAsia="Times New Roman" w:hAnsi="Times New Roman"/>
          <w:sz w:val="18"/>
          <w:szCs w:val="18"/>
          <w:color w:val="auto"/>
        </w:rPr>
      </w:pPr>
    </w:p>
    <w:p>
      <w:pPr>
        <w:ind w:left="1400" w:right="100" w:firstLine="369"/>
        <w:spacing w:after="0" w:line="279" w:lineRule="auto"/>
        <w:tabs>
          <w:tab w:leader="none" w:pos="2051" w:val="left"/>
        </w:tabs>
        <w:numPr>
          <w:ilvl w:val="2"/>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ALTA mortgagee policies of title insurance on forms of and issued by the Title Companies, insuring the validity and priority of the Liens (in accordance of the terms of the First Lien/Second Lien Intercreditor Agreement) created under the Mortgages for and in amounts satisfactory to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amounts shall be deemed satisfactory if such amounts are otherwise satisfactory to the Exchange Credit Agreement Agent for the comparable Mortgages provided under the Exchange Credit Agreement), subject only to such exceptions as are satisfactory to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exceptions shall be deemed satisfactory if such exceptions are otherwise satisfactory to the Exchange Credit Agreement Agent under the Exchange Credit Agreement); each such title policy shall contain: (A) full coverage against mechanics’ liens (filed and inchoate) or such surety bonds or other additional collateral as may be satisfactory to the Second Lien Collateral Trustee in its sole discretion in lieu of such coverage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other surety bonds or other additional collateral shall be deemed satisfactory if such other surety bonds or other additional collateral are otherwise satisfactory to the Exchange Credit Agreement Agent under the Exchange Credit Agreement), (B) a reference to the relevant survey with no survey exceptions except those theretofore approved by the Second Lien Collateral Trustee (such approval not to be unreasonably withheld or delayed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survey exceptions shall be deemed approved if such survey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720"/>
          </w:cols>
          <w:pgMar w:left="580" w:top="266" w:right="599" w:bottom="1440" w:gutter="0" w:footer="0" w:header="0"/>
        </w:sectPr>
      </w:pPr>
    </w:p>
    <w:bookmarkStart w:id="175" w:name="page176"/>
    <w:bookmarkEnd w:id="175"/>
    <w:p>
      <w:pPr>
        <w:ind w:left="540" w:right="4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2">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exceptions are otherwise approved by the Exchange Credit Agreement Agent under the Exchange Credit Agreement)) and (C) such affirmative insurance and endorsements as the Second Lien Collateral Trustee may reasonably require (provided that Company shall not be required to provide any affirmative insurance and endorsements not otherwise required by the Exchange Credit Agreement Agent under the Exchange Credit Agreement subject to changes or additions necessary to reflect, and/or provide substantially similar coverages relative to, the Second Lien Secured Obligations and the Note Documents);</w:t>
      </w:r>
    </w:p>
    <w:p>
      <w:pPr>
        <w:spacing w:after="0" w:line="83" w:lineRule="exact"/>
        <w:rPr>
          <w:sz w:val="20"/>
          <w:szCs w:val="20"/>
          <w:color w:val="auto"/>
        </w:rPr>
      </w:pPr>
    </w:p>
    <w:p>
      <w:pPr>
        <w:ind w:left="540" w:firstLine="369"/>
        <w:spacing w:after="0" w:line="246" w:lineRule="auto"/>
        <w:tabs>
          <w:tab w:leader="none" w:pos="1191"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ALTA, or if not customary in such jurisdiction, as-built surveys of recent date of each of the Facilities to be covered by the Mortgages, showing such matters as may be required by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matters as required by the Exchange Credit Agreement Agent under the Exchange Credit Agreement shall be deemed the only requirements of the Second Lien Collateral Trustee), which surveys shall be in form and content acceptable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surveys shall be deemed acceptable if such surveys are otherwise acceptable to the Exchange Credit Agreement Agent under the Exchange Credit Agreement), and certified to the Second Lien Collateral Trustee and the Title Companies, and shall have been prepared by a registered surveyor acceptable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surveyor shall be deemed acceptable if such surveyor is otherwise satisfactory to the Exchange Credit Agreement Agent under the Exchange Credit Agreement);</w:t>
      </w:r>
    </w:p>
    <w:p>
      <w:pPr>
        <w:spacing w:after="0" w:line="88" w:lineRule="exact"/>
        <w:rPr>
          <w:rFonts w:ascii="Times New Roman" w:cs="Times New Roman" w:eastAsia="Times New Roman" w:hAnsi="Times New Roman"/>
          <w:sz w:val="18"/>
          <w:szCs w:val="18"/>
          <w:color w:val="auto"/>
        </w:rPr>
      </w:pPr>
    </w:p>
    <w:p>
      <w:pPr>
        <w:ind w:left="540" w:right="80" w:firstLine="369"/>
        <w:spacing w:after="0" w:line="285" w:lineRule="auto"/>
        <w:tabs>
          <w:tab w:leader="none" w:pos="1200" w:val="left"/>
        </w:tabs>
        <w:numPr>
          <w:ilvl w:val="2"/>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certified copies of permanent and unconditional certificates of occupancy (or, if it is not the practice to issue certificates of occupancy in a jurisdiction in which the Facilities to be covered by the Mortgages are located, then such other evidence reasonably satisfactory to the Second Lien Collateral Trustee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other evidence shall be deemed satisfactory if such other evidence is otherwise satisfactory to the Exchange Credit Agreement Agent under the Exchange Credit Agreement)) permitting the fully functioning operation and occupancy of each such Facility and of such other permits necessary for the use and operation of each such Facility issued by the respective Governmental Authorities having jurisdiction over each such Facility;</w:t>
      </w:r>
    </w:p>
    <w:p>
      <w:pPr>
        <w:spacing w:after="0" w:line="56" w:lineRule="exact"/>
        <w:rPr>
          <w:rFonts w:ascii="Times New Roman" w:cs="Times New Roman" w:eastAsia="Times New Roman" w:hAnsi="Times New Roman"/>
          <w:sz w:val="16"/>
          <w:szCs w:val="16"/>
          <w:color w:val="auto"/>
        </w:rPr>
      </w:pPr>
    </w:p>
    <w:p>
      <w:pPr>
        <w:ind w:left="540" w:right="60" w:firstLine="369"/>
        <w:spacing w:after="0" w:line="247" w:lineRule="auto"/>
        <w:tabs>
          <w:tab w:leader="none" w:pos="1181"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local counsel in the respective jurisdictions in which the properties covered by the Mortgages are located, regarding the enforceability of such Mortgages, and to the extent not covered in such local counsel opinions, opinions of the Company’s or Guarantor’s counsel regarding the due authorization, execution and delivery of the Mortgages, in each case reasonably satisfactory in form and substance to the Second Lien Collateral Trustee (and the Company for itself and on behalf of each Guarantor hereby instructs such counsel to deliver such opinion(s) to the Second Lien Collateral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opinions shall be deemed satisfactory if such opinions are otherwise satisfactory to the Exchange Credit Agreement Agent under the Exchange Credit Agreement, subject to factual changes necessary to reflect the Second Lien Secured Obligations and the Note Documents);</w:t>
      </w:r>
    </w:p>
    <w:p>
      <w:pPr>
        <w:spacing w:after="0" w:line="83" w:lineRule="exact"/>
        <w:rPr>
          <w:rFonts w:ascii="Times New Roman" w:cs="Times New Roman" w:eastAsia="Times New Roman" w:hAnsi="Times New Roman"/>
          <w:sz w:val="18"/>
          <w:szCs w:val="18"/>
          <w:color w:val="auto"/>
        </w:rPr>
      </w:pPr>
    </w:p>
    <w:p>
      <w:pPr>
        <w:ind w:left="540" w:right="140" w:firstLine="369"/>
        <w:spacing w:after="0" w:line="285" w:lineRule="auto"/>
        <w:tabs>
          <w:tab w:leader="none" w:pos="1171" w:val="left"/>
        </w:tabs>
        <w:numPr>
          <w:ilvl w:val="2"/>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to the Exchange Credit Facility Agent under the Exchange Credit Agreement, each of (x) a completed Federal Emergency Management Agency Standard Flood Hazard Determination with respect to each property covered by a Mortgage and</w:t>
      </w:r>
    </w:p>
    <w:p>
      <w:pPr>
        <w:spacing w:after="0" w:line="1" w:lineRule="exact"/>
        <w:rPr>
          <w:rFonts w:ascii="Times New Roman" w:cs="Times New Roman" w:eastAsia="Times New Roman" w:hAnsi="Times New Roman"/>
          <w:sz w:val="16"/>
          <w:szCs w:val="16"/>
          <w:color w:val="auto"/>
        </w:rPr>
      </w:pPr>
    </w:p>
    <w:p>
      <w:pPr>
        <w:ind w:left="540" w:right="80" w:hanging="4"/>
        <w:spacing w:after="0" w:line="247" w:lineRule="auto"/>
        <w:tabs>
          <w:tab w:leader="none" w:pos="78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customary evidence of any insurance for such Material Real Property required under Section 5.05 of the Exchange Credit Agreement;</w:t>
      </w:r>
    </w:p>
    <w:p>
      <w:pPr>
        <w:spacing w:after="0" w:line="81" w:lineRule="exact"/>
        <w:rPr>
          <w:rFonts w:ascii="Times New Roman" w:cs="Times New Roman" w:eastAsia="Times New Roman" w:hAnsi="Times New Roman"/>
          <w:sz w:val="18"/>
          <w:szCs w:val="18"/>
          <w:color w:val="auto"/>
        </w:rPr>
      </w:pPr>
    </w:p>
    <w:p>
      <w:pPr>
        <w:ind w:left="540" w:firstLine="369"/>
        <w:spacing w:after="0" w:line="256" w:lineRule="auto"/>
        <w:tabs>
          <w:tab w:leader="none" w:pos="1200"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affidavits, certificates, information (including financial data) and instruments of indemnification (including a so-called “gap” indemnification) as shall be required by the Title Companies to induce the Title Companies to issue the title policies and endorsements contemplated above; and</w:t>
      </w:r>
    </w:p>
    <w:p>
      <w:pPr>
        <w:spacing w:after="0" w:line="73" w:lineRule="exact"/>
        <w:rPr>
          <w:rFonts w:ascii="Times New Roman" w:cs="Times New Roman" w:eastAsia="Times New Roman" w:hAnsi="Times New Roman"/>
          <w:sz w:val="18"/>
          <w:szCs w:val="18"/>
          <w:color w:val="auto"/>
        </w:rPr>
      </w:pPr>
    </w:p>
    <w:p>
      <w:pPr>
        <w:ind w:left="100" w:right="20" w:firstLine="397"/>
        <w:spacing w:after="0" w:line="256" w:lineRule="auto"/>
        <w:tabs>
          <w:tab w:leader="none" w:pos="7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or caused to be paid to the Title Companies (i) all expenses and premiums of the Title Companies in connection with the issuance of such policies and (ii) an amount equal to the recording, mortgage, intangibles, transfer and stamp taxes payable in connection with recording the Mortgages and the Fixture Filings in the appropriate county land office(s).</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9860"/>
          </w:cols>
          <w:pgMar w:left="1440" w:top="266" w:right="599" w:bottom="1440" w:gutter="0" w:footer="0" w:header="0"/>
        </w:sectPr>
      </w:pPr>
    </w:p>
    <w:bookmarkStart w:id="176" w:name="page177"/>
    <w:bookmarkEnd w:id="17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THIRTEEN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2"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13.01</w:t>
      </w:r>
      <w:r>
        <w:rPr>
          <w:sz w:val="20"/>
          <w:szCs w:val="20"/>
          <w:color w:val="auto"/>
        </w:rPr>
        <w:tab/>
      </w:r>
      <w:r>
        <w:rPr>
          <w:rFonts w:ascii="Times New Roman" w:cs="Times New Roman" w:eastAsia="Times New Roman" w:hAnsi="Times New Roman"/>
          <w:sz w:val="16"/>
          <w:szCs w:val="16"/>
          <w:u w:val="single" w:color="auto"/>
          <w:color w:val="auto"/>
        </w:rPr>
        <w:t>Trust Indenture Act Controls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If any provision of this Indenture limits, qualifies or conflicts with the duties imposed by TIA § 318(c), the imposed duties shall control.</w:t>
      </w:r>
    </w:p>
    <w:p>
      <w:pPr>
        <w:spacing w:after="0" w:line="263"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13.02</w:t>
      </w:r>
      <w:r>
        <w:rPr>
          <w:sz w:val="20"/>
          <w:szCs w:val="20"/>
          <w:color w:val="auto"/>
        </w:rPr>
        <w:tab/>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67"/>
        <w:spacing w:after="0" w:line="256" w:lineRule="auto"/>
        <w:tabs>
          <w:tab w:leader="none" w:pos="120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communication by the Company or any Guarantor, on the one hand, or the Trustee or the Second Lien Collateral Trustee on the other hand, to the other is duly given if in writing and delivered in Person or mailed by first class mail (registered or certified, return receipt requested), telecopier or overnight air courier guaranteeing next day delivery, to the others’ address: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Akerman LLP</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Three Brickell City Centre</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98 Southeast Seventh Street</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William Arnhols, Esq.</w:t>
      </w:r>
    </w:p>
    <w:p>
      <w:pPr>
        <w:spacing w:after="0" w:line="19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Ankura Trust Company, LLC, as Trustee</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140 Sherman Street, Fourth Floor</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Fairfield, CT 06824</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Krista Gulalo, Beth Micena</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Krista.Gulalo@ankura.com, Beth.micena@ankura.com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Second Lien Collateral Trustee:</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Ankura Trust Company, LLC, as Second Lien Collateral Trustee</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140 Sherman Street, Fourth Floor</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Fairfield, CT 06824</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Krista Gulalo, Beth Micena</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Krista.Gulalo@ankura.com, Beth.micena@ankura.com</w:t>
      </w:r>
    </w:p>
    <w:p>
      <w:pPr>
        <w:spacing w:after="0" w:line="196" w:lineRule="exact"/>
        <w:rPr>
          <w:sz w:val="20"/>
          <w:szCs w:val="20"/>
          <w:color w:val="auto"/>
        </w:rPr>
      </w:pPr>
    </w:p>
    <w:p>
      <w:pPr>
        <w:ind w:right="620" w:firstLine="967"/>
        <w:spacing w:after="0" w:line="268" w:lineRule="auto"/>
        <w:tabs>
          <w:tab w:leader="none" w:pos="121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Guarantors, if any, the Trustee or the Second Lien Collateral Trustee, by notice to the others may designate additional or different addresses for subsequent notices or communications.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660"/>
          </w:cols>
          <w:pgMar w:left="580" w:top="264" w:right="659" w:bottom="1440" w:gutter="0" w:footer="0" w:header="0"/>
        </w:sectPr>
      </w:pPr>
    </w:p>
    <w:bookmarkStart w:id="177" w:name="page178"/>
    <w:bookmarkEnd w:id="177"/>
    <w:p>
      <w:pPr>
        <w:ind w:firstLine="967"/>
        <w:spacing w:after="0" w:line="256" w:lineRule="auto"/>
        <w:tabs>
          <w:tab w:leader="none" w:pos="120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All notices and communications (other than those sent to Holders)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73" w:lineRule="exact"/>
        <w:rPr>
          <w:rFonts w:ascii="Times New Roman" w:cs="Times New Roman" w:eastAsia="Times New Roman" w:hAnsi="Times New Roman"/>
          <w:sz w:val="18"/>
          <w:szCs w:val="18"/>
          <w:color w:val="auto"/>
        </w:rPr>
      </w:pPr>
    </w:p>
    <w:p>
      <w:pPr>
        <w:ind w:right="160" w:firstLine="967"/>
        <w:spacing w:after="0" w:line="252" w:lineRule="auto"/>
        <w:tabs>
          <w:tab w:leader="none" w:pos="121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76" w:lineRule="exact"/>
        <w:rPr>
          <w:rFonts w:ascii="Times New Roman" w:cs="Times New Roman" w:eastAsia="Times New Roman" w:hAnsi="Times New Roman"/>
          <w:sz w:val="18"/>
          <w:szCs w:val="18"/>
          <w:color w:val="auto"/>
        </w:rPr>
      </w:pPr>
    </w:p>
    <w:p>
      <w:pPr>
        <w:ind w:right="200" w:firstLine="967"/>
        <w:spacing w:after="0" w:line="256" w:lineRule="auto"/>
        <w:tabs>
          <w:tab w:leader="none" w:pos="120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or communication is mailed in the manner provided above within the time prescribed, it is duly given, whether or not the addressee receives it. Notwithstanding the foregoing, notices to the Trustee or the Second Lien Collateral Trustee shall be deemed to be effective only when actually received by the Trustee’s or the Second Lien Collateral Trustee’s, as applicable, Corporate Trust Department.</w:t>
      </w:r>
    </w:p>
    <w:p>
      <w:pPr>
        <w:spacing w:after="0" w:line="73" w:lineRule="exact"/>
        <w:rPr>
          <w:rFonts w:ascii="Times New Roman" w:cs="Times New Roman" w:eastAsia="Times New Roman" w:hAnsi="Times New Roman"/>
          <w:sz w:val="18"/>
          <w:szCs w:val="18"/>
          <w:color w:val="auto"/>
        </w:rPr>
      </w:pPr>
    </w:p>
    <w:p>
      <w:pPr>
        <w:ind w:right="100" w:firstLine="967"/>
        <w:spacing w:after="0" w:line="268" w:lineRule="auto"/>
        <w:tabs>
          <w:tab w:leader="none" w:pos="118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mails a notice or communication to Holders, it shall mail a copy to the Trustee and the Second Lien Collateral Trustee and each Agent at the same time.</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13.03</w:t>
      </w:r>
      <w:r>
        <w:rPr>
          <w:sz w:val="20"/>
          <w:szCs w:val="20"/>
          <w:color w:val="auto"/>
        </w:rPr>
        <w:tab/>
      </w:r>
      <w:r>
        <w:rPr>
          <w:rFonts w:ascii="Times New Roman" w:cs="Times New Roman" w:eastAsia="Times New Roman" w:hAnsi="Times New Roman"/>
          <w:sz w:val="16"/>
          <w:szCs w:val="16"/>
          <w:u w:val="single" w:color="auto"/>
          <w:color w:val="auto"/>
        </w:rPr>
        <w:t>Communication by Holders of Notes with Other Holders of Notes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40" w:firstLine="965"/>
        <w:spacing w:after="0" w:line="268" w:lineRule="auto"/>
        <w:rPr>
          <w:sz w:val="20"/>
          <w:szCs w:val="20"/>
          <w:color w:val="auto"/>
        </w:rPr>
      </w:pPr>
      <w:r>
        <w:rPr>
          <w:rFonts w:ascii="Times New Roman" w:cs="Times New Roman" w:eastAsia="Times New Roman" w:hAnsi="Times New Roman"/>
          <w:sz w:val="18"/>
          <w:szCs w:val="18"/>
          <w:color w:val="auto"/>
        </w:rPr>
        <w:t>Holders may communicate pursuant to TIA § 312(b) with other Holders with respect to its rights under this Indenture or the Notes. The Company, the Trustee, the Registrar and anyone else shall have the protection of TIA § 312(c).</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13.04</w:t>
      </w:r>
      <w:r>
        <w:rPr>
          <w:sz w:val="20"/>
          <w:szCs w:val="20"/>
          <w:color w:val="auto"/>
        </w:rPr>
        <w:tab/>
      </w:r>
      <w:r>
        <w:rPr>
          <w:rFonts w:ascii="Times New Roman" w:cs="Times New Roman" w:eastAsia="Times New Roman" w:hAnsi="Times New Roman"/>
          <w:sz w:val="16"/>
          <w:szCs w:val="16"/>
          <w:u w:val="single" w:color="auto"/>
          <w:color w:val="auto"/>
        </w:rPr>
        <w:t>Certificate and Opinion as to Conditions Precedent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80" w:firstLine="965"/>
        <w:spacing w:after="0" w:line="268" w:lineRule="auto"/>
        <w:rPr>
          <w:sz w:val="20"/>
          <w:szCs w:val="20"/>
          <w:color w:val="auto"/>
        </w:rPr>
      </w:pPr>
      <w:r>
        <w:rPr>
          <w:rFonts w:ascii="Times New Roman" w:cs="Times New Roman" w:eastAsia="Times New Roman" w:hAnsi="Times New Roman"/>
          <w:sz w:val="18"/>
          <w:szCs w:val="18"/>
          <w:color w:val="auto"/>
        </w:rPr>
        <w:t>Upon any request or application by the Company to the Trustee or the Second Lien Collateral Trustee, as applicable, to take any action under this Indenture, the Company shall furnish to the Trustee or the Second Lien Collateral Trustee, as applicable:</w:t>
      </w:r>
    </w:p>
    <w:p>
      <w:pPr>
        <w:spacing w:after="0" w:line="63" w:lineRule="exact"/>
        <w:rPr>
          <w:sz w:val="20"/>
          <w:szCs w:val="20"/>
          <w:color w:val="auto"/>
        </w:rPr>
      </w:pPr>
    </w:p>
    <w:p>
      <w:pPr>
        <w:ind w:left="960" w:right="200" w:firstLine="397"/>
        <w:spacing w:after="0" w:line="256" w:lineRule="auto"/>
        <w:tabs>
          <w:tab w:leader="none" w:pos="155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or the Second Lien Collateral Trustee, as applicable, (which shall include the statements set forth in Section 13.05 hereof) stating that, in the opinion of the signers, all conditions precedent and covenants, if any, provided for in this Indenture relating to the proposed action have been satisfied; and</w:t>
      </w:r>
    </w:p>
    <w:p>
      <w:pPr>
        <w:spacing w:after="0" w:line="73" w:lineRule="exact"/>
        <w:rPr>
          <w:rFonts w:ascii="Times New Roman" w:cs="Times New Roman" w:eastAsia="Times New Roman" w:hAnsi="Times New Roman"/>
          <w:sz w:val="18"/>
          <w:szCs w:val="18"/>
          <w:color w:val="auto"/>
        </w:rPr>
      </w:pPr>
    </w:p>
    <w:p>
      <w:pPr>
        <w:ind w:left="960" w:right="80" w:firstLine="397"/>
        <w:spacing w:after="0" w:line="256" w:lineRule="auto"/>
        <w:tabs>
          <w:tab w:leader="none" w:pos="160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or the Second Lien Collateral Trustee, as applicable (which shall include the statements set forth in Section 13.05 hereof) stating that, in the opinion of such counsel (who may rely upon the Officer’s Certificate as to matters of fact), all such conditions precedent and covenants have been satisfied.</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13.05</w:t>
      </w:r>
      <w:r>
        <w:rPr>
          <w:sz w:val="20"/>
          <w:szCs w:val="20"/>
          <w:color w:val="auto"/>
        </w:rPr>
        <w:tab/>
      </w:r>
      <w:r>
        <w:rPr>
          <w:rFonts w:ascii="Times New Roman" w:cs="Times New Roman" w:eastAsia="Times New Roman" w:hAnsi="Times New Roman"/>
          <w:sz w:val="16"/>
          <w:szCs w:val="16"/>
          <w:u w:val="single" w:color="auto"/>
          <w:color w:val="auto"/>
        </w:rPr>
        <w:t>Statements Required in Certificate or Opinion</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20" w:firstLine="965"/>
        <w:spacing w:after="0" w:line="268"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63" w:lineRule="exact"/>
        <w:rPr>
          <w:sz w:val="20"/>
          <w:szCs w:val="20"/>
          <w:color w:val="auto"/>
        </w:rPr>
      </w:pPr>
    </w:p>
    <w:p>
      <w:pPr>
        <w:ind w:left="1560" w:hanging="203"/>
        <w:spacing w:after="0"/>
        <w:tabs>
          <w:tab w:leader="none" w:pos="15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08" w:lineRule="exact"/>
        <w:rPr>
          <w:rFonts w:ascii="Times New Roman" w:cs="Times New Roman" w:eastAsia="Times New Roman" w:hAnsi="Times New Roman"/>
          <w:sz w:val="18"/>
          <w:szCs w:val="18"/>
          <w:color w:val="auto"/>
        </w:rPr>
      </w:pPr>
    </w:p>
    <w:p>
      <w:pPr>
        <w:ind w:left="960" w:right="100" w:firstLine="397"/>
        <w:spacing w:after="0" w:line="268" w:lineRule="auto"/>
        <w:tabs>
          <w:tab w:leader="none" w:pos="160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63" w:lineRule="exact"/>
        <w:rPr>
          <w:rFonts w:ascii="Times New Roman" w:cs="Times New Roman" w:eastAsia="Times New Roman" w:hAnsi="Times New Roman"/>
          <w:sz w:val="18"/>
          <w:szCs w:val="18"/>
          <w:color w:val="auto"/>
        </w:rPr>
      </w:pPr>
    </w:p>
    <w:p>
      <w:pPr>
        <w:ind w:left="960" w:right="220" w:firstLine="397"/>
        <w:spacing w:after="0" w:line="268" w:lineRule="auto"/>
        <w:tabs>
          <w:tab w:leader="none" w:pos="165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to express an informed opinion as to whether or not such covenant or condition has been satisfied; and</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700"/>
          </w:cols>
          <w:pgMar w:left="580" w:top="266" w:right="619" w:bottom="1440" w:gutter="0" w:footer="0" w:header="0"/>
        </w:sectPr>
      </w:pPr>
    </w:p>
    <w:bookmarkStart w:id="178" w:name="page179"/>
    <w:bookmarkEnd w:id="178"/>
    <w:p>
      <w:pPr>
        <w:ind w:left="1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(iv) a statement as to whether or not, in the opinion of such Person, such condition or covenant has been satisfied.</w:t>
      </w:r>
    </w:p>
    <w:p>
      <w:pPr>
        <w:spacing w:after="0" w:line="24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13.06</w:t>
      </w:r>
      <w:r>
        <w:rPr>
          <w:sz w:val="20"/>
          <w:szCs w:val="20"/>
          <w:color w:val="auto"/>
        </w:rPr>
        <w:tab/>
      </w:r>
      <w:r>
        <w:rPr>
          <w:rFonts w:ascii="Times New Roman" w:cs="Times New Roman" w:eastAsia="Times New Roman" w:hAnsi="Times New Roman"/>
          <w:sz w:val="16"/>
          <w:szCs w:val="16"/>
          <w:u w:val="single" w:color="auto"/>
          <w:color w:val="auto"/>
        </w:rPr>
        <w:t>Rules by Trustee and Agents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60" w:firstLine="965"/>
        <w:spacing w:after="0" w:line="268" w:lineRule="auto"/>
        <w:rPr>
          <w:sz w:val="20"/>
          <w:szCs w:val="20"/>
          <w:color w:val="auto"/>
        </w:rPr>
      </w:pPr>
      <w:r>
        <w:rPr>
          <w:rFonts w:ascii="Times New Roman" w:cs="Times New Roman" w:eastAsia="Times New Roman" w:hAnsi="Times New Roman"/>
          <w:sz w:val="18"/>
          <w:szCs w:val="18"/>
          <w:color w:val="auto"/>
        </w:rPr>
        <w:t>The Trustee or the Second Lien Collateral Trustee may make reasonable rules for action by or at a meeting of Holders. The Registrar or Paying Agent may make reasonable rules and set reasonable requirements for its functions.</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13.07</w:t>
      </w:r>
      <w:r>
        <w:rPr>
          <w:sz w:val="20"/>
          <w:szCs w:val="20"/>
          <w:color w:val="auto"/>
        </w:rPr>
        <w:tab/>
      </w:r>
      <w:r>
        <w:rPr>
          <w:rFonts w:ascii="Times New Roman" w:cs="Times New Roman" w:eastAsia="Times New Roman" w:hAnsi="Times New Roman"/>
          <w:sz w:val="16"/>
          <w:szCs w:val="16"/>
          <w:u w:val="single" w:color="auto"/>
          <w:color w:val="auto"/>
        </w:rPr>
        <w:t>No Personal Liability of Directors, Officers, Managers, Employees, Stockholders, Members and Partners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965"/>
        <w:spacing w:after="0" w:line="293" w:lineRule="auto"/>
        <w:rPr>
          <w:sz w:val="20"/>
          <w:szCs w:val="20"/>
          <w:color w:val="auto"/>
        </w:rPr>
      </w:pPr>
      <w:r>
        <w:rPr>
          <w:rFonts w:ascii="Times New Roman" w:cs="Times New Roman" w:eastAsia="Times New Roman" w:hAnsi="Times New Roman"/>
          <w:sz w:val="16"/>
          <w:szCs w:val="16"/>
          <w:color w:val="auto"/>
        </w:rPr>
        <w:t>No director, officer, manager, employee, incorporator, stockholder, member or partner of the Company or any Guarantor, as such, shall have any liability for any obligations of the Company or of the Guarantors under the Notes, this Indenture, the Note Guarantees, the Security Documents and the First Lien/Second Lien Intercreditor Agreement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9"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13.08</w:t>
      </w:r>
      <w:r>
        <w:rPr>
          <w:sz w:val="20"/>
          <w:szCs w:val="20"/>
          <w:color w:val="auto"/>
        </w:rPr>
        <w:tab/>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60" w:firstLine="965"/>
        <w:spacing w:after="0" w:line="268" w:lineRule="auto"/>
        <w:rPr>
          <w:sz w:val="20"/>
          <w:szCs w:val="20"/>
          <w:color w:val="auto"/>
        </w:rPr>
      </w:pPr>
      <w:r>
        <w:rPr>
          <w:rFonts w:ascii="Times New Roman" w:cs="Times New Roman" w:eastAsia="Times New Roman" w:hAnsi="Times New Roman"/>
          <w:sz w:val="18"/>
          <w:szCs w:val="18"/>
          <w:color w:val="auto"/>
        </w:rPr>
        <w:t>THIS INDENTURE AND THE NOTES SHALL BE GOVERNED BY AND CONSTRUED IN ACCORDANCE WITH THE LAWS OF THE STATE OF NEW YORK.</w:t>
      </w:r>
    </w:p>
    <w:p>
      <w:pPr>
        <w:spacing w:after="0" w:line="77"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13.09</w:t>
      </w:r>
      <w:r>
        <w:rPr>
          <w:sz w:val="20"/>
          <w:szCs w:val="20"/>
          <w:color w:val="auto"/>
        </w:rPr>
        <w:tab/>
      </w:r>
      <w:r>
        <w:rPr>
          <w:rFonts w:ascii="Times New Roman" w:cs="Times New Roman" w:eastAsia="Times New Roman" w:hAnsi="Times New Roman"/>
          <w:sz w:val="16"/>
          <w:szCs w:val="16"/>
          <w:u w:val="single" w:color="auto"/>
          <w:color w:val="auto"/>
        </w:rPr>
        <w:t>Consent to Jurisdiction</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965"/>
        <w:spacing w:after="0" w:line="282" w:lineRule="auto"/>
        <w:rPr>
          <w:sz w:val="20"/>
          <w:szCs w:val="20"/>
          <w:color w:val="auto"/>
        </w:rPr>
      </w:pPr>
      <w:r>
        <w:rPr>
          <w:rFonts w:ascii="Times New Roman" w:cs="Times New Roman" w:eastAsia="Times New Roman" w:hAnsi="Times New Roman"/>
          <w:sz w:val="16"/>
          <w:szCs w:val="16"/>
          <w:color w:val="auto"/>
        </w:rPr>
        <w:t>Any legal suit, action or proceeding arising out of or based upon this Indenture or the transactions contemplated hereby may be instituted in the federal courts sitting in the Southern District of New York in the State of New York, or if such federal courts do not have jurisdiction, then to the Commercial Division of the state courts residing in the County of New York in the State of New York, and appellate courts of any of the foregoing (collectively, the “</w:t>
      </w:r>
      <w:r>
        <w:rPr>
          <w:rFonts w:ascii="Times New Roman" w:cs="Times New Roman" w:eastAsia="Times New Roman" w:hAnsi="Times New Roman"/>
          <w:sz w:val="16"/>
          <w:szCs w:val="16"/>
          <w:b w:val="1"/>
          <w:bCs w:val="1"/>
          <w:color w:val="auto"/>
        </w:rPr>
        <w:t>Specified Courts</w:t>
      </w:r>
      <w:r>
        <w:rPr>
          <w:rFonts w:ascii="Times New Roman" w:cs="Times New Roman" w:eastAsia="Times New Roman" w:hAnsi="Times New Roman"/>
          <w:sz w:val="16"/>
          <w:szCs w:val="16"/>
          <w:color w:val="auto"/>
        </w:rPr>
        <w:t>”), and each party irrevocably submits to the exclusive jurisdiction (except for proceedings instituted in regard to the enforcement of a judgment of any such court (a, as to which such jurisdiction is non-exclusive) of such courts in any such suit, action or proceeding. Service of any process, summons, notice or document by mail to such party’s (other than the Trustee and the Second Lien Collateral Trustee)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has been brought in an inconvenient forum.</w:t>
      </w:r>
    </w:p>
    <w:p>
      <w:pPr>
        <w:spacing w:after="0" w:line="40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13.10</w:t>
      </w:r>
      <w:r>
        <w:rPr>
          <w:sz w:val="20"/>
          <w:szCs w:val="20"/>
          <w:color w:val="auto"/>
        </w:rPr>
        <w:tab/>
      </w:r>
      <w:r>
        <w:rPr>
          <w:rFonts w:ascii="Times New Roman" w:cs="Times New Roman" w:eastAsia="Times New Roman" w:hAnsi="Times New Roman"/>
          <w:sz w:val="16"/>
          <w:szCs w:val="16"/>
          <w:u w:val="single" w:color="auto"/>
          <w:color w:val="auto"/>
        </w:rPr>
        <w:t>No Adverse Interpretation of Other Agreements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80" w:firstLine="965"/>
        <w:spacing w:after="0" w:line="268" w:lineRule="auto"/>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Company or any of its Subsidiaries or of any other Person. Any such indenture, loan or debt agreement may not be used to interpret this Indenture.</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13.11</w:t>
      </w:r>
      <w:r>
        <w:rPr>
          <w:sz w:val="20"/>
          <w:szCs w:val="20"/>
          <w:color w:val="auto"/>
        </w:rPr>
        <w:tab/>
      </w: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320" w:firstLine="965"/>
        <w:spacing w:after="0" w:line="331" w:lineRule="auto"/>
        <w:rPr>
          <w:sz w:val="20"/>
          <w:szCs w:val="20"/>
          <w:color w:val="auto"/>
        </w:rPr>
      </w:pPr>
      <w:r>
        <w:rPr>
          <w:rFonts w:ascii="Times New Roman" w:cs="Times New Roman" w:eastAsia="Times New Roman" w:hAnsi="Times New Roman"/>
          <w:sz w:val="16"/>
          <w:szCs w:val="16"/>
          <w:color w:val="auto"/>
        </w:rPr>
        <w:t>All agreements of the Company in this Indenture and the Notes shall bind its successors. All agreements of the Trustee and the Second Lien Collateral Trustee in this Indenture shall bind its successors. All agreements of each Guarantor in this Indenture shall bind its successors.</w:t>
      </w:r>
    </w:p>
    <w:p>
      <w:pPr>
        <w:spacing w:after="0" w:line="15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13.12</w:t>
      </w:r>
      <w:r>
        <w:rPr>
          <w:sz w:val="20"/>
          <w:szCs w:val="20"/>
          <w:color w:val="auto"/>
        </w:rPr>
        <w:tab/>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60" w:firstLine="965"/>
        <w:spacing w:after="0" w:line="268" w:lineRule="auto"/>
        <w:rPr>
          <w:sz w:val="20"/>
          <w:szCs w:val="20"/>
          <w:color w:val="auto"/>
        </w:rPr>
      </w:pPr>
      <w:r>
        <w:rPr>
          <w:rFonts w:ascii="Times New Roman" w:cs="Times New Roman" w:eastAsia="Times New Roman" w:hAnsi="Times New Roman"/>
          <w:sz w:val="18"/>
          <w:szCs w:val="18"/>
          <w:color w:val="auto"/>
        </w:rPr>
        <w:t>In case any provision in this Indenture or the Notes shall be invalid, illegal or unenforceable, the validity, legality and enforceability of the remaining provisions shall not in any way be affected or impaired thereby.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720"/>
          </w:cols>
          <w:pgMar w:left="580" w:top="266" w:right="599" w:bottom="1440" w:gutter="0" w:footer="0" w:header="0"/>
        </w:sectPr>
      </w:pPr>
    </w:p>
    <w:bookmarkStart w:id="179" w:name="page180"/>
    <w:bookmarkEnd w:id="179"/>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13.13</w:t>
      </w:r>
      <w:r>
        <w:rPr>
          <w:sz w:val="20"/>
          <w:szCs w:val="20"/>
          <w:color w:val="auto"/>
        </w:rPr>
        <w:tab/>
      </w:r>
      <w:r>
        <w:rPr>
          <w:rFonts w:ascii="Times New Roman" w:cs="Times New Roman" w:eastAsia="Times New Roman" w:hAnsi="Times New Roman"/>
          <w:sz w:val="16"/>
          <w:szCs w:val="16"/>
          <w:u w:val="single" w:color="auto"/>
          <w:color w:val="auto"/>
        </w:rPr>
        <w:t>Counterpart Originals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right="160" w:firstLine="965"/>
        <w:spacing w:after="0" w:line="252"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208"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13.14</w:t>
      </w:r>
      <w:r>
        <w:rPr>
          <w:sz w:val="20"/>
          <w:szCs w:val="20"/>
          <w:color w:val="auto"/>
        </w:rPr>
        <w:tab/>
      </w:r>
      <w:r>
        <w:rPr>
          <w:rFonts w:ascii="Times New Roman" w:cs="Times New Roman" w:eastAsia="Times New Roman" w:hAnsi="Times New Roman"/>
          <w:sz w:val="16"/>
          <w:szCs w:val="16"/>
          <w:u w:val="single" w:color="auto"/>
          <w:color w:val="auto"/>
        </w:rPr>
        <w:t>Acts of Holders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right="120" w:firstLine="967"/>
        <w:spacing w:after="0" w:line="247" w:lineRule="auto"/>
        <w:tabs>
          <w:tab w:leader="none" w:pos="120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the Holders may be embodied in and evidenced by one or more instruments of substantially similar tenor signed by such Holders in person or by agents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 13.14.</w:t>
      </w:r>
    </w:p>
    <w:p>
      <w:pPr>
        <w:spacing w:after="0" w:line="191" w:lineRule="exact"/>
        <w:rPr>
          <w:rFonts w:ascii="Times New Roman" w:cs="Times New Roman" w:eastAsia="Times New Roman" w:hAnsi="Times New Roman"/>
          <w:sz w:val="18"/>
          <w:szCs w:val="18"/>
          <w:color w:val="auto"/>
        </w:rPr>
      </w:pPr>
    </w:p>
    <w:p>
      <w:pPr>
        <w:ind w:right="80" w:firstLine="967"/>
        <w:spacing w:after="0" w:line="248" w:lineRule="auto"/>
        <w:tabs>
          <w:tab w:leader="none" w:pos="121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88" w:lineRule="exact"/>
        <w:rPr>
          <w:rFonts w:ascii="Times New Roman" w:cs="Times New Roman" w:eastAsia="Times New Roman" w:hAnsi="Times New Roman"/>
          <w:sz w:val="18"/>
          <w:szCs w:val="18"/>
          <w:color w:val="auto"/>
        </w:rPr>
      </w:pPr>
    </w:p>
    <w:p>
      <w:pPr>
        <w:ind w:firstLine="967"/>
        <w:spacing w:after="0" w:line="331" w:lineRule="auto"/>
        <w:tabs>
          <w:tab w:leader="none" w:pos="1203"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Section 13.14, the principal amount and serial numbers of Notes held by any Holder, and the date of holding the same, shall be proved by the register of the Notes maintained by the Registrar as provided in Section 2.04 hereof.</w:t>
      </w:r>
    </w:p>
    <w:p>
      <w:pPr>
        <w:spacing w:after="0" w:line="123" w:lineRule="exact"/>
        <w:rPr>
          <w:rFonts w:ascii="Times New Roman" w:cs="Times New Roman" w:eastAsia="Times New Roman" w:hAnsi="Times New Roman"/>
          <w:sz w:val="16"/>
          <w:szCs w:val="16"/>
          <w:color w:val="auto"/>
        </w:rPr>
      </w:pPr>
    </w:p>
    <w:p>
      <w:pPr>
        <w:ind w:right="100" w:firstLine="967"/>
        <w:spacing w:after="0" w:line="246" w:lineRule="auto"/>
        <w:tabs>
          <w:tab w:leader="none" w:pos="121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solicit from the Holders of the Notes any request, demand, authorization, direction, notice, consent, waiver or other Act, the Company may, at its option, fix in advance a record date for the determination of Holders entitled to give such request, demand, authorization, direction, notice, consent, waiver or other Act, but the Company shall have no obligation to do so. Notwithstanding TIA § 316(c), such record date shall not be earlier than the date 30 days prior to the first solicitation of Holders generally in connection therewith or the date of the most recent list of Holders forwarded to the Trustee prior to such solicitation pursuant to Section 2.06 hereof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the then outstanding Notes have authorized or agreed or consented to such request, demand, authorization, direction, notice, consent, waiver or other Act, and for that purpose the then outstanding Notes shall be computed as of such record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authorization, agreement or consent by the Holders on such record date shall be deemed effective unless it shall become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provisions of this Indenture not later than 90 days after the record date.</w:t>
      </w:r>
    </w:p>
    <w:p>
      <w:pPr>
        <w:spacing w:after="0" w:line="189" w:lineRule="exact"/>
        <w:rPr>
          <w:rFonts w:ascii="Times New Roman" w:cs="Times New Roman" w:eastAsia="Times New Roman" w:hAnsi="Times New Roman"/>
          <w:sz w:val="18"/>
          <w:szCs w:val="18"/>
          <w:color w:val="auto"/>
        </w:rPr>
      </w:pPr>
    </w:p>
    <w:p>
      <w:pPr>
        <w:ind w:right="20" w:firstLine="967"/>
        <w:spacing w:after="0" w:line="252" w:lineRule="auto"/>
        <w:tabs>
          <w:tab w:leader="none" w:pos="120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Company in reliance thereon, whether or not notation of such action is made upon such Note.</w:t>
      </w:r>
    </w:p>
    <w:p>
      <w:pPr>
        <w:spacing w:after="0" w:line="182" w:lineRule="exact"/>
        <w:rPr>
          <w:rFonts w:ascii="Times New Roman" w:cs="Times New Roman" w:eastAsia="Times New Roman" w:hAnsi="Times New Roman"/>
          <w:sz w:val="18"/>
          <w:szCs w:val="18"/>
          <w:color w:val="auto"/>
        </w:rPr>
      </w:pPr>
    </w:p>
    <w:p>
      <w:pPr>
        <w:jc w:val="both"/>
        <w:ind w:right="160" w:firstLine="967"/>
        <w:spacing w:after="0" w:line="256" w:lineRule="auto"/>
        <w:tabs>
          <w:tab w:leader="none" w:pos="118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 Holder entitled hereunder to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720"/>
          </w:cols>
          <w:pgMar w:left="580" w:top="266" w:right="599" w:bottom="1440" w:gutter="0" w:footer="0" w:header="0"/>
        </w:sectPr>
      </w:pPr>
    </w:p>
    <w:bookmarkStart w:id="180" w:name="page181"/>
    <w:bookmarkEnd w:id="180"/>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13.15</w:t>
      </w:r>
      <w:r>
        <w:rPr>
          <w:sz w:val="20"/>
          <w:szCs w:val="20"/>
          <w:color w:val="auto"/>
        </w:rPr>
        <w:tab/>
      </w:r>
      <w:r>
        <w:rPr>
          <w:rFonts w:ascii="Times New Roman" w:cs="Times New Roman" w:eastAsia="Times New Roman" w:hAnsi="Times New Roman"/>
          <w:sz w:val="16"/>
          <w:szCs w:val="16"/>
          <w:u w:val="single" w:color="auto"/>
          <w:color w:val="auto"/>
        </w:rPr>
        <w:t>Benefit of Indenture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5"/>
        <w:spacing w:after="0" w:line="268" w:lineRule="auto"/>
        <w:rPr>
          <w:sz w:val="20"/>
          <w:szCs w:val="20"/>
          <w:color w:val="auto"/>
        </w:rPr>
      </w:pPr>
      <w:r>
        <w:rPr>
          <w:rFonts w:ascii="Times New Roman" w:cs="Times New Roman" w:eastAsia="Times New Roman" w:hAnsi="Times New Roman"/>
          <w:sz w:val="18"/>
          <w:szCs w:val="18"/>
          <w:color w:val="auto"/>
        </w:rPr>
        <w:t>Nothing, in this Indenture or in the Notes, express or implied, shall give to any Person, other than the parties hereto, any Paying Agent, any Registrar and its successors hereunder, and the Holders, any benefit or any legal or equitable right, remedy or claim under this Indenture.</w:t>
      </w:r>
    </w:p>
    <w:p>
      <w:pPr>
        <w:spacing w:after="0" w:line="19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13.16</w:t>
      </w:r>
      <w:r>
        <w:rPr>
          <w:sz w:val="20"/>
          <w:szCs w:val="20"/>
          <w:color w:val="auto"/>
        </w:rPr>
        <w:tab/>
      </w:r>
      <w:r>
        <w:rPr>
          <w:rFonts w:ascii="Times New Roman" w:cs="Times New Roman" w:eastAsia="Times New Roman" w:hAnsi="Times New Roman"/>
          <w:sz w:val="16"/>
          <w:szCs w:val="16"/>
          <w:u w:val="single" w:color="auto"/>
          <w:color w:val="auto"/>
        </w:rPr>
        <w:t>Table of Contents, Headings, Etc.</w:t>
      </w:r>
    </w:p>
    <w:p>
      <w:pPr>
        <w:spacing w:after="0" w:line="214" w:lineRule="exact"/>
        <w:rPr>
          <w:sz w:val="20"/>
          <w:szCs w:val="20"/>
          <w:color w:val="auto"/>
        </w:rPr>
      </w:pPr>
    </w:p>
    <w:p>
      <w:pPr>
        <w:ind w:right="400" w:firstLine="965"/>
        <w:spacing w:after="0" w:line="256"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20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13.17</w:t>
      </w:r>
      <w:r>
        <w:rPr>
          <w:sz w:val="20"/>
          <w:szCs w:val="20"/>
          <w:color w:val="auto"/>
        </w:rPr>
        <w:tab/>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w:t>
      </w:r>
    </w:p>
    <w:p>
      <w:pPr>
        <w:spacing w:after="0" w:line="212" w:lineRule="exact"/>
        <w:rPr>
          <w:sz w:val="20"/>
          <w:szCs w:val="20"/>
          <w:color w:val="auto"/>
        </w:rPr>
      </w:pPr>
    </w:p>
    <w:p>
      <w:pPr>
        <w:ind w:right="340" w:firstLine="429"/>
        <w:spacing w:after="0" w:line="252" w:lineRule="auto"/>
        <w:rPr>
          <w:sz w:val="20"/>
          <w:szCs w:val="20"/>
          <w:color w:val="auto"/>
        </w:rPr>
      </w:pPr>
      <w:r>
        <w:rPr>
          <w:rFonts w:ascii="Times New Roman" w:cs="Times New Roman" w:eastAsia="Times New Roman" w:hAnsi="Times New Roman"/>
          <w:sz w:val="18"/>
          <w:szCs w:val="18"/>
          <w:b w:val="1"/>
          <w:bCs w:val="1"/>
          <w:color w:val="auto"/>
        </w:rPr>
        <w:t>EACH OF THE COMPANY AND THE GUARANTORS, THE TRUSTEE AND THE SECOND LIEN COLLATERAL TRUSTEE HEREBY IRREVOCABLY WAIVES, TO THE FULLEST EXTENT PERMITTED BY APPLICABLE LAW, ANY AND ALL RIGHT TO TRIAL BY JURY IN ANY LEGAL PROCEEDING ARISING OUT OF OR RELATING TO THIS INDENTURE, THE NOTES OR THE TRANSACTIONS CONTEMPLATED HEREBY.</w:t>
      </w:r>
    </w:p>
    <w:p>
      <w:pPr>
        <w:spacing w:after="0" w:line="210"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13.18</w:t>
      </w:r>
      <w:r>
        <w:rPr>
          <w:sz w:val="20"/>
          <w:szCs w:val="20"/>
          <w:color w:val="auto"/>
        </w:rPr>
        <w:tab/>
      </w:r>
      <w:r>
        <w:rPr>
          <w:rFonts w:ascii="Times New Roman" w:cs="Times New Roman" w:eastAsia="Times New Roman" w:hAnsi="Times New Roman"/>
          <w:sz w:val="16"/>
          <w:szCs w:val="16"/>
          <w:u w:val="single" w:color="auto"/>
          <w:color w:val="auto"/>
        </w:rPr>
        <w:t>Force Majeure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965"/>
        <w:spacing w:after="0" w:line="248" w:lineRule="auto"/>
        <w:rPr>
          <w:sz w:val="20"/>
          <w:szCs w:val="20"/>
          <w:color w:val="auto"/>
        </w:rPr>
      </w:pPr>
      <w:r>
        <w:rPr>
          <w:rFonts w:ascii="Times New Roman" w:cs="Times New Roman" w:eastAsia="Times New Roman" w:hAnsi="Times New Roman"/>
          <w:sz w:val="18"/>
          <w:szCs w:val="18"/>
          <w:color w:val="auto"/>
        </w:rPr>
        <w:t>In no event shall the Trustee or the Second Lien Collateral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and the Second Lien Collateral Trustee shall use reasonable efforts which are consistent with accepted practices in the banking industry to resume performance as soon as practicable under the circumstances.</w:t>
      </w:r>
    </w:p>
    <w:p>
      <w:pPr>
        <w:spacing w:after="0" w:line="215" w:lineRule="exact"/>
        <w:rPr>
          <w:sz w:val="20"/>
          <w:szCs w:val="20"/>
          <w:color w:val="auto"/>
        </w:rPr>
      </w:pPr>
    </w:p>
    <w:p>
      <w:pPr>
        <w:ind w:left="420"/>
        <w:spacing w:after="0"/>
        <w:tabs>
          <w:tab w:leader="none" w:pos="1900" w:val="left"/>
        </w:tabs>
        <w:rPr>
          <w:sz w:val="20"/>
          <w:szCs w:val="20"/>
          <w:color w:val="auto"/>
        </w:rPr>
      </w:pPr>
      <w:r>
        <w:rPr>
          <w:rFonts w:ascii="Times New Roman" w:cs="Times New Roman" w:eastAsia="Times New Roman" w:hAnsi="Times New Roman"/>
          <w:sz w:val="18"/>
          <w:szCs w:val="18"/>
          <w:u w:val="single" w:color="auto"/>
          <w:color w:val="auto"/>
        </w:rPr>
        <w:t>Section 13.19</w:t>
      </w:r>
      <w:r>
        <w:rPr>
          <w:sz w:val="20"/>
          <w:szCs w:val="20"/>
          <w:color w:val="auto"/>
        </w:rPr>
        <w:tab/>
      </w:r>
      <w:r>
        <w:rPr>
          <w:rFonts w:ascii="Times New Roman" w:cs="Times New Roman" w:eastAsia="Times New Roman" w:hAnsi="Times New Roman"/>
          <w:sz w:val="16"/>
          <w:szCs w:val="16"/>
          <w:u w:val="single" w:color="auto"/>
          <w:color w:val="auto"/>
        </w:rPr>
        <w:t>U.S.A. Patriot Act.</w:t>
      </w:r>
    </w:p>
    <w:p>
      <w:pPr>
        <w:spacing w:after="0" w:line="214" w:lineRule="exact"/>
        <w:rPr>
          <w:sz w:val="20"/>
          <w:szCs w:val="20"/>
          <w:color w:val="auto"/>
        </w:rPr>
      </w:pPr>
    </w:p>
    <w:p>
      <w:pPr>
        <w:ind w:right="120" w:firstLine="965"/>
        <w:spacing w:after="0" w:line="288" w:lineRule="auto"/>
        <w:rPr>
          <w:sz w:val="20"/>
          <w:szCs w:val="20"/>
          <w:color w:val="auto"/>
        </w:rPr>
      </w:pPr>
      <w:r>
        <w:rPr>
          <w:rFonts w:ascii="Times New Roman" w:cs="Times New Roman" w:eastAsia="Times New Roman" w:hAnsi="Times New Roman"/>
          <w:sz w:val="16"/>
          <w:szCs w:val="16"/>
          <w:color w:val="auto"/>
        </w:rPr>
        <w:t>The parties hereto acknowledge that in accordance with Section 326 of the U.S.A. Patriot Act, the Trustee and the Second Lien Collateral Trustee, like all financial institutions and in order to help fight the funding of terrorism and money laundering, is required to obtain, verify, and record information that identifies each person or legal entity that establishes a relationship or opens an account with the Trustee or the Second Lien Collateral Trustee. The parties to this Indenture agree that they will provide the Trustee and the Second Lien Collateral Trustee with such information as it may request in order for the Trustee and the Second Lien Collateral Trustee to satisfy the requirements of the U.S.A. Patriot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720"/>
          </w:cols>
          <w:pgMar w:left="580" w:top="266" w:right="5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Indenture to be duly executed, as of the date set forth above.</w:t>
      </w:r>
    </w:p>
    <w:p>
      <w:pPr>
        <w:spacing w:after="0" w:line="24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ISSUER:</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13970</wp:posOffset>
            </wp:positionV>
            <wp:extent cx="25038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9">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GUARANTORS:</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GEO HOLDINGS I, INC.</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13970</wp:posOffset>
            </wp:positionV>
            <wp:extent cx="250380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0">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GEO TRANSPORT, INC.</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13970</wp:posOffset>
            </wp:positionV>
            <wp:extent cx="25038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1">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19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GEO RE HOLDINGS LLC</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13970</wp:posOffset>
            </wp:positionV>
            <wp:extent cx="25038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2">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19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CORRECTIONAL PROPERTIES PRISON FINANCE LLC</w:t>
      </w:r>
    </w:p>
    <w:p>
      <w:pPr>
        <w:spacing w:after="0" w:line="23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13970</wp:posOffset>
            </wp:positionV>
            <wp:extent cx="25038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3">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PUBLIC PROPERTIES DEVELOPMENT AND LEASING</w:t>
      </w:r>
    </w:p>
    <w:p>
      <w:pPr>
        <w:spacing w:after="0" w:line="4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LLC</w:t>
      </w:r>
    </w:p>
    <w:p>
      <w:pPr>
        <w:spacing w:after="0" w:line="19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13970</wp:posOffset>
            </wp:positionV>
            <wp:extent cx="25038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4">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tab/>
        <w:t>Vice President, Finance and Manager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700"/>
          </w:cols>
          <w:pgMar w:left="580" w:top="266" w:right="619" w:bottom="1440" w:gutter="0" w:footer="0" w:header="0"/>
        </w:sectPr>
      </w:pPr>
    </w:p>
    <w:bookmarkStart w:id="182" w:name="page183"/>
    <w:bookmarkEnd w:id="182"/>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CPT LIMITED PARTNER,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6">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CPT OPERATING PARTNERSHIP L.P.</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7">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MUNICIPAL CORRECTIONS FINANCE, L.P.</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8">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WBP LEASING,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9">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6"/>
          <w:szCs w:val="16"/>
          <w:color w:val="auto"/>
        </w:rPr>
        <w:t>Title:</w:t>
        <w:tab/>
        <w:t>Vice President, Finance and Chief Financial</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CORRECTIONAL SYSTEMS,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0">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6"/>
          <w:szCs w:val="16"/>
          <w:color w:val="auto"/>
        </w:rPr>
        <w:t>Title:</w:t>
        <w:tab/>
        <w:t>Vice President, Finance and Chief Financial</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ADAPPT,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1">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6"/>
          <w:szCs w:val="16"/>
          <w:color w:val="auto"/>
        </w:rPr>
        <w:t>Title:</w:t>
        <w:tab/>
        <w:t>Vice President, Finance and Chief Financial</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ARAPAHOE COUNTY RESIDENTIAL CENTER, LLC</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2">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6"/>
          <w:szCs w:val="16"/>
          <w:color w:val="auto"/>
        </w:rPr>
        <w:t>Title:</w:t>
        <w:tab/>
        <w:t>Vice President, Finance and Chief Financial</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9620"/>
          </w:cols>
          <w:pgMar w:left="1440" w:top="266" w:right="839" w:bottom="1440" w:gutter="0" w:footer="0" w:header="0"/>
        </w:sectPr>
      </w:pPr>
    </w:p>
    <w:bookmarkStart w:id="183" w:name="page184"/>
    <w:bookmarkEnd w:id="183"/>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BROAD REAL ESTATE HOLDINGS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4">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CCC WYOMING PROPERTIES,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5">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CCMAS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6">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CEC INTERMEDIATE HOLDINGS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7">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CEC PARENT HOLDINGS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8">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CEC STAFFING SOLUTIONS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9">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9580"/>
          </w:cols>
          <w:pgMar w:left="1440" w:top="266" w:right="879" w:bottom="1440" w:gutter="0" w:footer="0" w:header="0"/>
        </w:sectPr>
      </w:pPr>
    </w:p>
    <w:bookmarkStart w:id="184" w:name="page185"/>
    <w:bookmarkEnd w:id="184"/>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CIVIGENICS MANAGEMENT SERVICES,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1">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CORNELL COMPANIES,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2">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CORNELL CORRECTIONS MANAGEMENT,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3">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COMMUNITY CORRECTIONS,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4">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FENTON SECURITY,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5">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MINSEC COMPANIES,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6">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MINSEC TREATMENT,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7">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9580"/>
          </w:cols>
          <w:pgMar w:left="1440" w:top="266" w:right="879" w:bottom="1440" w:gutter="0" w:footer="0" w:header="0"/>
        </w:sectPr>
      </w:pPr>
    </w:p>
    <w:bookmarkStart w:id="185" w:name="page186"/>
    <w:bookmarkEnd w:id="185"/>
    <w:p>
      <w:pPr>
        <w:ind w:left="55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GEO REENTRY OF ALASKA, INC. (F/K/A CORNELL</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CORRECTIONS OF ALASKA, INC.)</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9">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&amp;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CORNELL CORRECTIONS OF RHODE ISLAND, INC.</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0">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&amp;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CORNELL CORRECTIONS OF TEXAS,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1">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&amp;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CIVIGENICS,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2">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CIVIGENICS-TEXAS,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3">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COMMUNITY EDUCATION CENTERS,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4">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9680"/>
          </w:cols>
          <w:pgMar w:left="1440" w:top="266" w:right="779" w:bottom="1440" w:gutter="0" w:footer="0" w:header="0"/>
        </w:sectPr>
      </w:pPr>
    </w:p>
    <w:bookmarkStart w:id="186" w:name="page187"/>
    <w:bookmarkEnd w:id="186"/>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GEO OPERATIONS,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6">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SECON,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7">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jc w:val="both"/>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 and Chief Financial</w:t>
      </w:r>
    </w:p>
    <w:p>
      <w:pPr>
        <w:spacing w:after="0" w:line="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ACQUISITION II,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8">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BII HOLDING CORPORATION</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9">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BII HOLDING I CORPORATION</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0">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BEHAVIORAL HOLDING CORP.</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1">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BEHAVIORAL ACQUISITION CORP.</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13970</wp:posOffset>
            </wp:positionV>
            <wp:extent cx="25038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2">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2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Vice President, Finance</w:t>
      </w:r>
    </w:p>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9580"/>
          </w:cols>
          <w:pgMar w:left="1440" w:top="266" w:right="879" w:bottom="1440" w:gutter="0" w:footer="0" w:header="0"/>
        </w:sectPr>
      </w:pPr>
    </w:p>
    <w:bookmarkStart w:id="187" w:name="page188"/>
    <w:bookmarkEnd w:id="187"/>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PROTOCOL CRIMINAL JUSTICE,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4">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B.I. INCORPORATED</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BI MOBILE BREATH,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6">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 Vice President, Finance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MCF GP,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7">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MCF LP,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8">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CORRECTIONAL SERVICES CORPORATION, LLC</w:t>
      </w: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9">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LEASING,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0">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9520"/>
          </w:cols>
          <w:pgMar w:left="1440" w:top="266" w:right="939" w:bottom="1440" w:gutter="0" w:footer="0" w:header="0"/>
        </w:sectPr>
      </w:pPr>
    </w:p>
    <w:bookmarkStart w:id="188" w:name="page189"/>
    <w:bookmarkEnd w:id="188"/>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GEO SECURE SERVICES,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REENTRY SERVICES,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3">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CORRECTIONAL PROPERTIES,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4">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CORRECTIONS HOLDINGS,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CC3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CPM,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GEO/DEL/R/02,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8">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1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9520"/>
          </w:cols>
          <w:pgMar w:left="1440" w:top="266" w:right="939" w:bottom="1440" w:gutter="0" w:footer="0" w:header="0"/>
        </w:sectPr>
      </w:pPr>
    </w:p>
    <w:bookmarkStart w:id="189" w:name="page190"/>
    <w:bookmarkEnd w:id="189"/>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GEO/DEL/T/02,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0">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INTERNATIONAL SERVICES,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1">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MANAGEMENT SERVICES,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GEO REENTRY, INC.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3">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and Chief Financial Officer</w:t>
      </w:r>
    </w:p>
    <w:p>
      <w:pPr>
        <w:spacing w:after="0" w:line="2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CLEARSTREAM DEVELOPMENT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4">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HIGHPOINT INVESTMENTS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9520"/>
          </w:cols>
          <w:pgMar w:left="1440" w:top="266" w:right="939" w:bottom="1440" w:gutter="0" w:footer="0" w:header="0"/>
        </w:sectPr>
      </w:pPr>
    </w:p>
    <w:bookmarkStart w:id="190" w:name="page191"/>
    <w:bookmarkEnd w:id="190"/>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GEO CARE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7">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COMMUNITY ALTERNATIVES</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Community Education Centers, Inc., Manager</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8">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Brian R. Evans</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Title:    Vice President, Finance and Chief Financial</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Officer</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9">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Shayn March</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9520"/>
          </w:cols>
          <w:pgMar w:left="1440" w:top="266" w:right="939" w:bottom="1440" w:gutter="0" w:footer="0" w:header="0"/>
        </w:sectPr>
      </w:pPr>
    </w:p>
    <w:bookmarkStart w:id="191" w:name="page192"/>
    <w:bookmarkEnd w:id="191"/>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TRUSTEE:</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ANKURA TRUST COMPANY,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1">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SECOND LIEN COLLATERAL TRUSTEE:</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ANKURA TRUST COMPANY, LLC</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24955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9019"/>
          </w:cols>
          <w:pgMar w:left="1440" w:top="266"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14" w:lineRule="exact"/>
        <w:rPr>
          <w:sz w:val="20"/>
          <w:szCs w:val="20"/>
          <w:color w:val="auto"/>
        </w:rPr>
      </w:pPr>
    </w:p>
    <w:p>
      <w:pPr>
        <w:ind w:right="120" w:firstLine="965"/>
        <w:spacing w:after="0" w:line="24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OF A DEPOSITARY OR A SUCCESSOR DEPOSITARY. TRANSFERS OF THIS GLOBAL SECURITY SHALL BE LIMITED TO TRANSFERS IN WHOLE, BUT NOT IN PART, TO NOMINEES OF CEDE &amp; CO. OR TO A SUCCESSOR THEREOF OR SUCH SUCCESSOR’S NOMINEE AND TRANSFERS OF PORTIONS OF THIS GLOBAL SECURITY SHALL BE LIMITED TO TRANSFERS MADE IN ACCORDANCE WITH THE RESTRICTIONS SET FORTH IN SECTION 2.07 OF THE INDENTURE.</w:t>
      </w:r>
    </w:p>
    <w:p>
      <w:pPr>
        <w:spacing w:after="0" w:line="189" w:lineRule="exact"/>
        <w:rPr>
          <w:sz w:val="20"/>
          <w:szCs w:val="20"/>
          <w:color w:val="auto"/>
        </w:rPr>
      </w:pPr>
    </w:p>
    <w:p>
      <w:pPr>
        <w:ind w:firstLine="965"/>
        <w:spacing w:after="0" w:line="247"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SUCH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1" w:lineRule="exact"/>
        <w:rPr>
          <w:sz w:val="20"/>
          <w:szCs w:val="20"/>
          <w:color w:val="auto"/>
        </w:rPr>
      </w:pPr>
    </w:p>
    <w:p>
      <w:pPr>
        <w:ind w:right="120" w:firstLine="965"/>
        <w:spacing w:after="0" w:line="249" w:lineRule="auto"/>
        <w:rPr>
          <w:sz w:val="20"/>
          <w:szCs w:val="20"/>
          <w:color w:val="auto"/>
        </w:rPr>
      </w:pPr>
      <w:r>
        <w:rPr>
          <w:rFonts w:ascii="Times New Roman" w:cs="Times New Roman" w:eastAsia="Times New Roman" w:hAnsi="Times New Roman"/>
          <w:sz w:val="18"/>
          <w:szCs w:val="18"/>
          <w:color w:val="auto"/>
        </w:rPr>
        <w:t>FOR PURPOSES OF SECTIONS 1272, 1273 AND 1275 OF THE INTERNAL REVENUE CODE OF 1986, AS AMENDED, THIS SECURITY IS BEING ISSUED WITH TAX ORIGINAL ISSUE DISCOUNT. THE GEO GROUP, INC. AGREES TO PROVIDE PROMPTLY TO THE HOLDER OF THIS SECURITY, UPON WRITTEN REQUEST, THE ISSUE PRICE, THE AMOUNT OF OID, THE ISSUE DATE AND THE YIELD TO MATURITY. ANY SUCH WRITTEN REQUEST SHOULD BE SENT TO THE GEO GROUP, INC. AT THE FOLLOWING ADDRESS: 4955 TECHNOLOGY WAY, BOCA RATON, FL 33431 ATTENTION: CORPORATE SECRETARY.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720"/>
          </w:cols>
          <w:pgMar w:left="580" w:top="266" w:right="5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4">
                      <a:extLst>
                        <a:ext uri="{28A0092B-C50C-407E-A947-70E740481C1C}"/>
                      </a:extLst>
                    </a:blip>
                    <a:srcRect/>
                    <a:stretch>
                      <a:fillRect/>
                    </a:stretch>
                  </pic:blipFill>
                  <pic:spPr bwMode="auto">
                    <a:xfrm>
                      <a:off x="0" y="0"/>
                      <a:ext cx="7178040" cy="38100"/>
                    </a:xfrm>
                    <a:prstGeom prst="rect">
                      <a:avLst/>
                    </a:prstGeom>
                    <a:noFill/>
                  </pic:spPr>
                </pic:pic>
              </a:graphicData>
            </a:graphic>
          </wp:anchor>
        </w:drawing>
        <w:t>CUSIP 36162J AC0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36" w:lineRule="exact"/>
        <w:rPr>
          <w:sz w:val="20"/>
          <w:szCs w:val="20"/>
          <w:color w:val="auto"/>
        </w:rPr>
      </w:pPr>
    </w:p>
    <w:p>
      <w:pPr>
        <w:sectPr>
          <w:pgSz w:w="11900" w:h="16838" w:orient="portrait"/>
          <w:cols w:equalWidth="0" w:num="2">
            <w:col w:w="9740" w:space="720"/>
            <w:col w:w="260"/>
          </w:cols>
          <w:pgMar w:left="580" w:top="266" w:right="59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10.500% Senior Second Lien Secured Notes due 2028</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 2022</w:t>
      </w:r>
    </w:p>
    <w:p>
      <w:pPr>
        <w:spacing w:after="0" w:line="212" w:lineRule="exact"/>
        <w:rPr>
          <w:sz w:val="20"/>
          <w:szCs w:val="20"/>
          <w:color w:val="auto"/>
        </w:rPr>
      </w:pPr>
    </w:p>
    <w:p>
      <w:pPr>
        <w:ind w:right="100" w:firstLine="965"/>
        <w:spacing w:after="0" w:line="334" w:lineRule="auto"/>
        <w:rPr>
          <w:sz w:val="20"/>
          <w:szCs w:val="20"/>
          <w:color w:val="auto"/>
        </w:rPr>
      </w:pPr>
      <w:r>
        <w:rPr>
          <w:rFonts w:ascii="Times New Roman" w:cs="Times New Roman" w:eastAsia="Times New Roman" w:hAnsi="Times New Roman"/>
          <w:sz w:val="16"/>
          <w:szCs w:val="16"/>
          <w:color w:val="auto"/>
        </w:rPr>
        <w:t>The GEO Group, Inc., a Florida Corporation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which term includes any successor under the Indenture hereinafter referred to), for value received, promises to pay to CEDE &amp; CO., or its registered assigns, the principal sum of [Amount of Note] on December 31, 2028.</w:t>
      </w:r>
    </w:p>
    <w:p>
      <w:pPr>
        <w:spacing w:after="0" w:line="1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Interest Payment Dates: June 30 and December 31, commencing December 31, 2022.</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Record Dates: June 15 and December 15.</w:t>
      </w:r>
    </w:p>
    <w:p>
      <w:pPr>
        <w:spacing w:after="0" w:line="214" w:lineRule="exact"/>
        <w:rPr>
          <w:sz w:val="20"/>
          <w:szCs w:val="20"/>
          <w:color w:val="auto"/>
        </w:rPr>
      </w:pPr>
    </w:p>
    <w:p>
      <w:pPr>
        <w:ind w:right="540" w:firstLine="965"/>
        <w:spacing w:after="0" w:line="268"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720"/>
          </w:cols>
          <w:pgMar w:left="580" w:top="266" w:right="599" w:bottom="1440" w:gutter="0" w:footer="0" w:header="0"/>
          <w:type w:val="continuous"/>
        </w:sectPr>
      </w:pPr>
    </w:p>
    <w:bookmarkStart w:id="194" w:name="page195"/>
    <w:bookmarkEnd w:id="194"/>
    <w:p>
      <w:pPr>
        <w:ind w:left="9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Company has caused this Note to be signed manually or by facsimile by one of its duly authorized officers.</w:t>
      </w:r>
    </w:p>
    <w:p>
      <w:pPr>
        <w:spacing w:after="0" w:line="2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13970</wp:posOffset>
            </wp:positionV>
            <wp:extent cx="249555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6">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This is one of the 10.500% Senior Second Lien Secured Notes due 2028 described in the within-mentioned Indenture.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Huntington National Bank,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13970</wp:posOffset>
            </wp:positionV>
            <wp:extent cx="249555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7">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680"/>
          </w:cols>
          <w:pgMar w:left="580" w:top="266" w:right="639" w:bottom="1440" w:gutter="0" w:footer="0" w:header="0"/>
        </w:sectPr>
      </w:pPr>
    </w:p>
    <w:bookmarkStart w:id="195" w:name="page196"/>
    <w:bookmarkEnd w:id="195"/>
    <w:p>
      <w:pPr>
        <w:jc w:val="center"/>
        <w:ind w:righ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[Reverse Side of Note]</w:t>
      </w:r>
    </w:p>
    <w:p>
      <w:pPr>
        <w:spacing w:after="0" w:line="2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10.500% Senior Second Lien Secured Notes due 2028</w:t>
      </w:r>
    </w:p>
    <w:p>
      <w:pPr>
        <w:spacing w:after="0" w:line="2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120" w:lineRule="exact"/>
        <w:rPr>
          <w:sz w:val="20"/>
          <w:szCs w:val="20"/>
          <w:color w:val="auto"/>
        </w:rPr>
      </w:pPr>
    </w:p>
    <w:p>
      <w:pPr>
        <w:ind w:left="520" w:hanging="518"/>
        <w:spacing w:after="0" w:line="280" w:lineRule="auto"/>
        <w:tabs>
          <w:tab w:leader="none" w:pos="5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Interest</w:t>
      </w:r>
      <w:r>
        <w:rPr>
          <w:rFonts w:ascii="Times New Roman" w:cs="Times New Roman" w:eastAsia="Times New Roman" w:hAnsi="Times New Roman"/>
          <w:sz w:val="16"/>
          <w:szCs w:val="16"/>
          <w:color w:val="auto"/>
        </w:rPr>
        <w:t>. The Company promises to pay interest on the principal amount of this Note at 10.500% per annum from the date hereof until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maturity. The Company shall pay interest, if any, semi-annually in arrears on June 30 and December 31 of each year, or if any such day is not a Business Day, on the next succeeding Business Day (each an “</w:t>
      </w:r>
      <w:r>
        <w:rPr>
          <w:rFonts w:ascii="Times New Roman" w:cs="Times New Roman" w:eastAsia="Times New Roman" w:hAnsi="Times New Roman"/>
          <w:sz w:val="16"/>
          <w:szCs w:val="16"/>
          <w:i w:val="1"/>
          <w:iCs w:val="1"/>
          <w:color w:val="auto"/>
        </w:rPr>
        <w:t>Interest Payment Date</w:t>
      </w:r>
      <w:r>
        <w:rPr>
          <w:rFonts w:ascii="Times New Roman" w:cs="Times New Roman" w:eastAsia="Times New Roman" w:hAnsi="Times New Roman"/>
          <w:sz w:val="16"/>
          <w:szCs w:val="16"/>
          <w:color w:val="auto"/>
        </w:rPr>
        <w:t xml:space="preserve">”). Interest on the Notes shall accrue from the most recent date to which interest has been paid or, if no interest has been paid, from the date of original issuance;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the first Interest Payment Date shall be December 31, 2022. The Company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285" w:lineRule="exact"/>
        <w:rPr>
          <w:rFonts w:ascii="Times New Roman" w:cs="Times New Roman" w:eastAsia="Times New Roman" w:hAnsi="Times New Roman"/>
          <w:sz w:val="16"/>
          <w:szCs w:val="16"/>
          <w:color w:val="auto"/>
        </w:rPr>
      </w:pPr>
    </w:p>
    <w:p>
      <w:pPr>
        <w:ind w:left="520" w:right="120" w:hanging="518"/>
        <w:spacing w:after="0" w:line="281" w:lineRule="auto"/>
        <w:tabs>
          <w:tab w:leader="none" w:pos="5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Method of Payment</w:t>
      </w:r>
      <w:r>
        <w:rPr>
          <w:rFonts w:ascii="Times New Roman" w:cs="Times New Roman" w:eastAsia="Times New Roman" w:hAnsi="Times New Roman"/>
          <w:sz w:val="16"/>
          <w:szCs w:val="16"/>
          <w:color w:val="auto"/>
        </w:rPr>
        <w:t>. The Company shall pay interest on the Notes (except defaulted interest), if any, to the Persons who are registered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Holders of Notes at the close of business on the record date immediately preceding the Interest Payment Date, even if such Notes are canceled after such record date and on or before such Interest Payment Date, except as provided in Section 2.14 of the Indenture with respect to defaulted interest. The Notes shall be payable as to principal, premium, if any, and interest at the office or agency of the Paying Agent and Registrar maintained for such purpose, or, at the option of the Company, payment of interest, if any, may be made by check mailed to the Holders at their addresses set forth in the register of Holders,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72" w:lineRule="exact"/>
        <w:rPr>
          <w:rFonts w:ascii="Times New Roman" w:cs="Times New Roman" w:eastAsia="Times New Roman" w:hAnsi="Times New Roman"/>
          <w:sz w:val="16"/>
          <w:szCs w:val="16"/>
          <w:color w:val="auto"/>
        </w:rPr>
      </w:pPr>
    </w:p>
    <w:p>
      <w:pPr>
        <w:ind w:left="520" w:right="60" w:hanging="518"/>
        <w:spacing w:after="0" w:line="257" w:lineRule="auto"/>
        <w:tabs>
          <w:tab w:leader="none" w:pos="5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 Initially, Ankura Trust Company, LLC, the Trustee under the Indenture, shall act as Paying Agent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Registrar. The Company may change any Paying Agent or Registrar without notice to any Holder. The Company or any of its Subsidiaries may act in any such capacity.</w:t>
      </w:r>
    </w:p>
    <w:p>
      <w:pPr>
        <w:spacing w:after="0" w:line="84" w:lineRule="exact"/>
        <w:rPr>
          <w:rFonts w:ascii="Times New Roman" w:cs="Times New Roman" w:eastAsia="Times New Roman" w:hAnsi="Times New Roman"/>
          <w:sz w:val="18"/>
          <w:szCs w:val="18"/>
          <w:color w:val="auto"/>
        </w:rPr>
      </w:pPr>
    </w:p>
    <w:p>
      <w:pPr>
        <w:ind w:left="520" w:right="20" w:hanging="518"/>
        <w:spacing w:after="0" w:line="250" w:lineRule="auto"/>
        <w:tabs>
          <w:tab w:leader="none" w:pos="5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Company issued the Notes under an Indenture dated as of [•], 2022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 Company,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the Trustee and the Second Lien Collateral Trustee. The terms of the Notes include those stated in the Indenture and those made part of the Indenture by reference to the Trust Indenture Act of 1939, as amended.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w:t>
      </w:r>
    </w:p>
    <w:p>
      <w:pPr>
        <w:spacing w:after="0" w:line="91" w:lineRule="exact"/>
        <w:rPr>
          <w:rFonts w:ascii="Times New Roman" w:cs="Times New Roman" w:eastAsia="Times New Roman" w:hAnsi="Times New Roman"/>
          <w:sz w:val="18"/>
          <w:szCs w:val="18"/>
          <w:color w:val="auto"/>
        </w:rPr>
      </w:pPr>
    </w:p>
    <w:p>
      <w:pPr>
        <w:ind w:left="520" w:right="40" w:hanging="518"/>
        <w:spacing w:after="0" w:line="294" w:lineRule="auto"/>
        <w:tabs>
          <w:tab w:leader="none" w:pos="5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Optional Redemption</w:t>
      </w:r>
      <w:r>
        <w:rPr>
          <w:rFonts w:ascii="Times New Roman" w:cs="Times New Roman" w:eastAsia="Times New Roman" w:hAnsi="Times New Roman"/>
          <w:sz w:val="16"/>
          <w:szCs w:val="16"/>
          <w:color w:val="auto"/>
        </w:rPr>
        <w:t>. The Company may, at its option, redeem all or a part of the Notes upon not less than 10 nor more than 60 days’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at the redemption prices (expressed as percentages of principal amount) set forth below, plus accrued and unpaid interest, if any, on the Notes redeemed, to, but not including, the applicable redemption date (subject to the rights of Holders of Notes on the relevant record date to receive interest due on the relevant interest payment date if the Notes have not been redeemed prior to such date):</w:t>
      </w:r>
    </w:p>
    <w:p>
      <w:pPr>
        <w:spacing w:after="0" w:line="8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280"/>
          </w:cols>
          <w:pgMar w:left="1000" w:top="266" w:right="619" w:bottom="1440" w:gutter="0" w:footer="0" w:header="0"/>
        </w:sectPr>
      </w:pPr>
    </w:p>
    <w:bookmarkStart w:id="196" w:name="page197"/>
    <w:bookmarkEnd w:id="196"/>
    <w:tbl>
      <w:tblPr>
        <w:tblLayout w:type="fixed"/>
        <w:tblInd w:w="1300" w:type="dxa"/>
        <w:tblCellMar>
          <w:top w:w="0" w:type="dxa"/>
          <w:left w:w="0" w:type="dxa"/>
          <w:bottom w:w="0" w:type="dxa"/>
          <w:right w:w="0" w:type="dxa"/>
        </w:tblCellMar>
      </w:tblPr>
      <w:tr>
        <w:trPr>
          <w:trHeight w:val="169"/>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588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6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to the first anniversary of the Issue Date</w:t>
            </w: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103.00%</w:t>
            </w:r>
          </w:p>
        </w:tc>
        <w:tc>
          <w:tcPr>
            <w:tcW w:w="0" w:type="dxa"/>
            <w:vAlign w:val="bottom"/>
          </w:tcPr>
          <w:p>
            <w:pPr>
              <w:spacing w:after="0"/>
              <w:rPr>
                <w:sz w:val="1"/>
                <w:szCs w:val="1"/>
                <w:color w:val="auto"/>
              </w:rPr>
            </w:pPr>
          </w:p>
        </w:tc>
      </w:tr>
      <w:tr>
        <w:trPr>
          <w:trHeight w:val="192"/>
        </w:trPr>
        <w:tc>
          <w:tcPr>
            <w:tcW w:w="61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On or after the first anniversary of the Issue Date but prior to the second anniversary</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the Issue Date</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102.00%</w:t>
            </w:r>
          </w:p>
        </w:tc>
        <w:tc>
          <w:tcPr>
            <w:tcW w:w="0" w:type="dxa"/>
            <w:vAlign w:val="bottom"/>
          </w:tcPr>
          <w:p>
            <w:pPr>
              <w:spacing w:after="0"/>
              <w:rPr>
                <w:sz w:val="1"/>
                <w:szCs w:val="1"/>
                <w:color w:val="auto"/>
              </w:rPr>
            </w:pPr>
          </w:p>
        </w:tc>
      </w:tr>
      <w:tr>
        <w:trPr>
          <w:trHeight w:val="192"/>
        </w:trPr>
        <w:tc>
          <w:tcPr>
            <w:tcW w:w="61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On or after the second anniversary of the Issue Date but prior to the third</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anniversary of the Issue Date</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28"/>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the third anniversary of the Issue Date</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p>
    <w:p>
      <w:pPr>
        <w:ind w:left="520" w:right="660" w:hanging="518"/>
        <w:spacing w:after="0" w:line="270" w:lineRule="auto"/>
        <w:tabs>
          <w:tab w:leader="none" w:pos="5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Other than as set forth in Section 3.08 of the Indenture, the Company is not required to make mandatory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or sinking fund payments with respect to the Notes.</w:t>
      </w:r>
    </w:p>
    <w:p>
      <w:pPr>
        <w:spacing w:after="0" w:line="73" w:lineRule="exact"/>
        <w:rPr>
          <w:rFonts w:ascii="Times New Roman" w:cs="Times New Roman" w:eastAsia="Times New Roman" w:hAnsi="Times New Roman"/>
          <w:sz w:val="18"/>
          <w:szCs w:val="18"/>
          <w:color w:val="auto"/>
        </w:rPr>
      </w:pPr>
    </w:p>
    <w:p>
      <w:pPr>
        <w:ind w:left="520" w:hanging="518"/>
        <w:spacing w:after="0" w:line="257" w:lineRule="auto"/>
        <w:tabs>
          <w:tab w:leader="none" w:pos="5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at Option of Holder</w:t>
      </w:r>
      <w:r>
        <w:rPr>
          <w:rFonts w:ascii="Times New Roman" w:cs="Times New Roman" w:eastAsia="Times New Roman" w:hAnsi="Times New Roman"/>
          <w:sz w:val="18"/>
          <w:szCs w:val="18"/>
          <w:color w:val="auto"/>
        </w:rPr>
        <w:t>. Upon the occurrence of a Change of Control, the Company shall make a Change of Control Offer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Section 4.14 of the Indenture. In connection with certain Asset Sales, the Company shall make an Asset Sale Offer as and when provided in accordance with Section 4.10 of the Indenture.</w:t>
      </w:r>
    </w:p>
    <w:p>
      <w:pPr>
        <w:spacing w:after="0" w:line="84" w:lineRule="exact"/>
        <w:rPr>
          <w:rFonts w:ascii="Times New Roman" w:cs="Times New Roman" w:eastAsia="Times New Roman" w:hAnsi="Times New Roman"/>
          <w:sz w:val="18"/>
          <w:szCs w:val="18"/>
          <w:color w:val="auto"/>
        </w:rPr>
      </w:pPr>
    </w:p>
    <w:p>
      <w:pPr>
        <w:ind w:left="520" w:hanging="518"/>
        <w:spacing w:after="0" w:line="245" w:lineRule="auto"/>
        <w:tabs>
          <w:tab w:leader="none" w:pos="5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and Notice of Redemption</w:t>
      </w:r>
      <w:r>
        <w:rPr>
          <w:rFonts w:ascii="Times New Roman" w:cs="Times New Roman" w:eastAsia="Times New Roman" w:hAnsi="Times New Roman"/>
          <w:sz w:val="18"/>
          <w:szCs w:val="18"/>
          <w:color w:val="auto"/>
        </w:rPr>
        <w:t>. If less than all of the Notes are to be redeemed or purchased in an offer to purchase at any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Trustee shall select the Notes for redemption or purchase as follows: if the Notes are listed on any national securities exchange, in compliance with the requirements of the principal national securities exchange, if any, on which the Notes are listed as certified to the Trustee by the Company, and in compliance with the requirements of DTC or, if the Notes are not listed on any national securities exchange,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amounts tendered), by lot or by such method as the Trustee deems fair and appropriate in accordance with DTC procedures subject to adjustments so that no Note in any unauthorized denomination remains outstanding after such redemption. No Notes of $2,000 or less can be redeemed in part. Notices of redemption will be mailed by first-class mail or electronically or otherwise in accordance with DTC procedures at least 10 but not more than 60 days before the redemption date to each Holder of Notes to be redeemed at its registered address, except that redemption notices may be sent more than 60 days prior to a redemption date if the notice is issued in connection with a defeasance of the Notes or a satisfaction and discharge of the Indenture As long as the Notes are issued in global form, notices to be given to Holders will be given to DTC, in accordance with its applicable policies as in effect from time to time. Any notice may, at the Company’s discretion, be subject to the satisfaction of one or more conditions precedent. If any Note is to be redeemed in part only, the notice of redemption that relates to that Note will state the portion of the principal amount thereof to be redeemed. A new Note in principal amount equal to the unredeemed portion of the original Note will be issued (or cause to be transferred by book entry) in the name of the Holder thereof upon cancellation of the original Note. Notes called for redemption become due on the date fixed for redemption. Subject to Section 3.05 of the Indenture, on and after the redemption date, interest, if any, ceases to accrue on Notes or portions of Notes called for redemption.</w:t>
      </w:r>
    </w:p>
    <w:p>
      <w:pPr>
        <w:spacing w:after="0" w:line="101" w:lineRule="exact"/>
        <w:rPr>
          <w:rFonts w:ascii="Times New Roman" w:cs="Times New Roman" w:eastAsia="Times New Roman" w:hAnsi="Times New Roman"/>
          <w:sz w:val="18"/>
          <w:szCs w:val="18"/>
          <w:color w:val="auto"/>
        </w:rPr>
      </w:pPr>
    </w:p>
    <w:p>
      <w:pPr>
        <w:ind w:left="520" w:right="20" w:hanging="518"/>
        <w:spacing w:after="0" w:line="249" w:lineRule="auto"/>
        <w:tabs>
          <w:tab w:leader="none" w:pos="5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r>
        <w:rPr>
          <w:rFonts w:ascii="Times New Roman" w:cs="Times New Roman" w:eastAsia="Times New Roman" w:hAnsi="Times New Roman"/>
          <w:sz w:val="18"/>
          <w:szCs w:val="18"/>
          <w:color w:val="auto"/>
        </w:rPr>
        <w:t>. The Notes are in registered form without interest coupons in minimum denominations of $2,000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is not required to transfer or exchange any Note selected for redemption. Also, the Company is not required to transfer or exchange any Note for a period of 15 days before the mailing of a notice of redemption of Notes.</w:t>
      </w:r>
    </w:p>
    <w:p>
      <w:pPr>
        <w:spacing w:after="0" w:line="91" w:lineRule="exact"/>
        <w:rPr>
          <w:rFonts w:ascii="Times New Roman" w:cs="Times New Roman" w:eastAsia="Times New Roman" w:hAnsi="Times New Roman"/>
          <w:sz w:val="18"/>
          <w:szCs w:val="18"/>
          <w:color w:val="auto"/>
        </w:rPr>
      </w:pPr>
    </w:p>
    <w:p>
      <w:pPr>
        <w:ind w:left="520" w:hanging="518"/>
        <w:spacing w:after="0"/>
        <w:tabs>
          <w:tab w:leader="none" w:pos="5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The registered Holder of a Note will be treated as its owner for all purposes.</w:t>
      </w:r>
    </w:p>
    <w:p>
      <w:pPr>
        <w:spacing w:after="0" w:line="121" w:lineRule="exact"/>
        <w:rPr>
          <w:rFonts w:ascii="Times New Roman" w:cs="Times New Roman" w:eastAsia="Times New Roman" w:hAnsi="Times New Roman"/>
          <w:sz w:val="18"/>
          <w:szCs w:val="18"/>
          <w:color w:val="auto"/>
        </w:rPr>
      </w:pPr>
    </w:p>
    <w:p>
      <w:pPr>
        <w:ind w:left="520" w:right="140" w:hanging="518"/>
        <w:spacing w:after="0" w:line="252" w:lineRule="auto"/>
        <w:tabs>
          <w:tab w:leader="none" w:pos="5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and Waiver</w:t>
      </w:r>
      <w:r>
        <w:rPr>
          <w:rFonts w:ascii="Times New Roman" w:cs="Times New Roman" w:eastAsia="Times New Roman" w:hAnsi="Times New Roman"/>
          <w:sz w:val="18"/>
          <w:szCs w:val="18"/>
          <w:color w:val="auto"/>
        </w:rPr>
        <w:t>. The Indenture, the Notes, the Note Guarantees, the Second Lien Collateral Trust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Security Documents, the First Lien/Second Lien Intercreditor Agreement and any other Approved Intercreditor Agreement may be amended or supplemented as provided in the Indenture, subject to the terms of the Second Lien Collateral Trust Agreement, the First Lien/Second Lien Intercreditor Agreement and any other Approved Intercreditor Agreement, as applicable.</w:t>
      </w:r>
    </w:p>
    <w:p>
      <w:pPr>
        <w:spacing w:after="0" w:line="11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240"/>
          </w:cols>
          <w:pgMar w:left="1000" w:top="260" w:right="659" w:bottom="1440" w:gutter="0" w:footer="0" w:header="0"/>
        </w:sectPr>
      </w:pPr>
    </w:p>
    <w:bookmarkStart w:id="197" w:name="page198"/>
    <w:bookmarkEnd w:id="197"/>
    <w:p>
      <w:pPr>
        <w:ind w:left="940" w:right="20" w:hanging="518"/>
        <w:spacing w:after="0" w:line="246" w:lineRule="auto"/>
        <w:tabs>
          <w:tab w:leader="none" w:pos="9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Defaults and Remedies</w:t>
      </w:r>
      <w:r>
        <w:rPr>
          <w:rFonts w:ascii="Times New Roman" w:cs="Times New Roman" w:eastAsia="Times New Roman" w:hAnsi="Times New Roman"/>
          <w:sz w:val="18"/>
          <w:szCs w:val="18"/>
          <w:color w:val="auto"/>
        </w:rPr>
        <w:t>. In the case of an Event of Default arising from certain events of bankruptcy or insolvency,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of the Restricted Subsidiaries that is a Significant Subsidiary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by notice in writing to the Company specifying the Event of Default. Holders of the Notes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on, or the principal of, the Notes.</w:t>
      </w:r>
    </w:p>
    <w:p>
      <w:pPr>
        <w:spacing w:after="0" w:line="95" w:lineRule="exact"/>
        <w:rPr>
          <w:rFonts w:ascii="Times New Roman" w:cs="Times New Roman" w:eastAsia="Times New Roman" w:hAnsi="Times New Roman"/>
          <w:sz w:val="18"/>
          <w:szCs w:val="18"/>
          <w:color w:val="auto"/>
        </w:rPr>
      </w:pPr>
    </w:p>
    <w:p>
      <w:pPr>
        <w:ind w:left="940" w:right="20" w:hanging="518"/>
        <w:spacing w:after="0" w:line="334" w:lineRule="auto"/>
        <w:tabs>
          <w:tab w:leader="none" w:pos="94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Trustee Dealings with Company</w:t>
      </w:r>
      <w:r>
        <w:rPr>
          <w:rFonts w:ascii="Times New Roman" w:cs="Times New Roman" w:eastAsia="Times New Roman" w:hAnsi="Times New Roman"/>
          <w:sz w:val="16"/>
          <w:szCs w:val="16"/>
          <w:color w:val="auto"/>
        </w:rPr>
        <w:t>. The Trustee, in its individual or any other capacity, may make loans to, accept deposits from, and perform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for the Company or its Affiliates, and may otherwise deal with the Company or its Affiliates, as if it were not the Trustee.</w:t>
      </w:r>
    </w:p>
    <w:p>
      <w:pPr>
        <w:spacing w:after="0" w:line="26" w:lineRule="exact"/>
        <w:rPr>
          <w:rFonts w:ascii="Times New Roman" w:cs="Times New Roman" w:eastAsia="Times New Roman" w:hAnsi="Times New Roman"/>
          <w:sz w:val="16"/>
          <w:szCs w:val="16"/>
          <w:color w:val="auto"/>
        </w:rPr>
      </w:pPr>
    </w:p>
    <w:p>
      <w:pPr>
        <w:ind w:left="940" w:hanging="518"/>
        <w:spacing w:after="0" w:line="294" w:lineRule="auto"/>
        <w:tabs>
          <w:tab w:leader="none" w:pos="94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Recourse Against Others</w:t>
      </w:r>
      <w:r>
        <w:rPr>
          <w:rFonts w:ascii="Times New Roman" w:cs="Times New Roman" w:eastAsia="Times New Roman" w:hAnsi="Times New Roman"/>
          <w:sz w:val="16"/>
          <w:szCs w:val="16"/>
          <w:color w:val="auto"/>
        </w:rPr>
        <w:t>. No director, officer, manager, employee, incorporator, stockholder, member or partner of the Company 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Guarantor, as such, shall have any liability for any obligations of the Company or of the Guarantors under the Notes, the Indenture or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57" w:lineRule="exact"/>
        <w:rPr>
          <w:rFonts w:ascii="Times New Roman" w:cs="Times New Roman" w:eastAsia="Times New Roman" w:hAnsi="Times New Roman"/>
          <w:sz w:val="16"/>
          <w:szCs w:val="16"/>
          <w:color w:val="auto"/>
        </w:rPr>
      </w:pPr>
    </w:p>
    <w:p>
      <w:pPr>
        <w:ind w:left="940" w:hanging="518"/>
        <w:spacing w:after="0"/>
        <w:tabs>
          <w:tab w:leader="none" w:pos="9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Note shall not be valid until authenticated by the manual signature of the Trustee or an authenticating agent.</w:t>
      </w:r>
    </w:p>
    <w:p>
      <w:pPr>
        <w:spacing w:after="0" w:line="121" w:lineRule="exact"/>
        <w:rPr>
          <w:rFonts w:ascii="Times New Roman" w:cs="Times New Roman" w:eastAsia="Times New Roman" w:hAnsi="Times New Roman"/>
          <w:sz w:val="18"/>
          <w:szCs w:val="18"/>
          <w:color w:val="auto"/>
        </w:rPr>
      </w:pPr>
    </w:p>
    <w:p>
      <w:pPr>
        <w:ind w:left="940" w:right="20" w:hanging="518"/>
        <w:spacing w:after="0" w:line="252" w:lineRule="auto"/>
        <w:tabs>
          <w:tab w:leader="none" w:pos="9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4" w:lineRule="exact"/>
        <w:rPr>
          <w:sz w:val="20"/>
          <w:szCs w:val="20"/>
          <w:color w:val="auto"/>
        </w:rPr>
      </w:pPr>
    </w:p>
    <w:p>
      <w:pPr>
        <w:ind w:right="920" w:firstLine="965"/>
        <w:spacing w:after="0" w:line="268" w:lineRule="auto"/>
        <w:rPr>
          <w:sz w:val="20"/>
          <w:szCs w:val="20"/>
          <w:color w:val="auto"/>
        </w:rPr>
      </w:pPr>
      <w:r>
        <w:rPr>
          <w:rFonts w:ascii="Times New Roman" w:cs="Times New Roman" w:eastAsia="Times New Roman" w:hAnsi="Times New Roman"/>
          <w:sz w:val="18"/>
          <w:szCs w:val="18"/>
          <w:color w:val="auto"/>
        </w:rPr>
        <w:t>The Company shall furnish to any Holder upon written request and without charge a copy of the Indenture and/or the Security Agreements. Requests may be made to:</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0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Akerman LLP</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Three Brickell City Centre</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98 Southeast Seventh Street</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William Arnhols, Esq.</w:t>
      </w:r>
    </w:p>
    <w:p>
      <w:pPr>
        <w:spacing w:after="0" w:line="9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Attention: [•]</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720"/>
          </w:cols>
          <w:pgMar w:left="580" w:top="264" w:right="599" w:bottom="1440" w:gutter="0" w:footer="0" w:header="0"/>
        </w:sectPr>
      </w:pPr>
    </w:p>
    <w:bookmarkStart w:id="198" w:name="page199"/>
    <w:bookmarkEnd w:id="198"/>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ASSIGNMENT FORM</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14" w:lineRule="exact"/>
        <w:rPr>
          <w:sz w:val="20"/>
          <w:szCs w:val="20"/>
          <w:color w:val="auto"/>
        </w:rPr>
      </w:pPr>
    </w:p>
    <w:p>
      <w:pPr>
        <w:ind w:right="8980" w:firstLine="1"/>
        <w:spacing w:after="0" w:line="291" w:lineRule="auto"/>
        <w:tabs>
          <w:tab w:leader="none" w:pos="219"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-3810</wp:posOffset>
            </wp:positionV>
            <wp:extent cx="571690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2">
                      <a:extLst>
                        <a:ext uri="{28A0092B-C50C-407E-A947-70E740481C1C}"/>
                      </a:extLst>
                    </a:blip>
                    <a:srcRect/>
                    <a:stretch>
                      <a:fillRect/>
                    </a:stretch>
                  </pic:blipFill>
                  <pic:spPr bwMode="auto">
                    <a:xfrm>
                      <a:off x="0" y="0"/>
                      <a:ext cx="5716905" cy="8255"/>
                    </a:xfrm>
                    <a:prstGeom prst="rect">
                      <a:avLst/>
                    </a:prstGeom>
                    <a:noFill/>
                  </pic:spPr>
                </pic:pic>
              </a:graphicData>
            </a:graphic>
          </wp:anchor>
        </w:drawing>
      </w:r>
    </w:p>
    <w:p>
      <w:pPr>
        <w:ind w:left="518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81037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3">
                      <a:extLst>
                        <a:ext uri="{28A0092B-C50C-407E-A947-70E740481C1C}"/>
                      </a:extLst>
                    </a:blip>
                    <a:srcRect/>
                    <a:stretch>
                      <a:fillRect/>
                    </a:stretch>
                  </pic:blipFill>
                  <pic:spPr bwMode="auto">
                    <a:xfrm>
                      <a:off x="0" y="0"/>
                      <a:ext cx="6810375" cy="8255"/>
                    </a:xfrm>
                    <a:prstGeom prst="rect">
                      <a:avLst/>
                    </a:prstGeom>
                    <a:noFill/>
                  </pic:spPr>
                </pic:pic>
              </a:graphicData>
            </a:graphic>
          </wp:anchor>
        </w:drawing>
      </w:r>
    </w:p>
    <w:p>
      <w:pPr>
        <w:spacing w:after="0" w:line="2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81037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4">
                      <a:extLst>
                        <a:ext uri="{28A0092B-C50C-407E-A947-70E740481C1C}"/>
                      </a:extLst>
                    </a:blip>
                    <a:srcRect/>
                    <a:stretch>
                      <a:fillRect/>
                    </a:stretch>
                  </pic:blipFill>
                  <pic:spPr bwMode="auto">
                    <a:xfrm>
                      <a:off x="0" y="0"/>
                      <a:ext cx="68103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wp:posOffset>
            </wp:positionV>
            <wp:extent cx="681037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5">
                      <a:extLst>
                        <a:ext uri="{28A0092B-C50C-407E-A947-70E740481C1C}"/>
                      </a:extLst>
                    </a:blip>
                    <a:srcRect/>
                    <a:stretch>
                      <a:fillRect/>
                    </a:stretch>
                  </pic:blipFill>
                  <pic:spPr bwMode="auto">
                    <a:xfrm>
                      <a:off x="0" y="0"/>
                      <a:ext cx="68103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681037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6">
                      <a:extLst>
                        <a:ext uri="{28A0092B-C50C-407E-A947-70E740481C1C}"/>
                      </a:extLst>
                    </a:blip>
                    <a:srcRect/>
                    <a:stretch>
                      <a:fillRect/>
                    </a:stretch>
                  </pic:blipFill>
                  <pic:spPr bwMode="auto">
                    <a:xfrm>
                      <a:off x="0" y="0"/>
                      <a:ext cx="68103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748030</wp:posOffset>
            </wp:positionV>
            <wp:extent cx="68103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7">
                      <a:extLst>
                        <a:ext uri="{28A0092B-C50C-407E-A947-70E740481C1C}"/>
                      </a:extLst>
                    </a:blip>
                    <a:srcRect/>
                    <a:stretch>
                      <a:fillRect/>
                    </a:stretch>
                  </pic:blipFill>
                  <pic:spPr bwMode="auto">
                    <a:xfrm>
                      <a:off x="0" y="0"/>
                      <a:ext cx="681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-5080</wp:posOffset>
            </wp:positionV>
            <wp:extent cx="59175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8">
                      <a:extLst>
                        <a:ext uri="{28A0092B-C50C-407E-A947-70E740481C1C}"/>
                      </a:extLst>
                    </a:blip>
                    <a:srcRect/>
                    <a:stretch>
                      <a:fillRect/>
                    </a:stretch>
                  </pic:blipFill>
                  <pic:spPr bwMode="auto">
                    <a:xfrm>
                      <a:off x="0" y="0"/>
                      <a:ext cx="591756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-10795</wp:posOffset>
            </wp:positionV>
            <wp:extent cx="16960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9">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22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13970</wp:posOffset>
            </wp:positionV>
            <wp:extent cx="18694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1869440" cy="8255"/>
                    </a:xfrm>
                    <a:prstGeom prst="rect">
                      <a:avLst/>
                    </a:prstGeom>
                    <a:noFill/>
                  </pic:spPr>
                </pic:pic>
              </a:graphicData>
            </a:graphic>
          </wp:anchor>
        </w:drawing>
      </w:r>
    </w:p>
    <w:p>
      <w:pPr>
        <w:spacing w:after="0" w:line="1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color w:val="auto"/>
        </w:rPr>
        <w:t>(Sign exactly as your name appears on</w:t>
      </w:r>
    </w:p>
    <w:p>
      <w:pPr>
        <w:spacing w:after="0" w:line="4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2540</wp:posOffset>
            </wp:positionV>
            <wp:extent cx="20364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2036445" cy="8255"/>
                    </a:xfrm>
                    <a:prstGeom prst="rect">
                      <a:avLst/>
                    </a:prstGeom>
                    <a:noFill/>
                  </pic:spPr>
                </pic:pic>
              </a:graphicData>
            </a:graphic>
          </wp:anchor>
        </w:drawing>
      </w:r>
    </w:p>
    <w:p>
      <w:pPr>
        <w:spacing w:after="0" w:line="228" w:lineRule="exact"/>
        <w:rPr>
          <w:sz w:val="20"/>
          <w:szCs w:val="20"/>
          <w:color w:val="auto"/>
        </w:rPr>
      </w:pPr>
    </w:p>
    <w:p>
      <w:pPr>
        <w:ind w:left="5220" w:right="1360" w:hanging="5219"/>
        <w:spacing w:after="0" w:line="435" w:lineRule="auto"/>
        <w:tabs>
          <w:tab w:leader="none" w:pos="41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A-7</w:t>
      </w:r>
    </w:p>
    <w:p>
      <w:pPr>
        <w:sectPr>
          <w:pgSz w:w="11900" w:h="16838" w:orient="portrait"/>
          <w:cols w:equalWidth="0" w:num="1">
            <w:col w:w="10480"/>
          </w:cols>
          <w:pgMar w:left="580" w:top="266" w:right="839" w:bottom="1440" w:gutter="0" w:footer="0" w:header="0"/>
        </w:sectPr>
      </w:pPr>
    </w:p>
    <w:bookmarkStart w:id="199" w:name="page200"/>
    <w:bookmarkEnd w:id="19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OF INCREASES OR DECREASES OF INTERESTS IN THE GLOBAL NOTE</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initial principal amount of this Global Note is set forth on the face hereof. The following increases or decreases of interests in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have been made: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760" w:type="dxa"/>
            <w:vAlign w:val="bottom"/>
            <w:gridSpan w:val="2"/>
            <w:vMerge w:val="restart"/>
          </w:tcPr>
          <w:p>
            <w:pPr>
              <w:jc w:val="center"/>
              <w:ind w:left="2350"/>
              <w:spacing w:after="0"/>
              <w:rPr>
                <w:sz w:val="20"/>
                <w:szCs w:val="20"/>
                <w:color w:val="auto"/>
              </w:rPr>
            </w:pPr>
            <w:r>
              <w:rPr>
                <w:rFonts w:ascii="Times New Roman" w:cs="Times New Roman" w:eastAsia="Times New Roman" w:hAnsi="Times New Roman"/>
                <w:sz w:val="14"/>
                <w:szCs w:val="14"/>
                <w:color w:val="auto"/>
                <w:w w:val="99"/>
              </w:rPr>
              <w:t>Amount of Decrease in</w:t>
            </w:r>
          </w:p>
        </w:tc>
        <w:tc>
          <w:tcPr>
            <w:tcW w:w="2020" w:type="dxa"/>
            <w:vAlign w:val="bottom"/>
            <w:gridSpan w:val="2"/>
            <w:vMerge w:val="restart"/>
          </w:tcPr>
          <w:p>
            <w:pPr>
              <w:jc w:val="center"/>
              <w:ind w:left="650"/>
              <w:spacing w:after="0"/>
              <w:rPr>
                <w:sz w:val="20"/>
                <w:szCs w:val="20"/>
                <w:color w:val="auto"/>
              </w:rPr>
            </w:pPr>
            <w:r>
              <w:rPr>
                <w:rFonts w:ascii="Times New Roman" w:cs="Times New Roman" w:eastAsia="Times New Roman" w:hAnsi="Times New Roman"/>
                <w:sz w:val="14"/>
                <w:szCs w:val="14"/>
                <w:color w:val="auto"/>
              </w:rPr>
              <w:t>Amount of Increase in</w:t>
            </w:r>
          </w:p>
        </w:tc>
        <w:tc>
          <w:tcPr>
            <w:tcW w:w="7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Amount at</w:t>
            </w:r>
          </w:p>
        </w:tc>
        <w:tc>
          <w:tcPr>
            <w:tcW w:w="76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Signature of</w:t>
            </w:r>
          </w:p>
        </w:tc>
        <w:tc>
          <w:tcPr>
            <w:tcW w:w="0" w:type="dxa"/>
            <w:vAlign w:val="bottom"/>
          </w:tcPr>
          <w:p>
            <w:pPr>
              <w:spacing w:after="0"/>
              <w:rPr>
                <w:sz w:val="1"/>
                <w:szCs w:val="1"/>
                <w:color w:val="auto"/>
              </w:rPr>
            </w:pPr>
          </w:p>
        </w:tc>
      </w:tr>
      <w:tr>
        <w:trPr>
          <w:trHeight w:val="145"/>
        </w:trPr>
        <w:tc>
          <w:tcPr>
            <w:tcW w:w="102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Maturity</w:t>
            </w:r>
          </w:p>
        </w:tc>
        <w:tc>
          <w:tcPr>
            <w:tcW w:w="7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Principal Amount at</w:t>
            </w:r>
          </w:p>
        </w:tc>
        <w:tc>
          <w:tcPr>
            <w:tcW w:w="74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Principal Amount at</w:t>
            </w:r>
          </w:p>
        </w:tc>
        <w:tc>
          <w:tcPr>
            <w:tcW w:w="74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 this Global Note</w:t>
            </w:r>
          </w:p>
        </w:tc>
        <w:tc>
          <w:tcPr>
            <w:tcW w:w="1980" w:type="dxa"/>
            <w:vAlign w:val="bottom"/>
            <w:gridSpan w:val="2"/>
          </w:tcPr>
          <w:p>
            <w:pPr>
              <w:jc w:val="center"/>
              <w:ind w:left="670"/>
              <w:spacing w:after="0" w:line="145" w:lineRule="exact"/>
              <w:rPr>
                <w:sz w:val="20"/>
                <w:szCs w:val="20"/>
                <w:color w:val="auto"/>
              </w:rPr>
            </w:pPr>
            <w:r>
              <w:rPr>
                <w:rFonts w:ascii="Times New Roman" w:cs="Times New Roman" w:eastAsia="Times New Roman" w:hAnsi="Times New Roman"/>
                <w:sz w:val="14"/>
                <w:szCs w:val="14"/>
                <w:color w:val="auto"/>
                <w:w w:val="99"/>
              </w:rPr>
              <w:t>Authorized Signatory</w:t>
            </w:r>
          </w:p>
        </w:tc>
        <w:tc>
          <w:tcPr>
            <w:tcW w:w="0" w:type="dxa"/>
            <w:vAlign w:val="bottom"/>
          </w:tcPr>
          <w:p>
            <w:pPr>
              <w:spacing w:after="0"/>
              <w:rPr>
                <w:sz w:val="1"/>
                <w:szCs w:val="1"/>
                <w:color w:val="auto"/>
              </w:rPr>
            </w:pPr>
          </w:p>
        </w:tc>
      </w:tr>
      <w:tr>
        <w:trPr>
          <w:trHeight w:val="145"/>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Date of Exchange</w:t>
            </w:r>
          </w:p>
        </w:tc>
        <w:tc>
          <w:tcPr>
            <w:tcW w:w="244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Maturity</w:t>
            </w:r>
          </w:p>
        </w:tc>
        <w:tc>
          <w:tcPr>
            <w:tcW w:w="74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Maturity</w:t>
            </w:r>
          </w:p>
        </w:tc>
        <w:tc>
          <w:tcPr>
            <w:tcW w:w="74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Following such</w:t>
            </w:r>
          </w:p>
        </w:tc>
        <w:tc>
          <w:tcPr>
            <w:tcW w:w="76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of Trustee or</w:t>
            </w:r>
          </w:p>
        </w:tc>
        <w:tc>
          <w:tcPr>
            <w:tcW w:w="0" w:type="dxa"/>
            <w:vAlign w:val="bottom"/>
          </w:tcPr>
          <w:p>
            <w:pPr>
              <w:spacing w:after="0"/>
              <w:rPr>
                <w:sz w:val="1"/>
                <w:szCs w:val="1"/>
                <w:color w:val="auto"/>
              </w:rPr>
            </w:pPr>
          </w:p>
        </w:tc>
      </w:tr>
      <w:tr>
        <w:trPr>
          <w:trHeight w:val="154"/>
        </w:trPr>
        <w:tc>
          <w:tcPr>
            <w:tcW w:w="1020" w:type="dxa"/>
            <w:vAlign w:val="bottom"/>
            <w:vMerge w:val="continue"/>
          </w:tcPr>
          <w:p>
            <w:pPr>
              <w:spacing w:after="0"/>
              <w:rPr>
                <w:sz w:val="13"/>
                <w:szCs w:val="13"/>
                <w:color w:val="auto"/>
              </w:rPr>
            </w:pPr>
          </w:p>
        </w:tc>
        <w:tc>
          <w:tcPr>
            <w:tcW w:w="2440" w:type="dxa"/>
            <w:vAlign w:val="bottom"/>
          </w:tcPr>
          <w:p>
            <w:pPr>
              <w:spacing w:after="0"/>
              <w:rPr>
                <w:sz w:val="13"/>
                <w:szCs w:val="13"/>
                <w:color w:val="auto"/>
              </w:rPr>
            </w:pPr>
          </w:p>
        </w:tc>
        <w:tc>
          <w:tcPr>
            <w:tcW w:w="132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rPr>
              <w:t>of this Global Note</w:t>
            </w:r>
          </w:p>
        </w:tc>
        <w:tc>
          <w:tcPr>
            <w:tcW w:w="740" w:type="dxa"/>
            <w:vAlign w:val="bottom"/>
          </w:tcPr>
          <w:p>
            <w:pPr>
              <w:spacing w:after="0"/>
              <w:rPr>
                <w:sz w:val="13"/>
                <w:szCs w:val="13"/>
                <w:color w:val="auto"/>
              </w:rPr>
            </w:pPr>
          </w:p>
        </w:tc>
        <w:tc>
          <w:tcPr>
            <w:tcW w:w="128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rPr>
              <w:t>of this Global Note</w:t>
            </w:r>
          </w:p>
        </w:tc>
        <w:tc>
          <w:tcPr>
            <w:tcW w:w="1960" w:type="dxa"/>
            <w:vAlign w:val="bottom"/>
            <w:gridSpan w:val="2"/>
          </w:tcPr>
          <w:p>
            <w:pPr>
              <w:jc w:val="center"/>
              <w:ind w:left="670"/>
              <w:spacing w:after="0" w:line="154" w:lineRule="exact"/>
              <w:rPr>
                <w:sz w:val="20"/>
                <w:szCs w:val="20"/>
                <w:color w:val="auto"/>
              </w:rPr>
            </w:pPr>
            <w:r>
              <w:rPr>
                <w:rFonts w:ascii="Times New Roman" w:cs="Times New Roman" w:eastAsia="Times New Roman" w:hAnsi="Times New Roman"/>
                <w:sz w:val="14"/>
                <w:szCs w:val="14"/>
                <w:color w:val="auto"/>
                <w:w w:val="99"/>
              </w:rPr>
              <w:t>decrease (or increase)</w:t>
            </w:r>
          </w:p>
        </w:tc>
        <w:tc>
          <w:tcPr>
            <w:tcW w:w="760" w:type="dxa"/>
            <w:vAlign w:val="bottom"/>
          </w:tcPr>
          <w:p>
            <w:pPr>
              <w:spacing w:after="0"/>
              <w:rPr>
                <w:sz w:val="13"/>
                <w:szCs w:val="13"/>
                <w:color w:val="auto"/>
              </w:rPr>
            </w:pPr>
          </w:p>
        </w:tc>
        <w:tc>
          <w:tcPr>
            <w:tcW w:w="122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rPr>
              <w:t>Note Custodian</w:t>
            </w:r>
          </w:p>
        </w:tc>
        <w:tc>
          <w:tcPr>
            <w:tcW w:w="0" w:type="dxa"/>
            <w:vAlign w:val="bottom"/>
          </w:tcPr>
          <w:p>
            <w:pPr>
              <w:spacing w:after="0"/>
              <w:rPr>
                <w:sz w:val="1"/>
                <w:szCs w:val="1"/>
                <w:color w:val="auto"/>
              </w:rPr>
            </w:pPr>
          </w:p>
        </w:tc>
      </w:tr>
      <w:tr>
        <w:trPr>
          <w:trHeight w:val="26"/>
        </w:trPr>
        <w:tc>
          <w:tcPr>
            <w:tcW w:w="102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740"/>
          </w:cols>
          <w:pgMar w:left="580" w:top="266" w:right="57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Annex I</w:t>
      </w:r>
    </w:p>
    <w:p>
      <w:pPr>
        <w:spacing w:after="0" w:line="2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color w:val="auto"/>
        </w:rPr>
        <w:t>Issue Date Mortgaged Properties</w:t>
      </w:r>
    </w:p>
    <w:p>
      <w:pPr>
        <w:spacing w:after="0" w:line="17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9860"/>
          </w:cols>
          <w:pgMar w:left="1440" w:top="266" w:right="59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42" w:lineRule="exact"/>
        <w:rPr>
          <w:sz w:val="20"/>
          <w:szCs w:val="20"/>
          <w:color w:val="auto"/>
        </w:rPr>
      </w:pPr>
    </w:p>
    <w:tbl>
      <w:tblPr>
        <w:tblLayout w:type="fixed"/>
        <w:tblInd w:w="3660" w:type="dxa"/>
        <w:tblCellMar>
          <w:top w:w="0" w:type="dxa"/>
          <w:left w:w="0" w:type="dxa"/>
          <w:bottom w:w="0" w:type="dxa"/>
          <w:right w:w="0" w:type="dxa"/>
        </w:tblCellMar>
      </w:tblPr>
      <w:tr>
        <w:trPr>
          <w:trHeight w:val="210"/>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4"/>
                <w:szCs w:val="14"/>
                <w:color w:val="auto"/>
              </w:rPr>
              <w:t>LOM LLP</w:t>
            </w:r>
          </w:p>
        </w:tc>
        <w:tc>
          <w:tcPr>
            <w:tcW w:w="2060" w:type="dxa"/>
            <w:vAlign w:val="bottom"/>
          </w:tcPr>
          <w:p>
            <w:pPr>
              <w:spacing w:after="0"/>
              <w:rPr>
                <w:sz w:val="18"/>
                <w:szCs w:val="18"/>
                <w:color w:val="auto"/>
              </w:rPr>
            </w:pPr>
          </w:p>
        </w:tc>
      </w:tr>
      <w:tr>
        <w:trPr>
          <w:trHeight w:val="210"/>
        </w:trPr>
        <w:tc>
          <w:tcPr>
            <w:tcW w:w="4140" w:type="dxa"/>
            <w:vAlign w:val="bottom"/>
            <w:gridSpan w:val="3"/>
          </w:tcPr>
          <w:p>
            <w:pPr>
              <w:jc w:val="center"/>
              <w:ind w:right="392"/>
              <w:spacing w:after="0"/>
              <w:rPr>
                <w:sz w:val="20"/>
                <w:szCs w:val="20"/>
                <w:color w:val="auto"/>
              </w:rPr>
            </w:pPr>
            <w:r>
              <w:rPr>
                <w:rFonts w:ascii="Times New Roman" w:cs="Times New Roman" w:eastAsia="Times New Roman" w:hAnsi="Times New Roman"/>
                <w:sz w:val="18"/>
                <w:szCs w:val="18"/>
                <w:color w:val="auto"/>
                <w:w w:val="95"/>
              </w:rPr>
              <w:t>ONE MANHATTAN WEST</w:t>
            </w:r>
          </w:p>
        </w:tc>
        <w:tc>
          <w:tcPr>
            <w:tcW w:w="2060" w:type="dxa"/>
            <w:vAlign w:val="bottom"/>
          </w:tcPr>
          <w:p>
            <w:pPr>
              <w:spacing w:after="0"/>
              <w:rPr>
                <w:sz w:val="18"/>
                <w:szCs w:val="18"/>
                <w:color w:val="auto"/>
              </w:rPr>
            </w:pPr>
          </w:p>
        </w:tc>
      </w:tr>
      <w:tr>
        <w:trPr>
          <w:trHeight w:val="210"/>
        </w:trPr>
        <w:tc>
          <w:tcPr>
            <w:tcW w:w="4140" w:type="dxa"/>
            <w:vAlign w:val="bottom"/>
            <w:gridSpan w:val="3"/>
          </w:tcPr>
          <w:p>
            <w:pPr>
              <w:jc w:val="center"/>
              <w:ind w:right="412"/>
              <w:spacing w:after="0"/>
              <w:rPr>
                <w:sz w:val="20"/>
                <w:szCs w:val="20"/>
                <w:color w:val="auto"/>
              </w:rPr>
            </w:pPr>
            <w:r>
              <w:rPr>
                <w:rFonts w:ascii="Times New Roman" w:cs="Times New Roman" w:eastAsia="Times New Roman" w:hAnsi="Times New Roman"/>
                <w:sz w:val="18"/>
                <w:szCs w:val="18"/>
                <w:color w:val="auto"/>
                <w:w w:val="97"/>
              </w:rPr>
              <w:t>NEW YORK, NY 10001</w:t>
            </w: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FIRM/AFFILIATE</w:t>
            </w:r>
          </w:p>
        </w:tc>
      </w:tr>
      <w:tr>
        <w:trPr>
          <w:trHeight w:val="189"/>
        </w:trPr>
        <w:tc>
          <w:tcPr>
            <w:tcW w:w="13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2060" w:type="dxa"/>
            <w:vAlign w:val="bottom"/>
          </w:tcPr>
          <w:p>
            <w:pPr>
              <w:jc w:val="center"/>
              <w:ind w:left="392"/>
              <w:spacing w:after="0" w:line="189" w:lineRule="exact"/>
              <w:rPr>
                <w:sz w:val="20"/>
                <w:szCs w:val="20"/>
                <w:color w:val="auto"/>
              </w:rPr>
            </w:pPr>
            <w:r>
              <w:rPr>
                <w:rFonts w:ascii="Times New Roman" w:cs="Times New Roman" w:eastAsia="Times New Roman" w:hAnsi="Times New Roman"/>
                <w:sz w:val="18"/>
                <w:szCs w:val="18"/>
                <w:color w:val="auto"/>
                <w:w w:val="97"/>
              </w:rPr>
              <w:t>OFFICES</w:t>
            </w:r>
          </w:p>
        </w:tc>
      </w:tr>
      <w:tr>
        <w:trPr>
          <w:trHeight w:val="211"/>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w:t>
            </w:r>
          </w:p>
        </w:tc>
      </w:tr>
      <w:tr>
        <w:trPr>
          <w:trHeight w:val="210"/>
        </w:trPr>
        <w:tc>
          <w:tcPr>
            <w:tcW w:w="4140" w:type="dxa"/>
            <w:vAlign w:val="bottom"/>
            <w:gridSpan w:val="3"/>
          </w:tcPr>
          <w:p>
            <w:pPr>
              <w:jc w:val="center"/>
              <w:ind w:right="392"/>
              <w:spacing w:after="0"/>
              <w:rPr>
                <w:sz w:val="20"/>
                <w:szCs w:val="20"/>
                <w:color w:val="auto"/>
              </w:rPr>
            </w:pPr>
            <w:r>
              <w:rPr>
                <w:rFonts w:ascii="Times New Roman" w:cs="Times New Roman" w:eastAsia="Times New Roman" w:hAnsi="Times New Roman"/>
                <w:sz w:val="18"/>
                <w:szCs w:val="18"/>
                <w:color w:val="auto"/>
                <w:w w:val="96"/>
              </w:rPr>
              <w:t>TEL: (212) 735-3000</w:t>
            </w: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BOSTON</w:t>
            </w:r>
          </w:p>
        </w:tc>
      </w:tr>
      <w:tr>
        <w:trPr>
          <w:trHeight w:val="210"/>
        </w:trPr>
        <w:tc>
          <w:tcPr>
            <w:tcW w:w="4140" w:type="dxa"/>
            <w:vAlign w:val="bottom"/>
            <w:gridSpan w:val="3"/>
          </w:tcPr>
          <w:p>
            <w:pPr>
              <w:jc w:val="center"/>
              <w:ind w:right="392"/>
              <w:spacing w:after="0"/>
              <w:rPr>
                <w:sz w:val="20"/>
                <w:szCs w:val="20"/>
                <w:color w:val="auto"/>
              </w:rPr>
            </w:pPr>
            <w:r>
              <w:rPr>
                <w:rFonts w:ascii="Times New Roman" w:cs="Times New Roman" w:eastAsia="Times New Roman" w:hAnsi="Times New Roman"/>
                <w:sz w:val="18"/>
                <w:szCs w:val="18"/>
                <w:color w:val="auto"/>
                <w:w w:val="97"/>
              </w:rPr>
              <w:t>FAX: (212) 735-2000</w:t>
            </w: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CHICAGO</w:t>
            </w:r>
          </w:p>
        </w:tc>
      </w:tr>
      <w:tr>
        <w:trPr>
          <w:trHeight w:val="210"/>
        </w:trPr>
        <w:tc>
          <w:tcPr>
            <w:tcW w:w="4140" w:type="dxa"/>
            <w:vAlign w:val="bottom"/>
            <w:gridSpan w:val="3"/>
          </w:tcPr>
          <w:p>
            <w:pPr>
              <w:jc w:val="center"/>
              <w:ind w:right="392"/>
              <w:spacing w:after="0"/>
              <w:rPr>
                <w:sz w:val="20"/>
                <w:szCs w:val="20"/>
                <w:color w:val="auto"/>
              </w:rPr>
            </w:pPr>
            <w:r>
              <w:rPr>
                <w:rFonts w:ascii="Times New Roman" w:cs="Times New Roman" w:eastAsia="Times New Roman" w:hAnsi="Times New Roman"/>
                <w:sz w:val="18"/>
                <w:szCs w:val="18"/>
                <w:color w:val="auto"/>
                <w:w w:val="97"/>
              </w:rPr>
              <w:t>www.skadden.com</w:t>
            </w: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HOUSTON</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LOS ANGELES</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4"/>
              </w:rPr>
              <w:t>PALO ALTO</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WASHINGTON, D.C.</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WILMINGTON</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BEIJING</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6"/>
              </w:rPr>
              <w:t>BRUSSELS</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FRANKFURT</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HONG KONG</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LONDON</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MUNICH</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3"/>
              </w:rPr>
              <w:t>PARIS</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SÃO PAULO</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12, 2022</w:t>
            </w: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SHANGHAI</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6"/>
              </w:rPr>
              <w:t>SINGAPORE</w:t>
            </w:r>
          </w:p>
        </w:tc>
      </w:tr>
      <w:tr>
        <w:trPr>
          <w:trHeight w:val="210"/>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TOKYO</w:t>
            </w:r>
          </w:p>
        </w:tc>
      </w:tr>
      <w:tr>
        <w:trPr>
          <w:trHeight w:val="228"/>
        </w:trPr>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5"/>
              </w:rPr>
              <w:t>TORONTO</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222" w:lineRule="exact"/>
        <w:rPr>
          <w:sz w:val="20"/>
          <w:szCs w:val="20"/>
          <w:color w:val="auto"/>
        </w:rPr>
      </w:pPr>
    </w:p>
    <w:p>
      <w:pPr>
        <w:ind w:left="1400"/>
        <w:spacing w:after="0"/>
        <w:tabs>
          <w:tab w:leader="none" w:pos="19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The GEO Group, Inc.</w:t>
      </w:r>
    </w:p>
    <w:p>
      <w:pPr>
        <w:spacing w:after="0" w:line="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4" w:lineRule="exact"/>
        <w:rPr>
          <w:sz w:val="20"/>
          <w:szCs w:val="20"/>
          <w:color w:val="auto"/>
        </w:rPr>
      </w:pPr>
    </w:p>
    <w:p>
      <w:pPr>
        <w:ind w:right="220" w:firstLine="965"/>
        <w:spacing w:after="0" w:line="256" w:lineRule="auto"/>
        <w:rPr>
          <w:sz w:val="20"/>
          <w:szCs w:val="20"/>
          <w:color w:val="auto"/>
        </w:rPr>
      </w:pPr>
      <w:r>
        <w:rPr>
          <w:rFonts w:ascii="Times New Roman" w:cs="Times New Roman" w:eastAsia="Times New Roman" w:hAnsi="Times New Roman"/>
          <w:sz w:val="18"/>
          <w:szCs w:val="18"/>
          <w:color w:val="auto"/>
        </w:rPr>
        <w:t>We have acted as special United States counsel to The GEO Group, Inc., a Florida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entities designated in the table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“Covered Guarantors” (the “</w:t>
      </w:r>
      <w:r>
        <w:rPr>
          <w:rFonts w:ascii="Times New Roman" w:cs="Times New Roman" w:eastAsia="Times New Roman" w:hAnsi="Times New Roman"/>
          <w:sz w:val="18"/>
          <w:szCs w:val="18"/>
          <w:u w:val="single" w:color="auto"/>
          <w:color w:val="auto"/>
        </w:rPr>
        <w:t>Covered Guarantors</w:t>
      </w:r>
      <w:r>
        <w:rPr>
          <w:rFonts w:ascii="Times New Roman" w:cs="Times New Roman" w:eastAsia="Times New Roman" w:hAnsi="Times New Roman"/>
          <w:sz w:val="18"/>
          <w:szCs w:val="18"/>
          <w:color w:val="auto"/>
        </w:rPr>
        <w:t xml:space="preserve">”) and the parties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as “Non-Covered Guarantors” (the “</w:t>
      </w:r>
      <w:r>
        <w:rPr>
          <w:rFonts w:ascii="Times New Roman" w:cs="Times New Roman" w:eastAsia="Times New Roman" w:hAnsi="Times New Roman"/>
          <w:sz w:val="18"/>
          <w:szCs w:val="18"/>
          <w:u w:val="single" w:color="auto"/>
          <w:color w:val="auto"/>
        </w:rPr>
        <w:t>Non-Covered Guarantors</w:t>
      </w:r>
      <w:r>
        <w:rPr>
          <w:rFonts w:ascii="Times New Roman" w:cs="Times New Roman" w:eastAsia="Times New Roman" w:hAnsi="Times New Roman"/>
          <w:sz w:val="18"/>
          <w:szCs w:val="18"/>
          <w:color w:val="auto"/>
        </w:rPr>
        <w:t>,” and together with the Covered Guarantors,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This opinion letter is being delivered in connection with the proposed registration by the Company and the Guarantors of up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$484,568,000 aggregate principal amount of 10.500% senior second lien secured notes due 2028 (the “</w:t>
      </w:r>
      <w:r>
        <w:rPr>
          <w:rFonts w:ascii="Times New Roman" w:cs="Times New Roman" w:eastAsia="Times New Roman" w:hAnsi="Times New Roman"/>
          <w:sz w:val="16"/>
          <w:szCs w:val="16"/>
          <w:u w:val="single" w:color="auto"/>
          <w:color w:val="auto"/>
        </w:rPr>
        <w:t>New Notes</w:t>
      </w:r>
      <w:r>
        <w:rPr>
          <w:rFonts w:ascii="Times New Roman" w:cs="Times New Roman" w:eastAsia="Times New Roman" w:hAnsi="Times New Roman"/>
          <w:sz w:val="16"/>
          <w:szCs w:val="16"/>
          <w:color w:val="auto"/>
        </w:rPr>
        <w:t>”) and the related guarantees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Guarantors (collectively, the “</w:t>
      </w:r>
      <w:r>
        <w:rPr>
          <w:rFonts w:ascii="Times New Roman" w:cs="Times New Roman" w:eastAsia="Times New Roman" w:hAnsi="Times New Roman"/>
          <w:sz w:val="16"/>
          <w:szCs w:val="16"/>
          <w:u w:val="single" w:color="auto"/>
          <w:color w:val="auto"/>
        </w:rPr>
        <w:t>New Notes Guarantees</w:t>
      </w:r>
      <w:r>
        <w:rPr>
          <w:rFonts w:ascii="Times New Roman" w:cs="Times New Roman" w:eastAsia="Times New Roman" w:hAnsi="Times New Roman"/>
          <w:sz w:val="16"/>
          <w:szCs w:val="16"/>
          <w:color w:val="auto"/>
        </w:rPr>
        <w:t>”), to be issued by the Company and the Guarantors in connection with the Company’s offers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exchange (collectively, the “</w:t>
      </w:r>
      <w:r>
        <w:rPr>
          <w:rFonts w:ascii="Times New Roman" w:cs="Times New Roman" w:eastAsia="Times New Roman" w:hAnsi="Times New Roman"/>
          <w:sz w:val="16"/>
          <w:szCs w:val="16"/>
          <w:u w:val="single" w:color="auto"/>
          <w:color w:val="auto"/>
        </w:rPr>
        <w:t>Exchange Offers</w:t>
      </w:r>
      <w:r>
        <w:rPr>
          <w:rFonts w:ascii="Times New Roman" w:cs="Times New Roman" w:eastAsia="Times New Roman" w:hAnsi="Times New Roman"/>
          <w:sz w:val="16"/>
          <w:szCs w:val="16"/>
          <w:color w:val="auto"/>
        </w:rPr>
        <w:t>”) such New Notes for any and all validly tendered and outstanding (i) 5.125% Senior Notes due April 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(the “</w:t>
      </w:r>
      <w:r>
        <w:rPr>
          <w:rFonts w:ascii="Times New Roman" w:cs="Times New Roman" w:eastAsia="Times New Roman" w:hAnsi="Times New Roman"/>
          <w:sz w:val="16"/>
          <w:szCs w:val="16"/>
          <w:u w:val="single" w:color="auto"/>
          <w:color w:val="auto"/>
        </w:rPr>
        <w:t>Old 2023 Notes</w:t>
      </w:r>
      <w:r>
        <w:rPr>
          <w:rFonts w:ascii="Times New Roman" w:cs="Times New Roman" w:eastAsia="Times New Roman" w:hAnsi="Times New Roman"/>
          <w:sz w:val="16"/>
          <w:szCs w:val="16"/>
          <w:color w:val="auto"/>
        </w:rPr>
        <w:t>”) issued by the Company and (ii) 5.875% Senior Notes due October 15, 2024 (the “</w:t>
      </w:r>
      <w:r>
        <w:rPr>
          <w:rFonts w:ascii="Times New Roman" w:cs="Times New Roman" w:eastAsia="Times New Roman" w:hAnsi="Times New Roman"/>
          <w:sz w:val="16"/>
          <w:szCs w:val="16"/>
          <w:u w:val="single" w:color="auto"/>
          <w:color w:val="auto"/>
        </w:rPr>
        <w:t>Old 2024 Notes</w:t>
      </w:r>
      <w:r>
        <w:rPr>
          <w:rFonts w:ascii="Times New Roman" w:cs="Times New Roman" w:eastAsia="Times New Roman" w:hAnsi="Times New Roman"/>
          <w:sz w:val="16"/>
          <w:szCs w:val="16"/>
          <w:color w:val="auto"/>
        </w:rPr>
        <w:t>” and together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Old 2023 Notes, the “</w:t>
      </w:r>
      <w:r>
        <w:rPr>
          <w:rFonts w:ascii="Times New Roman" w:cs="Times New Roman" w:eastAsia="Times New Roman" w:hAnsi="Times New Roman"/>
          <w:sz w:val="16"/>
          <w:szCs w:val="16"/>
          <w:u w:val="single" w:color="auto"/>
          <w:color w:val="auto"/>
        </w:rPr>
        <w:t>Old Notes</w:t>
      </w:r>
      <w:r>
        <w:rPr>
          <w:rFonts w:ascii="Times New Roman" w:cs="Times New Roman" w:eastAsia="Times New Roman" w:hAnsi="Times New Roman"/>
          <w:sz w:val="16"/>
          <w:szCs w:val="16"/>
          <w:color w:val="auto"/>
        </w:rPr>
        <w:t>”) issued by the Company, and the related solicitation of consents (collectively, the “</w:t>
      </w:r>
      <w:r>
        <w:rPr>
          <w:rFonts w:ascii="Times New Roman" w:cs="Times New Roman" w:eastAsia="Times New Roman" w:hAnsi="Times New Roman"/>
          <w:sz w:val="16"/>
          <w:szCs w:val="16"/>
          <w:u w:val="single" w:color="auto"/>
          <w:color w:val="auto"/>
        </w:rPr>
        <w:t>Consent Solicitations</w:t>
      </w:r>
      <w:r>
        <w:rPr>
          <w:rFonts w:ascii="Times New Roman" w:cs="Times New Roman" w:eastAsia="Times New Roman" w:hAnsi="Times New Roman"/>
          <w:sz w:val="16"/>
          <w:szCs w:val="16"/>
          <w:color w:val="auto"/>
        </w:rPr>
        <w:t>”) to certain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proposed amendments to the indentures governing the Old Notes, in each case, upon the terms and subject to the conditions set forth in the preliminary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dated July 19,</w:t>
      </w:r>
    </w:p>
    <w:p>
      <w:pPr>
        <w:sectPr>
          <w:pgSz w:w="11900" w:h="16838" w:orient="portrait"/>
          <w:cols w:equalWidth="0" w:num="1">
            <w:col w:w="10720"/>
          </w:cols>
          <w:pgMar w:left="580" w:top="119" w:right="5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2022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which forms a part of the Registration Statement (as defined below). The New Notes and New Note Guarantees are being registered pursuant to a Registration Statement on Form S-4 filed on July 19, 2022 (Registration No. 333-266208)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Such Registration Statement, including information deemed to be a part of the Registration Statement pursuant to Rule 430A of the General Rules and Regulations under the Securities Act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New Notes will be issued pursuant to an indenture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 Indenture</w:t>
      </w:r>
      <w:r>
        <w:rPr>
          <w:rFonts w:ascii="Times New Roman" w:cs="Times New Roman" w:eastAsia="Times New Roman" w:hAnsi="Times New Roman"/>
          <w:sz w:val="18"/>
          <w:szCs w:val="18"/>
          <w:color w:val="auto"/>
        </w:rPr>
        <w:t>”), to be entered into by and among the Company, the Guarantors and Ankura Trust Company, LLC, as trustee (the “</w:t>
      </w:r>
      <w:r>
        <w:rPr>
          <w:rFonts w:ascii="Times New Roman" w:cs="Times New Roman" w:eastAsia="Times New Roman" w:hAnsi="Times New Roman"/>
          <w:sz w:val="18"/>
          <w:szCs w:val="18"/>
          <w:u w:val="single" w:color="auto"/>
          <w:color w:val="auto"/>
        </w:rPr>
        <w:t>New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collateral agent.</w:t>
      </w:r>
    </w:p>
    <w:p>
      <w:pPr>
        <w:spacing w:after="0" w:line="19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and relied upon the following:</w:t>
      </w:r>
    </w:p>
    <w:p>
      <w:pPr>
        <w:spacing w:after="0" w:line="214" w:lineRule="exact"/>
        <w:rPr>
          <w:sz w:val="20"/>
          <w:szCs w:val="20"/>
          <w:color w:val="auto"/>
        </w:rPr>
      </w:pPr>
    </w:p>
    <w:p>
      <w:pPr>
        <w:ind w:left="1200" w:hanging="233"/>
        <w:spacing w:after="0"/>
        <w:tabs>
          <w:tab w:leader="none" w:pos="12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1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w:t>
      </w:r>
    </w:p>
    <w:p>
      <w:pPr>
        <w:spacing w:after="0" w:line="213" w:lineRule="exact"/>
        <w:rPr>
          <w:rFonts w:ascii="Times New Roman" w:cs="Times New Roman" w:eastAsia="Times New Roman" w:hAnsi="Times New Roman"/>
          <w:sz w:val="18"/>
          <w:szCs w:val="18"/>
          <w:color w:val="auto"/>
        </w:rPr>
      </w:pPr>
    </w:p>
    <w:p>
      <w:pPr>
        <w:ind w:right="500" w:firstLine="967"/>
        <w:spacing w:after="0" w:line="268" w:lineRule="auto"/>
        <w:tabs>
          <w:tab w:leader="none" w:pos="12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Dealer Manager Agreement, dated July 19, 2022 (the “</w:t>
      </w:r>
      <w:r>
        <w:rPr>
          <w:rFonts w:ascii="Times New Roman" w:cs="Times New Roman" w:eastAsia="Times New Roman" w:hAnsi="Times New Roman"/>
          <w:sz w:val="18"/>
          <w:szCs w:val="18"/>
          <w:u w:val="single" w:color="auto"/>
          <w:color w:val="auto"/>
        </w:rPr>
        <w:t>Dealer Manager Agreement</w:t>
      </w:r>
      <w:r>
        <w:rPr>
          <w:rFonts w:ascii="Times New Roman" w:cs="Times New Roman" w:eastAsia="Times New Roman" w:hAnsi="Times New Roman"/>
          <w:sz w:val="18"/>
          <w:szCs w:val="18"/>
          <w:color w:val="auto"/>
        </w:rPr>
        <w:t>”), by and among the Company, the Guarantors and Lazard Frères &amp; Co. LLC, as dealer manager, relating to the Exchange Offers and Consent Solicitations;</w:t>
      </w:r>
    </w:p>
    <w:p>
      <w:pPr>
        <w:spacing w:after="0" w:line="168"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New Notes Indenture;</w:t>
      </w:r>
    </w:p>
    <w:p>
      <w:pPr>
        <w:spacing w:after="0" w:line="213" w:lineRule="exact"/>
        <w:rPr>
          <w:rFonts w:ascii="Times New Roman" w:cs="Times New Roman" w:eastAsia="Times New Roman" w:hAnsi="Times New Roman"/>
          <w:sz w:val="18"/>
          <w:szCs w:val="18"/>
          <w:color w:val="auto"/>
        </w:rPr>
      </w:pPr>
    </w:p>
    <w:p>
      <w:pPr>
        <w:ind w:right="200" w:firstLine="967"/>
        <w:spacing w:after="0" w:line="268" w:lineRule="auto"/>
        <w:tabs>
          <w:tab w:leader="none" w:pos="12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global certificate included in the New Notes Indenture evidencing the New Notes to be registered in the name of Cede &amp; Co. (the “</w:t>
      </w:r>
      <w:r>
        <w:rPr>
          <w:rFonts w:ascii="Times New Roman" w:cs="Times New Roman" w:eastAsia="Times New Roman" w:hAnsi="Times New Roman"/>
          <w:sz w:val="18"/>
          <w:szCs w:val="18"/>
          <w:u w:val="single" w:color="auto"/>
          <w:color w:val="auto"/>
        </w:rPr>
        <w:t>New Notes Certificate</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auto"/>
        </w:rPr>
      </w:pPr>
    </w:p>
    <w:p>
      <w:pPr>
        <w:ind w:right="240" w:firstLine="967"/>
        <w:spacing w:after="0" w:line="268" w:lineRule="auto"/>
        <w:tabs>
          <w:tab w:leader="none" w:pos="118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Joseph Negron, General Counsel and Corporate Secretary of the Company, dated the date hereof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auto"/>
        </w:rPr>
      </w:pPr>
    </w:p>
    <w:p>
      <w:pPr>
        <w:ind w:right="360" w:firstLine="967"/>
        <w:spacing w:after="0" w:line="256" w:lineRule="auto"/>
        <w:tabs>
          <w:tab w:leader="none" w:pos="121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each Delaware Opinion Party’s (as defined below) Certificate of Incorporation, Certificate of Formation or Certificate of Limited Partnership, as applicable, certified by the Secretary of State of the State of Delaware as of August 9, 2022, and certified pursuant to the Secretary’s Certificate (the “</w:t>
      </w:r>
      <w:r>
        <w:rPr>
          <w:rFonts w:ascii="Times New Roman" w:cs="Times New Roman" w:eastAsia="Times New Roman" w:hAnsi="Times New Roman"/>
          <w:sz w:val="18"/>
          <w:szCs w:val="18"/>
          <w:u w:val="single" w:color="auto"/>
          <w:color w:val="auto"/>
        </w:rPr>
        <w:t>Delaware Charters</w:t>
      </w:r>
      <w:r>
        <w:rPr>
          <w:rFonts w:ascii="Times New Roman" w:cs="Times New Roman" w:eastAsia="Times New Roman" w:hAnsi="Times New Roman"/>
          <w:sz w:val="18"/>
          <w:szCs w:val="18"/>
          <w:color w:val="auto"/>
        </w:rPr>
        <w:t>”);</w:t>
      </w:r>
    </w:p>
    <w:p>
      <w:pPr>
        <w:sectPr>
          <w:pgSz w:w="11900" w:h="16838" w:orient="portrait"/>
          <w:cols w:equalWidth="0" w:num="1">
            <w:col w:w="10700"/>
          </w:cols>
          <w:pgMar w:left="580" w:top="266" w:right="6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0" w:lineRule="exact"/>
        <w:rPr>
          <w:sz w:val="20"/>
          <w:szCs w:val="20"/>
          <w:color w:val="auto"/>
        </w:rPr>
      </w:pPr>
    </w:p>
    <w:p>
      <w:pPr>
        <w:ind w:right="400" w:firstLine="967"/>
        <w:spacing w:after="0" w:line="268" w:lineRule="auto"/>
        <w:tabs>
          <w:tab w:leader="none" w:pos="12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Texas Opinion Party’s (as defined below) Certificate of Incorporation, certified by the Texas Secretary of State as of August 10, 2022, and certified pursuant to the Secretary’s Certificate (the “</w:t>
      </w:r>
      <w:r>
        <w:rPr>
          <w:rFonts w:ascii="Times New Roman" w:cs="Times New Roman" w:eastAsia="Times New Roman" w:hAnsi="Times New Roman"/>
          <w:sz w:val="18"/>
          <w:szCs w:val="18"/>
          <w:u w:val="single" w:color="auto"/>
          <w:color w:val="auto"/>
        </w:rPr>
        <w:t>Texas Charter</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auto"/>
        </w:rPr>
      </w:pPr>
    </w:p>
    <w:p>
      <w:pPr>
        <w:ind w:right="100" w:firstLine="967"/>
        <w:spacing w:after="0" w:line="252" w:lineRule="auto"/>
        <w:tabs>
          <w:tab w:leader="none" w:pos="117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each Massachusetts Opinion Party’s (as defined below) Articles of Organization or Limited Liability Company Certificate of Organization, as applicable, certified by the Secretary of the Commonwealth of the Commonwealth of Massachusetts as of August 10, 2022, and certified pursuant to the Secretary’s Certificate (the “</w:t>
      </w:r>
      <w:r>
        <w:rPr>
          <w:rFonts w:ascii="Times New Roman" w:cs="Times New Roman" w:eastAsia="Times New Roman" w:hAnsi="Times New Roman"/>
          <w:sz w:val="18"/>
          <w:szCs w:val="18"/>
          <w:u w:val="single" w:color="auto"/>
          <w:color w:val="auto"/>
        </w:rPr>
        <w:t>Massachusetts Charters</w:t>
      </w:r>
      <w:r>
        <w:rPr>
          <w:rFonts w:ascii="Times New Roman" w:cs="Times New Roman" w:eastAsia="Times New Roman" w:hAnsi="Times New Roman"/>
          <w:sz w:val="18"/>
          <w:szCs w:val="18"/>
          <w:color w:val="auto"/>
        </w:rPr>
        <w:t>,” and together with the Delaware Charters and the Texas Charter, the “</w:t>
      </w:r>
      <w:r>
        <w:rPr>
          <w:rFonts w:ascii="Times New Roman" w:cs="Times New Roman" w:eastAsia="Times New Roman" w:hAnsi="Times New Roman"/>
          <w:sz w:val="18"/>
          <w:szCs w:val="18"/>
          <w:u w:val="single" w:color="auto"/>
          <w:color w:val="auto"/>
        </w:rPr>
        <w:t>Certified Charters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right="120" w:firstLine="967"/>
        <w:spacing w:after="0" w:line="256" w:lineRule="auto"/>
        <w:tabs>
          <w:tab w:leader="none" w:pos="117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By-Laws, as amended and in effect as of the date hereof, or limited liability company agreement or operating agreement, as applicable, of each Delaware Opinion Party, Texas Opinion Party and Massachusetts Opinion Party (the “</w:t>
      </w:r>
      <w:r>
        <w:rPr>
          <w:rFonts w:ascii="Times New Roman" w:cs="Times New Roman" w:eastAsia="Times New Roman" w:hAnsi="Times New Roman"/>
          <w:sz w:val="18"/>
          <w:szCs w:val="18"/>
          <w:u w:val="single" w:color="auto"/>
          <w:color w:val="auto"/>
        </w:rPr>
        <w:t>Limited Liability Company Agreements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Limited Liability Company Agreement</w:t>
      </w:r>
      <w:r>
        <w:rPr>
          <w:rFonts w:ascii="Times New Roman" w:cs="Times New Roman" w:eastAsia="Times New Roman" w:hAnsi="Times New Roman"/>
          <w:sz w:val="18"/>
          <w:szCs w:val="18"/>
          <w:color w:val="auto"/>
        </w:rPr>
        <w:t>”), certified pursuant to the Secretary’s Certificate;</w:t>
      </w:r>
    </w:p>
    <w:p>
      <w:pPr>
        <w:spacing w:after="0" w:line="178" w:lineRule="exact"/>
        <w:rPr>
          <w:rFonts w:ascii="Times New Roman" w:cs="Times New Roman" w:eastAsia="Times New Roman" w:hAnsi="Times New Roman"/>
          <w:sz w:val="18"/>
          <w:szCs w:val="18"/>
          <w:color w:val="auto"/>
        </w:rPr>
      </w:pPr>
    </w:p>
    <w:p>
      <w:pPr>
        <w:ind w:right="240" w:firstLine="967"/>
        <w:spacing w:after="0" w:line="256" w:lineRule="auto"/>
        <w:tabs>
          <w:tab w:leader="none" w:pos="12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actions by unanimous written consent of the Board of Directors or the Board of Managers, or actions by written consent of the Manager or Sole Member, as applicable, of each Delaware Opinion Party, Texas Opinion Party and Massachusetts Opinion Party, each adopted on July 19, 2022, certified pursuant to the Secretary’s Certificate;</w:t>
      </w:r>
    </w:p>
    <w:p>
      <w:pPr>
        <w:spacing w:after="0" w:line="178" w:lineRule="exact"/>
        <w:rPr>
          <w:rFonts w:ascii="Times New Roman" w:cs="Times New Roman" w:eastAsia="Times New Roman" w:hAnsi="Times New Roman"/>
          <w:sz w:val="18"/>
          <w:szCs w:val="18"/>
          <w:color w:val="auto"/>
        </w:rPr>
      </w:pPr>
    </w:p>
    <w:p>
      <w:pPr>
        <w:jc w:val="both"/>
        <w:ind w:right="80" w:firstLine="967"/>
        <w:spacing w:after="0" w:line="256" w:lineRule="auto"/>
        <w:tabs>
          <w:tab w:leader="none" w:pos="117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certificates, dated August 12, 2022, and bringdown verifications thereof, dated the date hereof, from the Secretary of State of the State of Delaware with respect to each Delaware Opinion Party’s existence and good standing in the State of Delaware (collectively, the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w:t>
      </w:r>
    </w:p>
    <w:p>
      <w:pPr>
        <w:spacing w:after="0" w:line="178" w:lineRule="exact"/>
        <w:rPr>
          <w:rFonts w:ascii="Times New Roman" w:cs="Times New Roman" w:eastAsia="Times New Roman" w:hAnsi="Times New Roman"/>
          <w:sz w:val="18"/>
          <w:szCs w:val="18"/>
          <w:color w:val="auto"/>
        </w:rPr>
      </w:pPr>
    </w:p>
    <w:p>
      <w:pPr>
        <w:ind w:firstLine="967"/>
        <w:spacing w:after="0" w:line="268" w:lineRule="auto"/>
        <w:tabs>
          <w:tab w:leader="none" w:pos="126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certificate, dated August 12, 2022, and a bringdown verification thereof, dated the date hereof, from the Texas Secretary of State with respect to the Texas Opinion Party’s existence in the State of Texas (the “</w:t>
      </w:r>
      <w:r>
        <w:rPr>
          <w:rFonts w:ascii="Times New Roman" w:cs="Times New Roman" w:eastAsia="Times New Roman" w:hAnsi="Times New Roman"/>
          <w:sz w:val="18"/>
          <w:szCs w:val="18"/>
          <w:u w:val="single" w:color="auto"/>
          <w:color w:val="auto"/>
        </w:rPr>
        <w:t>Texas Existence Certificate</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auto"/>
        </w:rPr>
      </w:pPr>
    </w:p>
    <w:p>
      <w:pPr>
        <w:ind w:right="40" w:firstLine="967"/>
        <w:spacing w:after="0" w:line="252" w:lineRule="auto"/>
        <w:tabs>
          <w:tab w:leader="none" w:pos="12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results of a search, conducted August 14, 2022 as of 8 p.m. from the Franchise Tax Account Status search on the public website of the Texas Comptroller of Public Accounts, indicating that, as of such time, the Texas Opinion Party’s right to transact business in the State of Texas is intact (the “</w:t>
      </w:r>
      <w:r>
        <w:rPr>
          <w:rFonts w:ascii="Times New Roman" w:cs="Times New Roman" w:eastAsia="Times New Roman" w:hAnsi="Times New Roman"/>
          <w:sz w:val="18"/>
          <w:szCs w:val="18"/>
          <w:u w:val="single" w:color="auto"/>
          <w:color w:val="auto"/>
        </w:rPr>
        <w:t>Texas Comptroller Account Status Verification</w:t>
      </w:r>
      <w:r>
        <w:rPr>
          <w:rFonts w:ascii="Times New Roman" w:cs="Times New Roman" w:eastAsia="Times New Roman" w:hAnsi="Times New Roman"/>
          <w:sz w:val="18"/>
          <w:szCs w:val="18"/>
          <w:color w:val="auto"/>
        </w:rPr>
        <w:t>” and, collectively with the Texas Existence Certificate, the “</w:t>
      </w:r>
      <w:r>
        <w:rPr>
          <w:rFonts w:ascii="Times New Roman" w:cs="Times New Roman" w:eastAsia="Times New Roman" w:hAnsi="Times New Roman"/>
          <w:sz w:val="18"/>
          <w:szCs w:val="18"/>
          <w:u w:val="single" w:color="auto"/>
          <w:color w:val="auto"/>
        </w:rPr>
        <w:t>Texas Certificates</w:t>
      </w:r>
      <w:r>
        <w:rPr>
          <w:rFonts w:ascii="Times New Roman" w:cs="Times New Roman" w:eastAsia="Times New Roman" w:hAnsi="Times New Roman"/>
          <w:sz w:val="18"/>
          <w:szCs w:val="18"/>
          <w:color w:val="auto"/>
        </w:rPr>
        <w:t>”); and</w:t>
      </w:r>
    </w:p>
    <w:p>
      <w:pPr>
        <w:sectPr>
          <w:pgSz w:w="11900" w:h="16838" w:orient="portrait"/>
          <w:cols w:equalWidth="0" w:num="1">
            <w:col w:w="10700"/>
          </w:cols>
          <w:pgMar w:left="580" w:top="266" w:right="6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0" w:lineRule="exact"/>
        <w:rPr>
          <w:sz w:val="20"/>
          <w:szCs w:val="20"/>
          <w:color w:val="auto"/>
        </w:rPr>
      </w:pPr>
    </w:p>
    <w:p>
      <w:pPr>
        <w:ind w:right="340" w:firstLine="967"/>
        <w:spacing w:after="0" w:line="252" w:lineRule="auto"/>
        <w:tabs>
          <w:tab w:leader="none" w:pos="121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certificates, dated August 12, 2022, and bringdown verifications thereof, dated the date hereof, from the Secretary of the Commonwealth of the Commonwealth of Massachusetts with respect to each Massachusetts Opinion Party’s legal existence and good standing, as applicable, with the office of the Secretary of the Commonwealth of the Commonwealth of Massachusetts (collectively, the “</w:t>
      </w:r>
      <w:r>
        <w:rPr>
          <w:rFonts w:ascii="Times New Roman" w:cs="Times New Roman" w:eastAsia="Times New Roman" w:hAnsi="Times New Roman"/>
          <w:sz w:val="18"/>
          <w:szCs w:val="18"/>
          <w:u w:val="single" w:color="auto"/>
          <w:color w:val="auto"/>
        </w:rPr>
        <w:t>Massachusetts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40" w:firstLine="965"/>
        <w:spacing w:after="0" w:line="303" w:lineRule="auto"/>
        <w:rPr>
          <w:sz w:val="20"/>
          <w:szCs w:val="20"/>
          <w:color w:val="auto"/>
        </w:rPr>
      </w:pPr>
      <w:r>
        <w:rPr>
          <w:rFonts w:ascii="Times New Roman" w:cs="Times New Roman" w:eastAsia="Times New Roman" w:hAnsi="Times New Roman"/>
          <w:sz w:val="16"/>
          <w:szCs w:val="16"/>
          <w:color w:val="auto"/>
        </w:rPr>
        <w:t>We have also examined originals or copies, certified or otherwise identified to our satisfaction, of such records of the Company and the Guarantors and such agreements, certificates and receipts of public officials, certificates of officers or other representatives of the Company and the Guarantors and others, and such other documents as we have deemed necessary or appropriate as a basis for the opinion stated below.</w:t>
      </w:r>
    </w:p>
    <w:p>
      <w:pPr>
        <w:spacing w:after="0" w:line="144" w:lineRule="exact"/>
        <w:rPr>
          <w:sz w:val="20"/>
          <w:szCs w:val="20"/>
          <w:color w:val="auto"/>
        </w:rPr>
      </w:pPr>
    </w:p>
    <w:p>
      <w:pPr>
        <w:ind w:firstLine="965"/>
        <w:spacing w:after="0" w:line="248"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the Guarantors and others and of public officials, including those in the Secretary’s Certificate and the factual representations and warranties contained in the Dealer Manager Agreement.</w:t>
      </w:r>
    </w:p>
    <w:p>
      <w:pPr>
        <w:spacing w:after="0" w:line="189" w:lineRule="exact"/>
        <w:rPr>
          <w:sz w:val="20"/>
          <w:szCs w:val="20"/>
          <w:color w:val="auto"/>
        </w:rPr>
      </w:pPr>
    </w:p>
    <w:p>
      <w:pPr>
        <w:ind w:firstLine="965"/>
        <w:spacing w:after="0" w:line="249"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(i) the laws of the State of New York, (ii)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(iii) the Delaware Limited Liability Company Act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(iv) the Delaware Revised Uniform Limited Partnership Act (“</w:t>
      </w:r>
      <w:r>
        <w:rPr>
          <w:rFonts w:ascii="Times New Roman" w:cs="Times New Roman" w:eastAsia="Times New Roman" w:hAnsi="Times New Roman"/>
          <w:sz w:val="18"/>
          <w:szCs w:val="18"/>
          <w:u w:val="single" w:color="auto"/>
          <w:color w:val="auto"/>
        </w:rPr>
        <w:t>DRULPA</w:t>
      </w:r>
      <w:r>
        <w:rPr>
          <w:rFonts w:ascii="Times New Roman" w:cs="Times New Roman" w:eastAsia="Times New Roman" w:hAnsi="Times New Roman"/>
          <w:sz w:val="18"/>
          <w:szCs w:val="18"/>
          <w:color w:val="auto"/>
        </w:rPr>
        <w:t>”), (v) the Texas For-Profit Corporation Law (the “</w:t>
      </w:r>
      <w:r>
        <w:rPr>
          <w:rFonts w:ascii="Times New Roman" w:cs="Times New Roman" w:eastAsia="Times New Roman" w:hAnsi="Times New Roman"/>
          <w:sz w:val="18"/>
          <w:szCs w:val="18"/>
          <w:u w:val="single" w:color="auto"/>
          <w:color w:val="auto"/>
        </w:rPr>
        <w:t>TFPCL</w:t>
      </w:r>
      <w:r>
        <w:rPr>
          <w:rFonts w:ascii="Times New Roman" w:cs="Times New Roman" w:eastAsia="Times New Roman" w:hAnsi="Times New Roman"/>
          <w:sz w:val="18"/>
          <w:szCs w:val="18"/>
          <w:color w:val="auto"/>
        </w:rPr>
        <w:t>”), (vi) the Massachusetts Business Corporation Act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and (vii) the Massachusetts Limited Liability Company Act (the “</w:t>
      </w:r>
      <w:r>
        <w:rPr>
          <w:rFonts w:ascii="Times New Roman" w:cs="Times New Roman" w:eastAsia="Times New Roman" w:hAnsi="Times New Roman"/>
          <w:sz w:val="18"/>
          <w:szCs w:val="18"/>
          <w:u w:val="single" w:color="auto"/>
          <w:color w:val="auto"/>
        </w:rPr>
        <w:t>MLLCA</w:t>
      </w:r>
      <w:r>
        <w:rPr>
          <w:rFonts w:ascii="Times New Roman" w:cs="Times New Roman" w:eastAsia="Times New Roman" w:hAnsi="Times New Roman"/>
          <w:sz w:val="18"/>
          <w:szCs w:val="18"/>
          <w:color w:val="auto"/>
        </w:rPr>
        <w:t>”) (all of the foregoing being referred to as “</w:t>
      </w:r>
      <w:r>
        <w:rPr>
          <w:rFonts w:ascii="Times New Roman" w:cs="Times New Roman" w:eastAsia="Times New Roman" w:hAnsi="Times New Roman"/>
          <w:sz w:val="18"/>
          <w:szCs w:val="18"/>
          <w:u w:val="single" w:color="auto"/>
          <w:color w:val="auto"/>
        </w:rPr>
        <w:t>Opined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As used herein:</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Opinion Parties</w:t>
      </w:r>
      <w:r>
        <w:rPr>
          <w:rFonts w:ascii="Times New Roman" w:cs="Times New Roman" w:eastAsia="Times New Roman" w:hAnsi="Times New Roman"/>
          <w:sz w:val="18"/>
          <w:szCs w:val="18"/>
          <w:color w:val="auto"/>
        </w:rPr>
        <w:t xml:space="preserve">” means the entities designated in the table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“Delaware Opinion Parties”;</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Covered Opinion Party</w:t>
      </w:r>
      <w:r>
        <w:rPr>
          <w:rFonts w:ascii="Times New Roman" w:cs="Times New Roman" w:eastAsia="Times New Roman" w:hAnsi="Times New Roman"/>
          <w:sz w:val="18"/>
          <w:szCs w:val="18"/>
          <w:color w:val="auto"/>
        </w:rPr>
        <w:t xml:space="preserve">” means each Delaware Opinion Party identified as such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Massachusetts Opinion Parties</w:t>
      </w:r>
      <w:r>
        <w:rPr>
          <w:rFonts w:ascii="Times New Roman" w:cs="Times New Roman" w:eastAsia="Times New Roman" w:hAnsi="Times New Roman"/>
          <w:sz w:val="18"/>
          <w:szCs w:val="18"/>
          <w:color w:val="auto"/>
        </w:rPr>
        <w:t xml:space="preserve">” means the entities designated in the table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“Massachusetts Opinion Parties”;</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Non-Covered Opinion Parties</w:t>
      </w:r>
      <w:r>
        <w:rPr>
          <w:rFonts w:ascii="Times New Roman" w:cs="Times New Roman" w:eastAsia="Times New Roman" w:hAnsi="Times New Roman"/>
          <w:sz w:val="18"/>
          <w:szCs w:val="18"/>
          <w:color w:val="auto"/>
        </w:rPr>
        <w:t xml:space="preserve">” means the entities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w:t>
      </w:r>
    </w:p>
    <w:p>
      <w:pPr>
        <w:sectPr>
          <w:pgSz w:w="11900" w:h="16838" w:orient="portrait"/>
          <w:cols w:equalWidth="0" w:num="1">
            <w:col w:w="10680"/>
          </w:cols>
          <w:pgMar w:left="580" w:top="266" w:right="6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Parties</w:t>
      </w:r>
      <w:r>
        <w:rPr>
          <w:rFonts w:ascii="Times New Roman" w:cs="Times New Roman" w:eastAsia="Times New Roman" w:hAnsi="Times New Roman"/>
          <w:sz w:val="18"/>
          <w:szCs w:val="18"/>
          <w:color w:val="auto"/>
        </w:rPr>
        <w:t>” means the Delaware Opinion Parties, Massachusetts Opinion Parties and the Texas Opinion Party;</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those documents listed in paragraphs (g) through (o) above;</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Texas Opinion Party</w:t>
      </w:r>
      <w:r>
        <w:rPr>
          <w:rFonts w:ascii="Times New Roman" w:cs="Times New Roman" w:eastAsia="Times New Roman" w:hAnsi="Times New Roman"/>
          <w:sz w:val="18"/>
          <w:szCs w:val="18"/>
          <w:color w:val="auto"/>
        </w:rPr>
        <w:t xml:space="preserve">” means the entity designated in the table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“Texas Opinion Party”; and</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Documents</w:t>
      </w:r>
      <w:r>
        <w:rPr>
          <w:rFonts w:ascii="Times New Roman" w:cs="Times New Roman" w:eastAsia="Times New Roman" w:hAnsi="Times New Roman"/>
          <w:sz w:val="16"/>
          <w:szCs w:val="16"/>
          <w:color w:val="auto"/>
        </w:rPr>
        <w:t>” means the Dealer Manager Agreement, the New Notes Indenture, the New Notes Guarantees and the New Notes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w:t>
      </w:r>
    </w:p>
    <w:p>
      <w:pPr>
        <w:spacing w:after="0" w:line="196" w:lineRule="exact"/>
        <w:rPr>
          <w:sz w:val="20"/>
          <w:szCs w:val="20"/>
          <w:color w:val="auto"/>
        </w:rPr>
      </w:pPr>
    </w:p>
    <w:p>
      <w:pPr>
        <w:ind w:firstLine="965"/>
        <w:spacing w:after="0" w:line="24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when (a) the Registration Statement becomes effective, (b) the New Notes Indenture has been qualified under the Trust Indenture Act of 1939 and (c) the New Notes Indenture has been duly executed by the Company and the Guarantors and the New Notes Certificate and the New Notes Guarantees have been duly executed by the Company and the Guarantors and duly authenticated by the New Notes Trustee and issued and delivered by the Company upon consummation of the Exchange Offers against receipt of the Old Notes to be surrendered in exchange therefor in accordance with the terms of the Dealer Manager Agreement and the New Notes Indenture, (i) the New Notes Certificate will constitute a valid and binding obligation of the Company, enforceable against the Company in accordance with its terms under the laws of the State of New York and (ii) the New Notes Guarantees will constitute valid and binding obligations of each Guarantor, enforceable against such Guarantor in accordance with their terms under the laws of the State of New York.</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opinion stated herein are subject to the following qualifications:</w:t>
      </w:r>
    </w:p>
    <w:p>
      <w:pPr>
        <w:spacing w:after="0" w:line="214" w:lineRule="exact"/>
        <w:rPr>
          <w:sz w:val="20"/>
          <w:szCs w:val="20"/>
          <w:color w:val="auto"/>
        </w:rPr>
      </w:pPr>
    </w:p>
    <w:p>
      <w:pPr>
        <w:jc w:val="both"/>
        <w:ind w:right="280" w:firstLine="967"/>
        <w:spacing w:after="0" w:line="303" w:lineRule="auto"/>
        <w:tabs>
          <w:tab w:leader="none" w:pos="1203"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express any opinion with respect to the effect on the opinion stated herein of any bankruptcy, insolvency, reorganization, moratorium, fraudulent transfer, preference and other similar laws or governmental orders affecting creditors’ rights generally, and the opinion stated herein is limited by such laws and by general principles of equity (regardless of whether enforcement is sought in equity or at law);</w:t>
      </w:r>
    </w:p>
    <w:p>
      <w:pPr>
        <w:spacing w:after="0" w:line="144" w:lineRule="exact"/>
        <w:rPr>
          <w:rFonts w:ascii="Times New Roman" w:cs="Times New Roman" w:eastAsia="Times New Roman" w:hAnsi="Times New Roman"/>
          <w:sz w:val="16"/>
          <w:szCs w:val="16"/>
          <w:color w:val="auto"/>
        </w:rPr>
      </w:pPr>
    </w:p>
    <w:p>
      <w:pPr>
        <w:ind w:right="340" w:firstLine="967"/>
        <w:spacing w:after="0" w:line="256" w:lineRule="auto"/>
        <w:tabs>
          <w:tab w:leader="none" w:pos="121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any law, rule or regulation that is applicable to any party to any of the Transactions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78" w:lineRule="exact"/>
        <w:rPr>
          <w:rFonts w:ascii="Times New Roman" w:cs="Times New Roman" w:eastAsia="Times New Roman" w:hAnsi="Times New Roman"/>
          <w:sz w:val="18"/>
          <w:szCs w:val="18"/>
          <w:color w:val="auto"/>
        </w:rPr>
      </w:pPr>
    </w:p>
    <w:p>
      <w:pPr>
        <w:ind w:right="280" w:firstLine="967"/>
        <w:spacing w:after="0" w:line="331" w:lineRule="auto"/>
        <w:tabs>
          <w:tab w:leader="none" w:pos="1203"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expressly stated in the opinion contained herein, we have assumed that each of the Transaction Documents constitutes the valid and binding obligation of each party to such Transaction Document, enforceable against such party in accordance with its terms;</w:t>
      </w:r>
    </w:p>
    <w:p>
      <w:pPr>
        <w:sectPr>
          <w:pgSz w:w="11900" w:h="16838" w:orient="portrait"/>
          <w:cols w:equalWidth="0" w:num="1">
            <w:col w:w="10720"/>
          </w:cols>
          <w:pgMar w:left="580" w:top="266" w:right="5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0" w:lineRule="exact"/>
        <w:rPr>
          <w:sz w:val="20"/>
          <w:szCs w:val="20"/>
          <w:color w:val="auto"/>
        </w:rPr>
      </w:pPr>
    </w:p>
    <w:p>
      <w:pPr>
        <w:ind w:firstLine="967"/>
        <w:spacing w:after="0" w:line="252" w:lineRule="auto"/>
        <w:tabs>
          <w:tab w:leader="none" w:pos="121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whether the execution or delivery of any Transaction Document by any Opinion Party, the consummation of the transactions contemplated thereby or the performance by any Opinion Party of its obligations under any Transaction Document to which such Opinion Party is a party will constitute a violation of, or a default under, any covenant, restriction or provision with respect to financial ratios or tests or any aspect of the financial condition or results of operations of any Opinion Party or any of its subsidiaries;</w:t>
      </w:r>
    </w:p>
    <w:p>
      <w:pPr>
        <w:spacing w:after="0" w:line="182" w:lineRule="exact"/>
        <w:rPr>
          <w:rFonts w:ascii="Times New Roman" w:cs="Times New Roman" w:eastAsia="Times New Roman" w:hAnsi="Times New Roman"/>
          <w:sz w:val="18"/>
          <w:szCs w:val="18"/>
          <w:color w:val="auto"/>
        </w:rPr>
      </w:pPr>
    </w:p>
    <w:p>
      <w:pPr>
        <w:ind w:right="240" w:firstLine="967"/>
        <w:spacing w:after="0" w:line="252" w:lineRule="auto"/>
        <w:tabs>
          <w:tab w:leader="none" w:pos="120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182" w:lineRule="exact"/>
        <w:rPr>
          <w:rFonts w:ascii="Times New Roman" w:cs="Times New Roman" w:eastAsia="Times New Roman" w:hAnsi="Times New Roman"/>
          <w:sz w:val="18"/>
          <w:szCs w:val="18"/>
          <w:color w:val="auto"/>
        </w:rPr>
      </w:pPr>
    </w:p>
    <w:p>
      <w:pPr>
        <w:ind w:right="160" w:firstLine="967"/>
        <w:spacing w:after="0" w:line="268" w:lineRule="auto"/>
        <w:tabs>
          <w:tab w:leader="none" w:pos="118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of any Transaction Document to the extent that such section purports to bind the Company or any Guarantor to the exclusive jurisdiction of any particular federal court or courts;</w:t>
      </w:r>
    </w:p>
    <w:p>
      <w:pPr>
        <w:spacing w:after="0" w:line="168" w:lineRule="exact"/>
        <w:rPr>
          <w:rFonts w:ascii="Times New Roman" w:cs="Times New Roman" w:eastAsia="Times New Roman" w:hAnsi="Times New Roman"/>
          <w:sz w:val="18"/>
          <w:szCs w:val="18"/>
          <w:color w:val="auto"/>
        </w:rPr>
      </w:pPr>
    </w:p>
    <w:p>
      <w:pPr>
        <w:jc w:val="both"/>
        <w:ind w:right="460" w:firstLine="967"/>
        <w:spacing w:after="0" w:line="256" w:lineRule="auto"/>
        <w:tabs>
          <w:tab w:leader="none" w:pos="121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opinion relates to the enforceability of the choice of New York law provisions contained in any Transaction Document, the opinion stated herein are subject to the qualification that such enforceability may be subject to, in each case, (i) the exceptions and limitations in New York General Obligations Law sections 5-1401 and (ii) principles of comity and constitutionality;</w:t>
      </w:r>
    </w:p>
    <w:p>
      <w:pPr>
        <w:spacing w:after="0" w:line="178" w:lineRule="exact"/>
        <w:rPr>
          <w:rFonts w:ascii="Times New Roman" w:cs="Times New Roman" w:eastAsia="Times New Roman" w:hAnsi="Times New Roman"/>
          <w:sz w:val="18"/>
          <w:szCs w:val="18"/>
          <w:color w:val="auto"/>
        </w:rPr>
      </w:pPr>
    </w:p>
    <w:p>
      <w:pPr>
        <w:ind w:right="40" w:firstLine="967"/>
        <w:spacing w:after="0" w:line="256" w:lineRule="auto"/>
        <w:tabs>
          <w:tab w:leader="none" w:pos="121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Section 10.01 of the New Notes Indenture to the extent that such section provides that the obligations of the Guarantors are absolute and unconditional irrespective of the enforceability or genuineness of the New Notes Indenture or the effect thereof on the opinions herein stated; and</w:t>
      </w:r>
    </w:p>
    <w:p>
      <w:pPr>
        <w:spacing w:after="0" w:line="178" w:lineRule="exact"/>
        <w:rPr>
          <w:rFonts w:ascii="Times New Roman" w:cs="Times New Roman" w:eastAsia="Times New Roman" w:hAnsi="Times New Roman"/>
          <w:sz w:val="18"/>
          <w:szCs w:val="18"/>
          <w:color w:val="auto"/>
        </w:rPr>
      </w:pPr>
    </w:p>
    <w:p>
      <w:pPr>
        <w:ind w:right="100" w:firstLine="967"/>
        <w:spacing w:after="0" w:line="256" w:lineRule="auto"/>
        <w:tabs>
          <w:tab w:leader="none" w:pos="117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the provisions contained in Article Ten of the New Notes Indenture to the extent that such provisions limit the obligation of the Guarantors under the New Notes Indenture or their respective Guarantees or any right of contribution of any party with respect to such Guarantees.</w:t>
      </w:r>
    </w:p>
    <w:p>
      <w:pPr>
        <w:sectPr>
          <w:pgSz w:w="11900" w:h="16838" w:orient="portrait"/>
          <w:cols w:equalWidth="0" w:num="1">
            <w:col w:w="10720"/>
          </w:cols>
          <w:pgMar w:left="580" w:top="266" w:right="5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 addition, in rendering the foregoing opinion we have assumed that, at all applicable times:</w:t>
      </w:r>
    </w:p>
    <w:p>
      <w:pPr>
        <w:spacing w:after="0" w:line="214" w:lineRule="exact"/>
        <w:rPr>
          <w:sz w:val="20"/>
          <w:szCs w:val="20"/>
          <w:color w:val="auto"/>
        </w:rPr>
      </w:pPr>
    </w:p>
    <w:p>
      <w:pPr>
        <w:ind w:right="60" w:firstLine="967"/>
        <w:spacing w:after="0" w:line="293" w:lineRule="auto"/>
        <w:tabs>
          <w:tab w:leader="none" w:pos="1203"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Non-Covered Opinion Party (i) is duly incorporated or formed, as applicable, and is validly existing and in good standing, (ii) has requisite legal status and legal capacity under the laws of the jurisdiction of its organization or formation, as applicable, and (iii) has complied and will comply with all aspects of the laws of the jurisdiction of its organization or formation, as applicable, in connection with the transactions contemplated by, and the performance of its obligations under, the each of the Transaction Documents to which such Non-Covered Opinion Party is a party;</w:t>
      </w:r>
    </w:p>
    <w:p>
      <w:pPr>
        <w:spacing w:after="0" w:line="153" w:lineRule="exact"/>
        <w:rPr>
          <w:rFonts w:ascii="Times New Roman" w:cs="Times New Roman" w:eastAsia="Times New Roman" w:hAnsi="Times New Roman"/>
          <w:sz w:val="16"/>
          <w:szCs w:val="16"/>
          <w:color w:val="auto"/>
        </w:rPr>
      </w:pPr>
    </w:p>
    <w:p>
      <w:pPr>
        <w:ind w:right="820" w:firstLine="967"/>
        <w:spacing w:after="0" w:line="268" w:lineRule="auto"/>
        <w:tabs>
          <w:tab w:leader="none" w:pos="121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Non-Covered Opinion Party has requisite corporate or other power and authority to execute, deliver and perform all its obligations under each of the Transaction Documents to which such Non-Covered Opinion Party is a party;</w:t>
      </w:r>
    </w:p>
    <w:p>
      <w:pPr>
        <w:spacing w:after="0" w:line="168" w:lineRule="exact"/>
        <w:rPr>
          <w:rFonts w:ascii="Times New Roman" w:cs="Times New Roman" w:eastAsia="Times New Roman" w:hAnsi="Times New Roman"/>
          <w:sz w:val="18"/>
          <w:szCs w:val="18"/>
          <w:color w:val="auto"/>
        </w:rPr>
      </w:pPr>
    </w:p>
    <w:p>
      <w:pPr>
        <w:ind w:right="60" w:firstLine="967"/>
        <w:spacing w:after="0" w:line="268" w:lineRule="auto"/>
        <w:tabs>
          <w:tab w:leader="none" w:pos="12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Transaction Documents to which a Non-Covered Opinion Party is a party has been duly authorized, executed and delivered by all requisite corporate or other action on the part of such Non-Covered Opinion Party;</w:t>
      </w:r>
    </w:p>
    <w:p>
      <w:pPr>
        <w:spacing w:after="0" w:line="168" w:lineRule="exact"/>
        <w:rPr>
          <w:rFonts w:ascii="Times New Roman" w:cs="Times New Roman" w:eastAsia="Times New Roman" w:hAnsi="Times New Roman"/>
          <w:sz w:val="18"/>
          <w:szCs w:val="18"/>
          <w:color w:val="auto"/>
        </w:rPr>
      </w:pPr>
    </w:p>
    <w:p>
      <w:pPr>
        <w:ind w:firstLine="967"/>
        <w:spacing w:after="0" w:line="245" w:lineRule="auto"/>
        <w:tabs>
          <w:tab w:leader="none" w:pos="121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of the New Notes: (i) conflicts or will conflict with the certificate of incorporation, certificate of limited partnership, bylaws, limited liability company agreement or limited partnership agreement, as applicable, or any other comparable organizational document of the Company or any Guarantor, (ii) constituted or will constitute a violation of, or a default under, any lease, indenture, agreement or other instrument to which the Company or its property is subject (except that we do not make the assumption set forth in this clause (ii) with respect to those agreements or instruments which are listed in Part II of the Registration Statement or the Company’s Annual Report on Form 10-K for the year ended December 31, 2021, assuming that each of the (1) Third Amended and Restated Credit Agreement, dated as of March 23, 2017, among The GEO Group, Inc., GEO Corrections Holdings, Inc., as the borrowers, the Australian borrowers party thereto, the lenders party thereto and BNP Paribas, as administrative agent, (2) Indenture, dated as of March 19, 2013, by and among the Company, the guarantors party thereto, and Wells Fargo Bank, National Association as trustee, and (3) Indenture, dated as of September 25, 2014, by and among the Company, the guarantors party thereto, and Wells Fargo Bank, National Association as trustee, in each case as amended to date, are amended concurrently with the Exchange Offers and Consent Solicitations as described in the Preliminary Prospectus), (iii) contravened or will contravene any order or decree of any governmental authority to which the Company or its property is subject, or (iv) violated or will violate any law, rule or regulation to which the Company or its property is subject (except that we do not make the assumption set forth in this clause (iv) with respect to the Opined-on Law);</w:t>
      </w:r>
    </w:p>
    <w:p>
      <w:pPr>
        <w:spacing w:after="0" w:line="196" w:lineRule="exact"/>
        <w:rPr>
          <w:rFonts w:ascii="Times New Roman" w:cs="Times New Roman" w:eastAsia="Times New Roman" w:hAnsi="Times New Roman"/>
          <w:sz w:val="18"/>
          <w:szCs w:val="18"/>
          <w:color w:val="auto"/>
        </w:rPr>
      </w:pPr>
    </w:p>
    <w:p>
      <w:pPr>
        <w:ind w:right="400" w:firstLine="967"/>
        <w:spacing w:after="0" w:line="252" w:lineRule="auto"/>
        <w:tabs>
          <w:tab w:leader="none" w:pos="120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or any Guarantor of the Transaction Documents nor the performance by the Company and such Guarantor of its obligations thereunder, including the issuance of the New Notes, required or will require the consent, approval, licensing or authorization of, or any filing, recording or registration with, any governmental authority under any law, rule or regulation of any jurisdiction;</w:t>
      </w:r>
    </w:p>
    <w:p>
      <w:pPr>
        <w:sectPr>
          <w:pgSz w:w="11900" w:h="16838" w:orient="portrait"/>
          <w:cols w:equalWidth="0" w:num="1">
            <w:col w:w="10720"/>
          </w:cols>
          <w:pgMar w:left="580" w:top="266" w:right="5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30" w:lineRule="exact"/>
        <w:rPr>
          <w:sz w:val="20"/>
          <w:szCs w:val="20"/>
          <w:color w:val="auto"/>
        </w:rPr>
      </w:pPr>
    </w:p>
    <w:p>
      <w:pPr>
        <w:ind w:right="140" w:firstLine="967"/>
        <w:spacing w:after="0" w:line="293" w:lineRule="auto"/>
        <w:tabs>
          <w:tab w:leader="none" w:pos="118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in its capacity as the managing member (the “</w:t>
      </w:r>
      <w:r>
        <w:rPr>
          <w:rFonts w:ascii="Times New Roman" w:cs="Times New Roman" w:eastAsia="Times New Roman" w:hAnsi="Times New Roman"/>
          <w:sz w:val="16"/>
          <w:szCs w:val="16"/>
          <w:u w:val="single" w:color="auto"/>
          <w:color w:val="auto"/>
        </w:rPr>
        <w:t>Managing Member</w:t>
      </w:r>
      <w:r>
        <w:rPr>
          <w:rFonts w:ascii="Times New Roman" w:cs="Times New Roman" w:eastAsia="Times New Roman" w:hAnsi="Times New Roman"/>
          <w:sz w:val="16"/>
          <w:szCs w:val="16"/>
          <w:color w:val="auto"/>
        </w:rPr>
        <w:t>”) of GEO RE Holdings LLC (the “</w:t>
      </w:r>
      <w:r>
        <w:rPr>
          <w:rFonts w:ascii="Times New Roman" w:cs="Times New Roman" w:eastAsia="Times New Roman" w:hAnsi="Times New Roman"/>
          <w:sz w:val="16"/>
          <w:szCs w:val="16"/>
          <w:u w:val="single" w:color="auto"/>
          <w:color w:val="auto"/>
        </w:rPr>
        <w:t>Specified Opinion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has the corporate power and authority to authorize, execute and deliver, in its capacity as managing member of the Specified Opinion Party, each of the Transaction Documents to which the Specified Opinion Party is a party, on behalf of the Specified Opinion Party and to authorize the Specified Opinion Party’s performance of its obligations under the Transaction Documents to which the Specified Opinion Party is a party;</w:t>
      </w:r>
    </w:p>
    <w:p>
      <w:pPr>
        <w:spacing w:after="0" w:line="153" w:lineRule="exact"/>
        <w:rPr>
          <w:rFonts w:ascii="Times New Roman" w:cs="Times New Roman" w:eastAsia="Times New Roman" w:hAnsi="Times New Roman"/>
          <w:sz w:val="16"/>
          <w:szCs w:val="16"/>
          <w:color w:val="auto"/>
        </w:rPr>
      </w:pPr>
    </w:p>
    <w:p>
      <w:pPr>
        <w:ind w:right="180" w:firstLine="967"/>
        <w:spacing w:after="0" w:line="256" w:lineRule="auto"/>
        <w:tabs>
          <w:tab w:leader="none" w:pos="121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execution and delivery by the Managing Member, in its capacity as managing member of the Specified Opinion Party, of each of the Transaction Documents to which the Specified Opinion Party is a party, on behalf of the Specified Opinion Party, have been duly authorized by all requisite corporate action on the part of the Managing Member;</w:t>
      </w:r>
    </w:p>
    <w:p>
      <w:pPr>
        <w:spacing w:after="0" w:line="178" w:lineRule="exact"/>
        <w:rPr>
          <w:rFonts w:ascii="Times New Roman" w:cs="Times New Roman" w:eastAsia="Times New Roman" w:hAnsi="Times New Roman"/>
          <w:sz w:val="18"/>
          <w:szCs w:val="18"/>
          <w:color w:val="auto"/>
        </w:rPr>
      </w:pPr>
    </w:p>
    <w:p>
      <w:pPr>
        <w:ind w:firstLine="967"/>
        <w:spacing w:after="0" w:line="246" w:lineRule="auto"/>
        <w:tabs>
          <w:tab w:leader="none" w:pos="121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expressly stated in the opinions contained herein with respect to the Specified Opinion Party, neither the authorization, execution and delivery by the Managing Member, in its capacity as managing member of the Specified Opinion Party, of the Transaction Documents to which the Specified Opinion Party is a party, on behalf of the Specified Opinion Party, nor the performance by the Specified Opinion Party of its obligations under each of the Transaction Documents to which the Specified Opinion Party is a party: (i) conflicts or will conflict with the certificate of incorporation or by-laws of the Managing Member or the Specified Opinion Party, (ii) constitutes or will constitute a violation of, or a default under, any lease, indenture, instrument or other agreement to which the Managing Member or the Specified Opinion Party or their respective property is subject, (iii) contravenes or will contravene any order or decree of any governmental authority to which the Managing Member or the Specified Opinion Party or their respective property is subject, or (iv) violates or will violate any law, rule or regulation to which the Managing Member or the Specified Opinion Party or their respective property is subject; and</w:t>
      </w:r>
    </w:p>
    <w:p>
      <w:pPr>
        <w:spacing w:after="0" w:line="193" w:lineRule="exact"/>
        <w:rPr>
          <w:rFonts w:ascii="Times New Roman" w:cs="Times New Roman" w:eastAsia="Times New Roman" w:hAnsi="Times New Roman"/>
          <w:sz w:val="18"/>
          <w:szCs w:val="18"/>
          <w:color w:val="auto"/>
        </w:rPr>
      </w:pPr>
    </w:p>
    <w:p>
      <w:pPr>
        <w:ind w:right="80" w:firstLine="967"/>
        <w:spacing w:after="0" w:line="288" w:lineRule="auto"/>
        <w:tabs>
          <w:tab w:leader="none" w:pos="117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expressly stated in the opinions contained herein with respect to the Specified Opinion Party neither the authorization, execution and delivery by the Managing Member, in its capacity as managing member of the Specified Opinion Party, of the Transaction Documents to which the Specified Opinion Party is a party, on behalf of the Specified Opinion Party, nor the enforceability of each of the Transaction Documents to which the Specified Opinion Party is a party against the Specified Opinion Party requires or will require the consent, approval, licensing or authorization of, or any filing, recording or registration with, any governmental authority under any law, rule or regulation of any jurisdiction.</w:t>
      </w:r>
    </w:p>
    <w:p>
      <w:pPr>
        <w:sectPr>
          <w:pgSz w:w="11900" w:h="16838" w:orient="portrait"/>
          <w:cols w:equalWidth="0" w:num="1">
            <w:col w:w="10680"/>
          </w:cols>
          <w:pgMar w:left="580" w:top="266" w:right="6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130" w:lineRule="exact"/>
        <w:rPr>
          <w:sz w:val="20"/>
          <w:szCs w:val="20"/>
          <w:color w:val="auto"/>
        </w:rPr>
      </w:pPr>
    </w:p>
    <w:p>
      <w:pPr>
        <w:ind w:firstLine="965"/>
        <w:spacing w:after="0" w:line="249"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Preliminary Prospectus forming part of the Registration Statement. In giving this consent, we do not thereby admit that we are within the category of persons whose consent is required under Section 7 of the Securities Act or the Rules and Regulations. We also hereby consent to the filing of this opinion with the Commission as an exhibit to the Registration Statement. This opinion is expressed as of the date hereof unless otherwise expressly stated, and we disclaim any undertaking to advise you of any subsequent changes in the facts stated or assumed herein or of any subsequent changes in applicable laws.</w:t>
      </w:r>
    </w:p>
    <w:p>
      <w:pPr>
        <w:spacing w:after="0" w:line="214"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Skadden, Arps, Slate, Meagher and Flom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DJG</w:t>
      </w:r>
    </w:p>
    <w:p>
      <w:pPr>
        <w:sectPr>
          <w:pgSz w:w="11900" w:h="16838" w:orient="portrait"/>
          <w:cols w:equalWidth="0" w:num="1">
            <w:col w:w="10640"/>
          </w:cols>
          <w:pgMar w:left="580" w:top="266" w:right="67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650"/>
        </w:trPr>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8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Covered Opinion Parties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6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Texas</w:t>
            </w:r>
          </w:p>
        </w:tc>
        <w:tc>
          <w:tcPr>
            <w:tcW w:w="620" w:type="dxa"/>
            <w:vAlign w:val="bottom"/>
          </w:tcPr>
          <w:p>
            <w:pPr>
              <w:spacing w:after="0"/>
              <w:rPr>
                <w:sz w:val="24"/>
                <w:szCs w:val="24"/>
                <w:color w:val="auto"/>
              </w:rPr>
            </w:pP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Massachusetts</w:t>
            </w:r>
          </w:p>
        </w:tc>
        <w:tc>
          <w:tcPr>
            <w:tcW w:w="0" w:type="dxa"/>
            <w:vAlign w:val="bottom"/>
          </w:tcPr>
          <w:p>
            <w:pPr>
              <w:spacing w:after="0"/>
              <w:rPr>
                <w:sz w:val="1"/>
                <w:szCs w:val="1"/>
                <w:color w:val="auto"/>
              </w:rPr>
            </w:pPr>
          </w:p>
        </w:tc>
      </w:tr>
      <w:tr>
        <w:trPr>
          <w:trHeight w:val="145"/>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Entity</w:t>
            </w:r>
          </w:p>
        </w:tc>
        <w:tc>
          <w:tcPr>
            <w:tcW w:w="3240" w:type="dxa"/>
            <w:vAlign w:val="bottom"/>
            <w:vMerge w:val="restart"/>
          </w:tcPr>
          <w:p>
            <w:pPr>
              <w:spacing w:after="0"/>
              <w:rPr>
                <w:sz w:val="12"/>
                <w:szCs w:val="12"/>
                <w:color w:val="auto"/>
              </w:rPr>
            </w:pPr>
          </w:p>
        </w:tc>
        <w:tc>
          <w:tcPr>
            <w:tcW w:w="24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Opinion</w:t>
            </w:r>
          </w:p>
        </w:tc>
        <w:tc>
          <w:tcPr>
            <w:tcW w:w="1120" w:type="dxa"/>
            <w:vAlign w:val="bottom"/>
            <w:gridSpan w:val="2"/>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7"/>
              </w:rPr>
              <w:t>Opinion</w:t>
            </w:r>
          </w:p>
        </w:tc>
        <w:tc>
          <w:tcPr>
            <w:tcW w:w="6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3800" w:type="dxa"/>
            <w:vAlign w:val="bottom"/>
            <w:gridSpan w:val="3"/>
          </w:tcPr>
          <w:p>
            <w:pPr>
              <w:jc w:val="right"/>
              <w:ind w:right="620"/>
              <w:spacing w:after="0" w:line="156"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Parties</w:t>
            </w:r>
          </w:p>
        </w:tc>
        <w:tc>
          <w:tcPr>
            <w:tcW w:w="620" w:type="dxa"/>
            <w:vAlign w:val="bottom"/>
          </w:tcPr>
          <w:p>
            <w:pPr>
              <w:spacing w:after="0"/>
              <w:rPr>
                <w:sz w:val="15"/>
                <w:szCs w:val="15"/>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5"/>
              </w:rPr>
              <w:t>Party</w:t>
            </w:r>
          </w:p>
        </w:tc>
        <w:tc>
          <w:tcPr>
            <w:tcW w:w="1620" w:type="dxa"/>
            <w:vAlign w:val="bottom"/>
            <w:gridSpan w:val="5"/>
          </w:tcPr>
          <w:p>
            <w:pPr>
              <w:jc w:val="right"/>
              <w:ind w:right="60"/>
              <w:spacing w:after="0" w:line="156" w:lineRule="exact"/>
              <w:rPr>
                <w:sz w:val="20"/>
                <w:szCs w:val="20"/>
                <w:color w:val="auto"/>
              </w:rPr>
            </w:pPr>
            <w:r>
              <w:rPr>
                <w:rFonts w:ascii="Times New Roman" w:cs="Times New Roman" w:eastAsia="Times New Roman" w:hAnsi="Times New Roman"/>
                <w:sz w:val="14"/>
                <w:szCs w:val="14"/>
                <w:b w:val="1"/>
                <w:bCs w:val="1"/>
                <w:color w:val="auto"/>
              </w:rPr>
              <w:t>Opinion Parties</w:t>
            </w:r>
          </w:p>
        </w:tc>
        <w:tc>
          <w:tcPr>
            <w:tcW w:w="0" w:type="dxa"/>
            <w:vAlign w:val="bottom"/>
          </w:tcPr>
          <w:p>
            <w:pPr>
              <w:spacing w:after="0"/>
              <w:rPr>
                <w:sz w:val="1"/>
                <w:szCs w:val="1"/>
                <w:color w:val="auto"/>
              </w:rPr>
            </w:pPr>
          </w:p>
        </w:tc>
      </w:tr>
      <w:tr>
        <w:trPr>
          <w:trHeight w:val="197"/>
        </w:trPr>
        <w:tc>
          <w:tcPr>
            <w:tcW w:w="36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Behavioral Acquisition Corp.</w:t>
            </w:r>
          </w:p>
        </w:tc>
        <w:tc>
          <w:tcPr>
            <w:tcW w:w="2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Behavioral Holding Corp.</w:t>
            </w:r>
          </w:p>
        </w:tc>
        <w:tc>
          <w:tcPr>
            <w:tcW w:w="24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 Mobile Breath, Inc.</w:t>
            </w:r>
          </w:p>
        </w:tc>
        <w:tc>
          <w:tcPr>
            <w:tcW w:w="2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BII Holding Corporation</w:t>
            </w:r>
          </w:p>
        </w:tc>
        <w:tc>
          <w:tcPr>
            <w:tcW w:w="24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BII Holding I Corporation</w:t>
            </w:r>
          </w:p>
        </w:tc>
        <w:tc>
          <w:tcPr>
            <w:tcW w:w="2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 Real Estate Holdings, LLC</w:t>
            </w:r>
          </w:p>
        </w:tc>
        <w:tc>
          <w:tcPr>
            <w:tcW w:w="24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CCMAS, LLC</w:t>
            </w:r>
          </w:p>
        </w:tc>
        <w:tc>
          <w:tcPr>
            <w:tcW w:w="2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 Intermediate Holdings LLC</w:t>
            </w:r>
          </w:p>
        </w:tc>
        <w:tc>
          <w:tcPr>
            <w:tcW w:w="24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CEC Parent Holdings LLC</w:t>
            </w:r>
          </w:p>
        </w:tc>
        <w:tc>
          <w:tcPr>
            <w:tcW w:w="2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CiviGenics, Inc.</w:t>
            </w:r>
          </w:p>
        </w:tc>
        <w:tc>
          <w:tcPr>
            <w:tcW w:w="24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CiviGenics Management Services, LLC</w:t>
            </w:r>
          </w:p>
        </w:tc>
        <w:tc>
          <w:tcPr>
            <w:tcW w:w="2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CiviGenics-Texas, Inc.</w:t>
            </w:r>
          </w:p>
        </w:tc>
        <w:tc>
          <w:tcPr>
            <w:tcW w:w="24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1"/>
              </w:rPr>
              <w:t>X</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Clearstream Development LLC</w:t>
            </w:r>
          </w:p>
        </w:tc>
        <w:tc>
          <w:tcPr>
            <w:tcW w:w="2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Education Centers, Inc.</w:t>
            </w:r>
          </w:p>
        </w:tc>
        <w:tc>
          <w:tcPr>
            <w:tcW w:w="24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Cornell Companies, Inc.</w:t>
            </w:r>
          </w:p>
        </w:tc>
        <w:tc>
          <w:tcPr>
            <w:tcW w:w="2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48"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11" w:name="page212"/>
    <w:bookmarkEnd w:id="211"/>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6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Texas</w:t>
            </w:r>
          </w:p>
        </w:tc>
        <w:tc>
          <w:tcPr>
            <w:tcW w:w="600" w:type="dxa"/>
            <w:vAlign w:val="bottom"/>
          </w:tcPr>
          <w:p>
            <w:pPr>
              <w:spacing w:after="0"/>
              <w:rPr>
                <w:sz w:val="13"/>
                <w:szCs w:val="13"/>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Massachusetts</w:t>
            </w:r>
          </w:p>
        </w:tc>
        <w:tc>
          <w:tcPr>
            <w:tcW w:w="0" w:type="dxa"/>
            <w:vAlign w:val="bottom"/>
          </w:tcPr>
          <w:p>
            <w:pPr>
              <w:spacing w:after="0"/>
              <w:rPr>
                <w:sz w:val="1"/>
                <w:szCs w:val="1"/>
                <w:color w:val="auto"/>
              </w:rPr>
            </w:pPr>
          </w:p>
        </w:tc>
      </w:tr>
      <w:tr>
        <w:trPr>
          <w:trHeight w:val="145"/>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Entity</w:t>
            </w:r>
          </w:p>
        </w:tc>
        <w:tc>
          <w:tcPr>
            <w:tcW w:w="4240" w:type="dxa"/>
            <w:vAlign w:val="bottom"/>
            <w:vMerge w:val="restart"/>
          </w:tcPr>
          <w:p>
            <w:pPr>
              <w:spacing w:after="0"/>
              <w:rPr>
                <w:sz w:val="12"/>
                <w:szCs w:val="12"/>
                <w:color w:val="auto"/>
              </w:rPr>
            </w:pPr>
          </w:p>
        </w:tc>
        <w:tc>
          <w:tcPr>
            <w:tcW w:w="15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Opinion</w:t>
            </w:r>
          </w:p>
        </w:tc>
        <w:tc>
          <w:tcPr>
            <w:tcW w:w="1100" w:type="dxa"/>
            <w:vAlign w:val="bottom"/>
            <w:gridSpan w:val="2"/>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rPr>
              <w:t>Opinion</w:t>
            </w:r>
          </w:p>
        </w:tc>
        <w:tc>
          <w:tcPr>
            <w:tcW w:w="6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2840" w:type="dxa"/>
            <w:vAlign w:val="bottom"/>
            <w:gridSpan w:val="3"/>
          </w:tcPr>
          <w:p>
            <w:pPr>
              <w:jc w:val="right"/>
              <w:ind w:right="620"/>
              <w:spacing w:after="0" w:line="156"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Parties</w:t>
            </w:r>
          </w:p>
        </w:tc>
        <w:tc>
          <w:tcPr>
            <w:tcW w:w="600" w:type="dxa"/>
            <w:vAlign w:val="bottom"/>
          </w:tcPr>
          <w:p>
            <w:pPr>
              <w:spacing w:after="0"/>
              <w:rPr>
                <w:sz w:val="15"/>
                <w:szCs w:val="15"/>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Party</w:t>
            </w:r>
          </w:p>
        </w:tc>
        <w:tc>
          <w:tcPr>
            <w:tcW w:w="1600" w:type="dxa"/>
            <w:vAlign w:val="bottom"/>
            <w:gridSpan w:val="3"/>
          </w:tcPr>
          <w:p>
            <w:pPr>
              <w:jc w:val="center"/>
              <w:ind w:left="470"/>
              <w:spacing w:after="0" w:line="156" w:lineRule="exact"/>
              <w:rPr>
                <w:sz w:val="20"/>
                <w:szCs w:val="20"/>
                <w:color w:val="auto"/>
              </w:rPr>
            </w:pPr>
            <w:r>
              <w:rPr>
                <w:rFonts w:ascii="Times New Roman" w:cs="Times New Roman" w:eastAsia="Times New Roman" w:hAnsi="Times New Roman"/>
                <w:sz w:val="14"/>
                <w:szCs w:val="14"/>
                <w:b w:val="1"/>
                <w:bCs w:val="1"/>
                <w:color w:val="auto"/>
                <w:w w:val="99"/>
              </w:rPr>
              <w:t>Opinion Parties</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Cornell Corrections Management, LLC</w:t>
            </w:r>
          </w:p>
        </w:tc>
        <w:tc>
          <w:tcPr>
            <w:tcW w:w="1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Cornell Corrections of Rhode Island, Inc.</w:t>
            </w:r>
          </w:p>
        </w:tc>
        <w:tc>
          <w:tcPr>
            <w:tcW w:w="1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Cornell Corrections of Texas, Inc.</w:t>
            </w:r>
          </w:p>
        </w:tc>
        <w:tc>
          <w:tcPr>
            <w:tcW w:w="1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Correctional Properties Prison Finance LLC</w:t>
            </w:r>
          </w:p>
        </w:tc>
        <w:tc>
          <w:tcPr>
            <w:tcW w:w="1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Correctional Properties, LLC</w:t>
            </w:r>
          </w:p>
        </w:tc>
        <w:tc>
          <w:tcPr>
            <w:tcW w:w="1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Correctional Services Corporation LLC</w:t>
            </w:r>
          </w:p>
        </w:tc>
        <w:tc>
          <w:tcPr>
            <w:tcW w:w="1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Correctional Systems, LLC</w:t>
            </w:r>
          </w:p>
        </w:tc>
        <w:tc>
          <w:tcPr>
            <w:tcW w:w="1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CPT Limited Partner, LLC</w:t>
            </w:r>
          </w:p>
        </w:tc>
        <w:tc>
          <w:tcPr>
            <w:tcW w:w="1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CPT Operating Partnership L.P.</w:t>
            </w:r>
          </w:p>
        </w:tc>
        <w:tc>
          <w:tcPr>
            <w:tcW w:w="1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Acquisition II, Inc.</w:t>
            </w:r>
          </w:p>
        </w:tc>
        <w:tc>
          <w:tcPr>
            <w:tcW w:w="1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Care LLC</w:t>
            </w:r>
          </w:p>
        </w:tc>
        <w:tc>
          <w:tcPr>
            <w:tcW w:w="1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CC3 Inc.</w:t>
            </w:r>
          </w:p>
        </w:tc>
        <w:tc>
          <w:tcPr>
            <w:tcW w:w="1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CPM, Inc.</w:t>
            </w:r>
          </w:p>
        </w:tc>
        <w:tc>
          <w:tcPr>
            <w:tcW w:w="1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Management Services, Inc.</w:t>
            </w:r>
          </w:p>
        </w:tc>
        <w:tc>
          <w:tcPr>
            <w:tcW w:w="1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Holdings I, Inc.</w:t>
            </w:r>
          </w:p>
        </w:tc>
        <w:tc>
          <w:tcPr>
            <w:tcW w:w="1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International Services, Inc.</w:t>
            </w:r>
          </w:p>
        </w:tc>
        <w:tc>
          <w:tcPr>
            <w:tcW w:w="1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MCF LP, LLC</w:t>
            </w:r>
          </w:p>
        </w:tc>
        <w:tc>
          <w:tcPr>
            <w:tcW w:w="1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43"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12" w:name="page213"/>
    <w:bookmarkEnd w:id="212"/>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6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Texas</w:t>
            </w:r>
          </w:p>
        </w:tc>
        <w:tc>
          <w:tcPr>
            <w:tcW w:w="60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Massachusetts</w:t>
            </w:r>
          </w:p>
        </w:tc>
        <w:tc>
          <w:tcPr>
            <w:tcW w:w="0" w:type="dxa"/>
            <w:vAlign w:val="bottom"/>
          </w:tcPr>
          <w:p>
            <w:pPr>
              <w:spacing w:after="0"/>
              <w:rPr>
                <w:sz w:val="1"/>
                <w:szCs w:val="1"/>
                <w:color w:val="auto"/>
              </w:rPr>
            </w:pPr>
          </w:p>
        </w:tc>
      </w:tr>
      <w:tr>
        <w:trPr>
          <w:trHeight w:val="145"/>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Entity</w:t>
            </w:r>
          </w:p>
        </w:tc>
        <w:tc>
          <w:tcPr>
            <w:tcW w:w="44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Opinion</w:t>
            </w:r>
          </w:p>
        </w:tc>
        <w:tc>
          <w:tcPr>
            <w:tcW w:w="1100" w:type="dxa"/>
            <w:vAlign w:val="bottom"/>
            <w:gridSpan w:val="2"/>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rPr>
              <w:t>Opinion</w:t>
            </w:r>
          </w:p>
        </w:tc>
        <w:tc>
          <w:tcPr>
            <w:tcW w:w="6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2660" w:type="dxa"/>
            <w:vAlign w:val="bottom"/>
            <w:gridSpan w:val="3"/>
          </w:tcPr>
          <w:p>
            <w:pPr>
              <w:jc w:val="right"/>
              <w:ind w:right="620"/>
              <w:spacing w:after="0" w:line="156"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Parties</w:t>
            </w:r>
          </w:p>
        </w:tc>
        <w:tc>
          <w:tcPr>
            <w:tcW w:w="600" w:type="dxa"/>
            <w:vAlign w:val="bottom"/>
          </w:tcPr>
          <w:p>
            <w:pPr>
              <w:spacing w:after="0"/>
              <w:rPr>
                <w:sz w:val="15"/>
                <w:szCs w:val="15"/>
                <w:color w:val="auto"/>
              </w:rPr>
            </w:pPr>
          </w:p>
        </w:tc>
        <w:tc>
          <w:tcPr>
            <w:tcW w:w="5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Party</w:t>
            </w:r>
          </w:p>
        </w:tc>
        <w:tc>
          <w:tcPr>
            <w:tcW w:w="1600" w:type="dxa"/>
            <w:vAlign w:val="bottom"/>
            <w:gridSpan w:val="3"/>
          </w:tcPr>
          <w:p>
            <w:pPr>
              <w:jc w:val="right"/>
              <w:ind w:right="60"/>
              <w:spacing w:after="0" w:line="156" w:lineRule="exact"/>
              <w:rPr>
                <w:sz w:val="20"/>
                <w:szCs w:val="20"/>
                <w:color w:val="auto"/>
              </w:rPr>
            </w:pPr>
            <w:r>
              <w:rPr>
                <w:rFonts w:ascii="Times New Roman" w:cs="Times New Roman" w:eastAsia="Times New Roman" w:hAnsi="Times New Roman"/>
                <w:sz w:val="14"/>
                <w:szCs w:val="14"/>
                <w:b w:val="1"/>
                <w:bCs w:val="1"/>
                <w:color w:val="auto"/>
              </w:rPr>
              <w:t>Opinion Parties</w:t>
            </w: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GEO RE Holdings LLC</w:t>
            </w:r>
          </w:p>
        </w:tc>
        <w:tc>
          <w:tcPr>
            <w:tcW w:w="1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Reentry, Inc.</w:t>
            </w:r>
          </w:p>
        </w:tc>
        <w:tc>
          <w:tcPr>
            <w:tcW w:w="13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GEO/DEL/R/02, Inc.</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GEO/DEL/T/02, Inc.</w:t>
            </w:r>
          </w:p>
        </w:tc>
        <w:tc>
          <w:tcPr>
            <w:tcW w:w="13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Highpoint Investments LLC</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MCF GP, LLC</w:t>
            </w:r>
          </w:p>
        </w:tc>
        <w:tc>
          <w:tcPr>
            <w:tcW w:w="13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Corrections Finance, L.P.</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Properties Development and Leasing LLC</w:t>
            </w:r>
          </w:p>
        </w:tc>
        <w:tc>
          <w:tcPr>
            <w:tcW w:w="134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 Inc.</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8"/>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WBP Leasing, LLC</w:t>
            </w:r>
          </w:p>
        </w:tc>
        <w:tc>
          <w:tcPr>
            <w:tcW w:w="134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43"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p>
    <w:bookmarkStart w:id="213" w:name="page214"/>
    <w:bookmarkEnd w:id="213"/>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120" w:type="dxa"/>
            <w:vAlign w:val="bottom"/>
            <w:gridSpan w:val="4"/>
          </w:tcPr>
          <w:p>
            <w:pPr>
              <w:jc w:val="center"/>
              <w:ind w:left="6158"/>
              <w:spacing w:after="0"/>
              <w:rPr>
                <w:sz w:val="20"/>
                <w:szCs w:val="20"/>
                <w:color w:val="auto"/>
              </w:rPr>
            </w:pPr>
            <w:r>
              <w:rPr>
                <w:rFonts w:ascii="Times New Roman" w:cs="Times New Roman" w:eastAsia="Times New Roman" w:hAnsi="Times New Roman"/>
                <w:sz w:val="18"/>
                <w:szCs w:val="18"/>
                <w:b w:val="1"/>
                <w:bCs w:val="1"/>
                <w:color w:val="auto"/>
                <w:w w:val="95"/>
              </w:rPr>
              <w:t>Schedule II</w:t>
            </w:r>
          </w:p>
        </w:tc>
        <w:tc>
          <w:tcPr>
            <w:tcW w:w="0" w:type="dxa"/>
            <w:vAlign w:val="bottom"/>
          </w:tcPr>
          <w:p>
            <w:pPr>
              <w:spacing w:after="0"/>
              <w:rPr>
                <w:sz w:val="1"/>
                <w:szCs w:val="1"/>
                <w:color w:val="auto"/>
              </w:rPr>
            </w:pPr>
          </w:p>
        </w:tc>
      </w:tr>
      <w:tr>
        <w:trPr>
          <w:trHeight w:val="650"/>
        </w:trPr>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Non-Covered Opinion Parties</w:t>
            </w:r>
          </w:p>
        </w:tc>
        <w:tc>
          <w:tcPr>
            <w:tcW w:w="840" w:type="dxa"/>
            <w:vAlign w:val="bottom"/>
            <w:tcBorders>
              <w:top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Entity</w:t>
            </w:r>
          </w:p>
        </w:tc>
        <w:tc>
          <w:tcPr>
            <w:tcW w:w="3240" w:type="dxa"/>
            <w:vAlign w:val="bottom"/>
            <w:vMerge w:val="restart"/>
          </w:tcPr>
          <w:p>
            <w:pPr>
              <w:spacing w:after="0"/>
              <w:rPr>
                <w:sz w:val="24"/>
                <w:szCs w:val="24"/>
                <w:color w:val="auto"/>
              </w:rPr>
            </w:pPr>
          </w:p>
        </w:tc>
        <w:tc>
          <w:tcPr>
            <w:tcW w:w="71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Non-Covered</w:t>
            </w: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6260" w:type="dxa"/>
            <w:vAlign w:val="bottom"/>
          </w:tcPr>
          <w:p>
            <w:pPr>
              <w:spacing w:after="0"/>
              <w:rPr>
                <w:sz w:val="15"/>
                <w:szCs w:val="15"/>
                <w:color w:val="auto"/>
              </w:rPr>
            </w:pPr>
          </w:p>
        </w:tc>
        <w:tc>
          <w:tcPr>
            <w:tcW w:w="86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Guarantors</w:t>
            </w:r>
          </w:p>
        </w:tc>
        <w:tc>
          <w:tcPr>
            <w:tcW w:w="0" w:type="dxa"/>
            <w:vAlign w:val="bottom"/>
          </w:tcPr>
          <w:p>
            <w:pPr>
              <w:spacing w:after="0"/>
              <w:rPr>
                <w:sz w:val="1"/>
                <w:szCs w:val="1"/>
                <w:color w:val="auto"/>
              </w:rPr>
            </w:pPr>
          </w:p>
        </w:tc>
      </w:tr>
      <w:tr>
        <w:trPr>
          <w:trHeight w:val="197"/>
        </w:trPr>
        <w:tc>
          <w:tcPr>
            <w:tcW w:w="36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ADAPPT, LLC</w:t>
            </w:r>
          </w:p>
        </w:tc>
        <w:tc>
          <w:tcPr>
            <w:tcW w:w="6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X</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Arapahoe County Residential Center, LLC</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 Incorporated</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Wyoming Properties, LLC</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CEC Staffing Solutions, LLC</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Alternatives</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Corrections, LLC</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Fenton Security, LLC</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Secure Services, LLC</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Corrections Holdings, Inc.</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Leasing, LLC</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Operations, Inc.</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Reentry of Alaska, Inc.</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 Reentry Services, LLC</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 Transport, Inc.</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Minsec Companies, LLC</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Minsec Treatment, LLC</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Protocol Criminal Justice, Inc.</w:t>
            </w:r>
          </w:p>
        </w:tc>
        <w:tc>
          <w:tcPr>
            <w:tcW w:w="626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GEO Group, Inc.</w:t>
            </w:r>
          </w:p>
        </w:tc>
        <w:tc>
          <w:tcPr>
            <w:tcW w:w="6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48"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76655" cy="3003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6">
                      <a:extLst>
                        <a:ext uri="{28A0092B-C50C-407E-A947-70E740481C1C}"/>
                      </a:extLst>
                    </a:blip>
                    <a:srcRect/>
                    <a:stretch>
                      <a:fillRect/>
                    </a:stretch>
                  </pic:blipFill>
                  <pic:spPr bwMode="auto">
                    <a:xfrm>
                      <a:off x="0" y="0"/>
                      <a:ext cx="11766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The GEO Group, Inc. Registration Statement on Form S-4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4" w:lineRule="exact"/>
        <w:rPr>
          <w:sz w:val="20"/>
          <w:szCs w:val="20"/>
          <w:color w:val="auto"/>
        </w:rPr>
      </w:pPr>
    </w:p>
    <w:p>
      <w:pPr>
        <w:ind w:right="60" w:firstLine="429"/>
        <w:spacing w:after="0" w:line="278" w:lineRule="auto"/>
        <w:rPr>
          <w:sz w:val="20"/>
          <w:szCs w:val="20"/>
          <w:color w:val="auto"/>
        </w:rPr>
      </w:pPr>
      <w:r>
        <w:rPr>
          <w:rFonts w:ascii="Times New Roman" w:cs="Times New Roman" w:eastAsia="Times New Roman" w:hAnsi="Times New Roman"/>
          <w:sz w:val="16"/>
          <w:szCs w:val="16"/>
          <w:color w:val="auto"/>
        </w:rPr>
        <w:t>We have acted as Florida counsel to The GEO Group, Inc. (the “Company”) and GEO Corrections Holdings, Inc., GEO Leasing, LLC, GEO Operations, Inc., GEO Reentry Services, LLC, GEO Secure Services, LLC, GEO Transport, Inc. and Protocol Criminal Justice, Inc. (collectively, the “Florida Subsidiaries”), and we have acted as Colorado counsel to Arapahoe County Residential Center, LLC, B.I. Incorporated and Community Corrections, LLC (collectively, the “Colorado Subsidiaries”) in connection with the Registration Statement on Form S-4 filed by the Company and the subsidiaries named in the Registration Statement with the Securities and Exchange Commission (the “Commission”) pursuant to the Securities Act of 1933, as amended (the “Securities Act”), and Amendment No. 1 thereto dated August 15, 2022 (such registration statement, as so amended, being hereinafter referred to as the “Registration Statement”). The Registration Statement, including the prospectus which forms a part of the Registration Statement (the “Prospectus”), relates to the issuance of up to $484,568,000 aggregate principal amount of the Company’s 10.500% Senior Second Lien Secured Notes due 2028 (the “New Notes”) and the full and unconditional guarantees as to the payment of principal and interest on the New Notes (the “New Guarantees”) by each of the subsidiary guarantors listed in the Registration Statement (the “Subsidiary Guarantors”) in exchange (the “Exchange Offers”) for any and all validly tendered 5.125% Senior Notes due April 1, 2023 and the 5.875% Senior Notes due October 15, 2024 (collectively, the “Old Notes”) and the related solicitations of consents to certain proposed amendments to the indentures governing the Old Notes, in each case, upon the terms and subject to the conditions set forth in the Prospectus. The New Notes and the New Guarantees will be registered under the Securities Act as set forth in the Registration Statement and will be issued upon consummation of the Exchange Offers and Consent Solicitations and the satisfaction or waiver of the conditions described in the Registration Statement pursuant to an indenture to be entered into among the Company, the Subsidiary Guarantors and Ankura Trust Company, LLC, as trustee and collateral agent (the “New Notes Indenture”).</w:t>
      </w:r>
    </w:p>
    <w:p>
      <w:pPr>
        <w:spacing w:after="0" w:line="378" w:lineRule="exact"/>
        <w:rPr>
          <w:sz w:val="20"/>
          <w:szCs w:val="20"/>
          <w:color w:val="auto"/>
        </w:rPr>
      </w:pPr>
    </w:p>
    <w:p>
      <w:pPr>
        <w:jc w:val="both"/>
        <w:ind w:right="340" w:firstLine="429"/>
        <w:spacing w:after="0" w:line="256"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 This opinion letter is limited to the matters expressly stated herein and no opinions are to be inferred or may be implied beyond the opinions expressly so stated.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akerman.com</w:t>
      </w:r>
    </w:p>
    <w:p>
      <w:pPr>
        <w:sectPr>
          <w:pgSz w:w="11900" w:h="16838" w:orient="portrait"/>
          <w:cols w:equalWidth="0" w:num="1">
            <w:col w:w="10720"/>
          </w:cols>
          <w:pgMar w:left="580" w:top="119" w:right="5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August 15,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1473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1473835" cy="8255"/>
                    </a:xfrm>
                    <a:prstGeom prst="rect">
                      <a:avLst/>
                    </a:prstGeom>
                    <a:noFill/>
                  </pic:spPr>
                </pic:pic>
              </a:graphicData>
            </a:graphic>
          </wp:anchor>
        </w:drawing>
      </w:r>
    </w:p>
    <w:p>
      <w:pPr>
        <w:spacing w:after="0" w:line="3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this opinion, we have examined copies of the following documents:</w:t>
      </w:r>
    </w:p>
    <w:p>
      <w:pPr>
        <w:spacing w:after="0" w:line="122" w:lineRule="exact"/>
        <w:rPr>
          <w:sz w:val="20"/>
          <w:szCs w:val="20"/>
          <w:color w:val="auto"/>
        </w:rPr>
      </w:pPr>
    </w:p>
    <w:p>
      <w:pPr>
        <w:ind w:left="940" w:hanging="518"/>
        <w:spacing w:after="0"/>
        <w:tabs>
          <w:tab w:leader="none" w:pos="9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dealer manager agreement among the Company, the Subsidiary Guarantors and Lazard Frères &amp; Co. LLC;</w:t>
      </w:r>
    </w:p>
    <w:p>
      <w:pPr>
        <w:spacing w:after="0" w:line="121" w:lineRule="exact"/>
        <w:rPr>
          <w:rFonts w:ascii="Times New Roman" w:cs="Times New Roman" w:eastAsia="Times New Roman" w:hAnsi="Times New Roman"/>
          <w:sz w:val="18"/>
          <w:szCs w:val="18"/>
          <w:color w:val="auto"/>
        </w:rPr>
      </w:pPr>
    </w:p>
    <w:p>
      <w:pPr>
        <w:ind w:left="940" w:right="220" w:hanging="518"/>
        <w:spacing w:after="0" w:line="268" w:lineRule="auto"/>
        <w:tabs>
          <w:tab w:leader="none" w:pos="9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New Notes Indenture, including the form of New Guarantees, to be entered into by the Company, the Subsidiary Guarantors and the Trustee (the “Indenture”)</w:t>
      </w:r>
    </w:p>
    <w:p>
      <w:pPr>
        <w:spacing w:after="0" w:line="76"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New Notes;</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of the Company, the Florida Subsidiaries and the Colorado Subsidiaries, as presently in effect;</w:t>
      </w:r>
    </w:p>
    <w:p>
      <w:pPr>
        <w:spacing w:after="0" w:line="121" w:lineRule="exact"/>
        <w:rPr>
          <w:rFonts w:ascii="Times New Roman" w:cs="Times New Roman" w:eastAsia="Times New Roman" w:hAnsi="Times New Roman"/>
          <w:sz w:val="18"/>
          <w:szCs w:val="18"/>
          <w:color w:val="auto"/>
        </w:rPr>
      </w:pPr>
    </w:p>
    <w:p>
      <w:pPr>
        <w:ind w:left="940" w:right="80" w:hanging="518"/>
        <w:spacing w:after="0" w:line="331" w:lineRule="auto"/>
        <w:tabs>
          <w:tab w:leader="none" w:pos="9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resolutions adopted by the board of directors of the Company and the board of directors, manager or members as applicable, of the Florida Subsidiaries and the Colorado Subsidiaries relating to the Exchange Offers, the Registration Statement and related matters; and</w:t>
      </w:r>
    </w:p>
    <w:p>
      <w:pPr>
        <w:spacing w:after="0" w:line="31" w:lineRule="exact"/>
        <w:rPr>
          <w:rFonts w:ascii="Times New Roman" w:cs="Times New Roman" w:eastAsia="Times New Roman" w:hAnsi="Times New Roman"/>
          <w:sz w:val="16"/>
          <w:szCs w:val="16"/>
          <w:color w:val="auto"/>
        </w:rPr>
      </w:pPr>
    </w:p>
    <w:p>
      <w:pPr>
        <w:ind w:left="940" w:right="160" w:hanging="518"/>
        <w:spacing w:after="0" w:line="256" w:lineRule="auto"/>
        <w:tabs>
          <w:tab w:leader="none" w:pos="9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good standing with respect to each of the Company and the Florida Subsidiaries issued by the Secretary of State of the State of Florida and certificates of good standing with respect to each of the Colorado Subsidiaries issued by the Secretary of State of the State of Colorado (collectively, the “Good Standing Certificate”).</w:t>
      </w:r>
    </w:p>
    <w:p>
      <w:pPr>
        <w:spacing w:after="0" w:line="179" w:lineRule="exact"/>
        <w:rPr>
          <w:sz w:val="20"/>
          <w:szCs w:val="20"/>
          <w:color w:val="auto"/>
        </w:rPr>
      </w:pPr>
    </w:p>
    <w:p>
      <w:pPr>
        <w:ind w:right="240" w:firstLine="429"/>
        <w:spacing w:after="0" w:line="252" w:lineRule="auto"/>
        <w:rPr>
          <w:sz w:val="20"/>
          <w:szCs w:val="20"/>
          <w:color w:val="auto"/>
        </w:rPr>
      </w:pPr>
      <w:r>
        <w:rPr>
          <w:rFonts w:ascii="Times New Roman" w:cs="Times New Roman" w:eastAsia="Times New Roman" w:hAnsi="Times New Roman"/>
          <w:sz w:val="18"/>
          <w:szCs w:val="18"/>
          <w:color w:val="auto"/>
        </w:rPr>
        <w:t>We have also examined the originals or copies, certified or otherwise identified to our satisfaction, of such records of the Company, the Florida Subsidiaries and the Colorado Subsidiaries, such agreements, certificates of public officials, certificates of officers or other representatives of the Company, the Florida Subsidiaries, the Colorado Subsidiaries and others, and such other documents, certificates and records as we have deemed necessary or appropriate to form the basis for the opinions set forth herein.</w:t>
      </w:r>
    </w:p>
    <w:p>
      <w:pPr>
        <w:spacing w:after="0" w:line="182" w:lineRule="exact"/>
        <w:rPr>
          <w:sz w:val="20"/>
          <w:szCs w:val="20"/>
          <w:color w:val="auto"/>
        </w:rPr>
      </w:pPr>
    </w:p>
    <w:p>
      <w:pPr>
        <w:ind w:firstLine="429"/>
        <w:spacing w:after="0" w:line="283" w:lineRule="auto"/>
        <w:rPr>
          <w:sz w:val="20"/>
          <w:szCs w:val="20"/>
          <w:color w:val="auto"/>
        </w:rPr>
      </w:pPr>
      <w:r>
        <w:rPr>
          <w:rFonts w:ascii="Times New Roman" w:cs="Times New Roman" w:eastAsia="Times New Roman" w:hAnsi="Times New Roman"/>
          <w:sz w:val="16"/>
          <w:szCs w:val="16"/>
          <w:color w:val="auto"/>
        </w:rPr>
        <w:t>In rendering the opinions set forth herein, we have relied, without investigation, on each of the following assumptions: (a) the legal capacity of each natural person to take all actions required of each such person in connection with the Exchange Offers; (b) the genuineness of each signature, the completeness of each document submitted to us, the authenticity of each document reviewed by us as an original, the conformity to the original of each document reviewed by us as a copy and the authenticity of the original of each document received by us as a copy; (c) the legal existence of each entity that will be a party to the Indenture (which includes the New Guarantees) and the New Notes other than the Company, the Florida Subsidiaries and the Colorado Subsidiaries; (d) the entity power of each entity that will be a party to the Indenture (which includes the New Guarantees) and the New Notes (other than the Company, the Florida Subsidiaries and the Colorado Subsidiaries) to execute, deliver and perform the Indenture (which includes the New</w:t>
      </w:r>
    </w:p>
    <w:p>
      <w:pPr>
        <w:sectPr>
          <w:pgSz w:w="11900" w:h="16838" w:orient="portrait"/>
          <w:cols w:equalWidth="0" w:num="1">
            <w:col w:w="10700"/>
          </w:cols>
          <w:pgMar w:left="580" w:top="266" w:right="6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August 15,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1473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0">
                      <a:extLst>
                        <a:ext uri="{28A0092B-C50C-407E-A947-70E740481C1C}"/>
                      </a:extLst>
                    </a:blip>
                    <a:srcRect/>
                    <a:stretch>
                      <a:fillRect/>
                    </a:stretch>
                  </pic:blipFill>
                  <pic:spPr bwMode="auto">
                    <a:xfrm>
                      <a:off x="0" y="0"/>
                      <a:ext cx="1473835" cy="8255"/>
                    </a:xfrm>
                    <a:prstGeom prst="rect">
                      <a:avLst/>
                    </a:prstGeom>
                    <a:noFill/>
                  </pic:spPr>
                </pic:pic>
              </a:graphicData>
            </a:graphic>
          </wp:anchor>
        </w:drawing>
      </w:r>
    </w:p>
    <w:p>
      <w:pPr>
        <w:spacing w:after="0" w:line="32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Guarantees) and the New Notes and to do each other act done or to be done by such party; (e) the authorization of the execution, delivery and performance by each party (other than the Company, the Florida Subsidiaries and the Colorado Subsidiaries) of each document executed and delivered or to be executed and delivered in connection with the Indenture (which includes the New Guarantees) and the New Notes by such party; and (f) as to matters of fact, the truthfulness of the representations made in the Indenture (which includes the New Guarantees) and the New Notes and in the certificates of public officials and officers of the Company.</w:t>
      </w:r>
    </w:p>
    <w:p>
      <w:pPr>
        <w:spacing w:after="0" w:line="188" w:lineRule="exact"/>
        <w:rPr>
          <w:sz w:val="20"/>
          <w:szCs w:val="20"/>
          <w:color w:val="auto"/>
        </w:rPr>
      </w:pPr>
    </w:p>
    <w:p>
      <w:pPr>
        <w:ind w:right="520" w:firstLine="429"/>
        <w:spacing w:after="0" w:line="268" w:lineRule="auto"/>
        <w:rPr>
          <w:sz w:val="20"/>
          <w:szCs w:val="20"/>
          <w:color w:val="auto"/>
        </w:rPr>
      </w:pPr>
      <w:r>
        <w:rPr>
          <w:rFonts w:ascii="Times New Roman" w:cs="Times New Roman" w:eastAsia="Times New Roman" w:hAnsi="Times New Roman"/>
          <w:sz w:val="18"/>
          <w:szCs w:val="18"/>
          <w:color w:val="auto"/>
        </w:rPr>
        <w:t>Our opinion is expressed solely with respect to the laws of the State of Florida and the State of Colorado. We neither express nor imply any opinions with respect to any other laws or the laws of any other jurisdiction or the United States of America.</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Based upon and subject to the foregoing, and subject to the further assumptions and qualifications set forth in this opinion letter, it is our opinion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104" w:lineRule="exact"/>
        <w:rPr>
          <w:sz w:val="20"/>
          <w:szCs w:val="20"/>
          <w:color w:val="auto"/>
        </w:rPr>
      </w:pPr>
    </w:p>
    <w:p>
      <w:pPr>
        <w:ind w:left="940" w:hanging="518"/>
        <w:spacing w:after="0"/>
        <w:tabs>
          <w:tab w:leader="none" w:pos="9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Florida corporation that is validly existing and in good standing under Florida law.</w:t>
      </w:r>
    </w:p>
    <w:p>
      <w:pPr>
        <w:spacing w:after="0" w:line="121" w:lineRule="exact"/>
        <w:rPr>
          <w:rFonts w:ascii="Times New Roman" w:cs="Times New Roman" w:eastAsia="Times New Roman" w:hAnsi="Times New Roman"/>
          <w:sz w:val="18"/>
          <w:szCs w:val="18"/>
          <w:color w:val="auto"/>
        </w:rPr>
      </w:pPr>
    </w:p>
    <w:p>
      <w:pPr>
        <w:ind w:left="940" w:hanging="518"/>
        <w:spacing w:after="0" w:line="331" w:lineRule="auto"/>
        <w:tabs>
          <w:tab w:leader="none" w:pos="9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the Good Standing Certificates, each of the Florida Subsidiaries and Colorado Subsidiaries is a corporation or a limited liability company, as applicable, validly existing and in good standing under the laws of the jurisdiction of their incorporation or formation.</w:t>
      </w:r>
    </w:p>
    <w:p>
      <w:pPr>
        <w:spacing w:after="0" w:line="31" w:lineRule="exact"/>
        <w:rPr>
          <w:rFonts w:ascii="Times New Roman" w:cs="Times New Roman" w:eastAsia="Times New Roman" w:hAnsi="Times New Roman"/>
          <w:sz w:val="16"/>
          <w:szCs w:val="16"/>
          <w:color w:val="auto"/>
        </w:rPr>
      </w:pPr>
    </w:p>
    <w:p>
      <w:pPr>
        <w:ind w:left="940" w:right="240" w:hanging="518"/>
        <w:spacing w:after="0" w:line="268" w:lineRule="auto"/>
        <w:tabs>
          <w:tab w:leader="none" w:pos="9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to execute and deliver the Indenture and the New Notes and to perform its respective obligations thereunder.</w:t>
      </w:r>
    </w:p>
    <w:p>
      <w:pPr>
        <w:spacing w:after="0" w:line="76" w:lineRule="exact"/>
        <w:rPr>
          <w:rFonts w:ascii="Times New Roman" w:cs="Times New Roman" w:eastAsia="Times New Roman" w:hAnsi="Times New Roman"/>
          <w:sz w:val="18"/>
          <w:szCs w:val="18"/>
          <w:color w:val="auto"/>
        </w:rPr>
      </w:pPr>
    </w:p>
    <w:p>
      <w:pPr>
        <w:ind w:left="940" w:right="440" w:hanging="518"/>
        <w:spacing w:after="0" w:line="268" w:lineRule="auto"/>
        <w:tabs>
          <w:tab w:leader="none" w:pos="9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authorized the execution, delivery and performance of the Indenture and the New Notes by all necessary corporate action.</w:t>
      </w:r>
    </w:p>
    <w:p>
      <w:pPr>
        <w:spacing w:after="0" w:line="76" w:lineRule="exact"/>
        <w:rPr>
          <w:rFonts w:ascii="Times New Roman" w:cs="Times New Roman" w:eastAsia="Times New Roman" w:hAnsi="Times New Roman"/>
          <w:sz w:val="18"/>
          <w:szCs w:val="18"/>
          <w:color w:val="auto"/>
        </w:rPr>
      </w:pPr>
    </w:p>
    <w:p>
      <w:pPr>
        <w:ind w:left="940" w:right="200" w:hanging="518"/>
        <w:spacing w:after="0" w:line="268" w:lineRule="auto"/>
        <w:tabs>
          <w:tab w:leader="none" w:pos="9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Florida Subsidiaries and Colorado Subsidiaries has the entity power to execute and deliver the Indenture (which includes the New Guarantees) and to perform its respective obligations thereunder.</w:t>
      </w:r>
    </w:p>
    <w:p>
      <w:pPr>
        <w:spacing w:after="0" w:line="76" w:lineRule="exact"/>
        <w:rPr>
          <w:rFonts w:ascii="Times New Roman" w:cs="Times New Roman" w:eastAsia="Times New Roman" w:hAnsi="Times New Roman"/>
          <w:sz w:val="18"/>
          <w:szCs w:val="18"/>
          <w:color w:val="auto"/>
        </w:rPr>
      </w:pPr>
    </w:p>
    <w:p>
      <w:pPr>
        <w:ind w:left="940" w:hanging="518"/>
        <w:spacing w:after="0" w:line="268" w:lineRule="auto"/>
        <w:tabs>
          <w:tab w:leader="none" w:pos="9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Florida Subsidiaries and Colorado Subsidiaries has authorized the execution, delivery and performance of the Indenture (which includes the New Guarantees) by all necessary entity power.</w:t>
      </w:r>
    </w:p>
    <w:p>
      <w:pPr>
        <w:spacing w:after="0" w:line="169" w:lineRule="exact"/>
        <w:rPr>
          <w:sz w:val="20"/>
          <w:szCs w:val="20"/>
          <w:color w:val="auto"/>
        </w:rPr>
      </w:pPr>
    </w:p>
    <w:p>
      <w:pPr>
        <w:ind w:right="200" w:firstLine="429"/>
        <w:spacing w:after="0" w:line="252" w:lineRule="auto"/>
        <w:rPr>
          <w:sz w:val="20"/>
          <w:szCs w:val="20"/>
          <w:color w:val="auto"/>
        </w:rPr>
      </w:pPr>
      <w:r>
        <w:rPr>
          <w:rFonts w:ascii="Times New Roman" w:cs="Times New Roman" w:eastAsia="Times New Roman" w:hAnsi="Times New Roman"/>
          <w:sz w:val="18"/>
          <w:szCs w:val="18"/>
          <w:color w:val="auto"/>
        </w:rPr>
        <w:t>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 Without limiting the generality of the foregoing, we neither express nor imply any opinion regarding the contents of the Registration Statement or the Prospectus.</w:t>
      </w:r>
    </w:p>
    <w:p>
      <w:pPr>
        <w:spacing w:after="0" w:line="182" w:lineRule="exact"/>
        <w:rPr>
          <w:sz w:val="20"/>
          <w:szCs w:val="20"/>
          <w:color w:val="auto"/>
        </w:rPr>
      </w:pPr>
    </w:p>
    <w:p>
      <w:pPr>
        <w:jc w:val="both"/>
        <w:ind w:right="200" w:firstLine="429"/>
        <w:spacing w:after="0" w:line="256" w:lineRule="auto"/>
        <w:rPr>
          <w:sz w:val="20"/>
          <w:szCs w:val="20"/>
          <w:color w:val="auto"/>
        </w:rPr>
      </w:pPr>
      <w:r>
        <w:rPr>
          <w:rFonts w:ascii="Times New Roman" w:cs="Times New Roman" w:eastAsia="Times New Roman" w:hAnsi="Times New Roman"/>
          <w:sz w:val="18"/>
          <w:szCs w:val="18"/>
          <w:color w:val="auto"/>
        </w:rPr>
        <w:t>This opinion letter is furnished in connection with the filing of the Registration Statement and, except as set forth below, may not be relied upon for any other purpose without our prior written consent in each instance. No portion of this letter may be quoted, circulated or referred to in any other document for any other purpose without our prior written consent.</w:t>
      </w:r>
    </w:p>
    <w:p>
      <w:pPr>
        <w:sectPr>
          <w:pgSz w:w="11900" w:h="16838" w:orient="portrait"/>
          <w:cols w:equalWidth="0" w:num="1">
            <w:col w:w="10720"/>
          </w:cols>
          <w:pgMar w:left="580" w:top="266" w:right="5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August 15,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1473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2">
                      <a:extLst>
                        <a:ext uri="{28A0092B-C50C-407E-A947-70E740481C1C}"/>
                      </a:extLst>
                    </a:blip>
                    <a:srcRect/>
                    <a:stretch>
                      <a:fillRect/>
                    </a:stretch>
                  </pic:blipFill>
                  <pic:spPr bwMode="auto">
                    <a:xfrm>
                      <a:off x="0" y="0"/>
                      <a:ext cx="1473835" cy="8255"/>
                    </a:xfrm>
                    <a:prstGeom prst="rect">
                      <a:avLst/>
                    </a:prstGeom>
                    <a:noFill/>
                  </pic:spPr>
                </pic:pic>
              </a:graphicData>
            </a:graphic>
          </wp:anchor>
        </w:drawing>
      </w:r>
    </w:p>
    <w:p>
      <w:pPr>
        <w:spacing w:after="0" w:line="320" w:lineRule="exact"/>
        <w:rPr>
          <w:sz w:val="20"/>
          <w:szCs w:val="20"/>
          <w:color w:val="auto"/>
        </w:rPr>
      </w:pPr>
    </w:p>
    <w:p>
      <w:pPr>
        <w:ind w:firstLine="429"/>
        <w:spacing w:after="0" w:line="247" w:lineRule="auto"/>
        <w:rPr>
          <w:sz w:val="20"/>
          <w:szCs w:val="20"/>
          <w:color w:val="auto"/>
        </w:rPr>
      </w:pPr>
      <w:r>
        <w:rPr>
          <w:rFonts w:ascii="Times New Roman" w:cs="Times New Roman" w:eastAsia="Times New Roman" w:hAnsi="Times New Roman"/>
          <w:sz w:val="18"/>
          <w:szCs w:val="18"/>
          <w:color w:val="auto"/>
        </w:rPr>
        <w:t>Skadden, Arps, Slate, Meagher &amp; Flom LLP, counsel to the Company and certain Subsidiary Guarantors, related to the matters set forth in the Registration Statement and the Exchange Offers, may rely upon this opinion with respect to matters set forth herein that are governed by Florida law and Colorado law for purposes of its opinion being delivered and filed as an exhibit to the Registration Statement. We hereby consent to the filing of this opinion letter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21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Akerman LLP</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Akerman LLP</w:t>
      </w:r>
    </w:p>
    <w:p>
      <w:pPr>
        <w:sectPr>
          <w:pgSz w:w="11900" w:h="16838" w:orient="portrait"/>
          <w:cols w:equalWidth="0" w:num="1">
            <w:col w:w="10720"/>
          </w:cols>
          <w:pgMar w:left="580" w:top="266" w:right="599" w:bottom="1440" w:gutter="0" w:footer="0" w:header="0"/>
        </w:sectPr>
      </w:pPr>
    </w:p>
    <w:bookmarkStart w:id="218" w:name="page219"/>
    <w:bookmarkEnd w:id="218"/>
    <w:p>
      <w:pPr>
        <w:ind w:left="9900"/>
        <w:spacing w:after="0"/>
        <w:rPr>
          <w:sz w:val="20"/>
          <w:szCs w:val="20"/>
          <w:color w:val="auto"/>
        </w:rPr>
      </w:pPr>
      <w:r>
        <w:rPr>
          <w:rFonts w:ascii="Times New Roman" w:cs="Times New Roman" w:eastAsia="Times New Roman" w:hAnsi="Times New Roman"/>
          <w:sz w:val="16"/>
          <w:szCs w:val="16"/>
          <w:b w:val="1"/>
          <w:bCs w:val="1"/>
          <w:color w:val="auto"/>
        </w:rPr>
        <w:t>Exhibit 5.3</w:t>
      </w:r>
    </w:p>
    <w:p>
      <w:pPr>
        <w:spacing w:after="0" w:line="26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OSELAND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-118110</wp:posOffset>
            </wp:positionV>
            <wp:extent cx="2111375" cy="6508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3">
                      <a:extLst>
                        <a:ext uri="{28A0092B-C50C-407E-A947-70E740481C1C}"/>
                      </a:extLst>
                    </a:blip>
                    <a:srcRect/>
                    <a:stretch>
                      <a:fillRect/>
                    </a:stretch>
                  </pic:blipFill>
                  <pic:spPr bwMode="auto">
                    <a:xfrm>
                      <a:off x="0" y="0"/>
                      <a:ext cx="2111375" cy="65087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4"/>
          <w:szCs w:val="14"/>
          <w:b w:val="1"/>
          <w:bCs w:val="1"/>
          <w:color w:val="auto"/>
        </w:rPr>
        <w:t>LIVINGSTON AVENUE</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SUITE </w:t>
      </w:r>
      <w:r>
        <w:rPr>
          <w:rFonts w:ascii="Times New Roman" w:cs="Times New Roman" w:eastAsia="Times New Roman" w:hAnsi="Times New Roman"/>
          <w:sz w:val="17"/>
          <w:szCs w:val="17"/>
          <w:b w:val="1"/>
          <w:bCs w:val="1"/>
          <w:color w:val="auto"/>
        </w:rPr>
        <w:t>301</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ROSELAND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5"/>
          <w:szCs w:val="15"/>
          <w:b w:val="1"/>
          <w:bCs w:val="1"/>
          <w:color w:val="auto"/>
        </w:rPr>
        <w:t xml:space="preserve"> NJ </w:t>
      </w:r>
      <w:r>
        <w:rPr>
          <w:rFonts w:ascii="Times New Roman" w:cs="Times New Roman" w:eastAsia="Times New Roman" w:hAnsi="Times New Roman"/>
          <w:sz w:val="17"/>
          <w:szCs w:val="17"/>
          <w:b w:val="1"/>
          <w:bCs w:val="1"/>
          <w:color w:val="auto"/>
        </w:rPr>
        <w:t>07068-3701</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(973) 535-1600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FAX </w:t>
      </w:r>
      <w:r>
        <w:rPr>
          <w:rFonts w:ascii="Times New Roman" w:cs="Times New Roman" w:eastAsia="Times New Roman" w:hAnsi="Times New Roman"/>
          <w:sz w:val="17"/>
          <w:szCs w:val="17"/>
          <w:b w:val="1"/>
          <w:bCs w:val="1"/>
          <w:color w:val="auto"/>
        </w:rPr>
        <w:t>(973) 535-1698</w:t>
      </w:r>
    </w:p>
    <w:p>
      <w:pPr>
        <w:sectPr>
          <w:pgSz w:w="11900" w:h="16838" w:orient="portrait"/>
          <w:cols w:equalWidth="0" w:num="1">
            <w:col w:w="10720"/>
          </w:cols>
          <w:pgMar w:left="580" w:top="119" w:right="599" w:bottom="1440" w:gutter="0" w:footer="0" w:header="0"/>
        </w:sectPr>
      </w:pPr>
    </w:p>
    <w:p>
      <w:pPr>
        <w:spacing w:after="0" w:line="245"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METRO CORPORATE CAMPUS ONE</w:t>
      </w:r>
    </w:p>
    <w:p>
      <w:pPr>
        <w:spacing w:after="0" w:line="23"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P.O. BOX 5600</w:t>
      </w:r>
    </w:p>
    <w:p>
      <w:pPr>
        <w:spacing w:after="0" w:line="3"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WOODBRIDGE, NJ 07095-0988</w:t>
      </w:r>
    </w:p>
    <w:p>
      <w:pPr>
        <w:spacing w:after="0" w:line="3" w:lineRule="exact"/>
        <w:rPr>
          <w:sz w:val="20"/>
          <w:szCs w:val="20"/>
          <w:color w:val="auto"/>
        </w:rPr>
      </w:pPr>
    </w:p>
    <w:p>
      <w:pPr>
        <w:jc w:val="center"/>
        <w:ind w:left="2880"/>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(732) 549-5600</w:t>
      </w:r>
      <w:r>
        <w:rPr>
          <w:sz w:val="20"/>
          <w:szCs w:val="20"/>
          <w:color w:val="auto"/>
        </w:rPr>
        <w:tab/>
      </w:r>
      <w:r>
        <w:rPr>
          <w:rFonts w:ascii="Times New Roman" w:cs="Times New Roman" w:eastAsia="Times New Roman" w:hAnsi="Times New Roman"/>
          <w:sz w:val="16"/>
          <w:szCs w:val="16"/>
          <w:b w:val="1"/>
          <w:bCs w:val="1"/>
          <w:color w:val="auto"/>
        </w:rPr>
        <w:t>FAX (732) 549-1881</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right"/>
        <w:spacing w:after="0" w:line="250"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EW</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ORK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w:t>
      </w:r>
      <w:r>
        <w:rPr>
          <w:rFonts w:ascii="Times New Roman" w:cs="Times New Roman" w:eastAsia="Times New Roman" w:hAnsi="Times New Roman"/>
          <w:sz w:val="18"/>
          <w:szCs w:val="18"/>
          <w:b w:val="1"/>
          <w:bCs w:val="1"/>
          <w:color w:val="auto"/>
        </w:rPr>
        <w:t>: 1700 BROADWAY 28TH FLOOR NEW YORK, NY 10019 (732) 476-2444</w:t>
      </w:r>
    </w:p>
    <w:p>
      <w:pPr>
        <w:spacing w:after="0" w:line="199" w:lineRule="exact"/>
        <w:rPr>
          <w:sz w:val="20"/>
          <w:szCs w:val="20"/>
          <w:color w:val="auto"/>
        </w:rPr>
      </w:pPr>
    </w:p>
    <w:p>
      <w:pPr>
        <w:sectPr>
          <w:pgSz w:w="11900" w:h="16838" w:orient="portrait"/>
          <w:cols w:equalWidth="0" w:num="2">
            <w:col w:w="8200" w:space="720"/>
            <w:col w:w="1800"/>
          </w:cols>
          <w:pgMar w:left="580" w:top="119" w:right="599" w:bottom="1440" w:gutter="0" w:footer="0" w:header="0"/>
          <w:type w:val="continuous"/>
        </w:sectPr>
      </w:pPr>
    </w:p>
    <w:p>
      <w:pPr>
        <w:ind w:left="2840"/>
        <w:spacing w:after="0"/>
        <w:rPr>
          <w:sz w:val="20"/>
          <w:szCs w:val="20"/>
          <w:color w:val="auto"/>
        </w:rPr>
      </w:pPr>
      <w:r>
        <w:rPr>
          <w:rFonts w:ascii="Times New Roman" w:cs="Times New Roman" w:eastAsia="Times New Roman" w:hAnsi="Times New Roman"/>
          <w:sz w:val="15"/>
          <w:szCs w:val="15"/>
          <w:color w:val="auto"/>
        </w:rPr>
        <w:t>DELIVERY ADDRESS</w:t>
      </w:r>
      <w:r>
        <w:rPr>
          <w:rFonts w:ascii="Times New Roman" w:cs="Times New Roman" w:eastAsia="Times New Roman" w:hAnsi="Times New Roman"/>
          <w:sz w:val="17"/>
          <w:szCs w:val="17"/>
          <w:color w:val="auto"/>
        </w:rPr>
        <w:t>: 99</w:t>
      </w:r>
      <w:r>
        <w:rPr>
          <w:rFonts w:ascii="Times New Roman" w:cs="Times New Roman" w:eastAsia="Times New Roman" w:hAnsi="Times New Roman"/>
          <w:sz w:val="15"/>
          <w:szCs w:val="15"/>
          <w:color w:val="auto"/>
        </w:rPr>
        <w:t xml:space="preserve"> WOOD AVENUE SOUTH</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ISELIN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NJ </w:t>
      </w:r>
      <w:r>
        <w:rPr>
          <w:rFonts w:ascii="Times New Roman" w:cs="Times New Roman" w:eastAsia="Times New Roman" w:hAnsi="Times New Roman"/>
          <w:sz w:val="17"/>
          <w:szCs w:val="17"/>
          <w:color w:val="auto"/>
        </w:rPr>
        <w:t>08830-2712</w:t>
      </w:r>
    </w:p>
    <w:p>
      <w:pPr>
        <w:spacing w:after="0" w:line="12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color w:val="auto"/>
        </w:rPr>
        <w:t>INFO</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GREENBAUMLAW</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COM</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WWW</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GREENBAUMLAW</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220" w:lineRule="exact"/>
        <w:rPr>
          <w:sz w:val="20"/>
          <w:szCs w:val="20"/>
          <w:color w:val="auto"/>
        </w:rPr>
      </w:pPr>
    </w:p>
    <w:p>
      <w:pPr>
        <w:ind w:left="4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Re:</w:t>
        <w:tab/>
        <w:t>Registration Statement on Form S-4 of The GEO Group,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08" w:lineRule="exact"/>
        <w:rPr>
          <w:sz w:val="20"/>
          <w:szCs w:val="20"/>
          <w:color w:val="auto"/>
        </w:rPr>
      </w:pPr>
    </w:p>
    <w:p>
      <w:pPr>
        <w:ind w:right="20" w:firstLine="429"/>
        <w:spacing w:after="0" w:line="245" w:lineRule="auto"/>
        <w:rPr>
          <w:sz w:val="20"/>
          <w:szCs w:val="20"/>
          <w:color w:val="auto"/>
        </w:rPr>
      </w:pPr>
      <w:r>
        <w:rPr>
          <w:rFonts w:ascii="Times New Roman" w:cs="Times New Roman" w:eastAsia="Times New Roman" w:hAnsi="Times New Roman"/>
          <w:sz w:val="18"/>
          <w:szCs w:val="18"/>
          <w:color w:val="auto"/>
        </w:rPr>
        <w:t>We have acted as New Jersey counsel to CEC Staffing Solutions LLC, a New Jersey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that certain registration statement on Form S-4 filed with the Securities and Exchange Commission on July 19, 2022 (File No. 333-266208) by The GEO Group, Inc.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Company and certain other subsidiaries of the Parent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Amendment No. 1 thereto dated August 15, 2022 (such registration statement, as so amended, being hereinafter referred to as the “Registration Statement”). The Registration Statement registers, among other things, the offering by the Parent and the Subsidiary Guarantors of up to $484,568,000 aggregate principal amount of the Parent’s 10.500% Senior Second Lien Secured Notes due 2028 (referred to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the related guarantees by the Subsidiary Guarantors (collectively, the “</w:t>
      </w:r>
      <w:r>
        <w:rPr>
          <w:rFonts w:ascii="Times New Roman" w:cs="Times New Roman" w:eastAsia="Times New Roman" w:hAnsi="Times New Roman"/>
          <w:sz w:val="18"/>
          <w:szCs w:val="18"/>
          <w:u w:val="single" w:color="auto"/>
          <w:color w:val="auto"/>
        </w:rPr>
        <w:t>New Notes Guarantees</w:t>
      </w:r>
      <w:r>
        <w:rPr>
          <w:rFonts w:ascii="Times New Roman" w:cs="Times New Roman" w:eastAsia="Times New Roman" w:hAnsi="Times New Roman"/>
          <w:sz w:val="18"/>
          <w:szCs w:val="18"/>
          <w:color w:val="auto"/>
        </w:rPr>
        <w:t>”), to be issued by the Company and the Subsidiary Guarantors in connection with the Parent’s offers to exchange (collectively, the “</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 such Securities for any and all validly tendered and outstanding (i) 5.125% Senior Notes due April 1, 2023 (the “</w:t>
      </w:r>
      <w:r>
        <w:rPr>
          <w:rFonts w:ascii="Times New Roman" w:cs="Times New Roman" w:eastAsia="Times New Roman" w:hAnsi="Times New Roman"/>
          <w:sz w:val="18"/>
          <w:szCs w:val="18"/>
          <w:u w:val="single" w:color="auto"/>
          <w:color w:val="auto"/>
        </w:rPr>
        <w:t>Old 2023 Notes</w:t>
      </w:r>
      <w:r>
        <w:rPr>
          <w:rFonts w:ascii="Times New Roman" w:cs="Times New Roman" w:eastAsia="Times New Roman" w:hAnsi="Times New Roman"/>
          <w:sz w:val="18"/>
          <w:szCs w:val="18"/>
          <w:color w:val="auto"/>
        </w:rPr>
        <w:t>”) issued by the Parent and (ii) 5.875% Senior Notes due October 15, 2024 (the “</w:t>
      </w:r>
      <w:r>
        <w:rPr>
          <w:rFonts w:ascii="Times New Roman" w:cs="Times New Roman" w:eastAsia="Times New Roman" w:hAnsi="Times New Roman"/>
          <w:sz w:val="18"/>
          <w:szCs w:val="18"/>
          <w:u w:val="single" w:color="auto"/>
          <w:color w:val="auto"/>
        </w:rPr>
        <w:t>Old 2024 Notes</w:t>
      </w:r>
      <w:r>
        <w:rPr>
          <w:rFonts w:ascii="Times New Roman" w:cs="Times New Roman" w:eastAsia="Times New Roman" w:hAnsi="Times New Roman"/>
          <w:sz w:val="18"/>
          <w:szCs w:val="18"/>
          <w:color w:val="auto"/>
        </w:rPr>
        <w:t>” and together with the Old 2023 Notes, the “</w:t>
      </w:r>
      <w:r>
        <w:rPr>
          <w:rFonts w:ascii="Times New Roman" w:cs="Times New Roman" w:eastAsia="Times New Roman" w:hAnsi="Times New Roman"/>
          <w:sz w:val="18"/>
          <w:szCs w:val="18"/>
          <w:u w:val="single" w:color="auto"/>
          <w:color w:val="auto"/>
        </w:rPr>
        <w:t>Old Notes</w:t>
      </w:r>
      <w:r>
        <w:rPr>
          <w:rFonts w:ascii="Times New Roman" w:cs="Times New Roman" w:eastAsia="Times New Roman" w:hAnsi="Times New Roman"/>
          <w:sz w:val="18"/>
          <w:szCs w:val="18"/>
          <w:color w:val="auto"/>
        </w:rPr>
        <w:t>”) issued by the Parent, and the related solicitations of consents (collectively, the “</w:t>
      </w:r>
      <w:r>
        <w:rPr>
          <w:rFonts w:ascii="Times New Roman" w:cs="Times New Roman" w:eastAsia="Times New Roman" w:hAnsi="Times New Roman"/>
          <w:sz w:val="18"/>
          <w:szCs w:val="18"/>
          <w:u w:val="single" w:color="auto"/>
          <w:color w:val="auto"/>
        </w:rPr>
        <w:t>Consent Solicitations</w:t>
      </w:r>
      <w:r>
        <w:rPr>
          <w:rFonts w:ascii="Times New Roman" w:cs="Times New Roman" w:eastAsia="Times New Roman" w:hAnsi="Times New Roman"/>
          <w:sz w:val="18"/>
          <w:szCs w:val="18"/>
          <w:color w:val="auto"/>
        </w:rPr>
        <w:t>”) to certain proposed amendments to the indentures governing the Old Notes, in each case, upon the terms and subject to the conditions set forth in the prospectus, which forms a part of the Registration Statement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Securities will be issued pursuant to an indenture (the “</w:t>
      </w:r>
      <w:r>
        <w:rPr>
          <w:rFonts w:ascii="Times New Roman" w:cs="Times New Roman" w:eastAsia="Times New Roman" w:hAnsi="Times New Roman"/>
          <w:sz w:val="18"/>
          <w:szCs w:val="18"/>
          <w:u w:val="single" w:color="auto"/>
          <w:color w:val="auto"/>
        </w:rPr>
        <w:t>New Notes Indenture</w:t>
      </w:r>
      <w:r>
        <w:rPr>
          <w:rFonts w:ascii="Times New Roman" w:cs="Times New Roman" w:eastAsia="Times New Roman" w:hAnsi="Times New Roman"/>
          <w:sz w:val="18"/>
          <w:szCs w:val="18"/>
          <w:color w:val="auto"/>
        </w:rPr>
        <w:t>”), to be entered into by and among the Parent, the Subsidiary Guarantors and Ankura Trust Company, LLC, as trustee and collateral agent.</w:t>
      </w:r>
    </w:p>
    <w:p>
      <w:pPr>
        <w:sectPr>
          <w:pgSz w:w="11900" w:h="16838" w:orient="portrait"/>
          <w:cols w:equalWidth="0" w:num="1">
            <w:col w:w="10720"/>
          </w:cols>
          <w:pgMar w:left="580" w:top="119" w:right="59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5" w:lineRule="exact"/>
        <w:rPr>
          <w:sz w:val="20"/>
          <w:szCs w:val="20"/>
          <w:color w:val="auto"/>
        </w:rPr>
      </w:pPr>
    </w:p>
    <w:p>
      <w:pPr>
        <w:ind w:right="320" w:firstLine="429"/>
        <w:spacing w:after="0" w:line="256" w:lineRule="auto"/>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Act. This opinion letter is limited to the matters expressly stated herein and no opinions are to be inferred or may be implied beyond the opinions expressly so stated. In connection with issuing this opinion, we have reviewed originals or copies of the following documents:</w:t>
      </w:r>
    </w:p>
    <w:p>
      <w:pPr>
        <w:spacing w:after="0" w:line="87" w:lineRule="exact"/>
        <w:rPr>
          <w:sz w:val="20"/>
          <w:szCs w:val="20"/>
          <w:color w:val="auto"/>
        </w:rPr>
      </w:pPr>
    </w:p>
    <w:p>
      <w:pPr>
        <w:ind w:left="940" w:hanging="518"/>
        <w:spacing w:after="0"/>
        <w:tabs>
          <w:tab w:leader="none" w:pos="9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New Notes Indenture, including Article 10 thereof, which constitutes the New Notes Guarantees;</w:t>
      </w:r>
    </w:p>
    <w:p>
      <w:pPr>
        <w:spacing w:after="0" w:line="121" w:lineRule="exact"/>
        <w:rPr>
          <w:rFonts w:ascii="Times New Roman" w:cs="Times New Roman" w:eastAsia="Times New Roman" w:hAnsi="Times New Roman"/>
          <w:sz w:val="18"/>
          <w:szCs w:val="18"/>
          <w:color w:val="auto"/>
        </w:rPr>
      </w:pPr>
    </w:p>
    <w:p>
      <w:pPr>
        <w:ind w:left="940" w:right="20" w:hanging="518"/>
        <w:spacing w:after="0" w:line="268" w:lineRule="auto"/>
        <w:tabs>
          <w:tab w:leader="none" w:pos="9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Dealer Manager Agreement, dated July 19, 2022, by and among the Parent, the Subsidiary Guarantors and Lazard Frères &amp; Co. LLC, as dealer manager, relating to the Exchange Offers and Consent Solicitations;</w:t>
      </w:r>
    </w:p>
    <w:p>
      <w:pPr>
        <w:spacing w:after="0" w:line="76"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of global certificate included in the New Notes Indenture evidencing the Securities to be registered in the name of Cede &amp; Co.;</w:t>
      </w:r>
    </w:p>
    <w:p>
      <w:pPr>
        <w:spacing w:after="0" w:line="144" w:lineRule="exact"/>
        <w:rPr>
          <w:rFonts w:ascii="Times New Roman" w:cs="Times New Roman" w:eastAsia="Times New Roman" w:hAnsi="Times New Roman"/>
          <w:sz w:val="16"/>
          <w:szCs w:val="16"/>
          <w:color w:val="auto"/>
        </w:rPr>
      </w:pPr>
    </w:p>
    <w:p>
      <w:pPr>
        <w:ind w:left="940" w:hanging="518"/>
        <w:spacing w:after="0" w:line="268" w:lineRule="auto"/>
        <w:tabs>
          <w:tab w:leader="none" w:pos="9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Formation of the Company, as certified by the Department of the Treasury, Division of Revenue and Enterprise Services, of the State of New Jersey as of August 9, 2022;</w:t>
      </w:r>
    </w:p>
    <w:p>
      <w:pPr>
        <w:spacing w:after="0" w:line="76"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Agreement of the Company, as currently in effect;</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adopted by the Board of Managers of the Company relating to the Registration Statement and related matters; and</w:t>
      </w:r>
    </w:p>
    <w:p>
      <w:pPr>
        <w:spacing w:after="0" w:line="121" w:lineRule="exact"/>
        <w:rPr>
          <w:rFonts w:ascii="Times New Roman" w:cs="Times New Roman" w:eastAsia="Times New Roman" w:hAnsi="Times New Roman"/>
          <w:sz w:val="18"/>
          <w:szCs w:val="18"/>
          <w:color w:val="auto"/>
        </w:rPr>
      </w:pPr>
    </w:p>
    <w:p>
      <w:pPr>
        <w:ind w:left="940" w:right="600" w:hanging="518"/>
        <w:spacing w:after="0" w:line="268" w:lineRule="auto"/>
        <w:tabs>
          <w:tab w:leader="none" w:pos="9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Good Standing with respect to the Company issued by the Department of the Treasury, Division of Revenue and Enterprise Services, of the State of New Jersey issued August 11, 2022 (the “</w:t>
      </w:r>
      <w:r>
        <w:rPr>
          <w:rFonts w:ascii="Times New Roman" w:cs="Times New Roman" w:eastAsia="Times New Roman" w:hAnsi="Times New Roman"/>
          <w:sz w:val="18"/>
          <w:szCs w:val="18"/>
          <w:u w:val="single" w:color="auto"/>
          <w:color w:val="auto"/>
        </w:rPr>
        <w:t>Certificate of Good Standing</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520" w:firstLine="429"/>
        <w:spacing w:after="0" w:line="256" w:lineRule="auto"/>
        <w:rPr>
          <w:sz w:val="20"/>
          <w:szCs w:val="20"/>
          <w:color w:val="auto"/>
        </w:rPr>
      </w:pPr>
      <w:r>
        <w:rPr>
          <w:rFonts w:ascii="Times New Roman" w:cs="Times New Roman" w:eastAsia="Times New Roman" w:hAnsi="Times New Roman"/>
          <w:sz w:val="18"/>
          <w:szCs w:val="18"/>
          <w:color w:val="auto"/>
        </w:rPr>
        <w:t>We have also examined the originals or copies, certified or otherwise identified to our satisfaction, of such records of the Company, such agreements, certificates of public officials, certificates of officers or other representatives of the Company and others, and such other documents, certificates and records as we have deemed necessary or appropriate to form the basis for the opinions set forth herein.</w:t>
      </w:r>
    </w:p>
    <w:p>
      <w:pPr>
        <w:spacing w:after="0" w:line="179" w:lineRule="exact"/>
        <w:rPr>
          <w:sz w:val="20"/>
          <w:szCs w:val="20"/>
          <w:color w:val="auto"/>
        </w:rPr>
      </w:pPr>
    </w:p>
    <w:p>
      <w:pPr>
        <w:ind w:right="80" w:firstLine="429"/>
        <w:spacing w:after="0" w:line="256" w:lineRule="auto"/>
        <w:rPr>
          <w:sz w:val="20"/>
          <w:szCs w:val="20"/>
          <w:color w:val="auto"/>
        </w:rPr>
      </w:pPr>
      <w:r>
        <w:rPr>
          <w:rFonts w:ascii="Times New Roman" w:cs="Times New Roman" w:eastAsia="Times New Roman" w:hAnsi="Times New Roman"/>
          <w:sz w:val="18"/>
          <w:szCs w:val="18"/>
          <w:color w:val="auto"/>
        </w:rPr>
        <w:t>In rendering the opinions set forth herein, we have relied, without investigation, on each of the following assumptions: (a) the legal capacity of each natural person to take all actions required of such person in connection with the Registration Statement; (b) the genuineness of each signature, the completeness of each document submitted to us, the authenticity of each</w:t>
      </w:r>
    </w:p>
    <w:p>
      <w:pPr>
        <w:sectPr>
          <w:pgSz w:w="11900" w:h="16838" w:orient="portrait"/>
          <w:cols w:equalWidth="0" w:num="1">
            <w:col w:w="10660"/>
          </w:cols>
          <w:pgMar w:left="580" w:top="266" w:right="6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document reviewed by us as an original, the conformity to the original of each document reviewed by us as a copy and the authenticity of the original of each document received by us as a copy; (c) the legal existence of each party to the Registration Statement (other than the Company); (d) the entity power of each party to the Registration Statement (other than the Company) to execute, deliver and perform its obligations as described in the Registration Statement and to do each other act done or to be done by such party; (e) the authorization, execution and delivery by each party (other than the Company) of each document executed and delivered or to be executed and delivered in connection with the Registration Statement by such party;</w:t>
      </w:r>
    </w:p>
    <w:p>
      <w:pPr>
        <w:spacing w:after="0" w:line="4" w:lineRule="exact"/>
        <w:rPr>
          <w:sz w:val="20"/>
          <w:szCs w:val="20"/>
          <w:color w:val="auto"/>
        </w:rPr>
      </w:pPr>
    </w:p>
    <w:p>
      <w:pPr>
        <w:ind w:right="500" w:firstLine="1"/>
        <w:spacing w:after="0" w:line="247" w:lineRule="auto"/>
        <w:tabs>
          <w:tab w:leader="none" w:pos="21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matters of fact, the truthfulness of the representations made in the certificates of public officials and officers of the Company; and (g) the continued accuracy of the Certificate of Good Standing.</w:t>
      </w:r>
    </w:p>
    <w:p>
      <w:pPr>
        <w:spacing w:after="0" w:line="187" w:lineRule="exact"/>
        <w:rPr>
          <w:sz w:val="20"/>
          <w:szCs w:val="20"/>
          <w:color w:val="auto"/>
        </w:rPr>
      </w:pPr>
    </w:p>
    <w:p>
      <w:pPr>
        <w:ind w:right="100" w:firstLine="429"/>
        <w:spacing w:after="0" w:line="249" w:lineRule="auto"/>
        <w:rPr>
          <w:sz w:val="20"/>
          <w:szCs w:val="20"/>
          <w:color w:val="auto"/>
        </w:rPr>
      </w:pPr>
      <w:r>
        <w:rPr>
          <w:rFonts w:ascii="Times New Roman" w:cs="Times New Roman" w:eastAsia="Times New Roman" w:hAnsi="Times New Roman"/>
          <w:sz w:val="18"/>
          <w:szCs w:val="18"/>
          <w:color w:val="auto"/>
        </w:rPr>
        <w:t>In rendering this opinion, we have assumed that the Company will duly authorize the issuance of the Securities by all requisite limited liability company action, that any supplemental indentures providing for the Securities will have been duly authorized, executed and delivered by the Company in accordance with any applicable underwriting agreement, the applicable indenture and any supplemental indenture, and that the Securities will conform to the terms of any such applicable indenture and supplemental indentures and to the description of such instruments in the Registration Statement and the Prospectus.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below, it is our opinion that:</w:t>
      </w:r>
    </w:p>
    <w:p>
      <w:pPr>
        <w:spacing w:after="0" w:line="214" w:lineRule="exact"/>
        <w:rPr>
          <w:sz w:val="20"/>
          <w:szCs w:val="20"/>
          <w:color w:val="auto"/>
        </w:rPr>
      </w:pPr>
    </w:p>
    <w:p>
      <w:pPr>
        <w:ind w:right="120" w:firstLine="430"/>
        <w:spacing w:after="0" w:line="268" w:lineRule="auto"/>
        <w:tabs>
          <w:tab w:leader="none" w:pos="67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Certificate of Good Standing, the Company is a New Jersey limited liability company that is validly existing and in good standing under New Jersey law.</w:t>
      </w:r>
    </w:p>
    <w:p>
      <w:pPr>
        <w:spacing w:after="0" w:line="168"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limited liability company power to execute, deliver and perform its obligations in connection with the Securities.</w:t>
      </w:r>
    </w:p>
    <w:p>
      <w:pPr>
        <w:spacing w:after="0" w:line="108" w:lineRule="exact"/>
        <w:rPr>
          <w:rFonts w:ascii="Times New Roman" w:cs="Times New Roman" w:eastAsia="Times New Roman" w:hAnsi="Times New Roman"/>
          <w:sz w:val="18"/>
          <w:szCs w:val="18"/>
          <w:color w:val="auto"/>
        </w:rPr>
      </w:pPr>
    </w:p>
    <w:p>
      <w:pPr>
        <w:ind w:right="400" w:firstLine="430"/>
        <w:spacing w:after="0" w:line="268" w:lineRule="auto"/>
        <w:tabs>
          <w:tab w:leader="none" w:pos="67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New Notes Guarantees by the Company have each been duly authorized by all necessary company action on the part of the Company. The New Notes Guarantees have been executed and delivered by the Company.</w:t>
      </w:r>
    </w:p>
    <w:p>
      <w:pPr>
        <w:spacing w:after="0" w:line="168" w:lineRule="exact"/>
        <w:rPr>
          <w:rFonts w:ascii="Times New Roman" w:cs="Times New Roman" w:eastAsia="Times New Roman" w:hAnsi="Times New Roman"/>
          <w:sz w:val="18"/>
          <w:szCs w:val="18"/>
          <w:color w:val="auto"/>
        </w:rPr>
      </w:pPr>
    </w:p>
    <w:p>
      <w:pPr>
        <w:ind w:right="40" w:firstLine="430"/>
        <w:spacing w:after="0" w:line="249" w:lineRule="auto"/>
        <w:tabs>
          <w:tab w:leader="none" w:pos="67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New Notes Guarantees by the Company, the performance by the Company of its obligations thereunder, and the consummation of the transactions contemplated thereby does not and will not conflict with, or result in a breach or violation of, or constitute a default under (nor constitute any event which with notice, lapse of time, or both, would constitute a breach of or default under), any provisions of (a) the Certificate of Formation of the Company, (b) any law, rule or regulation of the State of New Jersey, or (c) any order of any court or agency or government of which we are aware.</w:t>
      </w:r>
    </w:p>
    <w:p>
      <w:pPr>
        <w:sectPr>
          <w:pgSz w:w="11900" w:h="16838" w:orient="portrait"/>
          <w:cols w:equalWidth="0" w:num="1">
            <w:col w:w="10680"/>
          </w:cols>
          <w:pgMar w:left="580" w:top="266" w:right="6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0" w:lineRule="exact"/>
        <w:rPr>
          <w:sz w:val="20"/>
          <w:szCs w:val="20"/>
          <w:color w:val="auto"/>
        </w:rPr>
      </w:pPr>
    </w:p>
    <w:p>
      <w:pPr>
        <w:ind w:right="20" w:firstLine="429"/>
        <w:spacing w:after="0" w:line="268" w:lineRule="auto"/>
        <w:rPr>
          <w:sz w:val="20"/>
          <w:szCs w:val="20"/>
          <w:color w:val="auto"/>
        </w:rPr>
      </w:pPr>
      <w:r>
        <w:rPr>
          <w:rFonts w:ascii="Times New Roman" w:cs="Times New Roman" w:eastAsia="Times New Roman" w:hAnsi="Times New Roman"/>
          <w:sz w:val="18"/>
          <w:szCs w:val="18"/>
          <w:color w:val="auto"/>
        </w:rPr>
        <w:t>We are members of the Bar of the State of New Jersey, and we express no opinion as to the laws of any jurisdiction except the laws of the State of New Jersey and the United States of America.</w:t>
      </w:r>
    </w:p>
    <w:p>
      <w:pPr>
        <w:spacing w:after="0" w:line="169" w:lineRule="exact"/>
        <w:rPr>
          <w:sz w:val="20"/>
          <w:szCs w:val="20"/>
          <w:color w:val="auto"/>
        </w:rPr>
      </w:pPr>
    </w:p>
    <w:p>
      <w:pPr>
        <w:ind w:right="40" w:firstLine="429"/>
        <w:spacing w:after="0" w:line="252" w:lineRule="auto"/>
        <w:rPr>
          <w:sz w:val="20"/>
          <w:szCs w:val="20"/>
          <w:color w:val="auto"/>
        </w:rPr>
      </w:pPr>
      <w:r>
        <w:rPr>
          <w:rFonts w:ascii="Times New Roman" w:cs="Times New Roman" w:eastAsia="Times New Roman" w:hAnsi="Times New Roman"/>
          <w:sz w:val="18"/>
          <w:szCs w:val="18"/>
          <w:color w:val="auto"/>
        </w:rPr>
        <w:t>The opinions expressed herein represent the judgment of this law firm as to certain legal matters, but such opinions are not guarantees or warranties and should not in any respect be construed as such. This opinion has been prepared for use in connection with the Registration Statement. This opinion speaks as of the date hereof. We assume no obligation to advise you of any changes in the foregoing subsequent to the effective date of the Registration Statement.</w:t>
      </w:r>
    </w:p>
    <w:p>
      <w:pPr>
        <w:spacing w:after="0" w:line="182" w:lineRule="exact"/>
        <w:rPr>
          <w:sz w:val="20"/>
          <w:szCs w:val="20"/>
          <w:color w:val="auto"/>
        </w:rPr>
      </w:pPr>
    </w:p>
    <w:p>
      <w:pPr>
        <w:ind w:firstLine="429"/>
        <w:spacing w:after="0" w:line="268" w:lineRule="auto"/>
        <w:rPr>
          <w:sz w:val="20"/>
          <w:szCs w:val="20"/>
          <w:color w:val="auto"/>
        </w:rPr>
      </w:pPr>
      <w:r>
        <w:rPr>
          <w:rFonts w:ascii="Times New Roman" w:cs="Times New Roman" w:eastAsia="Times New Roman" w:hAnsi="Times New Roman"/>
          <w:sz w:val="18"/>
          <w:szCs w:val="18"/>
          <w:color w:val="auto"/>
        </w:rPr>
        <w:t>We hereby consent to reliance on this opinion letter and the opinions provided herein by the law firm Skadden, Arps, Slate, Meagher &amp; Flom LLP in connection with the legal opinion provided by that law firm that is included as an exhibit to the Registration Statement.</w:t>
      </w:r>
    </w:p>
    <w:p>
      <w:pPr>
        <w:spacing w:after="0" w:line="169" w:lineRule="exact"/>
        <w:rPr>
          <w:sz w:val="20"/>
          <w:szCs w:val="20"/>
          <w:color w:val="auto"/>
        </w:rPr>
      </w:pPr>
    </w:p>
    <w:p>
      <w:pPr>
        <w:ind w:right="400" w:firstLine="429"/>
        <w:spacing w:after="0" w:line="256" w:lineRule="auto"/>
        <w:rPr>
          <w:sz w:val="20"/>
          <w:szCs w:val="20"/>
          <w:color w:val="auto"/>
        </w:rPr>
      </w:pPr>
      <w:r>
        <w:rPr>
          <w:rFonts w:ascii="Times New Roman" w:cs="Times New Roman" w:eastAsia="Times New Roman" w:hAnsi="Times New Roman"/>
          <w:sz w:val="18"/>
          <w:szCs w:val="18"/>
          <w:color w:val="auto"/>
        </w:rPr>
        <w:t>We hereby consent to the reference to this firm under the caption “Legal Matters” in the Prospectus and to the inclusion of this opinion as an exhibit to the Registration Statement. In giving this consent, we do not thereby admit that we are within the category of persons whose consent is required under Section 7 of the Act, or the rules and regulations of the Securities and Exchange Commission thereunder.</w:t>
      </w:r>
    </w:p>
    <w:p>
      <w:pPr>
        <w:spacing w:after="0" w:line="20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Greenbaum, Rowe, Smith &amp; Davis LLP</w:t>
      </w:r>
    </w:p>
    <w:p>
      <w:pPr>
        <w:sectPr>
          <w:pgSz w:w="11900" w:h="16838" w:orient="portrait"/>
          <w:cols w:equalWidth="0" w:num="1">
            <w:col w:w="10680"/>
          </w:cols>
          <w:pgMar w:left="580" w:top="266" w:right="6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2929255" cy="8426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7">
                      <a:extLst>
                        <a:ext uri="{28A0092B-C50C-407E-A947-70E740481C1C}"/>
                      </a:extLst>
                    </a:blip>
                    <a:srcRect/>
                    <a:stretch>
                      <a:fillRect/>
                    </a:stretch>
                  </pic:blipFill>
                  <pic:spPr bwMode="auto">
                    <a:xfrm>
                      <a:off x="0" y="0"/>
                      <a:ext cx="2929255" cy="842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2022</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Direct Dial: </w:t>
      </w:r>
      <w:r>
        <w:rPr>
          <w:rFonts w:ascii="Times New Roman" w:cs="Times New Roman" w:eastAsia="Times New Roman" w:hAnsi="Times New Roman"/>
          <w:sz w:val="18"/>
          <w:szCs w:val="18"/>
          <w:b w:val="1"/>
          <w:bCs w:val="1"/>
          <w:color w:val="auto"/>
        </w:rPr>
        <w:t>(907) 263-8241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b w:val="1"/>
          <w:bCs w:val="1"/>
          <w:u w:val="single" w:color="auto"/>
          <w:color w:val="auto"/>
        </w:rPr>
        <w:t>fodsen@hugheswhite.com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 33431</w:t>
      </w:r>
    </w:p>
    <w:p>
      <w:pPr>
        <w:spacing w:after="0" w:line="2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6"/>
          <w:szCs w:val="16"/>
          <w:color w:val="auto"/>
        </w:rPr>
        <w:t>Form S-4 Registration Statement of The GEO Group,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We have acted as special Alaska counsel to GEO Reentry of Alaska, Inc., (formerly Cornell Corrections of Alaska, Inc.), an Alaska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which is also the successor by merger to GEO Reentry Services of Alaska, Inc., an Alaska corporation, in connection with that certain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S-4 filed with the Securities and Exchange Commission on July 19, 2022 (File No. 333-266208) by The GEO Group,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 (“Parent”), the Company and certain other subsidiaries of the Parent listed in the Registration Statement as subsidiary guarantors (collectively,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Guarantors”) under the Securities Act of 1933, as amended (the “Act”) and Amendment No. 1 thereto dated August 12, 2022 (such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as so amended, being hereinafter referred to as the “Registration Statement”). The Registration Statement, including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prospectus which forms a part of the Registration Statement (the “Prospectus”) relates to the offers by GEO to exchange (the “Exchange Offers”) up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$259,275,000 aggregate principal amount of GEO’s issued and outstanding 5.125% Senior Notes due 2023) the “Existing 2023 Notes”) and up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$225,293,000 aggregate principal amount of GEO’s issued and outstanding 5.875% Senior Notes due 2024 (the “Existing 2024 Notes” and, together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the Existing 2023 Notes, the “Existing Notes”) for aggregate consideration consisting of (i) (x) newly issued 10.500% Second Lien Senior Secured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due 2028 (the “New Notes”) issued by GEO, or (y) a combination of New Notes and cash, relating to the offer and sale of the New Notes and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solicitation of consents (the “Consent Solicitations”) to amend the Existing Notes. The New Notes will be issued pursuant to an indenture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among Parent, the Subsidiary Guarantors and Ankura Trust Company, LLC, as trustee, pursuant to which each of the Guarantors,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Company, will guarantee the New Notes (the “New Notes Guarantee” and, together with the New Notes, the “Securities”).</w:t>
      </w:r>
    </w:p>
    <w:p>
      <w:pPr>
        <w:spacing w:after="0" w:line="196" w:lineRule="exact"/>
        <w:rPr>
          <w:sz w:val="20"/>
          <w:szCs w:val="20"/>
          <w:color w:val="auto"/>
        </w:rPr>
      </w:pPr>
    </w:p>
    <w:p>
      <w:pPr>
        <w:ind w:right="380" w:firstLine="429"/>
        <w:spacing w:after="0" w:line="331" w:lineRule="auto"/>
        <w:rPr>
          <w:sz w:val="20"/>
          <w:szCs w:val="20"/>
          <w:color w:val="auto"/>
        </w:rPr>
      </w:pPr>
      <w:r>
        <w:rPr>
          <w:rFonts w:ascii="Times New Roman" w:cs="Times New Roman" w:eastAsia="Times New Roman" w:hAnsi="Times New Roman"/>
          <w:sz w:val="16"/>
          <w:szCs w:val="16"/>
          <w:color w:val="auto"/>
        </w:rPr>
        <w:t>This opinion is being furnished in accordance with the requirements of Item 601(b)(5) of Regulation S-K under the Act. This opinion letter is limited to the matters expressly stated herein and no opinions are to be inferred or may be implied beyond the opinions expressly so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030720" cy="3924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8">
                      <a:extLst>
                        <a:ext uri="{28A0092B-C50C-407E-A947-70E740481C1C}"/>
                      </a:extLst>
                    </a:blip>
                    <a:srcRect/>
                    <a:stretch>
                      <a:fillRect/>
                    </a:stretch>
                  </pic:blipFill>
                  <pic:spPr bwMode="auto">
                    <a:xfrm>
                      <a:off x="0" y="0"/>
                      <a:ext cx="7030720" cy="392430"/>
                    </a:xfrm>
                    <a:prstGeom prst="rect">
                      <a:avLst/>
                    </a:prstGeom>
                    <a:noFill/>
                  </pic:spPr>
                </pic:pic>
              </a:graphicData>
            </a:graphic>
          </wp:anchor>
        </w:drawing>
      </w:r>
    </w:p>
    <w:p>
      <w:pPr>
        <w:sectPr>
          <w:pgSz w:w="11900" w:h="16838" w:orient="portrait"/>
          <w:cols w:equalWidth="0" w:num="1">
            <w:col w:w="10720"/>
          </w:cols>
          <w:pgMar w:left="580" w:top="119" w:right="59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086610" cy="6762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0">
                      <a:extLst>
                        <a:ext uri="{28A0092B-C50C-407E-A947-70E740481C1C}"/>
                      </a:extLst>
                    </a:blip>
                    <a:srcRect/>
                    <a:stretch>
                      <a:fillRect/>
                    </a:stretch>
                  </pic:blipFill>
                  <pic:spPr bwMode="auto">
                    <a:xfrm>
                      <a:off x="0" y="0"/>
                      <a:ext cx="2086610" cy="67627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135890</wp:posOffset>
            </wp:positionV>
            <wp:extent cx="21031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1">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issuing this opinion, we have reviewed originals or copies of the following documents (the “Reference Documents”):</w:t>
      </w:r>
    </w:p>
    <w:p>
      <w:pPr>
        <w:spacing w:after="0" w:line="122" w:lineRule="exact"/>
        <w:rPr>
          <w:sz w:val="20"/>
          <w:szCs w:val="20"/>
          <w:color w:val="auto"/>
        </w:rPr>
      </w:pPr>
    </w:p>
    <w:p>
      <w:pPr>
        <w:ind w:left="420" w:hanging="419"/>
        <w:spacing w:after="0"/>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w:t>
      </w:r>
    </w:p>
    <w:p>
      <w:pPr>
        <w:spacing w:after="0" w:line="121" w:lineRule="exact"/>
        <w:rPr>
          <w:rFonts w:ascii="Times New Roman" w:cs="Times New Roman" w:eastAsia="Times New Roman" w:hAnsi="Times New Roman"/>
          <w:sz w:val="18"/>
          <w:szCs w:val="18"/>
          <w:color w:val="auto"/>
        </w:rPr>
      </w:pPr>
    </w:p>
    <w:p>
      <w:pPr>
        <w:ind w:left="420" w:hanging="419"/>
        <w:spacing w:after="0"/>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Indenture, including the New Note Guarantees contained therein (collectively, the “New Notes Indenture”);</w:t>
      </w:r>
    </w:p>
    <w:p>
      <w:pPr>
        <w:spacing w:after="0" w:line="121" w:lineRule="exact"/>
        <w:rPr>
          <w:rFonts w:ascii="Times New Roman" w:cs="Times New Roman" w:eastAsia="Times New Roman" w:hAnsi="Times New Roman"/>
          <w:sz w:val="18"/>
          <w:szCs w:val="18"/>
          <w:color w:val="auto"/>
        </w:rPr>
      </w:pPr>
    </w:p>
    <w:p>
      <w:pPr>
        <w:ind w:left="420" w:hanging="419"/>
        <w:spacing w:after="0"/>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of the New Notes (the “Specimen,” and collectively with the New Notes Indenture, the “Opinion Documents”)</w:t>
      </w:r>
    </w:p>
    <w:p>
      <w:pPr>
        <w:spacing w:after="0" w:line="121" w:lineRule="exact"/>
        <w:rPr>
          <w:rFonts w:ascii="Times New Roman" w:cs="Times New Roman" w:eastAsia="Times New Roman" w:hAnsi="Times New Roman"/>
          <w:sz w:val="18"/>
          <w:szCs w:val="18"/>
          <w:color w:val="auto"/>
        </w:rPr>
      </w:pPr>
    </w:p>
    <w:p>
      <w:pPr>
        <w:ind w:left="420" w:right="600" w:hanging="419"/>
        <w:spacing w:after="0" w:line="268" w:lineRule="auto"/>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Dealer Manager Agreement, dated July 19, 2022, by and among the Parent, the Subsidiary Guarantors and Lazard Frères &amp; Co. LLC, as dealer manager, relating to the Exchange Offers and Consent Solicitations</w:t>
      </w:r>
    </w:p>
    <w:p>
      <w:pPr>
        <w:spacing w:after="0" w:line="76" w:lineRule="exact"/>
        <w:rPr>
          <w:rFonts w:ascii="Times New Roman" w:cs="Times New Roman" w:eastAsia="Times New Roman" w:hAnsi="Times New Roman"/>
          <w:sz w:val="18"/>
          <w:szCs w:val="18"/>
          <w:color w:val="auto"/>
        </w:rPr>
      </w:pPr>
    </w:p>
    <w:p>
      <w:pPr>
        <w:ind w:left="420" w:right="640" w:hanging="419"/>
        <w:spacing w:after="0" w:line="268" w:lineRule="auto"/>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of GEO Reentry Alaska dated August 3, 1998, certified by GEO Reentry Alaska as of August 15, 2022 to be presently in effect; (the “Articles of Incorporation”);</w:t>
      </w:r>
    </w:p>
    <w:p>
      <w:pPr>
        <w:spacing w:after="0" w:line="76" w:lineRule="exact"/>
        <w:rPr>
          <w:rFonts w:ascii="Times New Roman" w:cs="Times New Roman" w:eastAsia="Times New Roman" w:hAnsi="Times New Roman"/>
          <w:sz w:val="18"/>
          <w:szCs w:val="18"/>
          <w:color w:val="auto"/>
        </w:rPr>
      </w:pPr>
    </w:p>
    <w:p>
      <w:pPr>
        <w:ind w:left="420" w:right="140" w:hanging="419"/>
        <w:spacing w:after="0" w:line="249" w:lineRule="auto"/>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certain Articles of Merger dated December 30, 2021 (the “Articles of Merger”) executed by the Company and GEO Reentry Services of Alaska, Inc., an Alaska corporation, (“GEO Reentry of Alaska”) together with that certain Agreement and Plan of Merger dated December 30, 2021 executed by the Company, GEO Reentry of Alaska and Cornell Corrections Management, LLC, a Delaware limited liability company, (the “Agreement and Plan of Merger”), which Articles of Merger and the Agreement and Plan of Merger were filed on January 3, 2022 with the State of Alaska, Division of Corporations, Business and Professional Licensing, Corporations Section;</w:t>
      </w:r>
    </w:p>
    <w:p>
      <w:pPr>
        <w:spacing w:after="0" w:line="96" w:lineRule="exact"/>
        <w:rPr>
          <w:rFonts w:ascii="Times New Roman" w:cs="Times New Roman" w:eastAsia="Times New Roman" w:hAnsi="Times New Roman"/>
          <w:sz w:val="18"/>
          <w:szCs w:val="18"/>
          <w:color w:val="auto"/>
        </w:rPr>
      </w:pPr>
    </w:p>
    <w:p>
      <w:pPr>
        <w:ind w:left="420" w:hanging="419"/>
        <w:spacing w:after="0"/>
        <w:tabs>
          <w:tab w:leader="none" w:pos="42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By-Laws of the Company, dated August 5, 1998 certified by the Company as of August 15, 2022 to be presently in effect (the “By-Laws”);</w:t>
      </w:r>
    </w:p>
    <w:p>
      <w:pPr>
        <w:spacing w:after="0" w:line="144" w:lineRule="exact"/>
        <w:rPr>
          <w:rFonts w:ascii="Times New Roman" w:cs="Times New Roman" w:eastAsia="Times New Roman" w:hAnsi="Times New Roman"/>
          <w:sz w:val="16"/>
          <w:szCs w:val="16"/>
          <w:color w:val="auto"/>
        </w:rPr>
      </w:pPr>
    </w:p>
    <w:p>
      <w:pPr>
        <w:ind w:left="420" w:right="340" w:hanging="419"/>
        <w:spacing w:after="0" w:line="268" w:lineRule="auto"/>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adopted by the board of directors of the Company relating to the Registration Statement and related matters certified by the Companies as of July 19, 2022 (the “July 19, 2022 Resolutions”);</w:t>
      </w:r>
    </w:p>
    <w:p>
      <w:pPr>
        <w:spacing w:after="0" w:line="76" w:lineRule="exact"/>
        <w:rPr>
          <w:rFonts w:ascii="Times New Roman" w:cs="Times New Roman" w:eastAsia="Times New Roman" w:hAnsi="Times New Roman"/>
          <w:sz w:val="18"/>
          <w:szCs w:val="18"/>
          <w:color w:val="auto"/>
        </w:rPr>
      </w:pPr>
    </w:p>
    <w:p>
      <w:pPr>
        <w:ind w:left="420" w:right="220" w:hanging="419"/>
        <w:spacing w:after="0" w:line="256" w:lineRule="auto"/>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Certificate of Compliance dated August 11, 2022 with respect to the Company issued by the Department of Commerce, Community and Economic Development, Division of Corporations, Business and Professional Licensing of the State of Alaska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and</w:t>
      </w:r>
    </w:p>
    <w:p>
      <w:pPr>
        <w:spacing w:after="0" w:line="86" w:lineRule="exact"/>
        <w:rPr>
          <w:rFonts w:ascii="Times New Roman" w:cs="Times New Roman" w:eastAsia="Times New Roman" w:hAnsi="Times New Roman"/>
          <w:sz w:val="18"/>
          <w:szCs w:val="18"/>
          <w:color w:val="auto"/>
        </w:rPr>
      </w:pPr>
    </w:p>
    <w:p>
      <w:pPr>
        <w:ind w:left="420" w:right="340" w:hanging="419"/>
        <w:spacing w:after="0" w:line="268" w:lineRule="auto"/>
        <w:tabs>
          <w:tab w:leader="none" w:pos="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Secretary’s Certificate dated July 19, 2022 provided to the undersigned counsel by Joe Negron, Senior Vice President and General Counsel of the Parent and Vice President and Secretary of the Company.</w:t>
      </w:r>
    </w:p>
    <w:p>
      <w:pPr>
        <w:spacing w:after="0" w:line="169" w:lineRule="exact"/>
        <w:rPr>
          <w:sz w:val="20"/>
          <w:szCs w:val="20"/>
          <w:color w:val="auto"/>
        </w:rPr>
      </w:pPr>
    </w:p>
    <w:p>
      <w:pPr>
        <w:ind w:right="580" w:firstLine="429"/>
        <w:spacing w:after="0" w:line="256" w:lineRule="auto"/>
        <w:rPr>
          <w:sz w:val="20"/>
          <w:szCs w:val="20"/>
          <w:color w:val="auto"/>
        </w:rPr>
      </w:pPr>
      <w:r>
        <w:rPr>
          <w:rFonts w:ascii="Times New Roman" w:cs="Times New Roman" w:eastAsia="Times New Roman" w:hAnsi="Times New Roman"/>
          <w:sz w:val="18"/>
          <w:szCs w:val="18"/>
          <w:color w:val="auto"/>
        </w:rPr>
        <w:t>We have also examined the originals or copies, certified or otherwise identified to our satisfaction, of such records of the Company, such agreements, certificates of public officials, certificates of officers or other representatives of the Company and others, and such other documents, certificates and records as we have deemed necessary or appropriate to form the basis for the opinions set forth herein.</w:t>
      </w:r>
    </w:p>
    <w:p>
      <w:pPr>
        <w:sectPr>
          <w:pgSz w:w="11900" w:h="16838" w:orient="portrait"/>
          <w:cols w:equalWidth="0" w:num="1">
            <w:col w:w="10720"/>
          </w:cols>
          <w:pgMar w:left="580" w:top="266" w:right="59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086610" cy="6762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3">
                      <a:extLst>
                        <a:ext uri="{28A0092B-C50C-407E-A947-70E740481C1C}"/>
                      </a:extLst>
                    </a:blip>
                    <a:srcRect/>
                    <a:stretch>
                      <a:fillRect/>
                    </a:stretch>
                  </pic:blipFill>
                  <pic:spPr bwMode="auto">
                    <a:xfrm>
                      <a:off x="0" y="0"/>
                      <a:ext cx="2086610" cy="67627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135890</wp:posOffset>
            </wp:positionV>
            <wp:extent cx="21031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4">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right="120" w:firstLine="429"/>
        <w:spacing w:after="0" w:line="246" w:lineRule="auto"/>
        <w:rPr>
          <w:sz w:val="20"/>
          <w:szCs w:val="20"/>
          <w:color w:val="auto"/>
        </w:rPr>
      </w:pPr>
      <w:r>
        <w:rPr>
          <w:rFonts w:ascii="Times New Roman" w:cs="Times New Roman" w:eastAsia="Times New Roman" w:hAnsi="Times New Roman"/>
          <w:sz w:val="18"/>
          <w:szCs w:val="18"/>
          <w:color w:val="auto"/>
        </w:rPr>
        <w:t>In rendering the opinions set forth herein, we have relied, without investigation, on each of the following assumptions: (a) the legal capacity of each natural person to take all actions required of each such person in connection with the Exchange Offers; (b) the genuineness of each signature, the completeness of each document submitted to us, the authenticity of each document reviewed by us as an original, the conformity to the original of each document reviewed by us as a copy and the authenticity of the original of each document received by us as a copy; (c) the legal existence of each party to the Opinion Documents other than the Company; (d) the entity power of each party to the Opinion Documents (other than the Company) to execute, deliver and perform the Registration Statement and to do each other act done or to be done by such party; (e) the authorization, execution and delivery by each party (other than the Company) of each document executed and delivered or to be executed and delivered in connection with the Opinion Documents by such party; (f) as to matters of fact, the truthfulness of the representations made in the Opinion Documents and in the certificates of public officials and officers of the Company; (g) the July 19, 2022 Resolutions have not been modified, amended, revoked or rescinded; and (h) the Articles of Incorporation and By-Laws have not been modified, amended, revoked or rescinded in a manner that invalidates the July 19, 2022 Resolutions or any Board Authorization (as hereinafter defined).</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below, it is our opinion that:</w:t>
      </w:r>
    </w:p>
    <w:p>
      <w:pPr>
        <w:spacing w:after="0" w:line="108" w:lineRule="exact"/>
        <w:rPr>
          <w:sz w:val="20"/>
          <w:szCs w:val="20"/>
          <w:color w:val="auto"/>
        </w:rPr>
      </w:pPr>
    </w:p>
    <w:p>
      <w:pPr>
        <w:ind w:left="960" w:right="20" w:firstLine="7"/>
        <w:spacing w:after="0" w:line="268" w:lineRule="auto"/>
        <w:tabs>
          <w:tab w:leader="none" w:pos="11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Certificate of Compliance, the Company is an Alaska corporation that is validly existing and in good standing under Alaska law.</w:t>
      </w:r>
    </w:p>
    <w:p>
      <w:pPr>
        <w:spacing w:after="0" w:line="63" w:lineRule="exact"/>
        <w:rPr>
          <w:rFonts w:ascii="Times New Roman" w:cs="Times New Roman" w:eastAsia="Times New Roman" w:hAnsi="Times New Roman"/>
          <w:sz w:val="18"/>
          <w:szCs w:val="18"/>
          <w:color w:val="auto"/>
        </w:rPr>
      </w:pPr>
    </w:p>
    <w:p>
      <w:pPr>
        <w:ind w:left="960" w:right="20" w:firstLine="7"/>
        <w:spacing w:after="0" w:line="268" w:lineRule="auto"/>
        <w:tabs>
          <w:tab w:leader="none" w:pos="11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to execute and deliver the Opinion Documents to which it is a party and to perform its respective obligations thereunder.</w:t>
      </w:r>
    </w:p>
    <w:p>
      <w:pPr>
        <w:spacing w:after="0" w:line="63" w:lineRule="exact"/>
        <w:rPr>
          <w:rFonts w:ascii="Times New Roman" w:cs="Times New Roman" w:eastAsia="Times New Roman" w:hAnsi="Times New Roman"/>
          <w:sz w:val="18"/>
          <w:szCs w:val="18"/>
          <w:color w:val="auto"/>
        </w:rPr>
      </w:pPr>
    </w:p>
    <w:p>
      <w:pPr>
        <w:ind w:left="960" w:right="140" w:firstLine="7"/>
        <w:spacing w:after="0" w:line="268" w:lineRule="auto"/>
        <w:tabs>
          <w:tab w:leader="none" w:pos="11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authorized the execution delivery and performance of the Opinion Documents to which it is a party by all necessary corporate action.</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We express no opinion as to matters governed by laws of any jurisdiction other than the laws of the State of Alaska, as in effect on the date hereof.</w:t>
      </w:r>
    </w:p>
    <w:p>
      <w:pPr>
        <w:sectPr>
          <w:pgSz w:w="11900" w:h="16838" w:orient="portrait"/>
          <w:cols w:equalWidth="0" w:num="1">
            <w:col w:w="10720"/>
          </w:cols>
          <w:pgMar w:left="580" w:top="266" w:right="59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086610" cy="6762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6">
                      <a:extLst>
                        <a:ext uri="{28A0092B-C50C-407E-A947-70E740481C1C}"/>
                      </a:extLst>
                    </a:blip>
                    <a:srcRect/>
                    <a:stretch>
                      <a:fillRect/>
                    </a:stretch>
                  </pic:blipFill>
                  <pic:spPr bwMode="auto">
                    <a:xfrm>
                      <a:off x="0" y="0"/>
                      <a:ext cx="2086610" cy="67627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135890</wp:posOffset>
            </wp:positionV>
            <wp:extent cx="21031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7">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both"/>
        <w:ind w:firstLine="429"/>
        <w:spacing w:after="0" w:line="256" w:lineRule="auto"/>
        <w:rPr>
          <w:sz w:val="20"/>
          <w:szCs w:val="20"/>
          <w:color w:val="auto"/>
        </w:rPr>
      </w:pPr>
      <w:r>
        <w:rPr>
          <w:rFonts w:ascii="Times New Roman" w:cs="Times New Roman" w:eastAsia="Times New Roman" w:hAnsi="Times New Roman"/>
          <w:sz w:val="18"/>
          <w:szCs w:val="18"/>
          <w:color w:val="auto"/>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spacing w:after="0" w:line="179" w:lineRule="exact"/>
        <w:rPr>
          <w:sz w:val="20"/>
          <w:szCs w:val="20"/>
          <w:color w:val="auto"/>
        </w:rPr>
      </w:pPr>
    </w:p>
    <w:p>
      <w:pPr>
        <w:ind w:right="180" w:firstLine="429"/>
        <w:spacing w:after="0" w:line="331" w:lineRule="auto"/>
        <w:rPr>
          <w:sz w:val="20"/>
          <w:szCs w:val="20"/>
          <w:color w:val="auto"/>
        </w:rPr>
      </w:pPr>
      <w:r>
        <w:rPr>
          <w:rFonts w:ascii="Times New Roman" w:cs="Times New Roman" w:eastAsia="Times New Roman" w:hAnsi="Times New Roman"/>
          <w:sz w:val="16"/>
          <w:szCs w:val="16"/>
          <w:color w:val="auto"/>
        </w:rPr>
        <w:t>We are providing no opinion whatsoever with respect to the compliance by the Company or the Parent with any federal securities laws or any State of Alaska securities or Blue Sky laws (or the securities laws or Blue Sky laws of any other state) applicable to the Exchange Offers or otherwise.</w:t>
      </w:r>
    </w:p>
    <w:p>
      <w:pPr>
        <w:spacing w:after="0" w:line="123" w:lineRule="exact"/>
        <w:rPr>
          <w:sz w:val="20"/>
          <w:szCs w:val="20"/>
          <w:color w:val="auto"/>
        </w:rPr>
      </w:pPr>
    </w:p>
    <w:p>
      <w:pPr>
        <w:ind w:right="520" w:firstLine="429"/>
        <w:spacing w:after="0" w:line="268" w:lineRule="auto"/>
        <w:rPr>
          <w:sz w:val="20"/>
          <w:szCs w:val="20"/>
          <w:color w:val="auto"/>
        </w:rPr>
      </w:pPr>
      <w:r>
        <w:rPr>
          <w:rFonts w:ascii="Times New Roman" w:cs="Times New Roman" w:eastAsia="Times New Roman" w:hAnsi="Times New Roman"/>
          <w:sz w:val="18"/>
          <w:szCs w:val="18"/>
          <w:color w:val="auto"/>
        </w:rPr>
        <w:t>We are not expressing any opinion or making any representations in any manner whatsoever as to the assets, liabilities, net worth, earnings, creditworthiness or other financial condition of the Company or the Parent.</w:t>
      </w:r>
    </w:p>
    <w:p>
      <w:pPr>
        <w:spacing w:after="0" w:line="169" w:lineRule="exact"/>
        <w:rPr>
          <w:sz w:val="20"/>
          <w:szCs w:val="20"/>
          <w:color w:val="auto"/>
        </w:rPr>
      </w:pPr>
    </w:p>
    <w:p>
      <w:pPr>
        <w:ind w:firstLine="429"/>
        <w:spacing w:after="0" w:line="249" w:lineRule="auto"/>
        <w:rPr>
          <w:sz w:val="20"/>
          <w:szCs w:val="20"/>
          <w:color w:val="auto"/>
        </w:rPr>
      </w:pPr>
      <w:r>
        <w:rPr>
          <w:rFonts w:ascii="Times New Roman" w:cs="Times New Roman" w:eastAsia="Times New Roman" w:hAnsi="Times New Roman"/>
          <w:sz w:val="18"/>
          <w:szCs w:val="18"/>
          <w:color w:val="auto"/>
        </w:rPr>
        <w:t>This opinion letter is furnished to you in connection with the filing of the Registration Statement and, except as set forth below, may not be relied upon for any other purpose without our prior written consent in each instance. Further, no portion of this letter may be quoted, circulated or referred to in any other document for any other purpose without our prior written consent. Notwithstanding the foregoing, the law firm of Skadden, Arps, Slate, Meagher &amp; Flom, LLP may rely upon this opinion letter in connection with the opinion letter to be submitted by such firm with respect to the Registration Statement.</w:t>
      </w:r>
    </w:p>
    <w:p>
      <w:pPr>
        <w:spacing w:after="0" w:line="188" w:lineRule="exact"/>
        <w:rPr>
          <w:sz w:val="20"/>
          <w:szCs w:val="20"/>
          <w:color w:val="auto"/>
        </w:rPr>
      </w:pPr>
    </w:p>
    <w:p>
      <w:pPr>
        <w:ind w:right="80" w:firstLine="429"/>
        <w:spacing w:after="0" w:line="252" w:lineRule="auto"/>
        <w:rPr>
          <w:sz w:val="20"/>
          <w:szCs w:val="20"/>
          <w:color w:val="auto"/>
        </w:rPr>
      </w:pPr>
      <w:r>
        <w:rPr>
          <w:rFonts w:ascii="Times New Roman" w:cs="Times New Roman" w:eastAsia="Times New Roman" w:hAnsi="Times New Roman"/>
          <w:sz w:val="18"/>
          <w:szCs w:val="18"/>
          <w:color w:val="auto"/>
        </w:rPr>
        <w:t>We hereby consent to the reference to this firm under the caption “Legal Matters” in the Prospectus and to the filing of this opinion letter with the Securities and Exchange Commission in connection with the filing of the Registration Statement referred to above. In giving this consent, we do not admit that we are within the category of persons whose consent is required under Section 7 of the Act or the Rules and Regulations of the Commission issued thereunder.</w:t>
      </w:r>
    </w:p>
    <w:p>
      <w:pPr>
        <w:spacing w:after="0" w:line="20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Sincerely,</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HUGHES WHITE</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COLBO &amp; TERVOOREN, LLC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FJO:mlg/606854</w:t>
      </w:r>
    </w:p>
    <w:p>
      <w:pPr>
        <w:sectPr>
          <w:pgSz w:w="11900" w:h="16838" w:orient="portrait"/>
          <w:cols w:equalWidth="0" w:num="1">
            <w:col w:w="10720"/>
          </w:cols>
          <w:pgMar w:left="580" w:top="266" w:right="599" w:bottom="1440" w:gutter="0" w:footer="0" w:header="0"/>
        </w:sectPr>
      </w:pPr>
    </w:p>
    <w:bookmarkStart w:id="226" w:name="page227"/>
    <w:bookmarkEnd w:id="226"/>
    <w:p>
      <w:pPr>
        <w:ind w:left="9900"/>
        <w:spacing w:after="0"/>
        <w:rPr>
          <w:sz w:val="20"/>
          <w:szCs w:val="20"/>
          <w:color w:val="auto"/>
        </w:rPr>
      </w:pPr>
      <w:r>
        <w:rPr>
          <w:rFonts w:ascii="Times New Roman" w:cs="Times New Roman" w:eastAsia="Times New Roman" w:hAnsi="Times New Roman"/>
          <w:sz w:val="16"/>
          <w:szCs w:val="16"/>
          <w:b w:val="1"/>
          <w:bCs w:val="1"/>
          <w:color w:val="auto"/>
        </w:rPr>
        <w:t>Exhibit 5.5</w:t>
      </w:r>
    </w:p>
    <w:p>
      <w:pPr>
        <w:sectPr>
          <w:pgSz w:w="11900" w:h="16838" w:orient="portrait"/>
          <w:cols w:equalWidth="0" w:num="1">
            <w:col w:w="10720"/>
          </w:cols>
          <w:pgMar w:left="580" w:top="119" w:right="599" w:bottom="1440" w:gutter="0" w:footer="0" w:header="0"/>
        </w:sectPr>
      </w:pPr>
    </w:p>
    <w:p>
      <w:pPr>
        <w:spacing w:after="0" w:line="26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Eckert Seamans Cherin &amp; Mellott,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477010" cy="6673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8">
                      <a:extLst>
                        <a:ext uri="{28A0092B-C50C-407E-A947-70E740481C1C}"/>
                      </a:extLst>
                    </a:blip>
                    <a:srcRect/>
                    <a:stretch>
                      <a:fillRect/>
                    </a:stretch>
                  </pic:blipFill>
                  <pic:spPr bwMode="auto">
                    <a:xfrm>
                      <a:off x="0" y="0"/>
                      <a:ext cx="1477010" cy="667385"/>
                    </a:xfrm>
                    <a:prstGeom prst="rect">
                      <a:avLst/>
                    </a:prstGeom>
                    <a:noFill/>
                  </pic:spPr>
                </pic:pic>
              </a:graphicData>
            </a:graphic>
          </wp:anchor>
        </w:drawing>
      </w:r>
    </w:p>
    <w:p>
      <w:pPr>
        <w:spacing w:after="0" w:line="2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Two Liberty Place</w:t>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50 South 16</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Street, 22</w:t>
      </w:r>
      <w:r>
        <w:rPr>
          <w:rFonts w:ascii="Times New Roman" w:cs="Times New Roman" w:eastAsia="Times New Roman" w:hAnsi="Times New Roman"/>
          <w:sz w:val="13"/>
          <w:szCs w:val="13"/>
          <w:color w:val="auto"/>
        </w:rPr>
        <w:t>nd</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Philadelphia, PA 19102</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TEL</w:t>
      </w:r>
      <w:r>
        <w:rPr>
          <w:sz w:val="20"/>
          <w:szCs w:val="20"/>
          <w:color w:val="auto"/>
        </w:rPr>
        <w:tab/>
      </w:r>
      <w:r>
        <w:rPr>
          <w:rFonts w:ascii="Times New Roman" w:cs="Times New Roman" w:eastAsia="Times New Roman" w:hAnsi="Times New Roman"/>
          <w:sz w:val="16"/>
          <w:szCs w:val="16"/>
          <w:color w:val="auto"/>
        </w:rPr>
        <w:t>215 851 8400</w:t>
      </w:r>
    </w:p>
    <w:p>
      <w:pPr>
        <w:spacing w:after="0" w:line="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6"/>
          <w:szCs w:val="16"/>
          <w:color w:val="auto"/>
        </w:rPr>
        <w:t>215 851 8383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www.eckertseamans.com</w:t>
      </w:r>
    </w:p>
    <w:p>
      <w:pPr>
        <w:spacing w:after="0" w:line="433" w:lineRule="exact"/>
        <w:rPr>
          <w:sz w:val="20"/>
          <w:szCs w:val="20"/>
          <w:color w:val="auto"/>
        </w:rPr>
      </w:pPr>
    </w:p>
    <w:p>
      <w:pPr>
        <w:sectPr>
          <w:pgSz w:w="11900" w:h="16838" w:orient="portrait"/>
          <w:cols w:equalWidth="0" w:num="2">
            <w:col w:w="7860" w:space="720"/>
            <w:col w:w="2140"/>
          </w:cols>
          <w:pgMar w:left="580" w:top="119" w:right="59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15,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The GEO Group, Inc. Registration Statement on Form S-4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special Pennsylvania counsel to ADAPPT, LLC (“</w:t>
      </w:r>
      <w:r>
        <w:rPr>
          <w:rFonts w:ascii="Times New Roman" w:cs="Times New Roman" w:eastAsia="Times New Roman" w:hAnsi="Times New Roman"/>
          <w:sz w:val="18"/>
          <w:szCs w:val="18"/>
          <w:u w:val="single" w:color="auto"/>
          <w:color w:val="auto"/>
        </w:rPr>
        <w:t>ADAPPT</w:t>
      </w:r>
      <w:r>
        <w:rPr>
          <w:rFonts w:ascii="Times New Roman" w:cs="Times New Roman" w:eastAsia="Times New Roman" w:hAnsi="Times New Roman"/>
          <w:sz w:val="18"/>
          <w:szCs w:val="18"/>
          <w:color w:val="auto"/>
        </w:rPr>
        <w:t>”), Fenton Security, LLC (“</w:t>
      </w:r>
      <w:r>
        <w:rPr>
          <w:rFonts w:ascii="Times New Roman" w:cs="Times New Roman" w:eastAsia="Times New Roman" w:hAnsi="Times New Roman"/>
          <w:sz w:val="18"/>
          <w:szCs w:val="18"/>
          <w:u w:val="single" w:color="auto"/>
          <w:color w:val="auto"/>
        </w:rPr>
        <w:t>Fenton</w:t>
      </w:r>
      <w:r>
        <w:rPr>
          <w:rFonts w:ascii="Times New Roman" w:cs="Times New Roman" w:eastAsia="Times New Roman" w:hAnsi="Times New Roman"/>
          <w:sz w:val="18"/>
          <w:szCs w:val="18"/>
          <w:color w:val="auto"/>
        </w:rPr>
        <w:t>”), Minsec Companies,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Minsec Companies</w:t>
      </w:r>
      <w:r>
        <w:rPr>
          <w:rFonts w:ascii="Times New Roman" w:cs="Times New Roman" w:eastAsia="Times New Roman" w:hAnsi="Times New Roman"/>
          <w:sz w:val="18"/>
          <w:szCs w:val="18"/>
          <w:color w:val="auto"/>
        </w:rPr>
        <w:t>”), and Minsec Treatment, LLC (“</w:t>
      </w:r>
      <w:r>
        <w:rPr>
          <w:rFonts w:ascii="Times New Roman" w:cs="Times New Roman" w:eastAsia="Times New Roman" w:hAnsi="Times New Roman"/>
          <w:sz w:val="18"/>
          <w:szCs w:val="18"/>
          <w:u w:val="single" w:color="auto"/>
          <w:color w:val="auto"/>
        </w:rPr>
        <w:t>Minsec Treatment</w:t>
      </w:r>
      <w:r>
        <w:rPr>
          <w:rFonts w:ascii="Times New Roman" w:cs="Times New Roman" w:eastAsia="Times New Roman" w:hAnsi="Times New Roman"/>
          <w:sz w:val="18"/>
          <w:szCs w:val="18"/>
          <w:color w:val="auto"/>
        </w:rPr>
        <w:t>”), each of which is a Pennsylvania limited liability company (each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in connection with the Registration Statement on Form S-4 (File No. 333-266208) filed on July 19,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by The GEO Group, Inc.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Companies, and certain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of Parent listed on Schedule A — Table of Subsidiary Guarantors thereto (collectively with the Companies, the “</w:t>
      </w:r>
      <w:r>
        <w:rPr>
          <w:rFonts w:ascii="Times New Roman" w:cs="Times New Roman" w:eastAsia="Times New Roman" w:hAnsi="Times New Roman"/>
          <w:sz w:val="16"/>
          <w:szCs w:val="16"/>
          <w:u w:val="single" w:color="auto"/>
          <w:color w:val="auto"/>
        </w:rPr>
        <w:t>Subsidiary Guarantors</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Securities Act of 1933, as amended (the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and Amendment No. 1 thereto dated August 15, 2022 (such registration statement, as so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being hereinafter referred to as the “Registration Statement”). The Registration Statement, including the prospectus which forms a part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Registration Statement (the “</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relates to the issuance of Parent’s new 10.500% Senior Second Lien Secured Notes due 2028 (the “</w:t>
      </w:r>
      <w:r>
        <w:rPr>
          <w:rFonts w:ascii="Times New Roman" w:cs="Times New Roman" w:eastAsia="Times New Roman" w:hAnsi="Times New Roman"/>
          <w:sz w:val="16"/>
          <w:szCs w:val="16"/>
          <w:u w:val="single" w:color="auto"/>
          <w:color w:val="auto"/>
        </w:rPr>
        <w:t>Exchange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Parent’s offer to exchange in the exchange offers (the “</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 up to $484,568,000 aggregate principal amount of Exchange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for (i) $259,275,000 aggregate principal amount of Parent’s outstanding 5.125% Senior Notes due April 1, 2023 (the “</w:t>
      </w:r>
      <w:r>
        <w:rPr>
          <w:rFonts w:ascii="Times New Roman" w:cs="Times New Roman" w:eastAsia="Times New Roman" w:hAnsi="Times New Roman"/>
          <w:sz w:val="16"/>
          <w:szCs w:val="16"/>
          <w:u w:val="single" w:color="auto"/>
          <w:color w:val="auto"/>
        </w:rPr>
        <w:t>2023 Outstanding Notes</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$225,293,000 aggregate principal amount of Parent’s outstanding 5.875% Senior Notes due October 15, 2024 (the “</w:t>
      </w:r>
      <w:r>
        <w:rPr>
          <w:rFonts w:ascii="Times New Roman" w:cs="Times New Roman" w:eastAsia="Times New Roman" w:hAnsi="Times New Roman"/>
          <w:sz w:val="16"/>
          <w:szCs w:val="16"/>
          <w:u w:val="single" w:color="auto"/>
          <w:color w:val="auto"/>
        </w:rPr>
        <w:t>2024 Outstanding Notes,</w:t>
      </w:r>
      <w:r>
        <w:rPr>
          <w:rFonts w:ascii="Times New Roman" w:cs="Times New Roman" w:eastAsia="Times New Roman" w:hAnsi="Times New Roman"/>
          <w:sz w:val="16"/>
          <w:szCs w:val="16"/>
          <w:color w:val="auto"/>
        </w:rPr>
        <w:t>”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together with the 2023 Outstanding Notes, collectively, the “</w:t>
      </w:r>
      <w:r>
        <w:rPr>
          <w:rFonts w:ascii="Times New Roman" w:cs="Times New Roman" w:eastAsia="Times New Roman" w:hAnsi="Times New Roman"/>
          <w:sz w:val="16"/>
          <w:szCs w:val="16"/>
          <w:u w:val="single" w:color="auto"/>
          <w:color w:val="auto"/>
        </w:rPr>
        <w:t>Outstanding Notes</w:t>
      </w:r>
      <w:r>
        <w:rPr>
          <w:rFonts w:ascii="Times New Roman" w:cs="Times New Roman" w:eastAsia="Times New Roman" w:hAnsi="Times New Roman"/>
          <w:sz w:val="16"/>
          <w:szCs w:val="16"/>
          <w:color w:val="auto"/>
        </w:rPr>
        <w:t>”) and (ii) the related solicitations of consents (collectively, the “</w:t>
      </w:r>
      <w:r>
        <w:rPr>
          <w:rFonts w:ascii="Times New Roman" w:cs="Times New Roman" w:eastAsia="Times New Roman" w:hAnsi="Times New Roman"/>
          <w:sz w:val="16"/>
          <w:szCs w:val="16"/>
          <w:u w:val="single" w:color="auto"/>
          <w:color w:val="auto"/>
        </w:rPr>
        <w:t>Consent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Solicitations</w:t>
      </w:r>
      <w:r>
        <w:rPr>
          <w:rFonts w:ascii="Times New Roman" w:cs="Times New Roman" w:eastAsia="Times New Roman" w:hAnsi="Times New Roman"/>
          <w:sz w:val="18"/>
          <w:szCs w:val="18"/>
          <w:color w:val="auto"/>
        </w:rPr>
        <w:t>”) to certain proposed amendments to the indentures governing the Outstanding Notes, in each case, upon the terms and subject to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conditions set forth in the Prospectus. The Exchange Notes are to be issued pursuant to the indenture, by and among Parent, the Subsidiary Guarantors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Ankura Trust Company, LLC, as trustee and collateral agent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The Exchange Notes will be guaranteed by each of the Subsidiary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on the terms set forth in the Indenture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right="380" w:firstLine="429"/>
        <w:spacing w:after="0" w:line="331" w:lineRule="auto"/>
        <w:rPr>
          <w:sz w:val="20"/>
          <w:szCs w:val="20"/>
          <w:color w:val="auto"/>
        </w:rPr>
      </w:pPr>
      <w:r>
        <w:rPr>
          <w:rFonts w:ascii="Times New Roman" w:cs="Times New Roman" w:eastAsia="Times New Roman" w:hAnsi="Times New Roman"/>
          <w:sz w:val="16"/>
          <w:szCs w:val="16"/>
          <w:color w:val="auto"/>
        </w:rPr>
        <w:t>This opinion is being furnished in accordance with the requirements of Item 601(b)(5) of Regulation S-K under the Act. This opinion letter is limited to the matters expressly stated herein and no opinions are to be inferred or may be implied beyond the opinions expressly so stated.</w:t>
      </w:r>
    </w:p>
    <w:p>
      <w:pPr>
        <w:sectPr>
          <w:pgSz w:w="11900" w:h="16838" w:orient="portrait"/>
          <w:cols w:equalWidth="0" w:num="1">
            <w:col w:w="10720"/>
          </w:cols>
          <w:pgMar w:left="580" w:top="119" w:right="599" w:bottom="1440" w:gutter="0" w:footer="0" w:header="0"/>
          <w:type w:val="continuous"/>
        </w:sectPr>
      </w:pPr>
    </w:p>
    <w:bookmarkStart w:id="227" w:name="page228"/>
    <w:bookmarkEnd w:id="227"/>
    <w:p>
      <w:pPr>
        <w:ind w:left="9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477010" cy="6673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0">
                      <a:extLst>
                        <a:ext uri="{28A0092B-C50C-407E-A947-70E740481C1C}"/>
                      </a:extLst>
                    </a:blip>
                    <a:srcRect/>
                    <a:stretch>
                      <a:fillRect/>
                    </a:stretch>
                  </pic:blipFill>
                  <pic:spPr bwMode="auto">
                    <a:xfrm>
                      <a:off x="0" y="0"/>
                      <a:ext cx="1477010" cy="667385"/>
                    </a:xfrm>
                    <a:prstGeom prst="rect">
                      <a:avLst/>
                    </a:prstGeom>
                    <a:noFill/>
                  </pic:spPr>
                </pic:pic>
              </a:graphicData>
            </a:graphic>
          </wp:anchor>
        </w:drawing>
      </w:r>
    </w:p>
    <w:p>
      <w:pPr>
        <w:spacing w:after="0" w:line="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this opinion, we have examined copies of the following documents:</w:t>
      </w:r>
    </w:p>
    <w:p>
      <w:pPr>
        <w:spacing w:after="0" w:line="122" w:lineRule="exact"/>
        <w:rPr>
          <w:sz w:val="20"/>
          <w:szCs w:val="20"/>
          <w:color w:val="auto"/>
        </w:rPr>
      </w:pPr>
    </w:p>
    <w:p>
      <w:pPr>
        <w:ind w:left="940" w:hanging="518"/>
        <w:spacing w:after="0"/>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Indenture;</w:t>
      </w:r>
    </w:p>
    <w:p>
      <w:pPr>
        <w:spacing w:after="0" w:line="121" w:lineRule="exact"/>
        <w:rPr>
          <w:rFonts w:ascii="Times New Roman" w:cs="Times New Roman" w:eastAsia="Times New Roman" w:hAnsi="Times New Roman"/>
          <w:sz w:val="18"/>
          <w:szCs w:val="18"/>
          <w:color w:val="auto"/>
        </w:rPr>
      </w:pPr>
    </w:p>
    <w:p>
      <w:pPr>
        <w:ind w:left="940" w:right="40" w:hanging="518"/>
        <w:spacing w:after="0" w:line="268" w:lineRule="auto"/>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Dealer Manager Agreement, dated July 19, 2022, by and among the Parent, the Subsidiary Guarantors and Lazard Frères &amp; Co. LLC, as dealer manager, relating to the Exchange Offers and Consent Solicitations;</w:t>
      </w:r>
    </w:p>
    <w:p>
      <w:pPr>
        <w:spacing w:after="0" w:line="76"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Exchange Notes;</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organization of each Company, as presently in effect;</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agreement of each Company, as presently in effect;</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adopted by the board of managers of each Company relating to the Registration Statement and related matters;</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incumbency certificate attested to by the corporate secretary of each Company; and</w:t>
      </w:r>
    </w:p>
    <w:p>
      <w:pPr>
        <w:spacing w:after="0" w:line="121" w:lineRule="exact"/>
        <w:rPr>
          <w:rFonts w:ascii="Times New Roman" w:cs="Times New Roman" w:eastAsia="Times New Roman" w:hAnsi="Times New Roman"/>
          <w:sz w:val="18"/>
          <w:szCs w:val="18"/>
          <w:color w:val="auto"/>
        </w:rPr>
      </w:pPr>
    </w:p>
    <w:p>
      <w:pPr>
        <w:ind w:left="940" w:right="440" w:hanging="518"/>
        <w:spacing w:after="0" w:line="268" w:lineRule="auto"/>
        <w:tabs>
          <w:tab w:leader="none" w:pos="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Subsistence with respect to each Company issued by the Secretary of the Commonwealth of the Commonwealth of Pennsylvania dated August 11, 2022 (collectively, the “</w:t>
      </w:r>
      <w:r>
        <w:rPr>
          <w:rFonts w:ascii="Times New Roman" w:cs="Times New Roman" w:eastAsia="Times New Roman" w:hAnsi="Times New Roman"/>
          <w:sz w:val="18"/>
          <w:szCs w:val="18"/>
          <w:u w:val="single" w:color="auto"/>
          <w:color w:val="auto"/>
        </w:rPr>
        <w:t>Certificates of Subsistence</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20" w:firstLine="429"/>
        <w:spacing w:after="0" w:line="247" w:lineRule="auto"/>
        <w:rPr>
          <w:sz w:val="20"/>
          <w:szCs w:val="20"/>
          <w:color w:val="auto"/>
        </w:rPr>
      </w:pPr>
      <w:r>
        <w:rPr>
          <w:rFonts w:ascii="Times New Roman" w:cs="Times New Roman" w:eastAsia="Times New Roman" w:hAnsi="Times New Roman"/>
          <w:sz w:val="18"/>
          <w:szCs w:val="18"/>
          <w:color w:val="auto"/>
        </w:rPr>
        <w:t>We have also examined and relied upon the originals, or copies certified to our satisfaction, of such records, documents, certificates, and other instruments as in our judgment are necessary or appropriate to enable us to render the opinion expressed below. Insofar as this opinion relates to factual matters, we have assumed with your permission and without independent investigation that the statements of the Parent, the Companies, and other Subsidiary Guarantors contained in the Registration Statement are true and correct as to all factual matters stated therein. 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officers of the Companies; and the due authorization, execution, and delivery of all documents where authorization, execution, and delivery are prerequisites to the effectiveness of such documents.</w:t>
      </w:r>
    </w:p>
    <w:p>
      <w:pPr>
        <w:spacing w:after="0" w:line="188" w:lineRule="exact"/>
        <w:rPr>
          <w:sz w:val="20"/>
          <w:szCs w:val="20"/>
          <w:color w:val="auto"/>
        </w:rPr>
      </w:pPr>
    </w:p>
    <w:p>
      <w:pPr>
        <w:ind w:firstLine="429"/>
        <w:spacing w:after="0" w:line="252" w:lineRule="auto"/>
        <w:rPr>
          <w:sz w:val="20"/>
          <w:szCs w:val="20"/>
          <w:color w:val="auto"/>
        </w:rPr>
      </w:pPr>
      <w:r>
        <w:rPr>
          <w:rFonts w:ascii="Times New Roman" w:cs="Times New Roman" w:eastAsia="Times New Roman" w:hAnsi="Times New Roman"/>
          <w:sz w:val="18"/>
          <w:szCs w:val="18"/>
          <w:color w:val="auto"/>
        </w:rPr>
        <w:t>Our opinion is expressed solely with respect to the laws of the Commonwealth of Pennsylvania. Our opinion is based on these laws as in effect on the date hereof, and we disclaim any undertaking to advise you of any subsequent changes in the facts stated or assumed herein or of any subsequent changes in applicable law. We are not rendering any opinion as to compliance with any federal or state antifraud law, rule, or regulation relating to securities, or to the sale or issuance thereof.</w:t>
      </w:r>
    </w:p>
    <w:p>
      <w:pPr>
        <w:sectPr>
          <w:pgSz w:w="11900" w:h="16838" w:orient="portrait"/>
          <w:cols w:equalWidth="0" w:num="1">
            <w:col w:w="10680"/>
          </w:cols>
          <w:pgMar w:left="580" w:top="266" w:right="639" w:bottom="1440" w:gutter="0" w:footer="0" w:header="0"/>
        </w:sectPr>
      </w:pPr>
    </w:p>
    <w:bookmarkStart w:id="228" w:name="page229"/>
    <w:bookmarkEnd w:id="228"/>
    <w:p>
      <w:pPr>
        <w:ind w:left="9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The GEO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477010" cy="6673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2">
                      <a:extLst>
                        <a:ext uri="{28A0092B-C50C-407E-A947-70E740481C1C}"/>
                      </a:extLst>
                    </a:blip>
                    <a:srcRect/>
                    <a:stretch>
                      <a:fillRect/>
                    </a:stretch>
                  </pic:blipFill>
                  <pic:spPr bwMode="auto">
                    <a:xfrm>
                      <a:off x="0" y="0"/>
                      <a:ext cx="1477010" cy="667385"/>
                    </a:xfrm>
                    <a:prstGeom prst="rect">
                      <a:avLst/>
                    </a:prstGeom>
                    <a:noFill/>
                  </pic:spPr>
                </pic:pic>
              </a:graphicData>
            </a:graphic>
          </wp:anchor>
        </w:drawing>
      </w:r>
    </w:p>
    <w:p>
      <w:pPr>
        <w:spacing w:after="0" w:line="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qualifications herein stated, we are of the opinion that:</w:t>
      </w:r>
    </w:p>
    <w:p>
      <w:pPr>
        <w:spacing w:after="0" w:line="108" w:lineRule="exact"/>
        <w:rPr>
          <w:sz w:val="20"/>
          <w:szCs w:val="20"/>
          <w:color w:val="auto"/>
        </w:rPr>
      </w:pPr>
    </w:p>
    <w:p>
      <w:pPr>
        <w:ind w:right="360" w:firstLine="430"/>
        <w:spacing w:after="0" w:line="268" w:lineRule="auto"/>
        <w:tabs>
          <w:tab w:leader="none" w:pos="67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Certificates of Subsistence, each Company is a Pennsylvania limited liability company that is validly subsisting under Pennsylvania law.</w:t>
      </w:r>
    </w:p>
    <w:p>
      <w:pPr>
        <w:spacing w:after="0" w:line="63" w:lineRule="exact"/>
        <w:rPr>
          <w:rFonts w:ascii="Times New Roman" w:cs="Times New Roman" w:eastAsia="Times New Roman" w:hAnsi="Times New Roman"/>
          <w:sz w:val="18"/>
          <w:szCs w:val="18"/>
          <w:color w:val="auto"/>
        </w:rPr>
      </w:pPr>
    </w:p>
    <w:p>
      <w:pPr>
        <w:ind w:right="120" w:firstLine="430"/>
        <w:spacing w:after="0" w:line="279" w:lineRule="auto"/>
        <w:tabs>
          <w:tab w:leader="none" w:pos="677"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Company, with respect to the Guarantees issued by each Company under the Indenture and offered under the Registration Statement (the “</w:t>
      </w:r>
      <w:r>
        <w:rPr>
          <w:rFonts w:ascii="Times New Roman" w:cs="Times New Roman" w:eastAsia="Times New Roman" w:hAnsi="Times New Roman"/>
          <w:sz w:val="16"/>
          <w:szCs w:val="16"/>
          <w:u w:val="single" w:color="auto"/>
          <w:color w:val="auto"/>
        </w:rPr>
        <w:t>Offered Guarantees</w:t>
      </w:r>
      <w:r>
        <w:rPr>
          <w:rFonts w:ascii="Times New Roman" w:cs="Times New Roman" w:eastAsia="Times New Roman" w:hAnsi="Times New Roman"/>
          <w:sz w:val="16"/>
          <w:szCs w:val="16"/>
          <w:color w:val="auto"/>
        </w:rPr>
        <w:t>”), provided that (i) the Registration Statement has become effective under the Act and the Prospectus has been delivered as required by such laws and the Indenture has been qualified under the Trust Indenture Act; (ii) the issuance of the Offered Guarantees has been duly authorized by the board of managers of each Company and by all other necessary limited liability company action; (iii) the issuance and sale of the Offered Guarantees does not violate any applicable law or the certificate of organization or the operating agreement of any Company, or result in a default under or breach of any agreement or instrument binding upon any Company and complies with any applicable requirement or restriction imposed by any court or governmental body having jurisdiction over any Company; (iv) the Indenture has been validly authorized, executed, and delivered by each Company; and (v) the Offered Guarantees and the Exchange Notes have been duly executed, authenticated, issued and delivered in accordance with the Indenture, and issued and sold as contemplated in the Registration Statement and the Prospectus, then the Offered Guarantees will be valid and binding obligations of each Company, enforceable against each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381" w:lineRule="exact"/>
        <w:rPr>
          <w:sz w:val="20"/>
          <w:szCs w:val="20"/>
          <w:color w:val="auto"/>
        </w:rPr>
      </w:pPr>
    </w:p>
    <w:p>
      <w:pPr>
        <w:ind w:firstLine="429"/>
        <w:spacing w:after="0" w:line="246" w:lineRule="auto"/>
        <w:rPr>
          <w:sz w:val="20"/>
          <w:szCs w:val="20"/>
          <w:color w:val="auto"/>
        </w:rPr>
      </w:pPr>
      <w:r>
        <w:rPr>
          <w:rFonts w:ascii="Times New Roman" w:cs="Times New Roman" w:eastAsia="Times New Roman" w:hAnsi="Times New Roman"/>
          <w:sz w:val="18"/>
          <w:szCs w:val="18"/>
          <w:color w:val="auto"/>
        </w:rPr>
        <w:t>This opinion letter is furnished to you in connection with the filing of the Registration Statement and, except as set forth below, may not be relied upon for any other purpose without our prior written consent in each instance. Further, no portion of this letter may be quoted, circulated or referred to in any other document for any other purpose without our prior written consent. Notwithstanding the foregoing, Skadden, Arps, Slate, Meagher &amp; Flom LLP and Akerman LLP, counsel to the Parent and the Subsidiary Guarantors, may rely upon this opinion with respect to matters set forth herein that are governed by Pennsylvania law for purposes of its opinion being delivered and filed as Exhibit 5.1 and 5.2, respectively, to the Registration Statement. We hereby consent to the filing of this opinion letter with the Commission as an exhibit to the Registration Statement in accordance with the requirements of Item 601(b)(5) of Regulation S-K under the Act and to the use of our name therein and in the related Prospectus under the caption “Legal Matters.” In giving such consent, we do not hereby admit that we are in the category of persons whose consent is required under Section 7 of the Act or the rules and regulations of the Commission.</w:t>
      </w:r>
    </w:p>
    <w:p>
      <w:pPr>
        <w:sectPr>
          <w:pgSz w:w="11900" w:h="16838" w:orient="portrait"/>
          <w:cols w:equalWidth="0" w:num="1">
            <w:col w:w="10720"/>
          </w:cols>
          <w:pgMar w:left="580" w:top="266" w:right="599" w:bottom="1440" w:gutter="0" w:footer="0" w:header="0"/>
        </w:sectPr>
      </w:pPr>
    </w:p>
    <w:bookmarkStart w:id="229" w:name="page230"/>
    <w:bookmarkEnd w:id="229"/>
    <w:p>
      <w:pPr>
        <w:ind w:left="90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GEO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477010" cy="6673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4">
                      <a:extLst>
                        <a:ext uri="{28A0092B-C50C-407E-A947-70E740481C1C}"/>
                      </a:extLst>
                    </a:blip>
                    <a:srcRect/>
                    <a:stretch>
                      <a:fillRect/>
                    </a:stretch>
                  </pic:blipFill>
                  <pic:spPr bwMode="auto">
                    <a:xfrm>
                      <a:off x="0" y="0"/>
                      <a:ext cx="1477010" cy="667385"/>
                    </a:xfrm>
                    <a:prstGeom prst="rect">
                      <a:avLst/>
                    </a:prstGeom>
                    <a:noFill/>
                  </pic:spPr>
                </pic:pic>
              </a:graphicData>
            </a:graphic>
          </wp:anchor>
        </w:drawing>
      </w:r>
    </w:p>
    <w:p>
      <w:pPr>
        <w:spacing w:after="0" w:line="24"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August 15, 2022</w:t>
      </w:r>
    </w:p>
    <w:p>
      <w:pPr>
        <w:spacing w:after="0" w:line="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35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Eckert Seamans Cherin &amp; Mellott, LLC</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ECKERT SEAMANS CHERIN &amp;</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MELLOTT, LLC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BLM/MDE</w:t>
      </w:r>
    </w:p>
    <w:p>
      <w:pPr>
        <w:sectPr>
          <w:pgSz w:w="11900" w:h="16838" w:orient="portrait"/>
          <w:cols w:equalWidth="0" w:num="1">
            <w:col w:w="10540"/>
          </w:cols>
          <w:pgMar w:left="580" w:top="266" w:right="77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2420620" cy="3752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5">
                      <a:extLst>
                        <a:ext uri="{28A0092B-C50C-407E-A947-70E740481C1C}"/>
                      </a:extLst>
                    </a:blip>
                    <a:srcRect/>
                    <a:stretch>
                      <a:fillRect/>
                    </a:stretch>
                  </pic:blipFill>
                  <pic:spPr bwMode="auto">
                    <a:xfrm>
                      <a:off x="0" y="0"/>
                      <a:ext cx="2420620"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15,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 33431</w:t>
      </w:r>
    </w:p>
    <w:p>
      <w:pPr>
        <w:spacing w:after="0" w:line="222" w:lineRule="exact"/>
        <w:rPr>
          <w:sz w:val="20"/>
          <w:szCs w:val="20"/>
          <w:color w:val="auto"/>
        </w:rPr>
      </w:pPr>
    </w:p>
    <w:p>
      <w:pPr>
        <w:ind w:left="420"/>
        <w:spacing w:after="0"/>
        <w:tabs>
          <w:tab w:leader="none" w:pos="9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Form S-4 Registration Statement of The Geo Group,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06" w:lineRule="exact"/>
        <w:rPr>
          <w:sz w:val="20"/>
          <w:szCs w:val="20"/>
          <w:color w:val="auto"/>
        </w:rPr>
      </w:pPr>
    </w:p>
    <w:p>
      <w:pPr>
        <w:ind w:right="40" w:firstLine="429"/>
        <w:spacing w:after="0" w:line="245" w:lineRule="auto"/>
        <w:rPr>
          <w:sz w:val="20"/>
          <w:szCs w:val="20"/>
          <w:color w:val="auto"/>
        </w:rPr>
      </w:pPr>
      <w:r>
        <w:rPr>
          <w:rFonts w:ascii="Times New Roman" w:cs="Times New Roman" w:eastAsia="Times New Roman" w:hAnsi="Times New Roman"/>
          <w:sz w:val="18"/>
          <w:szCs w:val="18"/>
          <w:color w:val="auto"/>
        </w:rPr>
        <w:t>We have acted as special counsel in the State of Wyoming (the “</w:t>
      </w:r>
      <w:r>
        <w:rPr>
          <w:rFonts w:ascii="Times New Roman" w:cs="Times New Roman" w:eastAsia="Times New Roman" w:hAnsi="Times New Roman"/>
          <w:sz w:val="18"/>
          <w:szCs w:val="18"/>
          <w:b w:val="1"/>
          <w:bCs w:val="1"/>
          <w:color w:val="auto"/>
        </w:rPr>
        <w:t>State</w:t>
      </w:r>
      <w:r>
        <w:rPr>
          <w:rFonts w:ascii="Times New Roman" w:cs="Times New Roman" w:eastAsia="Times New Roman" w:hAnsi="Times New Roman"/>
          <w:sz w:val="18"/>
          <w:szCs w:val="18"/>
          <w:color w:val="auto"/>
        </w:rPr>
        <w:t>”) for CCC Wyoming Properties, LLC, a Wyoming limited liability company, and Community Alternatives, an unregistered Wyoming general partnership (collectively, the “</w:t>
      </w:r>
      <w:r>
        <w:rPr>
          <w:rFonts w:ascii="Times New Roman" w:cs="Times New Roman" w:eastAsia="Times New Roman" w:hAnsi="Times New Roman"/>
          <w:sz w:val="18"/>
          <w:szCs w:val="18"/>
          <w:b w:val="1"/>
          <w:bCs w:val="1"/>
          <w:color w:val="auto"/>
        </w:rPr>
        <w:t>Wyoming Entities</w:t>
      </w:r>
      <w:r>
        <w:rPr>
          <w:rFonts w:ascii="Times New Roman" w:cs="Times New Roman" w:eastAsia="Times New Roman" w:hAnsi="Times New Roman"/>
          <w:sz w:val="18"/>
          <w:szCs w:val="18"/>
          <w:color w:val="auto"/>
        </w:rPr>
        <w:t>”) in connection with that certain registration statement on Form S-4 filed with the Securities and Exchange Commission on July 19, 2022 by The GEO Group, Inc., a Florida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the Wyoming Entities and certain other subsidiaries of the Parent (collectively, the “</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Amendment No. 1 thereto dated August 15, 2022 (such registration statement, as so amended, being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Registration Statement registers (i) the offers to exchange (the “</w:t>
      </w:r>
      <w:r>
        <w:rPr>
          <w:rFonts w:ascii="Times New Roman" w:cs="Times New Roman" w:eastAsia="Times New Roman" w:hAnsi="Times New Roman"/>
          <w:sz w:val="18"/>
          <w:szCs w:val="18"/>
          <w:b w:val="1"/>
          <w:bCs w:val="1"/>
          <w:color w:val="auto"/>
        </w:rPr>
        <w:t>Exchange Offers</w:t>
      </w:r>
      <w:r>
        <w:rPr>
          <w:rFonts w:ascii="Times New Roman" w:cs="Times New Roman" w:eastAsia="Times New Roman" w:hAnsi="Times New Roman"/>
          <w:sz w:val="18"/>
          <w:szCs w:val="18"/>
          <w:color w:val="auto"/>
        </w:rPr>
        <w:t>”) up to $484,568,000 aggregate principal amount of the Parent’s 10.500% Senior Second Lien Secured Notes due 2028 (the “</w:t>
      </w:r>
      <w:r>
        <w:rPr>
          <w:rFonts w:ascii="Times New Roman" w:cs="Times New Roman" w:eastAsia="Times New Roman" w:hAnsi="Times New Roman"/>
          <w:sz w:val="18"/>
          <w:szCs w:val="18"/>
          <w:b w:val="1"/>
          <w:bCs w:val="1"/>
          <w:color w:val="auto"/>
        </w:rPr>
        <w:t>New Notes</w:t>
      </w:r>
      <w:r>
        <w:rPr>
          <w:rFonts w:ascii="Times New Roman" w:cs="Times New Roman" w:eastAsia="Times New Roman" w:hAnsi="Times New Roman"/>
          <w:sz w:val="18"/>
          <w:szCs w:val="18"/>
          <w:color w:val="auto"/>
        </w:rPr>
        <w:t>”) for any and all validly tendered and outstanding 5.125% Senior Notes due April 1, 2023 and 5.875% Senior Notes due October 15, 2024 (collectively, the “</w:t>
      </w:r>
      <w:r>
        <w:rPr>
          <w:rFonts w:ascii="Times New Roman" w:cs="Times New Roman" w:eastAsia="Times New Roman" w:hAnsi="Times New Roman"/>
          <w:sz w:val="18"/>
          <w:szCs w:val="18"/>
          <w:b w:val="1"/>
          <w:bCs w:val="1"/>
          <w:color w:val="auto"/>
        </w:rPr>
        <w:t>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(ii) certain necessary consents that are being solicited (collectively, the “</w:t>
      </w:r>
      <w:r>
        <w:rPr>
          <w:rFonts w:ascii="Times New Roman" w:cs="Times New Roman" w:eastAsia="Times New Roman" w:hAnsi="Times New Roman"/>
          <w:sz w:val="18"/>
          <w:szCs w:val="18"/>
          <w:b w:val="1"/>
          <w:bCs w:val="1"/>
          <w:color w:val="auto"/>
        </w:rPr>
        <w:t>Consent Solicitations</w:t>
      </w:r>
      <w:r>
        <w:rPr>
          <w:rFonts w:ascii="Times New Roman" w:cs="Times New Roman" w:eastAsia="Times New Roman" w:hAnsi="Times New Roman"/>
          <w:sz w:val="18"/>
          <w:szCs w:val="18"/>
          <w:color w:val="auto"/>
        </w:rPr>
        <w:t>”), and (iii) guarantees of the New Notes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Guarantors of the Parent, including the Wyoming Entities, which are part of the listed Schedule A “Table of Subsidiary Guarantors” included as part of the Registration Statement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The Exchange Offers will be as set forth in the prospectus forming a part of the Registration Statement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as supplemented by one or more supplements to the Prospectus. The New Notes will be issued pursuant to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entered into by and among the Parent, the Subsidiary Guarantors and Ankura Trust Company, LLC, as trustee and collateral agent.</w:t>
      </w:r>
    </w:p>
    <w:p>
      <w:pPr>
        <w:spacing w:after="0" w:line="198" w:lineRule="exact"/>
        <w:rPr>
          <w:sz w:val="20"/>
          <w:szCs w:val="20"/>
          <w:color w:val="auto"/>
        </w:rPr>
      </w:pPr>
    </w:p>
    <w:p>
      <w:pPr>
        <w:ind w:right="380" w:firstLine="429"/>
        <w:spacing w:after="0" w:line="331" w:lineRule="auto"/>
        <w:rPr>
          <w:sz w:val="20"/>
          <w:szCs w:val="20"/>
          <w:color w:val="auto"/>
        </w:rPr>
      </w:pPr>
      <w:r>
        <w:rPr>
          <w:rFonts w:ascii="Times New Roman" w:cs="Times New Roman" w:eastAsia="Times New Roman" w:hAnsi="Times New Roman"/>
          <w:sz w:val="16"/>
          <w:szCs w:val="16"/>
          <w:color w:val="auto"/>
        </w:rPr>
        <w:t>This opinion is being furnished in accordance with the requirements of Item 601(b)(5) of Regulation S-K under the Act. This opinion letter is limited to the matters expressly stated herein and no opinions are to be inferred or may be implied beyond the opinions expressly so stated.</w:t>
      </w:r>
    </w:p>
    <w:p>
      <w:pPr>
        <w:spacing w:after="0" w:line="123" w:lineRule="exact"/>
        <w:rPr>
          <w:sz w:val="20"/>
          <w:szCs w:val="20"/>
          <w:color w:val="auto"/>
        </w:rPr>
      </w:pPr>
    </w:p>
    <w:p>
      <w:pPr>
        <w:ind w:right="260" w:firstLine="429"/>
        <w:spacing w:after="0" w:line="268"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reviewed drafts of the following documents, each to be dated as of the date of this letter unless otherwise indicated (collectively, items (A) through (J), the “</w:t>
      </w:r>
      <w:r>
        <w:rPr>
          <w:rFonts w:ascii="Times New Roman" w:cs="Times New Roman" w:eastAsia="Times New Roman" w:hAnsi="Times New Roman"/>
          <w:sz w:val="18"/>
          <w:szCs w:val="18"/>
          <w:b w:val="1"/>
          <w:bCs w:val="1"/>
          <w:color w:val="auto"/>
        </w:rPr>
        <w:t>Opinion Documents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Registration Statement, including the Prospectus;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The form of the New Notes;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 307.739.9741 F 307.739.9744</w:t>
            </w: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Alaska</w:t>
            </w:r>
          </w:p>
        </w:tc>
        <w:tc>
          <w:tcPr>
            <w:tcW w:w="1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Montana</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Utah</w:t>
            </w:r>
          </w:p>
        </w:tc>
      </w:tr>
      <w:tr>
        <w:trPr>
          <w:trHeight w:val="210"/>
        </w:trPr>
        <w:tc>
          <w:tcPr>
            <w:tcW w:w="6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645 South Cache Street, Suite 100, Jackson, WY 83001</w:t>
            </w: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Colorado</w:t>
            </w:r>
          </w:p>
        </w:tc>
        <w:tc>
          <w:tcPr>
            <w:tcW w:w="1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Nevada</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Washington, D.C.</w:t>
            </w:r>
          </w:p>
        </w:tc>
      </w:tr>
      <w:tr>
        <w:trPr>
          <w:trHeight w:val="210"/>
        </w:trPr>
        <w:tc>
          <w:tcPr>
            <w:tcW w:w="6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Mail to: P.O. Box 68, Jackson, WY 83001-0068</w:t>
            </w:r>
          </w:p>
        </w:tc>
        <w:tc>
          <w:tcPr>
            <w:tcW w:w="1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Idaho</w:t>
            </w:r>
          </w:p>
        </w:tc>
        <w:tc>
          <w:tcPr>
            <w:tcW w:w="1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Mexico</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Wyoming</w:t>
            </w:r>
          </w:p>
        </w:tc>
      </w:tr>
      <w:tr>
        <w:trPr>
          <w:trHeight w:val="242"/>
        </w:trPr>
        <w:tc>
          <w:tcPr>
            <w:tcW w:w="6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www.hollandhart.com</w:t>
            </w:r>
          </w:p>
        </w:tc>
        <w:tc>
          <w:tcPr>
            <w:tcW w:w="108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r>
    </w:tbl>
    <w:p>
      <w:pPr>
        <w:sectPr>
          <w:pgSz w:w="11900" w:h="16838" w:orient="portrait"/>
          <w:cols w:equalWidth="0" w:num="1">
            <w:col w:w="10720"/>
          </w:cols>
          <w:pgMar w:left="580" w:top="119" w:right="59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420620" cy="3752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7">
                      <a:extLst>
                        <a:ext uri="{28A0092B-C50C-407E-A947-70E740481C1C}"/>
                      </a:extLst>
                    </a:blip>
                    <a:srcRect/>
                    <a:stretch>
                      <a:fillRect/>
                    </a:stretch>
                  </pic:blipFill>
                  <pic:spPr bwMode="auto">
                    <a:xfrm>
                      <a:off x="0" y="0"/>
                      <a:ext cx="2420620" cy="37528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301" w:lineRule="exact"/>
        <w:rPr>
          <w:sz w:val="20"/>
          <w:szCs w:val="20"/>
          <w:color w:val="auto"/>
        </w:rPr>
      </w:pPr>
    </w:p>
    <w:p>
      <w:pPr>
        <w:ind w:left="940" w:hanging="518"/>
        <w:spacing w:after="0"/>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Indenture;</w:t>
      </w:r>
    </w:p>
    <w:p>
      <w:pPr>
        <w:spacing w:after="0" w:line="121" w:lineRule="exact"/>
        <w:rPr>
          <w:rFonts w:ascii="Times New Roman" w:cs="Times New Roman" w:eastAsia="Times New Roman" w:hAnsi="Times New Roman"/>
          <w:sz w:val="18"/>
          <w:szCs w:val="18"/>
          <w:color w:val="auto"/>
        </w:rPr>
      </w:pPr>
    </w:p>
    <w:p>
      <w:pPr>
        <w:ind w:left="940" w:hanging="518"/>
        <w:spacing w:after="0"/>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for the New Notes;</w:t>
      </w:r>
    </w:p>
    <w:p>
      <w:pPr>
        <w:spacing w:after="0" w:line="121" w:lineRule="exact"/>
        <w:rPr>
          <w:rFonts w:ascii="Times New Roman" w:cs="Times New Roman" w:eastAsia="Times New Roman" w:hAnsi="Times New Roman"/>
          <w:sz w:val="18"/>
          <w:szCs w:val="18"/>
          <w:color w:val="auto"/>
        </w:rPr>
      </w:pPr>
    </w:p>
    <w:p>
      <w:pPr>
        <w:ind w:left="940" w:right="20" w:hanging="518"/>
        <w:spacing w:after="0" w:line="268"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Dealer Manager Agreement, dated July 19, 2022, by and among the Parent, the Subsidiary Guarantors and Lazard Frères &amp; Co. LLC, as dealer manager, relating to the Exchange Offers and Consent Solicitations;</w:t>
      </w:r>
    </w:p>
    <w:p>
      <w:pPr>
        <w:spacing w:after="0" w:line="74" w:lineRule="exact"/>
        <w:rPr>
          <w:rFonts w:ascii="Times New Roman" w:cs="Times New Roman" w:eastAsia="Times New Roman" w:hAnsi="Times New Roman"/>
          <w:sz w:val="18"/>
          <w:szCs w:val="18"/>
          <w:color w:val="auto"/>
        </w:rPr>
      </w:pPr>
    </w:p>
    <w:p>
      <w:pPr>
        <w:ind w:left="940" w:right="640" w:hanging="518"/>
        <w:spacing w:after="0" w:line="270"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Organization for CCC Wyoming Properties, LLC dated as of November 17, 1998 (the “</w:t>
      </w:r>
      <w:r>
        <w:rPr>
          <w:rFonts w:ascii="Times New Roman" w:cs="Times New Roman" w:eastAsia="Times New Roman" w:hAnsi="Times New Roman"/>
          <w:sz w:val="18"/>
          <w:szCs w:val="18"/>
          <w:b w:val="1"/>
          <w:bCs w:val="1"/>
          <w:color w:val="auto"/>
        </w:rPr>
        <w:t>CCC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 and certified by the Secretary of State of the State of Wyoming;</w:t>
      </w:r>
    </w:p>
    <w:p>
      <w:pPr>
        <w:spacing w:after="0" w:line="75" w:lineRule="exact"/>
        <w:rPr>
          <w:rFonts w:ascii="Times New Roman" w:cs="Times New Roman" w:eastAsia="Times New Roman" w:hAnsi="Times New Roman"/>
          <w:sz w:val="18"/>
          <w:szCs w:val="18"/>
          <w:color w:val="auto"/>
        </w:rPr>
      </w:pPr>
    </w:p>
    <w:p>
      <w:pPr>
        <w:ind w:left="940" w:right="180" w:hanging="518"/>
        <w:spacing w:after="0" w:line="268"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Operating Agreement of CCC Wyoming Properties, LLC, a Wyoming limited liability company, dated as of December 17, 1998 (the “</w:t>
      </w:r>
      <w:r>
        <w:rPr>
          <w:rFonts w:ascii="Times New Roman" w:cs="Times New Roman" w:eastAsia="Times New Roman" w:hAnsi="Times New Roman"/>
          <w:sz w:val="18"/>
          <w:szCs w:val="18"/>
          <w:b w:val="1"/>
          <w:bCs w:val="1"/>
          <w:color w:val="auto"/>
        </w:rPr>
        <w:t>CCC Operating Agreement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40" w:right="380" w:hanging="518"/>
        <w:spacing w:after="0" w:line="268"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Partnership Agreement of Community Alternatives, a Wyoming general partnership, dated as of October [undated], 2017 (the “</w:t>
      </w:r>
      <w:r>
        <w:rPr>
          <w:rFonts w:ascii="Times New Roman" w:cs="Times New Roman" w:eastAsia="Times New Roman" w:hAnsi="Times New Roman"/>
          <w:sz w:val="18"/>
          <w:szCs w:val="18"/>
          <w:b w:val="1"/>
          <w:bCs w:val="1"/>
          <w:color w:val="auto"/>
        </w:rPr>
        <w:t>CA A&amp;R Partnership Agreement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40" w:right="100" w:hanging="518"/>
        <w:spacing w:after="0" w:line="268"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existence for the CCC Wyoming Properties, LLC, issued by the Secretary of State of the State of Wyoming on August 11, 2022 (the “</w:t>
      </w:r>
      <w:r>
        <w:rPr>
          <w:rFonts w:ascii="Times New Roman" w:cs="Times New Roman" w:eastAsia="Times New Roman" w:hAnsi="Times New Roman"/>
          <w:sz w:val="18"/>
          <w:szCs w:val="18"/>
          <w:b w:val="1"/>
          <w:bCs w:val="1"/>
          <w:color w:val="auto"/>
        </w:rPr>
        <w:t>CCC Good Standing Certificate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40" w:right="500" w:hanging="518"/>
        <w:spacing w:after="0" w:line="268"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dated July 19, 2022 containing certain resolutions adopted by the managing bodies of the Wyoming Entities relating to the Registration Statement, Guarantees and related matters; and</w:t>
      </w:r>
    </w:p>
    <w:p>
      <w:pPr>
        <w:spacing w:after="0" w:line="76" w:lineRule="exact"/>
        <w:rPr>
          <w:rFonts w:ascii="Times New Roman" w:cs="Times New Roman" w:eastAsia="Times New Roman" w:hAnsi="Times New Roman"/>
          <w:sz w:val="18"/>
          <w:szCs w:val="18"/>
          <w:color w:val="auto"/>
        </w:rPr>
      </w:pPr>
    </w:p>
    <w:p>
      <w:pPr>
        <w:ind w:left="940" w:right="60" w:hanging="518"/>
        <w:spacing w:after="0" w:line="268"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Parent, the members and managing member of CCC Wyoming Properties, LLC and the general partners of Community Alternatives in relation the foregoing.</w:t>
      </w:r>
    </w:p>
    <w:p>
      <w:pPr>
        <w:spacing w:after="0" w:line="167" w:lineRule="exact"/>
        <w:rPr>
          <w:sz w:val="20"/>
          <w:szCs w:val="20"/>
          <w:color w:val="auto"/>
        </w:rPr>
      </w:pPr>
    </w:p>
    <w:p>
      <w:pPr>
        <w:ind w:right="160" w:firstLine="429"/>
        <w:spacing w:after="0" w:line="249" w:lineRule="auto"/>
        <w:rPr>
          <w:sz w:val="20"/>
          <w:szCs w:val="20"/>
          <w:color w:val="auto"/>
        </w:rPr>
      </w:pPr>
      <w:r>
        <w:rPr>
          <w:rFonts w:ascii="Times New Roman" w:cs="Times New Roman" w:eastAsia="Times New Roman" w:hAnsi="Times New Roman"/>
          <w:sz w:val="18"/>
          <w:szCs w:val="18"/>
          <w:color w:val="auto"/>
        </w:rPr>
        <w:t>Items (F) through (J) are referred to as the “</w:t>
      </w:r>
      <w:r>
        <w:rPr>
          <w:rFonts w:ascii="Times New Roman" w:cs="Times New Roman" w:eastAsia="Times New Roman" w:hAnsi="Times New Roman"/>
          <w:sz w:val="18"/>
          <w:szCs w:val="18"/>
          <w:b w:val="1"/>
          <w:bCs w:val="1"/>
          <w:color w:val="auto"/>
        </w:rPr>
        <w:t>Authority Documents</w:t>
      </w:r>
      <w:r>
        <w:rPr>
          <w:rFonts w:ascii="Times New Roman" w:cs="Times New Roman" w:eastAsia="Times New Roman" w:hAnsi="Times New Roman"/>
          <w:sz w:val="18"/>
          <w:szCs w:val="18"/>
          <w:color w:val="auto"/>
        </w:rPr>
        <w:t>.” We have not represented the Wyoming Entities in matters other than in connection with the preparation of this opinion letter. We have conducted such inquiries and examinations of applicable laws of the State as we have deemed necessary or appropriate for rendering the opinions set forth in this letter. As to factual matters we have relied, without independent investigation, upon the certifications made in the Opinion Documents and certificates delivered to us in relation to the Opinion Documents. There may exist matters of a legal or a factual nature that could have a bearing on our opinions with respect to which we have not been consulted, or of which we are otherwise unaware.</w:t>
      </w:r>
    </w:p>
    <w:p>
      <w:pPr>
        <w:spacing w:after="0" w:line="186" w:lineRule="exact"/>
        <w:rPr>
          <w:sz w:val="20"/>
          <w:szCs w:val="20"/>
          <w:color w:val="auto"/>
        </w:rPr>
      </w:pPr>
    </w:p>
    <w:p>
      <w:pPr>
        <w:ind w:right="280" w:firstLine="429"/>
        <w:spacing w:after="0" w:line="252" w:lineRule="auto"/>
        <w:rPr>
          <w:sz w:val="20"/>
          <w:szCs w:val="20"/>
          <w:color w:val="auto"/>
        </w:rPr>
      </w:pPr>
      <w:r>
        <w:rPr>
          <w:rFonts w:ascii="Times New Roman" w:cs="Times New Roman" w:eastAsia="Times New Roman" w:hAnsi="Times New Roman"/>
          <w:sz w:val="18"/>
          <w:szCs w:val="18"/>
          <w:color w:val="auto"/>
        </w:rPr>
        <w:t>We have not reviewed any documents other than the Opinion Documents and, other than in connection with obtaining the CCC Good Standing Certificate, we have not conducted any examination of any public records, and the opinions rendered herein are limited accordingly. The opinions expressed herein relate solely to the Opinion Documents and not to any other documents, agreements, instruments or exhibits referred to in or incorporated by reference into any of the Opinion Documents.</w:t>
      </w:r>
    </w:p>
    <w:p>
      <w:pPr>
        <w:sectPr>
          <w:pgSz w:w="11900" w:h="16838" w:orient="portrait"/>
          <w:cols w:equalWidth="0" w:num="1">
            <w:col w:w="10720"/>
          </w:cols>
          <w:pgMar w:left="580" w:top="266" w:right="59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420620" cy="3752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9">
                      <a:extLst>
                        <a:ext uri="{28A0092B-C50C-407E-A947-70E740481C1C}"/>
                      </a:extLst>
                    </a:blip>
                    <a:srcRect/>
                    <a:stretch>
                      <a:fillRect/>
                    </a:stretch>
                  </pic:blipFill>
                  <pic:spPr bwMode="auto">
                    <a:xfrm>
                      <a:off x="0" y="0"/>
                      <a:ext cx="2420620" cy="37528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301" w:lineRule="exact"/>
        <w:rPr>
          <w:sz w:val="20"/>
          <w:szCs w:val="20"/>
          <w:color w:val="auto"/>
        </w:rPr>
      </w:pPr>
    </w:p>
    <w:p>
      <w:pPr>
        <w:ind w:firstLine="429"/>
        <w:spacing w:after="0" w:line="246" w:lineRule="auto"/>
        <w:rPr>
          <w:sz w:val="20"/>
          <w:szCs w:val="20"/>
          <w:color w:val="auto"/>
        </w:rPr>
      </w:pPr>
      <w:r>
        <w:rPr>
          <w:rFonts w:ascii="Times New Roman" w:cs="Times New Roman" w:eastAsia="Times New Roman" w:hAnsi="Times New Roman"/>
          <w:sz w:val="18"/>
          <w:szCs w:val="18"/>
          <w:color w:val="auto"/>
        </w:rPr>
        <w:t>In rendering the opinions set forth herein, we have assumed: (a) the Registration Statement, and any amendments thereto (including post-effective amendments), will have become effective and the New Notes and Guarantees will be issued and sold in compliance with applicable federal and state securities laws and in the manner described in the Registration Statement and any applicable supplement to the Prospectus contained in the Registration Statement; (b) that the persons signing all documents in connection with which this opinion is rendered are genuine; (c) the authenticity of all documents submitted to us as originals, the conformity to original documents of all documents submitted to us as copies; (d) the conditions precedent described in opinion 3, clauses (i) through (iii) have occurred; (e) the Authority Documents remain in full force and effect and there have been no amendments, resolutions, substitutions, replacements, or restatements of, or otherwise relating to, the Authority Documents that would affect the legal existence, powers, authority or authorized rights to transact business as contemplated by the Authority Documents and as the Registration Statement; and (f) legally valid and sufficient consideration has been given to the Wyoming Entities for the Guarantees.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foregoing and subject to the qualifications hereinafter set forth, it is our opinion that:</w:t>
      </w:r>
    </w:p>
    <w:p>
      <w:pPr>
        <w:spacing w:after="0" w:line="108" w:lineRule="exact"/>
        <w:rPr>
          <w:sz w:val="20"/>
          <w:szCs w:val="20"/>
          <w:color w:val="auto"/>
        </w:rPr>
      </w:pPr>
    </w:p>
    <w:p>
      <w:pPr>
        <w:ind w:right="320" w:firstLine="430"/>
        <w:spacing w:after="0" w:line="268" w:lineRule="auto"/>
        <w:tabs>
          <w:tab w:leader="none" w:pos="60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CCC Good Standing Certificate, CCC Wyoming Properties, LLC is limited liability company validly existing under the laws of the State.</w:t>
      </w:r>
    </w:p>
    <w:p>
      <w:pPr>
        <w:spacing w:after="0" w:line="63" w:lineRule="exact"/>
        <w:rPr>
          <w:rFonts w:ascii="Times New Roman" w:cs="Times New Roman" w:eastAsia="Times New Roman" w:hAnsi="Times New Roman"/>
          <w:sz w:val="18"/>
          <w:szCs w:val="18"/>
          <w:color w:val="auto"/>
        </w:rPr>
      </w:pPr>
    </w:p>
    <w:p>
      <w:pPr>
        <w:ind w:left="600" w:hanging="170"/>
        <w:spacing w:after="0"/>
        <w:tabs>
          <w:tab w:leader="none" w:pos="6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Alternatives is an unregistered general partnership under Wyoming law.</w:t>
      </w:r>
    </w:p>
    <w:p>
      <w:pPr>
        <w:spacing w:after="0" w:line="108" w:lineRule="exact"/>
        <w:rPr>
          <w:rFonts w:ascii="Times New Roman" w:cs="Times New Roman" w:eastAsia="Times New Roman" w:hAnsi="Times New Roman"/>
          <w:sz w:val="18"/>
          <w:szCs w:val="18"/>
          <w:color w:val="auto"/>
        </w:rPr>
      </w:pPr>
    </w:p>
    <w:p>
      <w:pPr>
        <w:ind w:right="40" w:firstLine="430"/>
        <w:spacing w:after="0" w:line="249" w:lineRule="auto"/>
        <w:tabs>
          <w:tab w:leader="none" w:pos="60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Guarantees issued by the Wyoming Entities, (a) CCC Wyoming Properties, LLC has the limited liability company power and authority, (b) Community Alternatives has the general partnership power and authority, to execute, deliver and perform its obligations under the Indenture and the Guarantees under the laws of the State, and (c) the Guarantees will constitute the valid and binding obligation of the Wyoming Entities, enforceable against the Wyoming Entities in accordance with their terms under the laws of the State, provided, however, that the opinion in this Section 3 is expressly subject to the following conditions precedent having occurred (and as to which no opinion is given):</w:t>
      </w:r>
    </w:p>
    <w:p>
      <w:pPr>
        <w:spacing w:after="0" w:line="96" w:lineRule="exact"/>
        <w:rPr>
          <w:sz w:val="20"/>
          <w:szCs w:val="20"/>
          <w:color w:val="auto"/>
        </w:rPr>
      </w:pPr>
    </w:p>
    <w:p>
      <w:pPr>
        <w:ind w:left="940" w:right="180" w:hanging="518"/>
        <w:spacing w:after="0" w:line="249" w:lineRule="auto"/>
        <w:tabs>
          <w:tab w:leader="none" w:pos="9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terms of any Guarantees by the Wyoming Entities and the terms of the offering thereof shall have been (A) duly established in conformity with the applicable Indenture qualified under the Trust Indenture Act of 1939, so as to (I) comply with and not violate any applicable law, or rule or regulation thereunder applicable to the Wyoming Entities, (II) not affect the enforceability of such Guarantees or result in a default under or breach of any agreement or instrument binding on the Wyoming Entities, and (III) comply with any requirement or</w:t>
      </w:r>
    </w:p>
    <w:p>
      <w:pPr>
        <w:sectPr>
          <w:pgSz w:w="11900" w:h="16838" w:orient="portrait"/>
          <w:cols w:equalWidth="0" w:num="1">
            <w:col w:w="10720"/>
          </w:cols>
          <w:pgMar w:left="580" w:top="266" w:right="59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2420620" cy="3752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1">
                      <a:extLst>
                        <a:ext uri="{28A0092B-C50C-407E-A947-70E740481C1C}"/>
                      </a:extLst>
                    </a:blip>
                    <a:srcRect/>
                    <a:stretch>
                      <a:fillRect/>
                    </a:stretch>
                  </pic:blipFill>
                  <pic:spPr bwMode="auto">
                    <a:xfrm>
                      <a:off x="0" y="0"/>
                      <a:ext cx="2420620" cy="37528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301"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restriction imposed by any court or governmental body having jurisdiction over the Wyoming Entities and (B) duly authorized by proper action of the members and managing member of CCC Wyoming Properties, LLC in accordance with the CCC Articles of Organization and the CCC Operating Agreement, and duly authorized by proper action of the general partners of Community Alternatives in accordance with the CA A&amp;R Partnership Agreement;</w:t>
      </w:r>
    </w:p>
    <w:p>
      <w:pPr>
        <w:spacing w:after="0" w:line="90" w:lineRule="exact"/>
        <w:rPr>
          <w:sz w:val="20"/>
          <w:szCs w:val="20"/>
          <w:color w:val="auto"/>
        </w:rPr>
      </w:pPr>
    </w:p>
    <w:p>
      <w:pPr>
        <w:ind w:left="520" w:hanging="518"/>
        <w:spacing w:after="0"/>
        <w:tabs>
          <w:tab w:leader="none" w:pos="52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Wyoming Entities shall have taken the required steps to authorize the execution and delivery of the Indenture and the Guarantees; and</w:t>
      </w:r>
    </w:p>
    <w:p>
      <w:pPr>
        <w:spacing w:after="0" w:line="144" w:lineRule="exact"/>
        <w:rPr>
          <w:rFonts w:ascii="Times New Roman" w:cs="Times New Roman" w:eastAsia="Times New Roman" w:hAnsi="Times New Roman"/>
          <w:sz w:val="16"/>
          <w:szCs w:val="16"/>
          <w:color w:val="auto"/>
        </w:rPr>
      </w:pPr>
    </w:p>
    <w:p>
      <w:pPr>
        <w:ind w:left="520" w:right="260" w:hanging="518"/>
        <w:spacing w:after="0" w:line="256"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shall have been duly executed, authenticated, issued and delivered in accordance with any applicable underwriting agreement, the Indenture and any and issued and sold as contemplated in the Registration Statement, the Prospectus and any Prospectus Supplement relating thereto.</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 and limitations: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We express no opinion concerning the validity or enforceability of any provisions contained in the Indenture or Guarantees.</w:t>
      </w:r>
    </w:p>
    <w:p>
      <w:pPr>
        <w:spacing w:after="0" w:line="108" w:lineRule="exact"/>
        <w:rPr>
          <w:sz w:val="20"/>
          <w:szCs w:val="20"/>
          <w:color w:val="auto"/>
        </w:rPr>
      </w:pPr>
    </w:p>
    <w:p>
      <w:pPr>
        <w:ind w:left="20" w:right="120" w:firstLine="412"/>
        <w:spacing w:after="0" w:line="252" w:lineRule="auto"/>
        <w:rPr>
          <w:sz w:val="20"/>
          <w:szCs w:val="20"/>
          <w:color w:val="auto"/>
        </w:rPr>
      </w:pPr>
      <w:r>
        <w:rPr>
          <w:rFonts w:ascii="Times New Roman" w:cs="Times New Roman" w:eastAsia="Times New Roman" w:hAnsi="Times New Roman"/>
          <w:sz w:val="18"/>
          <w:szCs w:val="18"/>
          <w:color w:val="auto"/>
        </w:rPr>
        <w:t>B. We express no opinion to any financial matters relating to the Wyoming Entities or the financial condition of the Wyoming Entities. We express no opinion as to the effect of or compliance with any federal or state securities laws and “Blue Sky” laws. We do not undertake to update or revise the opinions set forth herein should facts or laws which subsequently become known to us cause such opinions to be inaccurate or incomplete.</w:t>
      </w:r>
    </w:p>
    <w:p>
      <w:pPr>
        <w:spacing w:after="0" w:line="77" w:lineRule="exact"/>
        <w:rPr>
          <w:sz w:val="20"/>
          <w:szCs w:val="20"/>
          <w:color w:val="auto"/>
        </w:rPr>
      </w:pPr>
    </w:p>
    <w:p>
      <w:pPr>
        <w:ind w:left="20" w:right="100" w:firstLine="412"/>
        <w:spacing w:after="0" w:line="248" w:lineRule="auto"/>
        <w:rPr>
          <w:sz w:val="20"/>
          <w:szCs w:val="20"/>
          <w:color w:val="auto"/>
        </w:rPr>
      </w:pPr>
      <w:r>
        <w:rPr>
          <w:rFonts w:ascii="Times New Roman" w:cs="Times New Roman" w:eastAsia="Times New Roman" w:hAnsi="Times New Roman"/>
          <w:sz w:val="18"/>
          <w:szCs w:val="18"/>
          <w:color w:val="auto"/>
        </w:rPr>
        <w:t>C. Our opinions are subject to the effect of, and the rights and remedies set forth in the Guarantees may be limited by, (i) applicable bankruptcy, insolvency, fraudulent conveyance, reorganization, moratorium or similar state or federal debtor relief laws of general application relating to or affecting the enforcement of the rights of creditors in general, including, without limitation, any executive or similar orders of general application, (ii) general principles of equity by which a court with proper jurisdiction may deny rights of specific performance, injunction and other remedies, regardless of whether such enforceability is considered in a proceeding in equity or at law, and (iii) principles of diligence, good faith, fair dealing, reasonableness, conscionability, materiality, and other equitable defenses.</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No opinion is expressed regarding the effect of, or compliance with any: (i) United States federal laws; (ii) (a) securities laws;</w:t>
      </w:r>
    </w:p>
    <w:p>
      <w:pPr>
        <w:spacing w:after="0" w:line="21" w:lineRule="exact"/>
        <w:rPr>
          <w:sz w:val="20"/>
          <w:szCs w:val="20"/>
          <w:color w:val="auto"/>
        </w:rPr>
      </w:pPr>
    </w:p>
    <w:p>
      <w:pPr>
        <w:ind w:left="20" w:right="80" w:hanging="10"/>
        <w:spacing w:after="0" w:line="245" w:lineRule="auto"/>
        <w:tabs>
          <w:tab w:leader="none" w:pos="26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laws; (c) tax laws; (d) environmental laws; (iii) laws of any counties, towns, municipalities, or special political subdivisions (whether created or enabled through legislative action at the state or regional level), land use, environmental, zoning, subdivision, and building laws; or (iv) judicial decisions to the extent that they deal with any of the foregoing.</w:t>
      </w:r>
    </w:p>
    <w:p>
      <w:pPr>
        <w:sectPr>
          <w:pgSz w:w="11900" w:h="16838" w:orient="portrait"/>
          <w:cols w:equalWidth="0" w:num="1">
            <w:col w:w="10300"/>
          </w:cols>
          <w:pgMar w:left="1000" w:top="266" w:right="59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420620" cy="3752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3">
                      <a:extLst>
                        <a:ext uri="{28A0092B-C50C-407E-A947-70E740481C1C}"/>
                      </a:extLst>
                    </a:blip>
                    <a:srcRect/>
                    <a:stretch>
                      <a:fillRect/>
                    </a:stretch>
                  </pic:blipFill>
                  <pic:spPr bwMode="auto">
                    <a:xfrm>
                      <a:off x="0" y="0"/>
                      <a:ext cx="2420620" cy="37528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301" w:lineRule="exact"/>
        <w:rPr>
          <w:sz w:val="20"/>
          <w:szCs w:val="20"/>
          <w:color w:val="auto"/>
        </w:rPr>
      </w:pPr>
    </w:p>
    <w:p>
      <w:pPr>
        <w:ind w:right="40" w:firstLine="429"/>
        <w:spacing w:after="0" w:line="252" w:lineRule="auto"/>
        <w:rPr>
          <w:sz w:val="20"/>
          <w:szCs w:val="20"/>
          <w:color w:val="auto"/>
        </w:rPr>
      </w:pPr>
      <w:r>
        <w:rPr>
          <w:rFonts w:ascii="Times New Roman" w:cs="Times New Roman" w:eastAsia="Times New Roman" w:hAnsi="Times New Roman"/>
          <w:sz w:val="18"/>
          <w:szCs w:val="18"/>
          <w:color w:val="auto"/>
        </w:rPr>
        <w:t>Our opinions are based solely upon the laws of the State in effect as of this date, and are limited in all respects to the laws of the State. We express no opinion as to the effect of the laws of any other jurisdiction, domestic or foreign. We expressly disavow any obligation to advise you with respect to future changes in applicable laws of the State or in our knowledge or as to any event or change of condition or facts occurring subsequent to the date of this letter, regardless of whether such event or change might change the opinions expressed above.</w:t>
      </w:r>
    </w:p>
    <w:p>
      <w:pPr>
        <w:spacing w:after="0" w:line="182" w:lineRule="exact"/>
        <w:rPr>
          <w:sz w:val="20"/>
          <w:szCs w:val="20"/>
          <w:color w:val="auto"/>
        </w:rPr>
      </w:pPr>
    </w:p>
    <w:p>
      <w:pPr>
        <w:ind w:right="40" w:firstLine="429"/>
        <w:spacing w:after="0" w:line="249" w:lineRule="auto"/>
        <w:rPr>
          <w:sz w:val="20"/>
          <w:szCs w:val="20"/>
          <w:color w:val="auto"/>
        </w:rPr>
      </w:pPr>
      <w:r>
        <w:rPr>
          <w:rFonts w:ascii="Times New Roman" w:cs="Times New Roman" w:eastAsia="Times New Roman" w:hAnsi="Times New Roman"/>
          <w:sz w:val="18"/>
          <w:szCs w:val="18"/>
          <w:color w:val="auto"/>
        </w:rPr>
        <w:t>The opinions expressed in this letter are strictly limited to the matters stated herein, and no other opinions may be implied. This opinion is given as of the date hereof, and upon facts now known to us, and we undertake no, and hereby disclaim any, obligation to advise you of any change in any matter set forth herein, including, but not limited to, any event or change of condition or facts occurring subsequent to the date of this letter, regardless of whether such event or change might change the opinions expressed above. These opinions are provided as legal opinions only, effective as of the date of this letter, and not as representations of fact.</w:t>
      </w:r>
    </w:p>
    <w:p>
      <w:pPr>
        <w:spacing w:after="0" w:line="188" w:lineRule="exact"/>
        <w:rPr>
          <w:sz w:val="20"/>
          <w:szCs w:val="20"/>
          <w:color w:val="auto"/>
        </w:rPr>
      </w:pPr>
    </w:p>
    <w:p>
      <w:pPr>
        <w:ind w:right="200" w:firstLine="429"/>
        <w:spacing w:after="0" w:line="256" w:lineRule="auto"/>
        <w:rPr>
          <w:sz w:val="20"/>
          <w:szCs w:val="20"/>
          <w:color w:val="auto"/>
        </w:rPr>
      </w:pPr>
      <w:r>
        <w:rPr>
          <w:rFonts w:ascii="Times New Roman" w:cs="Times New Roman" w:eastAsia="Times New Roman" w:hAnsi="Times New Roman"/>
          <w:sz w:val="18"/>
          <w:szCs w:val="18"/>
          <w:color w:val="auto"/>
        </w:rPr>
        <w:t>This letter has been provided at the request of the Wyoming Entities in connection with the Registration Statement and is solely for your benefit and is not to be used, circulated, disclosed to, published to, quoted or otherwise referred to for any other purpose or relied upon by any other person, without our express written permission.</w:t>
      </w:r>
    </w:p>
    <w:p>
      <w:pPr>
        <w:spacing w:after="0" w:line="179" w:lineRule="exact"/>
        <w:rPr>
          <w:sz w:val="20"/>
          <w:szCs w:val="20"/>
          <w:color w:val="auto"/>
        </w:rPr>
      </w:pPr>
    </w:p>
    <w:p>
      <w:pPr>
        <w:ind w:right="60" w:firstLine="429"/>
        <w:spacing w:after="0" w:line="249" w:lineRule="auto"/>
        <w:rPr>
          <w:sz w:val="20"/>
          <w:szCs w:val="20"/>
          <w:color w:val="auto"/>
        </w:rPr>
      </w:pPr>
      <w:r>
        <w:rPr>
          <w:rFonts w:ascii="Times New Roman" w:cs="Times New Roman" w:eastAsia="Times New Roman" w:hAnsi="Times New Roman"/>
          <w:sz w:val="18"/>
          <w:szCs w:val="18"/>
          <w:color w:val="auto"/>
        </w:rPr>
        <w:t>Notwithstanding the foregoing, we hereby consent to the filing of this opinion letter as an exhibit to the Registration Statement. By giving such consent, we do not admit that we are within the category of persons whose consent is required under Section 7 of the Securities Act. Akerman LLP and Skadden, Arps, Slate, Meagher &amp; Flom LLP are authorized to rely upon this opinion letter in connection with the Registration Statement with respect to matters set forth herein that are governed by Wyoming law in connection with the opinion letter to be submitted by such firm with respect to the Registration Statement.</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Holland &amp; Hart LLP</w:t>
      </w:r>
    </w:p>
    <w:sectPr>
      <w:pgSz w:w="11900" w:h="16838" w:orient="portrait"/>
      <w:cols w:equalWidth="0" w:num="1">
        <w:col w:w="10720"/>
      </w:cols>
      <w:pgMar w:left="58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1)"/>
      <w:numFmt w:val="decimal"/>
      <w:start w:val="7"/>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1)"/>
      <w:numFmt w:val="lowerRoman"/>
      <w:start w:val="3"/>
    </w:lvl>
  </w:abstractNum>
  <w:abstractNum w:abstractNumId="4">
    <w:nsid w:val="14FCE74E"/>
    <w:multiLevelType w:val="hybridMultilevel"/>
    <w:lvl w:ilvl="0">
      <w:lvlJc w:val="left"/>
      <w:lvlText w:val="(%1)"/>
      <w:numFmt w:val="decimal"/>
      <w:start w:val="2"/>
    </w:lvl>
  </w:abstractNum>
  <w:abstractNum w:abstractNumId="5">
    <w:nsid w:val="6A3DD3E8"/>
    <w:multiLevelType w:val="hybridMultilevel"/>
    <w:lvl w:ilvl="0">
      <w:lvlJc w:val="left"/>
      <w:lvlText w:val="(%1)"/>
      <w:numFmt w:val="lowerLetter"/>
      <w:start w:val="4"/>
    </w:lvl>
  </w:abstractNum>
  <w:abstractNum w:abstractNumId="6">
    <w:nsid w:val="71C91298"/>
    <w:multiLevelType w:val="hybridMultilevel"/>
    <w:lvl w:ilvl="0">
      <w:lvlJc w:val="left"/>
      <w:lvlText w:val="(%1)"/>
      <w:numFmt w:val="lowerRoman"/>
      <w:start w:val="1"/>
    </w:lvl>
  </w:abstractNum>
  <w:abstractNum w:abstractNumId="7">
    <w:nsid w:val="9DAF632"/>
    <w:multiLevelType w:val="hybridMultilevel"/>
    <w:lvl w:ilvl="0">
      <w:lvlJc w:val="left"/>
      <w:lvlText w:val="(%1)"/>
      <w:numFmt w:val="lowerRoman"/>
      <w:start w:val="1"/>
    </w:lvl>
  </w:abstractNum>
  <w:abstractNum w:abstractNumId="8">
    <w:nsid w:val="53299938"/>
    <w:multiLevelType w:val="hybridMultilevel"/>
    <w:lvl w:ilvl="0">
      <w:lvlJc w:val="left"/>
      <w:lvlText w:val="%1"/>
      <w:numFmt w:val="upperLetter"/>
      <w:start w:val="55"/>
    </w:lvl>
  </w:abstractNum>
  <w:abstractNum w:abstractNumId="9">
    <w:nsid w:val="1FBFE8E0"/>
    <w:multiLevelType w:val="hybridMultilevel"/>
    <w:lvl w:ilvl="0">
      <w:lvlJc w:val="left"/>
      <w:lvlText w:val="%1"/>
      <w:numFmt w:val="decimal"/>
      <w:start w:val="107"/>
    </w:lvl>
  </w:abstractNum>
  <w:abstractNum w:abstractNumId="10">
    <w:nsid w:val="5092CA79"/>
    <w:multiLevelType w:val="hybridMultilevel"/>
    <w:lvl w:ilvl="0">
      <w:lvlJc w:val="left"/>
      <w:lvlText w:val="**"/>
      <w:numFmt w:val="bullet"/>
      <w:start w:val="1"/>
    </w:lvl>
  </w:abstractNum>
  <w:abstractNum w:abstractNumId="11">
    <w:nsid w:val="1D545C4D"/>
    <w:multiLevelType w:val="hybridMultilevel"/>
    <w:lvl w:ilvl="0">
      <w:lvlJc w:val="left"/>
      <w:lvlText w:val="***"/>
      <w:numFmt w:val="bullet"/>
      <w:start w:val="1"/>
    </w:lvl>
  </w:abstractNum>
  <w:abstractNum w:abstractNumId="12">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288F1A3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4">
    <w:nsid w:val="2A155DB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
    <w:nsid w:val="1D9F6E5F"/>
    <w:multiLevelType w:val="hybridMultilevel"/>
    <w:lvl w:ilvl="0">
      <w:lvlJc w:val="left"/>
      <w:lvlText w:val="*"/>
      <w:numFmt w:val="bullet"/>
      <w:start w:val="1"/>
    </w:lvl>
  </w:abstractNum>
  <w:abstractNum w:abstractNumId="16">
    <w:nsid w:val="97E1B4E"/>
    <w:multiLevelType w:val="hybridMultilevel"/>
    <w:lvl w:ilvl="0">
      <w:lvlJc w:val="left"/>
      <w:lvlText w:val="*"/>
      <w:numFmt w:val="bullet"/>
      <w:start w:val="1"/>
    </w:lvl>
  </w:abstractNum>
  <w:abstractNum w:abstractNumId="17">
    <w:nsid w:val="51088277"/>
    <w:multiLevelType w:val="hybridMultilevel"/>
    <w:lvl w:ilvl="0">
      <w:lvlJc w:val="left"/>
      <w:lvlText w:val="(%1)"/>
      <w:numFmt w:val="decimal"/>
      <w:start w:val="1"/>
    </w:lvl>
  </w:abstractNum>
  <w:abstractNum w:abstractNumId="18">
    <w:nsid w:val="1CA0C5FA"/>
    <w:multiLevelType w:val="hybridMultilevel"/>
    <w:lvl w:ilvl="0">
      <w:lvlJc w:val="left"/>
      <w:lvlText w:val="(%1)"/>
      <w:numFmt w:val="lowerRoman"/>
      <w:start w:val="2"/>
    </w:lvl>
    <w:lvl w:ilvl="1">
      <w:lvlJc w:val="left"/>
      <w:lvlText w:val="(%2)"/>
      <w:numFmt w:val="lowerRoman"/>
      <w:start w:val="2"/>
    </w:lvl>
  </w:abstractNum>
  <w:abstractNum w:abstractNumId="19">
    <w:nsid w:val="53584BCB"/>
    <w:multiLevelType w:val="hybridMultilevel"/>
    <w:lvl w:ilvl="0">
      <w:lvlJc w:val="left"/>
      <w:lvlText w:val="(%1)"/>
      <w:numFmt w:val="lowerRoman"/>
      <w:start w:val="4"/>
    </w:lvl>
  </w:abstractNum>
  <w:abstractNum w:abstractNumId="20">
    <w:nsid w:val="415E286C"/>
    <w:multiLevelType w:val="hybridMultilevel"/>
    <w:lvl w:ilvl="0">
      <w:lvlJc w:val="left"/>
      <w:lvlText w:val="(%1)"/>
      <w:numFmt w:val="decimal"/>
      <w:start w:val="4"/>
    </w:lvl>
  </w:abstractNum>
  <w:abstractNum w:abstractNumId="21">
    <w:nsid w:val="7C58FD05"/>
    <w:multiLevelType w:val="hybridMultilevel"/>
    <w:lvl w:ilvl="0">
      <w:lvlJc w:val="left"/>
      <w:lvlText w:val="(%1)"/>
      <w:numFmt w:val="decimal"/>
      <w:start w:val="1"/>
    </w:lvl>
  </w:abstractNum>
  <w:abstractNum w:abstractNumId="22">
    <w:nsid w:val="23D86AAC"/>
    <w:multiLevelType w:val="hybridMultilevel"/>
    <w:lvl w:ilvl="0">
      <w:lvlJc w:val="left"/>
      <w:lvlText w:val="(%1)"/>
      <w:numFmt w:val="decimal"/>
      <w:start w:val="1"/>
    </w:lvl>
  </w:abstractNum>
  <w:abstractNum w:abstractNumId="23">
    <w:nsid w:val="45E6D486"/>
    <w:multiLevelType w:val="hybridMultilevel"/>
    <w:lvl w:ilvl="0">
      <w:lvlJc w:val="left"/>
      <w:lvlText w:val="(%1)"/>
      <w:numFmt w:val="decimal"/>
      <w:start w:val="1"/>
    </w:lvl>
  </w:abstractNum>
  <w:abstractNum w:abstractNumId="24">
    <w:nsid w:val="5C10FE21"/>
    <w:multiLevelType w:val="hybridMultilevel"/>
    <w:lvl w:ilvl="0">
      <w:lvlJc w:val="left"/>
      <w:lvlText w:val="(%1)"/>
      <w:numFmt w:val="lowerRoman"/>
      <w:start w:val="2"/>
    </w:lvl>
  </w:abstractNum>
  <w:abstractNum w:abstractNumId="25">
    <w:nsid w:val="E7FFA2B"/>
    <w:multiLevelType w:val="hybridMultilevel"/>
    <w:lvl w:ilvl="0">
      <w:lvlJc w:val="left"/>
      <w:lvlText w:val="(%1)"/>
      <w:numFmt w:val="decimal"/>
      <w:start w:val="1"/>
    </w:lvl>
  </w:abstractNum>
  <w:abstractNum w:abstractNumId="26">
    <w:nsid w:val="3C5991AA"/>
    <w:multiLevelType w:val="hybridMultilevel"/>
    <w:lvl w:ilvl="0">
      <w:lvlJc w:val="left"/>
      <w:lvlText w:val="(%1)"/>
      <w:numFmt w:val="decimal"/>
      <w:start w:val="1"/>
    </w:lvl>
  </w:abstractNum>
  <w:abstractNum w:abstractNumId="27">
    <w:nsid w:val="4BD8591A"/>
    <w:multiLevelType w:val="hybridMultilevel"/>
    <w:lvl w:ilvl="0">
      <w:lvlJc w:val="left"/>
      <w:lvlText w:val="(%1)"/>
      <w:numFmt w:val="decimal"/>
      <w:start w:val="5"/>
    </w:lvl>
  </w:abstractNum>
  <w:abstractNum w:abstractNumId="28">
    <w:nsid w:val="78DF6A55"/>
    <w:multiLevelType w:val="hybridMultilevel"/>
    <w:lvl w:ilvl="0">
      <w:lvlJc w:val="left"/>
      <w:lvlText w:val="(%1)"/>
      <w:numFmt w:val="decimal"/>
      <w:start w:val="1"/>
    </w:lvl>
  </w:abstractNum>
  <w:abstractNum w:abstractNumId="29">
    <w:nsid w:val="39B7AAA2"/>
    <w:multiLevelType w:val="hybridMultilevel"/>
    <w:lvl w:ilvl="0">
      <w:lvlJc w:val="left"/>
      <w:lvlText w:val="(%1)"/>
      <w:numFmt w:val="decimal"/>
      <w:start w:val="3"/>
    </w:lvl>
  </w:abstractNum>
  <w:abstractNum w:abstractNumId="30">
    <w:nsid w:val="2B0D8DBE"/>
    <w:multiLevelType w:val="hybridMultilevel"/>
    <w:lvl w:ilvl="0">
      <w:lvlJc w:val="left"/>
      <w:lvlText w:val="%1"/>
      <w:numFmt w:val="lowerLetter"/>
      <w:start w:val="1"/>
    </w:lvl>
    <w:lvl w:ilvl="1">
      <w:lvlJc w:val="left"/>
      <w:lvlText w:val="(%2)"/>
      <w:numFmt w:val="decimal"/>
      <w:start w:val="1"/>
    </w:lvl>
  </w:abstractNum>
  <w:abstractNum w:abstractNumId="31">
    <w:nsid w:val="6C80EC70"/>
    <w:multiLevelType w:val="hybridMultilevel"/>
    <w:lvl w:ilvl="0">
      <w:lvlJc w:val="left"/>
      <w:lvlText w:val="(%1)"/>
      <w:numFmt w:val="lowerLetter"/>
      <w:start w:val="1"/>
    </w:lvl>
    <w:lvl w:ilvl="1">
      <w:lvlJc w:val="left"/>
      <w:lvlText w:val="(%2)"/>
      <w:numFmt w:val="decimal"/>
      <w:start w:val="2"/>
    </w:lvl>
  </w:abstractNum>
  <w:abstractNum w:abstractNumId="32">
    <w:nsid w:val="379E21B5"/>
    <w:multiLevelType w:val="hybridMultilevel"/>
    <w:lvl w:ilvl="0">
      <w:lvlJc w:val="left"/>
      <w:lvlText w:val="(%1)"/>
      <w:numFmt w:val="lowerRoman"/>
      <w:start w:val="1"/>
    </w:lvl>
  </w:abstractNum>
  <w:abstractNum w:abstractNumId="33">
    <w:nsid w:val="69E373"/>
    <w:multiLevelType w:val="hybridMultilevel"/>
    <w:lvl w:ilvl="0">
      <w:lvlJc w:val="left"/>
      <w:lvlText w:val="%1"/>
      <w:numFmt w:val="lowerLetter"/>
      <w:start w:val="1"/>
    </w:lvl>
    <w:lvl w:ilvl="1">
      <w:lvlJc w:val="left"/>
      <w:lvlText w:val="(%2)"/>
      <w:numFmt w:val="decimal"/>
      <w:start w:val="1"/>
    </w:lvl>
  </w:abstractNum>
  <w:abstractNum w:abstractNumId="34">
    <w:nsid w:val="2C27173B"/>
    <w:multiLevelType w:val="hybridMultilevel"/>
    <w:lvl w:ilvl="0">
      <w:lvlJc w:val="left"/>
      <w:lvlText w:val="(%1)"/>
      <w:numFmt w:val="lowerLetter"/>
      <w:start w:val="1"/>
    </w:lvl>
    <w:lvl w:ilvl="1">
      <w:lvlJc w:val="left"/>
      <w:lvlText w:val="%2"/>
      <w:numFmt w:val="decimal"/>
      <w:start w:val="1"/>
    </w:lvl>
  </w:abstractNum>
  <w:abstractNum w:abstractNumId="35">
    <w:nsid w:val="4C9B0904"/>
    <w:multiLevelType w:val="hybridMultilevel"/>
    <w:lvl w:ilvl="0">
      <w:lvlJc w:val="left"/>
      <w:lvlText w:val="(%1)"/>
      <w:numFmt w:val="decimal"/>
      <w:start w:val="3"/>
    </w:lvl>
  </w:abstractNum>
  <w:abstractNum w:abstractNumId="36">
    <w:nsid w:val="6AA7B75C"/>
    <w:multiLevelType w:val="hybridMultilevel"/>
    <w:lvl w:ilvl="0">
      <w:lvlJc w:val="left"/>
      <w:lvlText w:val="(%1)"/>
      <w:numFmt w:val="decimal"/>
      <w:start w:val="1"/>
    </w:lvl>
  </w:abstractNum>
  <w:abstractNum w:abstractNumId="37">
    <w:nsid w:val="1DF029D3"/>
    <w:multiLevelType w:val="hybridMultilevel"/>
    <w:lvl w:ilvl="0">
      <w:lvlJc w:val="left"/>
      <w:lvlText w:val="(%1)"/>
      <w:numFmt w:val="decimal"/>
      <w:start w:val="1"/>
    </w:lvl>
  </w:abstractNum>
  <w:abstractNum w:abstractNumId="38">
    <w:nsid w:val="5675FF36"/>
    <w:multiLevelType w:val="hybridMultilevel"/>
    <w:lvl w:ilvl="0">
      <w:lvlJc w:val="left"/>
      <w:lvlText w:val="%1"/>
      <w:numFmt w:val="lowerRoman"/>
      <w:start w:val="1"/>
    </w:lvl>
    <w:lvl w:ilvl="1">
      <w:lvlJc w:val="left"/>
      <w:lvlText w:val="(%2)"/>
      <w:numFmt w:val="decimal"/>
      <w:start w:val="14"/>
    </w:lvl>
  </w:abstractNum>
  <w:abstractNum w:abstractNumId="39">
    <w:nsid w:val="3DD15094"/>
    <w:multiLevelType w:val="hybridMultilevel"/>
    <w:lvl w:ilvl="0">
      <w:lvlJc w:val="left"/>
      <w:lvlText w:val="(%1)"/>
      <w:numFmt w:val="lowerRoman"/>
      <w:start w:val="2"/>
    </w:lvl>
    <w:lvl w:ilvl="1">
      <w:lvlJc w:val="left"/>
      <w:lvlText w:val="(%2)"/>
      <w:numFmt w:val="decimal"/>
      <w:start w:val="18"/>
    </w:lvl>
  </w:abstractNum>
  <w:abstractNum w:abstractNumId="40">
    <w:nsid w:val="3DB012B3"/>
    <w:multiLevelType w:val="hybridMultilevel"/>
    <w:lvl w:ilvl="0">
      <w:lvlJc w:val="left"/>
      <w:lvlText w:val="(%1)"/>
      <w:numFmt w:val="decimal"/>
      <w:start w:val="1"/>
    </w:lvl>
  </w:abstractNum>
  <w:abstractNum w:abstractNumId="41">
    <w:nsid w:val="2708C9AF"/>
    <w:multiLevelType w:val="hybridMultilevel"/>
    <w:lvl w:ilvl="0">
      <w:lvlJc w:val="left"/>
      <w:lvlText w:val="(%1)"/>
      <w:numFmt w:val="decimal"/>
      <w:start w:val="3"/>
    </w:lvl>
  </w:abstractNum>
  <w:abstractNum w:abstractNumId="42">
    <w:nsid w:val="5B25ACE2"/>
    <w:multiLevelType w:val="hybridMultilevel"/>
    <w:lvl w:ilvl="0">
      <w:lvlJc w:val="left"/>
      <w:lvlText w:val="(%1)"/>
      <w:numFmt w:val="decimal"/>
      <w:start w:val="16"/>
    </w:lvl>
  </w:abstractNum>
  <w:abstractNum w:abstractNumId="43">
    <w:nsid w:val="175DFCF0"/>
    <w:multiLevelType w:val="hybridMultilevel"/>
    <w:lvl w:ilvl="0">
      <w:lvlJc w:val="left"/>
      <w:lvlText w:val="(%1)"/>
      <w:numFmt w:val="decimal"/>
      <w:start w:val="1"/>
    </w:lvl>
  </w:abstractNum>
  <w:abstractNum w:abstractNumId="44">
    <w:nsid w:val="4F97E3E4"/>
    <w:multiLevelType w:val="hybridMultilevel"/>
    <w:lvl w:ilvl="0">
      <w:lvlJc w:val="left"/>
      <w:lvlText w:val="(%1)"/>
      <w:numFmt w:val="lowerLetter"/>
      <w:start w:val="2"/>
    </w:lvl>
  </w:abstractNum>
  <w:abstractNum w:abstractNumId="45">
    <w:nsid w:val="53B0A9E"/>
    <w:multiLevelType w:val="hybridMultilevel"/>
    <w:lvl w:ilvl="0">
      <w:lvlJc w:val="left"/>
      <w:lvlText w:val="(%1)"/>
      <w:numFmt w:val="lowerLetter"/>
      <w:start w:val="61"/>
    </w:lvl>
  </w:abstractNum>
  <w:abstractNum w:abstractNumId="46">
    <w:nsid w:val="34FD6B4F"/>
    <w:multiLevelType w:val="hybridMultilevel"/>
    <w:lvl w:ilvl="0">
      <w:lvlJc w:val="left"/>
      <w:lvlText w:val="(%1)"/>
      <w:numFmt w:val="decimal"/>
      <w:start w:val="1"/>
    </w:lvl>
  </w:abstractNum>
  <w:abstractNum w:abstractNumId="47">
    <w:nsid w:val="5915FF32"/>
    <w:multiLevelType w:val="hybridMultilevel"/>
    <w:lvl w:ilvl="0">
      <w:lvlJc w:val="left"/>
      <w:lvlText w:val="(%1)"/>
      <w:numFmt w:val="decimal"/>
      <w:start w:val="1"/>
    </w:lvl>
  </w:abstractNum>
  <w:abstractNum w:abstractNumId="48">
    <w:nsid w:val="56438D15"/>
    <w:multiLevelType w:val="hybridMultilevel"/>
    <w:lvl w:ilvl="0">
      <w:lvlJc w:val="left"/>
      <w:lvlText w:val="(%1)"/>
      <w:numFmt w:val="decimal"/>
      <w:start w:val="3"/>
    </w:lvl>
  </w:abstractNum>
  <w:abstractNum w:abstractNumId="49">
    <w:nsid w:val="519E3149"/>
    <w:multiLevelType w:val="hybridMultilevel"/>
    <w:lvl w:ilvl="0">
      <w:lvlJc w:val="left"/>
      <w:lvlText w:val="(%1)"/>
      <w:numFmt w:val="decimal"/>
      <w:start w:val="1"/>
    </w:lvl>
  </w:abstractNum>
  <w:abstractNum w:abstractNumId="50">
    <w:nsid w:val="2C6E4AFD"/>
    <w:multiLevelType w:val="hybridMultilevel"/>
    <w:lvl w:ilvl="0">
      <w:lvlJc w:val="left"/>
      <w:lvlText w:val="(%1)"/>
      <w:numFmt w:val="lowerRoman"/>
      <w:start w:val="1"/>
    </w:lvl>
  </w:abstractNum>
  <w:abstractNum w:abstractNumId="51">
    <w:nsid w:val="17A1B582"/>
    <w:multiLevelType w:val="hybridMultilevel"/>
    <w:lvl w:ilvl="0">
      <w:lvlJc w:val="left"/>
      <w:lvlText w:val="(%1)"/>
      <w:numFmt w:val="lowerRoman"/>
      <w:start w:val="3"/>
    </w:lvl>
  </w:abstractNum>
  <w:abstractNum w:abstractNumId="52">
    <w:nsid w:val="4DF72E4E"/>
    <w:multiLevelType w:val="hybridMultilevel"/>
    <w:lvl w:ilvl="0">
      <w:lvlJc w:val="left"/>
      <w:lvlText w:val="(%1)"/>
      <w:numFmt w:val="lowerLetter"/>
      <w:start w:val="1"/>
    </w:lvl>
  </w:abstractNum>
  <w:abstractNum w:abstractNumId="53">
    <w:nsid w:val="5046B5A9"/>
    <w:multiLevelType w:val="hybridMultilevel"/>
    <w:lvl w:ilvl="0">
      <w:lvlJc w:val="left"/>
      <w:lvlText w:val="(%1)"/>
      <w:numFmt w:val="lowerLetter"/>
      <w:start w:val="2"/>
    </w:lvl>
  </w:abstractNum>
  <w:abstractNum w:abstractNumId="54">
    <w:nsid w:val="5D888A08"/>
    <w:multiLevelType w:val="hybridMultilevel"/>
    <w:lvl w:ilvl="0">
      <w:lvlJc w:val="left"/>
      <w:lvlText w:val="(%1)"/>
      <w:numFmt w:val="upperLetter"/>
      <w:start w:val="1"/>
    </w:lvl>
  </w:abstractNum>
  <w:abstractNum w:abstractNumId="55">
    <w:nsid w:val="2A082C70"/>
    <w:multiLevelType w:val="hybridMultilevel"/>
    <w:lvl w:ilvl="0">
      <w:lvlJc w:val="left"/>
      <w:lvlText w:val="(%1)"/>
      <w:numFmt w:val="upperLetter"/>
      <w:start w:val="2"/>
    </w:lvl>
    <w:lvl w:ilvl="1">
      <w:lvlJc w:val="left"/>
      <w:lvlText w:val="(%2)"/>
      <w:numFmt w:val="decimal"/>
      <w:start w:val="1"/>
    </w:lvl>
  </w:abstractNum>
  <w:abstractNum w:abstractNumId="56">
    <w:nsid w:val="5EC6AFD4"/>
    <w:multiLevelType w:val="hybridMultilevel"/>
    <w:lvl w:ilvl="0">
      <w:lvlJc w:val="left"/>
      <w:lvlText w:val="(%1)"/>
      <w:numFmt w:val="lowerLetter"/>
      <w:start w:val="2"/>
    </w:lvl>
  </w:abstractNum>
  <w:abstractNum w:abstractNumId="57">
    <w:nsid w:val="19E21BB2"/>
    <w:multiLevelType w:val="hybridMultilevel"/>
    <w:lvl w:ilvl="0">
      <w:lvlJc w:val="left"/>
      <w:lvlText w:val=","/>
      <w:numFmt w:val="bullet"/>
      <w:start w:val="1"/>
    </w:lvl>
  </w:abstractNum>
  <w:abstractNum w:abstractNumId="58">
    <w:nsid w:val="75E0858A"/>
    <w:multiLevelType w:val="hybridMultilevel"/>
    <w:lvl w:ilvl="0">
      <w:lvlJc w:val="left"/>
      <w:lvlText w:val="(%1)"/>
      <w:numFmt w:val="lowerLetter"/>
      <w:start w:val="1"/>
    </w:lvl>
  </w:abstractNum>
  <w:abstractNum w:abstractNumId="59">
    <w:nsid w:val="57A61A29"/>
    <w:multiLevelType w:val="hybridMultilevel"/>
    <w:lvl w:ilvl="0">
      <w:lvlJc w:val="left"/>
      <w:lvlText w:val="%1"/>
      <w:numFmt w:val="lowerLetter"/>
      <w:start w:val="1"/>
    </w:lvl>
    <w:lvl w:ilvl="1">
      <w:lvlJc w:val="left"/>
      <w:lvlText w:val="(%2)"/>
      <w:numFmt w:val="lowerLetter"/>
      <w:start w:val="1"/>
    </w:lvl>
  </w:abstractNum>
  <w:abstractNum w:abstractNumId="60">
    <w:nsid w:val="5399C654"/>
    <w:multiLevelType w:val="hybridMultilevel"/>
    <w:lvl w:ilvl="0">
      <w:lvlJc w:val="left"/>
      <w:lvlText w:val="(%1)"/>
      <w:numFmt w:val="lowerLetter"/>
      <w:start w:val="35"/>
    </w:lvl>
    <w:lvl w:ilvl="1">
      <w:lvlJc w:val="left"/>
      <w:lvlText w:val="(%2)"/>
      <w:numFmt w:val="lowerLetter"/>
      <w:start w:val="2"/>
    </w:lvl>
  </w:abstractNum>
  <w:abstractNum w:abstractNumId="61">
    <w:nsid w:val="20EE1348"/>
    <w:multiLevelType w:val="hybridMultilevel"/>
    <w:lvl w:ilvl="0">
      <w:lvlJc w:val="left"/>
      <w:lvlText w:val="(%1)"/>
      <w:numFmt w:val="lowerLetter"/>
      <w:start w:val="4"/>
    </w:lvl>
  </w:abstractNum>
  <w:abstractNum w:abstractNumId="62">
    <w:nsid w:val="4427069A"/>
    <w:multiLevelType w:val="hybridMultilevel"/>
    <w:lvl w:ilvl="0">
      <w:lvlJc w:val="left"/>
      <w:lvlText w:val="(%1)"/>
      <w:numFmt w:val="lowerLetter"/>
      <w:start w:val="1"/>
    </w:lvl>
  </w:abstractNum>
  <w:abstractNum w:abstractNumId="63">
    <w:nsid w:val="B37E80A"/>
    <w:multiLevelType w:val="hybridMultilevel"/>
    <w:lvl w:ilvl="0">
      <w:lvlJc w:val="left"/>
      <w:lvlText w:val="(%1)"/>
      <w:numFmt w:val="lowerLetter"/>
      <w:start w:val="1"/>
    </w:lvl>
  </w:abstractNum>
  <w:abstractNum w:abstractNumId="64">
    <w:nsid w:val="2157F6BC"/>
    <w:multiLevelType w:val="hybridMultilevel"/>
    <w:lvl w:ilvl="0">
      <w:lvlJc w:val="left"/>
      <w:lvlText w:val="(%1)"/>
      <w:numFmt w:val="lowerLetter"/>
      <w:start w:val="2"/>
    </w:lvl>
  </w:abstractNum>
  <w:abstractNum w:abstractNumId="65">
    <w:nsid w:val="704E1DD5"/>
    <w:multiLevelType w:val="hybridMultilevel"/>
    <w:lvl w:ilvl="0">
      <w:lvlJc w:val="left"/>
      <w:lvlText w:val="(%1)"/>
      <w:numFmt w:val="lowerLetter"/>
      <w:start w:val="1"/>
    </w:lvl>
  </w:abstractNum>
  <w:abstractNum w:abstractNumId="66">
    <w:nsid w:val="57D2F10E"/>
    <w:multiLevelType w:val="hybridMultilevel"/>
    <w:lvl w:ilvl="0">
      <w:lvlJc w:val="left"/>
      <w:lvlText w:val="(%1)"/>
      <w:numFmt w:val="lowerLetter"/>
      <w:start w:val="1"/>
    </w:lvl>
  </w:abstractNum>
  <w:abstractNum w:abstractNumId="67">
    <w:nsid w:val="BFFAE18"/>
    <w:multiLevelType w:val="hybridMultilevel"/>
    <w:lvl w:ilvl="0">
      <w:lvlJc w:val="left"/>
      <w:lvlText w:val="(%1)"/>
      <w:numFmt w:val="lowerLetter"/>
      <w:start w:val="1"/>
    </w:lvl>
  </w:abstractNum>
  <w:abstractNum w:abstractNumId="68">
    <w:nsid w:val="E3E47A8"/>
    <w:multiLevelType w:val="hybridMultilevel"/>
    <w:lvl w:ilvl="0">
      <w:lvlJc w:val="left"/>
      <w:lvlText w:val="(%1)"/>
      <w:numFmt w:val="lowerRoman"/>
      <w:start w:val="1"/>
    </w:lvl>
  </w:abstractNum>
  <w:abstractNum w:abstractNumId="69">
    <w:nsid w:val="2E48F044"/>
    <w:multiLevelType w:val="hybridMultilevel"/>
    <w:lvl w:ilvl="0">
      <w:lvlJc w:val="left"/>
      <w:lvlText w:val="%1"/>
      <w:numFmt w:val="lowerLetter"/>
      <w:start w:val="1"/>
    </w:lvl>
    <w:lvl w:ilvl="1">
      <w:lvlJc w:val="left"/>
      <w:lvlText w:val="(%2)"/>
      <w:numFmt w:val="lowerRoman"/>
      <w:start w:val="5"/>
    </w:lvl>
  </w:abstractNum>
  <w:abstractNum w:abstractNumId="70">
    <w:nsid w:val="49D0FEAC"/>
    <w:multiLevelType w:val="hybridMultilevel"/>
    <w:lvl w:ilvl="0">
      <w:lvlJc w:val="left"/>
      <w:lvlText w:val="(%1)"/>
      <w:numFmt w:val="lowerLetter"/>
      <w:start w:val="2"/>
    </w:lvl>
    <w:lvl w:ilvl="1">
      <w:lvlJc w:val="left"/>
      <w:lvlText w:val="%2"/>
      <w:numFmt w:val="lowerRoman"/>
      <w:start w:val="1"/>
    </w:lvl>
  </w:abstractNum>
  <w:abstractNum w:abstractNumId="71">
    <w:nsid w:val="4BEE5A5B"/>
    <w:multiLevelType w:val="hybridMultilevel"/>
    <w:lvl w:ilvl="0">
      <w:lvlJc w:val="left"/>
      <w:lvlText w:val="(%1)"/>
      <w:numFmt w:val="lowerLetter"/>
      <w:start w:val="1"/>
    </w:lvl>
  </w:abstractNum>
  <w:abstractNum w:abstractNumId="72">
    <w:nsid w:val="5551B9F3"/>
    <w:multiLevelType w:val="hybridMultilevel"/>
    <w:lvl w:ilvl="0">
      <w:lvlJc w:val="left"/>
      <w:lvlText w:val="(%1)"/>
      <w:numFmt w:val="lowerLetter"/>
      <w:start w:val="1"/>
    </w:lvl>
  </w:abstractNum>
  <w:abstractNum w:abstractNumId="73">
    <w:nsid w:val="24F6AB8E"/>
    <w:multiLevelType w:val="hybridMultilevel"/>
    <w:lvl w:ilvl="0">
      <w:lvlJc w:val="left"/>
      <w:lvlText w:val="(%1)"/>
      <w:numFmt w:val="lowerLetter"/>
      <w:start w:val="2"/>
    </w:lvl>
  </w:abstractNum>
  <w:abstractNum w:abstractNumId="74">
    <w:nsid w:val="634C574C"/>
    <w:multiLevelType w:val="hybridMultilevel"/>
    <w:lvl w:ilvl="0">
      <w:lvlJc w:val="left"/>
      <w:lvlText w:val="(%1)"/>
      <w:numFmt w:val="lowerRoman"/>
      <w:start w:val="1"/>
    </w:lvl>
  </w:abstractNum>
  <w:abstractNum w:abstractNumId="75">
    <w:nsid w:val="24E99DD7"/>
    <w:multiLevelType w:val="hybridMultilevel"/>
    <w:lvl w:ilvl="0">
      <w:lvlJc w:val="left"/>
      <w:lvlText w:val="(%1)"/>
      <w:numFmt w:val="lowerLetter"/>
      <w:start w:val="1"/>
    </w:lvl>
  </w:abstractNum>
  <w:abstractNum w:abstractNumId="76">
    <w:nsid w:val="2A31B62D"/>
    <w:multiLevelType w:val="hybridMultilevel"/>
    <w:lvl w:ilvl="0">
      <w:lvlJc w:val="left"/>
      <w:lvlText w:val="(%1)"/>
      <w:numFmt w:val="lowerLetter"/>
      <w:start w:val="1"/>
    </w:lvl>
  </w:abstractNum>
  <w:abstractNum w:abstractNumId="77">
    <w:nsid w:val="1849C29B"/>
    <w:multiLevelType w:val="hybridMultilevel"/>
    <w:lvl w:ilvl="0">
      <w:lvlJc w:val="left"/>
      <w:lvlText w:val="(%1)"/>
      <w:numFmt w:val="lowerLetter"/>
      <w:start w:val="2"/>
    </w:lvl>
  </w:abstractNum>
  <w:abstractNum w:abstractNumId="78">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9">
    <w:nsid w:val="754342"/>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80">
    <w:nsid w:val="69E7F3E5"/>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81">
    <w:nsid w:val="2A6DE806"/>
    <w:multiLevelType w:val="hybridMultilevel"/>
    <w:lvl w:ilvl="0">
      <w:lvlJc w:val="left"/>
      <w:lvlText w:val="(%1)"/>
      <w:numFmt w:val="lowerLetter"/>
      <w:start w:val="1"/>
    </w:lvl>
  </w:abstractNum>
  <w:abstractNum w:abstractNumId="82">
    <w:nsid w:val="1816F8C4"/>
    <w:multiLevelType w:val="hybridMultilevel"/>
    <w:lvl w:ilvl="0">
      <w:lvlJc w:val="left"/>
      <w:lvlText w:val="(%1)"/>
      <w:numFmt w:val="lowerLetter"/>
      <w:start w:val="1"/>
    </w:lvl>
    <w:lvl w:ilvl="1">
      <w:lvlJc w:val="left"/>
      <w:lvlText w:val="(%2)"/>
      <w:numFmt w:val="lowerRoman"/>
      <w:start w:val="1"/>
    </w:lvl>
  </w:abstractNum>
  <w:abstractNum w:abstractNumId="83">
    <w:nsid w:val="37DF2233"/>
    <w:multiLevelType w:val="hybridMultilevel"/>
    <w:lvl w:ilvl="0">
      <w:lvlJc w:val="left"/>
      <w:lvlText w:val="(%1)"/>
      <w:numFmt w:val="lowerRoman"/>
      <w:start w:val="3"/>
    </w:lvl>
  </w:abstractNum>
  <w:abstractNum w:abstractNumId="84">
    <w:nsid w:val="7AB49DAF"/>
    <w:multiLevelType w:val="hybridMultilevel"/>
    <w:lvl w:ilvl="0">
      <w:lvlJc w:val="left"/>
      <w:lvlText w:val="(%1)"/>
      <w:numFmt w:val="decimal"/>
      <w:start w:val="1"/>
    </w:lvl>
    <w:lvl w:ilvl="1">
      <w:lvlJc w:val="left"/>
      <w:lvlText w:val="(%2)"/>
      <w:numFmt w:val="upperLetter"/>
      <w:start w:val="1"/>
    </w:lvl>
  </w:abstractNum>
  <w:abstractNum w:abstractNumId="85">
    <w:nsid w:val="759F82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86">
    <w:nsid w:val="61E74EA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7">
    <w:nsid w:val="597B4D84"/>
    <w:multiLevelType w:val="hybridMultilevel"/>
    <w:lvl w:ilvl="0">
      <w:lvlJc w:val="left"/>
      <w:lvlText w:val="%1"/>
      <w:numFmt w:val="lowerLetter"/>
      <w:start w:val="1"/>
    </w:lvl>
    <w:lvl w:ilvl="1">
      <w:lvlJc w:val="left"/>
      <w:lvlText w:val="(%2)"/>
      <w:numFmt w:val="lowerRoman"/>
      <w:start w:val="9"/>
    </w:lvl>
  </w:abstractNum>
  <w:abstractNum w:abstractNumId="88">
    <w:nsid w:val="F819E7F"/>
    <w:multiLevelType w:val="hybridMultilevel"/>
    <w:lvl w:ilvl="0">
      <w:lvlJc w:val="left"/>
      <w:lvlText w:val="(%1)"/>
      <w:numFmt w:val="lowerLetter"/>
      <w:start w:val="2"/>
    </w:lvl>
    <w:lvl w:ilvl="1">
      <w:lvlJc w:val="left"/>
      <w:lvlText w:val="(%2)"/>
      <w:numFmt w:val="lowerRoman"/>
      <w:start w:val="11"/>
    </w:lvl>
  </w:abstractNum>
  <w:abstractNum w:abstractNumId="89">
    <w:nsid w:val="57C7D42D"/>
    <w:multiLevelType w:val="hybridMultilevel"/>
    <w:lvl w:ilvl="0">
      <w:lvlJc w:val="left"/>
      <w:lvlText w:val="(%1)"/>
      <w:numFmt w:val="lowerLetter"/>
      <w:start w:val="1"/>
    </w:lvl>
    <w:lvl w:ilvl="1">
      <w:lvlJc w:val="left"/>
      <w:lvlText w:val="(%2)"/>
      <w:numFmt w:val="lowerRoman"/>
      <w:start w:val="1"/>
    </w:lvl>
  </w:abstractNum>
  <w:abstractNum w:abstractNumId="90">
    <w:nsid w:val="312167AD"/>
    <w:multiLevelType w:val="hybridMultilevel"/>
    <w:lvl w:ilvl="0">
      <w:lvlJc w:val="left"/>
      <w:lvlText w:val="(%1)"/>
      <w:numFmt w:val="lowerRoman"/>
      <w:start w:val="6"/>
    </w:lvl>
  </w:abstractNum>
  <w:abstractNum w:abstractNumId="91">
    <w:nsid w:val="631B64D4"/>
    <w:multiLevelType w:val="hybridMultilevel"/>
    <w:lvl w:ilvl="0">
      <w:lvlJc w:val="left"/>
      <w:lvlText w:val="(%1)"/>
      <w:numFmt w:val="lowerLetter"/>
      <w:start w:val="1"/>
    </w:lvl>
    <w:lvl w:ilvl="1">
      <w:lvlJc w:val="left"/>
      <w:lvlText w:val="(%2)"/>
      <w:numFmt w:val="lowerLetter"/>
      <w:start w:val="9"/>
    </w:lvl>
  </w:abstractNum>
  <w:abstractNum w:abstractNumId="92">
    <w:nsid w:val="78B5E776"/>
    <w:multiLevelType w:val="hybridMultilevel"/>
    <w:lvl w:ilvl="0">
      <w:lvlJc w:val="left"/>
      <w:lvlText w:val="(%1)"/>
      <w:numFmt w:val="lowerRoman"/>
      <w:start w:val="2"/>
    </w:lvl>
    <w:lvl w:ilvl="1">
      <w:lvlJc w:val="left"/>
      <w:lvlText w:val="(%2)"/>
      <w:numFmt w:val="decimal"/>
      <w:start w:val="1"/>
    </w:lvl>
  </w:abstractNum>
  <w:abstractNum w:abstractNumId="93">
    <w:nsid w:val="75486E47"/>
    <w:multiLevelType w:val="hybridMultilevel"/>
    <w:lvl w:ilvl="0">
      <w:lvlJc w:val="left"/>
      <w:lvlText w:val="%1"/>
      <w:numFmt w:val="lowerRoman"/>
      <w:start w:val="1"/>
    </w:lvl>
    <w:lvl w:ilvl="1">
      <w:lvlJc w:val="left"/>
      <w:lvlText w:val="(%2)"/>
      <w:numFmt w:val="lowerRoman"/>
      <w:start w:val="11"/>
    </w:lvl>
  </w:abstractNum>
  <w:abstractNum w:abstractNumId="94">
    <w:nsid w:val="6E534CDE"/>
    <w:multiLevelType w:val="hybridMultilevel"/>
    <w:lvl w:ilvl="0">
      <w:lvlJc w:val="left"/>
      <w:lvlText w:val="(%1)"/>
      <w:numFmt w:val="lowerRoman"/>
      <w:start w:val="2"/>
    </w:lvl>
    <w:lvl w:ilvl="1">
      <w:lvlJc w:val="left"/>
      <w:lvlText w:val="(%2)"/>
      <w:numFmt w:val="lowerRoman"/>
      <w:start w:val="18"/>
    </w:lvl>
  </w:abstractNum>
  <w:abstractNum w:abstractNumId="95">
    <w:nsid w:val="1A0DDE32"/>
    <w:multiLevelType w:val="hybridMultilevel"/>
    <w:lvl w:ilvl="0">
      <w:lvlJc w:val="left"/>
      <w:lvlText w:val="%1"/>
      <w:numFmt w:val="lowerLetter"/>
      <w:start w:val="1"/>
    </w:lvl>
    <w:lvl w:ilvl="1">
      <w:lvlJc w:val="left"/>
      <w:lvlText w:val="(%2)"/>
      <w:numFmt w:val="lowerRoman"/>
      <w:start w:val="19"/>
    </w:lvl>
  </w:abstractNum>
  <w:abstractNum w:abstractNumId="96">
    <w:nsid w:val="65968C1C"/>
    <w:multiLevelType w:val="hybridMultilevel"/>
    <w:lvl w:ilvl="0">
      <w:lvlJc w:val="left"/>
      <w:lvlText w:val="(%1)"/>
      <w:numFmt w:val="lowerLetter"/>
      <w:start w:val="3"/>
    </w:lvl>
    <w:lvl w:ilvl="1">
      <w:lvlJc w:val="left"/>
      <w:lvlText w:val="(%2)"/>
      <w:numFmt w:val="lowerRoman"/>
      <w:start w:val="1"/>
    </w:lvl>
  </w:abstractNum>
  <w:abstractNum w:abstractNumId="97">
    <w:nsid w:val="46263DEC"/>
    <w:multiLevelType w:val="hybridMultilevel"/>
    <w:lvl w:ilvl="0">
      <w:lvlJc w:val="left"/>
      <w:lvlText w:val="1"/>
      <w:numFmt w:val="bullet"/>
      <w:start w:val="1"/>
    </w:lvl>
  </w:abstractNum>
  <w:abstractNum w:abstractNumId="98">
    <w:nsid w:val="260D8C4A"/>
    <w:multiLevelType w:val="hybridMultilevel"/>
    <w:lvl w:ilvl="0">
      <w:lvlJc w:val="left"/>
      <w:lvlText w:val="%1"/>
      <w:numFmt w:val="lowerLetter"/>
      <w:start w:val="1"/>
    </w:lvl>
    <w:lvl w:ilvl="1">
      <w:lvlJc w:val="left"/>
      <w:lvlText w:val="(%2)"/>
      <w:numFmt w:val="lowerRoman"/>
      <w:start w:val="4"/>
    </w:lvl>
  </w:abstractNum>
  <w:abstractNum w:abstractNumId="99">
    <w:nsid w:val="73D4D3C4"/>
    <w:multiLevelType w:val="hybridMultilevel"/>
    <w:lvl w:ilvl="0">
      <w:lvlJc w:val="left"/>
      <w:lvlText w:val="(%1)"/>
      <w:numFmt w:val="lowerLetter"/>
      <w:start w:val="4"/>
    </w:lvl>
    <w:lvl w:ilvl="1">
      <w:lvlJc w:val="left"/>
      <w:lvlText w:val="%2"/>
      <w:numFmt w:val="lowerRoman"/>
      <w:start w:val="1"/>
    </w:lvl>
  </w:abstractNum>
  <w:abstractNum w:abstractNumId="100">
    <w:nsid w:val="746F2E30"/>
    <w:multiLevelType w:val="hybridMultilevel"/>
    <w:lvl w:ilvl="0">
      <w:lvlJc w:val="left"/>
      <w:lvlText w:val="(%1)"/>
      <w:numFmt w:val="lowerRoman"/>
      <w:start w:val="1"/>
    </w:lvl>
  </w:abstractNum>
  <w:abstractNum w:abstractNumId="101">
    <w:nsid w:val="6FDE8AF6"/>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02">
    <w:nsid w:val="3FC32E20"/>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03">
    <w:nsid w:val="49C0E823"/>
    <w:multiLevelType w:val="hybridMultilevel"/>
    <w:lvl w:ilvl="0">
      <w:lvlJc w:val="left"/>
      <w:lvlText w:val="%1"/>
      <w:numFmt w:val="lowerLetter"/>
      <w:start w:val="1"/>
    </w:lvl>
    <w:lvl w:ilvl="1">
      <w:lvlJc w:val="left"/>
      <w:lvlText w:val="(%2)"/>
      <w:numFmt w:val="lowerRoman"/>
      <w:start w:val="2"/>
    </w:lvl>
  </w:abstractNum>
  <w:abstractNum w:abstractNumId="104">
    <w:nsid w:val="14D53685"/>
    <w:multiLevelType w:val="hybridMultilevel"/>
    <w:lvl w:ilvl="0">
      <w:lvlJc w:val="left"/>
      <w:lvlText w:val="(%1)"/>
      <w:numFmt w:val="lowerLetter"/>
      <w:start w:val="1"/>
    </w:lvl>
    <w:lvl w:ilvl="1">
      <w:lvlJc w:val="left"/>
      <w:lvlText w:val="(%2)"/>
      <w:numFmt w:val="lowerRoman"/>
      <w:start w:val="4"/>
    </w:lvl>
  </w:abstractNum>
  <w:abstractNum w:abstractNumId="105">
    <w:nsid w:val="230F856C"/>
    <w:multiLevelType w:val="hybridMultilevel"/>
    <w:lvl w:ilvl="0">
      <w:lvlJc w:val="left"/>
      <w:lvlText w:val="(%1)"/>
      <w:numFmt w:val="lowerLetter"/>
      <w:start w:val="3"/>
    </w:lvl>
  </w:abstractNum>
  <w:abstractNum w:abstractNumId="106">
    <w:nsid w:val="6EAA85FB"/>
    <w:multiLevelType w:val="hybridMultilevel"/>
    <w:lvl w:ilvl="0">
      <w:lvlJc w:val="left"/>
      <w:lvlText w:val="(%1)"/>
      <w:numFmt w:val="lowerLetter"/>
      <w:start w:val="1"/>
    </w:lvl>
    <w:lvl w:ilvl="1">
      <w:lvlJc w:val="left"/>
      <w:lvlText w:val="(%2)"/>
      <w:numFmt w:val="lowerRoman"/>
      <w:start w:val="1"/>
    </w:lvl>
  </w:abstractNum>
  <w:abstractNum w:abstractNumId="107">
    <w:nsid w:val="3F06ECB2"/>
    <w:multiLevelType w:val="hybridMultilevel"/>
    <w:lvl w:ilvl="0">
      <w:lvlJc w:val="left"/>
      <w:lvlText w:val="(%1)"/>
      <w:numFmt w:val="lowerRoman"/>
      <w:start w:val="1"/>
    </w:lvl>
  </w:abstractNum>
  <w:abstractNum w:abstractNumId="108">
    <w:nsid w:val="3B594807"/>
    <w:multiLevelType w:val="hybridMultilevel"/>
    <w:lvl w:ilvl="0">
      <w:lvlJc w:val="left"/>
      <w:lvlText w:val="(%1)"/>
      <w:numFmt w:val="lowerLetter"/>
      <w:start w:val="1"/>
    </w:lvl>
  </w:abstractNum>
  <w:abstractNum w:abstractNumId="109">
    <w:nsid w:val="6CAA2304"/>
    <w:multiLevelType w:val="hybridMultilevel"/>
    <w:lvl w:ilvl="0">
      <w:lvlJc w:val="left"/>
      <w:lvlText w:val="(%1)"/>
      <w:numFmt w:val="lowerLetter"/>
      <w:start w:val="1"/>
    </w:lvl>
  </w:abstractNum>
  <w:abstractNum w:abstractNumId="110">
    <w:nsid w:val="3F7C2FF4"/>
    <w:multiLevelType w:val="hybridMultilevel"/>
    <w:lvl w:ilvl="0">
      <w:lvlJc w:val="left"/>
      <w:lvlText w:val="(%1)"/>
      <w:numFmt w:val="lowerLetter"/>
      <w:start w:val="3"/>
    </w:lvl>
  </w:abstractNum>
  <w:abstractNum w:abstractNumId="111">
    <w:nsid w:val="25413BEC"/>
    <w:multiLevelType w:val="hybridMultilevel"/>
    <w:lvl w:ilvl="0">
      <w:lvlJc w:val="left"/>
      <w:lvlText w:val="(%1)"/>
      <w:numFmt w:val="lowerRoman"/>
      <w:start w:val="1"/>
    </w:lvl>
  </w:abstractNum>
  <w:abstractNum w:abstractNumId="112">
    <w:nsid w:val="17180B0B"/>
    <w:multiLevelType w:val="hybridMultilevel"/>
    <w:lvl w:ilvl="0">
      <w:lvlJc w:val="left"/>
      <w:lvlText w:val="(%1)"/>
      <w:numFmt w:val="lowerLetter"/>
      <w:start w:val="1"/>
    </w:lvl>
  </w:abstractNum>
  <w:abstractNum w:abstractNumId="113">
    <w:nsid w:val="579328B9"/>
    <w:multiLevelType w:val="hybridMultilevel"/>
    <w:lvl w:ilvl="0">
      <w:lvlJc w:val="left"/>
      <w:lvlText w:val="(%1)"/>
      <w:numFmt w:val="lowerLetter"/>
      <w:start w:val="1"/>
    </w:lvl>
  </w:abstractNum>
  <w:abstractNum w:abstractNumId="114">
    <w:nsid w:val="5D205E20"/>
    <w:multiLevelType w:val="hybridMultilevel"/>
    <w:lvl w:ilvl="0">
      <w:lvlJc w:val="left"/>
      <w:lvlText w:val="(%1)"/>
      <w:numFmt w:val="lowerLetter"/>
      <w:start w:val="3"/>
    </w:lvl>
  </w:abstractNum>
  <w:abstractNum w:abstractNumId="115">
    <w:nsid w:val="11CCA8BA"/>
    <w:multiLevelType w:val="hybridMultilevel"/>
    <w:lvl w:ilvl="0">
      <w:lvlJc w:val="left"/>
      <w:lvlText w:val="(%1)"/>
      <w:numFmt w:val="lowerLetter"/>
      <w:start w:val="1"/>
    </w:lvl>
    <w:lvl w:ilvl="1">
      <w:lvlJc w:val="left"/>
      <w:lvlText w:val="(%2)"/>
      <w:numFmt w:val="lowerRoman"/>
      <w:start w:val="1"/>
    </w:lvl>
  </w:abstractNum>
  <w:abstractNum w:abstractNumId="116">
    <w:nsid w:val="4D32AB86"/>
    <w:multiLevelType w:val="hybridMultilevel"/>
    <w:lvl w:ilvl="0">
      <w:lvlJc w:val="left"/>
      <w:lvlText w:val="%1"/>
      <w:numFmt w:val="lowerLetter"/>
      <w:start w:val="1"/>
    </w:lvl>
    <w:lvl w:ilvl="1">
      <w:lvlJc w:val="left"/>
      <w:lvlText w:val="(%2)"/>
      <w:numFmt w:val="lowerRoman"/>
      <w:start w:val="4"/>
    </w:lvl>
  </w:abstractNum>
  <w:abstractNum w:abstractNumId="117">
    <w:nsid w:val="3F07ACC3"/>
    <w:multiLevelType w:val="hybridMultilevel"/>
    <w:lvl w:ilvl="0">
      <w:lvlJc w:val="left"/>
      <w:lvlText w:val="(%1)"/>
      <w:numFmt w:val="lowerLetter"/>
      <w:start w:val="2"/>
    </w:lvl>
    <w:lvl w:ilvl="1">
      <w:lvlJc w:val="left"/>
      <w:lvlText w:val="%2"/>
      <w:numFmt w:val="lowerRoman"/>
      <w:start w:val="1"/>
    </w:lvl>
  </w:abstractNum>
  <w:abstractNum w:abstractNumId="118">
    <w:nsid w:val="6B47F63E"/>
    <w:multiLevelType w:val="hybridMultilevel"/>
    <w:lvl w:ilvl="0">
      <w:lvlJc w:val="left"/>
      <w:lvlText w:val="(%1)"/>
      <w:numFmt w:val="lowerLetter"/>
      <w:start w:val="1"/>
    </w:lvl>
    <w:lvl w:ilvl="1">
      <w:lvlJc w:val="left"/>
      <w:lvlText w:val="(%2)"/>
      <w:numFmt w:val="lowerRoman"/>
      <w:start w:val="1"/>
    </w:lvl>
  </w:abstractNum>
  <w:abstractNum w:abstractNumId="119">
    <w:nsid w:val="5CB44A05"/>
    <w:multiLevelType w:val="hybridMultilevel"/>
    <w:lvl w:ilvl="0">
      <w:lvlJc w:val="left"/>
      <w:lvlText w:val="(%1)"/>
      <w:numFmt w:val="decimal"/>
      <w:start w:val="1"/>
    </w:lvl>
  </w:abstractNum>
  <w:abstractNum w:abstractNumId="120">
    <w:nsid w:val="16CF80F1"/>
    <w:multiLevelType w:val="hybridMultilevel"/>
    <w:lvl w:ilvl="0">
      <w:lvlJc w:val="left"/>
      <w:lvlText w:val="(%1)"/>
      <w:numFmt w:val="lowerRoman"/>
      <w:start w:val="6"/>
    </w:lvl>
    <w:lvl w:ilvl="1">
      <w:lvlJc w:val="left"/>
      <w:lvlText w:val="(%2)"/>
      <w:numFmt w:val="decimal"/>
      <w:start w:val="1"/>
    </w:lvl>
  </w:abstractNum>
  <w:abstractNum w:abstractNumId="121">
    <w:nsid w:val="1C695DEC"/>
    <w:multiLevelType w:val="hybridMultilevel"/>
    <w:lvl w:ilvl="0">
      <w:lvlJc w:val="left"/>
      <w:lvlText w:val="(%1)"/>
      <w:numFmt w:val="lowerLetter"/>
      <w:start w:val="1"/>
    </w:lvl>
    <w:lvl w:ilvl="1">
      <w:lvlJc w:val="left"/>
      <w:lvlText w:val="(%2)"/>
      <w:numFmt w:val="lowerRoman"/>
      <w:start w:val="1"/>
    </w:lvl>
  </w:abstractNum>
  <w:abstractNum w:abstractNumId="122">
    <w:nsid w:val="3FCFAED9"/>
    <w:multiLevelType w:val="hybridMultilevel"/>
    <w:lvl w:ilvl="0">
      <w:lvlJc w:val="left"/>
      <w:lvlText w:val="(%1)"/>
      <w:numFmt w:val="lowerLetter"/>
      <w:start w:val="1"/>
    </w:lvl>
    <w:lvl w:ilvl="1">
      <w:lvlJc w:val="left"/>
      <w:lvlText w:val="(%2)"/>
      <w:numFmt w:val="lowerRoman"/>
      <w:start w:val="1"/>
    </w:lvl>
  </w:abstractNum>
  <w:abstractNum w:abstractNumId="123">
    <w:nsid w:val="F856867"/>
    <w:multiLevelType w:val="hybridMultilevel"/>
    <w:lvl w:ilvl="0">
      <w:lvlJc w:val="left"/>
      <w:lvlText w:val="(%1)"/>
      <w:numFmt w:val="lowerLetter"/>
      <w:start w:val="1"/>
    </w:lvl>
    <w:lvl w:ilvl="1">
      <w:lvlJc w:val="left"/>
      <w:lvlText w:val="(%2)"/>
      <w:numFmt w:val="lowerLetter"/>
      <w:start w:val="9"/>
    </w:lvl>
  </w:abstractNum>
  <w:abstractNum w:abstractNumId="124">
    <w:nsid w:val="11B1CC33"/>
    <w:multiLevelType w:val="hybridMultilevel"/>
    <w:lvl w:ilvl="0">
      <w:lvlJc w:val="left"/>
      <w:lvlText w:val="%1"/>
      <w:numFmt w:val="lowerLetter"/>
      <w:start w:val="1"/>
    </w:lvl>
    <w:lvl w:ilvl="1">
      <w:lvlJc w:val="left"/>
      <w:lvlText w:val="(%2)"/>
      <w:numFmt w:val="lowerRoman"/>
      <w:start w:val="2"/>
    </w:lvl>
  </w:abstractNum>
  <w:abstractNum w:abstractNumId="125">
    <w:nsid w:val="2E22FBB7"/>
    <w:multiLevelType w:val="hybridMultilevel"/>
    <w:lvl w:ilvl="0">
      <w:lvlJc w:val="left"/>
      <w:lvlText w:val="(%1)"/>
      <w:numFmt w:val="lowerLetter"/>
      <w:start w:val="2"/>
    </w:lvl>
    <w:lvl w:ilvl="1">
      <w:lvlJc w:val="left"/>
      <w:lvlText w:val="%2"/>
      <w:numFmt w:val="lowerRoman"/>
      <w:start w:val="1"/>
    </w:lvl>
  </w:abstractNum>
  <w:abstractNum w:abstractNumId="126">
    <w:nsid w:val="29934699"/>
    <w:multiLevelType w:val="hybridMultilevel"/>
    <w:lvl w:ilvl="0">
      <w:lvlJc w:val="left"/>
      <w:lvlText w:val="(%1)"/>
      <w:numFmt w:val="lowerLetter"/>
      <w:start w:val="1"/>
    </w:lvl>
    <w:lvl w:ilvl="1">
      <w:lvlJc w:val="left"/>
      <w:lvlText w:val="(%2)"/>
      <w:numFmt w:val="lowerRoman"/>
      <w:start w:val="1"/>
    </w:lvl>
  </w:abstractNum>
  <w:abstractNum w:abstractNumId="127">
    <w:nsid w:val="77485850"/>
    <w:multiLevelType w:val="hybridMultilevel"/>
    <w:lvl w:ilvl="0">
      <w:lvlJc w:val="left"/>
      <w:lvlText w:val="(%1)"/>
      <w:numFmt w:val="lowerLetter"/>
      <w:start w:val="3"/>
    </w:lvl>
    <w:lvl w:ilvl="1">
      <w:lvlJc w:val="left"/>
      <w:lvlText w:val="(%2)"/>
      <w:numFmt w:val="lowerRoman"/>
      <w:start w:val="1"/>
    </w:lvl>
  </w:abstractNum>
  <w:abstractNum w:abstractNumId="128">
    <w:nsid w:val="744939A3"/>
    <w:multiLevelType w:val="hybridMultilevel"/>
    <w:lvl w:ilvl="0">
      <w:lvlJc w:val="left"/>
      <w:lvlText w:val="(%1)"/>
      <w:numFmt w:val="lowerLetter"/>
      <w:start w:val="1"/>
    </w:lvl>
  </w:abstractNum>
  <w:abstractNum w:abstractNumId="129">
    <w:nsid w:val="4FA0D2E3"/>
    <w:multiLevelType w:val="hybridMultilevel"/>
    <w:lvl w:ilvl="0">
      <w:lvlJc w:val="left"/>
      <w:lvlText w:val="(%1)"/>
      <w:numFmt w:val="lowerLetter"/>
      <w:start w:val="5"/>
    </w:lvl>
  </w:abstractNum>
  <w:abstractNum w:abstractNumId="130">
    <w:nsid w:val="6B1D2C14"/>
    <w:multiLevelType w:val="hybridMultilevel"/>
    <w:lvl w:ilvl="0">
      <w:lvlJc w:val="left"/>
      <w:lvlText w:val="(%1)"/>
      <w:numFmt w:val="lowerLetter"/>
      <w:start w:val="16"/>
    </w:lvl>
  </w:abstractNum>
  <w:abstractNum w:abstractNumId="131">
    <w:nsid w:val="68B867D3"/>
    <w:multiLevelType w:val="hybridMultilevel"/>
    <w:lvl w:ilvl="0">
      <w:lvlJc w:val="left"/>
      <w:lvlText w:val="(%1)"/>
      <w:numFmt w:val="lowerLetter"/>
      <w:start w:val="1"/>
    </w:lvl>
  </w:abstractNum>
  <w:abstractNum w:abstractNumId="132">
    <w:nsid w:val="3F7F5DD9"/>
    <w:multiLevelType w:val="hybridMultilevel"/>
    <w:lvl w:ilvl="0">
      <w:lvlJc w:val="left"/>
      <w:lvlText w:val="(%1)"/>
      <w:numFmt w:val="lowerLetter"/>
      <w:start w:val="1"/>
    </w:lvl>
  </w:abstractNum>
  <w:abstractNum w:abstractNumId="133">
    <w:nsid w:val="2AE05A34"/>
    <w:multiLevelType w:val="hybridMultilevel"/>
    <w:lvl w:ilvl="0">
      <w:lvlJc w:val="left"/>
      <w:lvlText w:val="(%1)"/>
      <w:numFmt w:val="lowerLetter"/>
      <w:start w:val="1"/>
    </w:lvl>
  </w:abstractNum>
  <w:abstractNum w:abstractNumId="134">
    <w:nsid w:val="32794FF7"/>
    <w:multiLevelType w:val="hybridMultilevel"/>
    <w:lvl w:ilvl="0">
      <w:lvlJc w:val="left"/>
      <w:lvlText w:val="(%1)"/>
      <w:numFmt w:val="lowerLetter"/>
      <w:start w:val="2"/>
    </w:lvl>
    <w:lvl w:ilvl="1">
      <w:lvlJc w:val="left"/>
      <w:lvlText w:val="(%2)"/>
      <w:numFmt w:val="lowerRoman"/>
      <w:start w:val="1"/>
    </w:lvl>
  </w:abstractNum>
  <w:abstractNum w:abstractNumId="135">
    <w:nsid w:val="5454945E"/>
    <w:multiLevelType w:val="hybridMultilevel"/>
    <w:lvl w:ilvl="0">
      <w:lvlJc w:val="left"/>
      <w:lvlText w:val="(%1)"/>
      <w:numFmt w:val="lowerLetter"/>
      <w:start w:val="1"/>
    </w:lvl>
    <w:lvl w:ilvl="1">
      <w:lvlJc w:val="left"/>
      <w:lvlText w:val="(%2)"/>
      <w:numFmt w:val="lowerRoman"/>
      <w:start w:val="1"/>
    </w:lvl>
  </w:abstractNum>
  <w:abstractNum w:abstractNumId="136">
    <w:nsid w:val="4DEFDFA0"/>
    <w:multiLevelType w:val="hybridMultilevel"/>
    <w:lvl w:ilvl="0">
      <w:lvlJc w:val="left"/>
      <w:lvlText w:val="(%1)"/>
      <w:numFmt w:val="lowerRoman"/>
      <w:start w:val="7"/>
    </w:lvl>
  </w:abstractNum>
  <w:abstractNum w:abstractNumId="137">
    <w:nsid w:val="2123D5F2"/>
    <w:multiLevelType w:val="hybridMultilevel"/>
    <w:lvl w:ilvl="0">
      <w:lvlJc w:val="left"/>
      <w:lvlText w:val="(%1)"/>
      <w:numFmt w:val="lowerLetter"/>
      <w:start w:val="1"/>
    </w:lvl>
  </w:abstractNum>
  <w:abstractNum w:abstractNumId="138">
    <w:nsid w:val="135B8110"/>
    <w:multiLevelType w:val="hybridMultilevel"/>
    <w:lvl w:ilvl="0">
      <w:lvlJc w:val="left"/>
      <w:lvlText w:val="(%1)"/>
      <w:numFmt w:val="lowerLetter"/>
      <w:start w:val="1"/>
    </w:lvl>
    <w:lvl w:ilvl="1">
      <w:lvlJc w:val="left"/>
      <w:lvlText w:val="(%2)"/>
      <w:numFmt w:val="lowerRoman"/>
      <w:start w:val="1"/>
    </w:lvl>
  </w:abstractNum>
  <w:abstractNum w:abstractNumId="139">
    <w:nsid w:val="94927A8"/>
    <w:multiLevelType w:val="hybridMultilevel"/>
    <w:lvl w:ilvl="0">
      <w:lvlJc w:val="left"/>
      <w:lvlText w:val="%1"/>
      <w:numFmt w:val="lowerLetter"/>
      <w:start w:val="1"/>
    </w:lvl>
    <w:lvl w:ilvl="1">
      <w:lvlJc w:val="left"/>
      <w:lvlText w:val="(%2)"/>
      <w:numFmt w:val="lowerRoman"/>
      <w:start w:val="12"/>
    </w:lvl>
  </w:abstractNum>
  <w:abstractNum w:abstractNumId="140">
    <w:nsid w:val="DCDF8F6"/>
    <w:multiLevelType w:val="hybridMultilevel"/>
    <w:lvl w:ilvl="0">
      <w:lvlJc w:val="left"/>
      <w:lvlText w:val="(%1)"/>
      <w:numFmt w:val="lowerLetter"/>
      <w:start w:val="2"/>
    </w:lvl>
    <w:lvl w:ilvl="1">
      <w:lvlJc w:val="left"/>
      <w:lvlText w:val="%2"/>
      <w:numFmt w:val="lowerRoman"/>
      <w:start w:val="1"/>
    </w:lvl>
  </w:abstractNum>
  <w:abstractNum w:abstractNumId="141">
    <w:nsid w:val="52D7B105"/>
    <w:multiLevelType w:val="hybridMultilevel"/>
    <w:lvl w:ilvl="0">
      <w:lvlJc w:val="left"/>
      <w:lvlText w:val="(%1)"/>
      <w:numFmt w:val="lowerLetter"/>
      <w:start w:val="1"/>
    </w:lvl>
  </w:abstractNum>
  <w:abstractNum w:abstractNumId="142">
    <w:nsid w:val="2E8A6394"/>
    <w:multiLevelType w:val="hybridMultilevel"/>
    <w:lvl w:ilvl="0">
      <w:lvlJc w:val="left"/>
      <w:lvlText w:val="(%1)"/>
      <w:numFmt w:val="lowerLetter"/>
      <w:start w:val="2"/>
    </w:lvl>
    <w:lvl w:ilvl="1">
      <w:lvlJc w:val="left"/>
      <w:lvlText w:val="(%2)"/>
      <w:numFmt w:val="lowerRoman"/>
      <w:start w:val="1"/>
    </w:lvl>
  </w:abstractNum>
  <w:abstractNum w:abstractNumId="143">
    <w:nsid w:val="24E60401"/>
    <w:multiLevelType w:val="hybridMultilevel"/>
    <w:lvl w:ilvl="0">
      <w:lvlJc w:val="left"/>
      <w:lvlText w:val="(%1)"/>
      <w:numFmt w:val="lowerRoman"/>
      <w:start w:val="8"/>
    </w:lvl>
  </w:abstractNum>
  <w:abstractNum w:abstractNumId="144">
    <w:nsid w:val="2A6AD9BE"/>
    <w:multiLevelType w:val="hybridMultilevel"/>
    <w:lvl w:ilvl="0">
      <w:lvlJc w:val="left"/>
      <w:lvlText w:val="(%1)"/>
      <w:numFmt w:val="lowerLetter"/>
      <w:start w:val="1"/>
    </w:lvl>
  </w:abstractNum>
  <w:abstractNum w:abstractNumId="145">
    <w:nsid w:val="BAAC1B4"/>
    <w:multiLevelType w:val="hybridMultilevel"/>
    <w:lvl w:ilvl="0">
      <w:lvlJc w:val="left"/>
      <w:lvlText w:val="(%1)"/>
      <w:numFmt w:val="lowerLetter"/>
      <w:start w:val="1"/>
    </w:lvl>
  </w:abstractNum>
  <w:abstractNum w:abstractNumId="146">
    <w:nsid w:val="36B2ACBC"/>
    <w:multiLevelType w:val="hybridMultilevel"/>
    <w:lvl w:ilvl="0">
      <w:lvlJc w:val="left"/>
      <w:lvlText w:val="(%1)"/>
      <w:numFmt w:val="lowerLetter"/>
      <w:start w:val="1"/>
    </w:lvl>
  </w:abstractNum>
  <w:abstractNum w:abstractNumId="147">
    <w:nsid w:val="779D85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8">
    <w:nsid w:val="4AB26E78"/>
    <w:multiLevelType w:val="hybridMultilevel"/>
    <w:lvl w:ilvl="0">
      <w:lvlJc w:val="left"/>
      <w:lvlText w:val="(%1)"/>
      <w:numFmt w:val="lowerLetter"/>
      <w:start w:val="1"/>
    </w:lvl>
  </w:abstractNum>
  <w:abstractNum w:abstractNumId="149">
    <w:nsid w:val="21FAA2FA"/>
    <w:multiLevelType w:val="hybridMultilevel"/>
    <w:lvl w:ilvl="0">
      <w:lvlJc w:val="left"/>
      <w:lvlText w:val="(%1)"/>
      <w:numFmt w:val="lowerLetter"/>
      <w:start w:val="2"/>
    </w:lvl>
  </w:abstractNum>
  <w:abstractNum w:abstractNumId="150">
    <w:nsid w:val="5451CF4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1">
    <w:nsid w:val="6181EF69"/>
    <w:multiLevelType w:val="hybridMultilevel"/>
    <w:lvl w:ilvl="0">
      <w:lvlJc w:val="left"/>
      <w:lvlText w:val="%1"/>
      <w:numFmt w:val="lowerLetter"/>
      <w:start w:val="1"/>
    </w:lvl>
    <w:lvl w:ilvl="1">
      <w:lvlJc w:val="left"/>
      <w:lvlText w:val="(%2)"/>
      <w:numFmt w:val="lowerRoman"/>
      <w:start w:val="4"/>
    </w:lvl>
  </w:abstractNum>
  <w:abstractNum w:abstractNumId="152">
    <w:nsid w:val="3E6400E6"/>
    <w:multiLevelType w:val="hybridMultilevel"/>
    <w:lvl w:ilvl="0">
      <w:lvlJc w:val="left"/>
      <w:lvlText w:val="(%1)"/>
      <w:numFmt w:val="lowerLetter"/>
      <w:start w:val="2"/>
    </w:lvl>
    <w:lvl w:ilvl="1">
      <w:lvlJc w:val="left"/>
      <w:lvlText w:val="%2"/>
      <w:numFmt w:val="lowerRoman"/>
      <w:start w:val="1"/>
    </w:lvl>
  </w:abstractNum>
  <w:abstractNum w:abstractNumId="153">
    <w:nsid w:val="14217E23"/>
    <w:multiLevelType w:val="hybridMultilevel"/>
    <w:lvl w:ilvl="0">
      <w:lvlJc w:val="left"/>
      <w:lvlText w:val="(%1)"/>
      <w:numFmt w:val="lowerLetter"/>
      <w:start w:val="1"/>
    </w:lvl>
  </w:abstractNum>
  <w:abstractNum w:abstractNumId="154">
    <w:nsid w:val="710757D0"/>
    <w:multiLevelType w:val="hybridMultilevel"/>
    <w:lvl w:ilvl="0">
      <w:lvlJc w:val="left"/>
      <w:lvlText w:val="%1"/>
      <w:numFmt w:val="lowerLetter"/>
      <w:start w:val="1"/>
    </w:lvl>
    <w:lvl w:ilvl="1">
      <w:lvlJc w:val="left"/>
      <w:lvlText w:val="(%2)"/>
      <w:numFmt w:val="lowerLetter"/>
      <w:start w:val="1"/>
    </w:lvl>
  </w:abstractNum>
  <w:abstractNum w:abstractNumId="155">
    <w:nsid w:val="5015CD1A"/>
    <w:multiLevelType w:val="hybridMultilevel"/>
    <w:lvl w:ilvl="0">
      <w:lvlJc w:val="left"/>
      <w:lvlText w:val="(%1)"/>
      <w:numFmt w:val="lowerLetter"/>
      <w:start w:val="35"/>
    </w:lvl>
    <w:lvl w:ilvl="1">
      <w:lvlJc w:val="left"/>
      <w:lvlText w:val="%2"/>
      <w:numFmt w:val="lowerLetter"/>
      <w:start w:val="1"/>
    </w:lvl>
  </w:abstractNum>
  <w:abstractNum w:abstractNumId="156">
    <w:nsid w:val="424479DA"/>
    <w:multiLevelType w:val="hybridMultilevel"/>
    <w:lvl w:ilvl="0">
      <w:lvlJc w:val="left"/>
      <w:lvlText w:val="(%1)"/>
      <w:numFmt w:val="lowerLetter"/>
      <w:start w:val="3"/>
    </w:lvl>
  </w:abstractNum>
  <w:abstractNum w:abstractNumId="157">
    <w:nsid w:val="1A9A9E69"/>
    <w:multiLevelType w:val="hybridMultilevel"/>
    <w:lvl w:ilvl="0">
      <w:lvlJc w:val="left"/>
      <w:lvlText w:val="(%1)"/>
      <w:numFmt w:val="lowerLetter"/>
      <w:start w:val="1"/>
    </w:lvl>
    <w:lvl w:ilvl="1">
      <w:lvlJc w:val="left"/>
      <w:lvlText w:val="(%2)"/>
      <w:numFmt w:val="lowerRoman"/>
      <w:start w:val="1"/>
    </w:lvl>
  </w:abstractNum>
  <w:abstractNum w:abstractNumId="158">
    <w:nsid w:val="475E256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9">
    <w:nsid w:val="368DB37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60">
    <w:nsid w:val="6A3B71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1">
    <w:nsid w:val="327B517E"/>
    <w:multiLevelType w:val="hybridMultilevel"/>
    <w:lvl w:ilvl="0">
      <w:lvlJc w:val="left"/>
      <w:lvlText w:val="(%1)"/>
      <w:numFmt w:val="decimal"/>
      <w:start w:val="1"/>
    </w:lvl>
  </w:abstractNum>
  <w:abstractNum w:abstractNumId="162">
    <w:nsid w:val="1F461B5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29BACF25"/>
    <w:multiLevelType w:val="hybridMultilevel"/>
    <w:lvl w:ilvl="0">
      <w:lvlJc w:val="left"/>
      <w:lvlText w:val="%1"/>
      <w:numFmt w:val="lowerRoman"/>
      <w:start w:val="1"/>
    </w:lvl>
    <w:lvl w:ilvl="1">
      <w:lvlJc w:val="left"/>
      <w:lvlText w:val="(%2)"/>
      <w:numFmt w:val="upperLetter"/>
      <w:start w:val="3"/>
    </w:lvl>
  </w:abstractNum>
  <w:abstractNum w:abstractNumId="164">
    <w:nsid w:val="5D5BABB3"/>
    <w:multiLevelType w:val="hybridMultilevel"/>
    <w:lvl w:ilvl="0">
      <w:lvlJc w:val="left"/>
      <w:lvlText w:val="(%1)"/>
      <w:numFmt w:val="lowerRoman"/>
      <w:start w:val="3"/>
    </w:lvl>
    <w:lvl w:ilvl="1">
      <w:lvlJc w:val="left"/>
      <w:lvlText w:val="%2"/>
      <w:numFmt w:val="upperLetter"/>
      <w:start w:val="1"/>
    </w:lvl>
  </w:abstractNum>
  <w:abstractNum w:abstractNumId="165">
    <w:nsid w:val="51BF6B4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6">
    <w:nsid w:val="7E0F6384"/>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abstractNum>
  <w:abstractNum w:abstractNumId="167">
    <w:nsid w:val="2B4B8B5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68">
    <w:nsid w:val="72E3413A"/>
    <w:multiLevelType w:val="hybridMultilevel"/>
    <w:lvl w:ilvl="0">
      <w:lvlJc w:val="left"/>
      <w:lvlText w:val="%1"/>
      <w:numFmt w:val="lowerLetter"/>
      <w:start w:val="1"/>
    </w:lvl>
    <w:lvl w:ilvl="1">
      <w:lvlJc w:val="left"/>
      <w:lvlText w:val="(%2)"/>
      <w:numFmt w:val="lowerLetter"/>
      <w:start w:val="25"/>
    </w:lvl>
    <w:lvl w:ilvl="2">
      <w:lvlJc w:val="left"/>
      <w:lvlText w:val="(%3)"/>
      <w:numFmt w:val="upperLetter"/>
      <w:start w:val="7"/>
    </w:lvl>
  </w:abstractNum>
  <w:abstractNum w:abstractNumId="169">
    <w:nsid w:val="116AE494"/>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70">
    <w:nsid w:val="3494B2FB"/>
    <w:multiLevelType w:val="hybridMultilevel"/>
    <w:lvl w:ilvl="0">
      <w:lvlJc w:val="left"/>
      <w:lvlText w:val="(%1)"/>
      <w:numFmt w:val="lowerLetter"/>
      <w:start w:val="1"/>
    </w:lvl>
  </w:abstractNum>
  <w:abstractNum w:abstractNumId="171">
    <w:nsid w:val="B13A31"/>
    <w:multiLevelType w:val="hybridMultilevel"/>
    <w:lvl w:ilvl="0">
      <w:lvlJc w:val="left"/>
      <w:lvlText w:val="(%1)"/>
      <w:numFmt w:val="lowerLetter"/>
      <w:start w:val="2"/>
    </w:lvl>
  </w:abstractNum>
  <w:abstractNum w:abstractNumId="172">
    <w:nsid w:val="64429599"/>
    <w:multiLevelType w:val="hybridMultilevel"/>
    <w:lvl w:ilvl="0">
      <w:lvlJc w:val="left"/>
      <w:lvlText w:val="(%1)"/>
      <w:numFmt w:val="lowerLetter"/>
      <w:start w:val="3"/>
    </w:lvl>
  </w:abstractNum>
  <w:abstractNum w:abstractNumId="173">
    <w:nsid w:val="631F1690"/>
    <w:multiLevelType w:val="hybridMultilevel"/>
    <w:lvl w:ilvl="0">
      <w:lvlJc w:val="left"/>
      <w:lvlText w:val="(%1)"/>
      <w:numFmt w:val="lowerRoman"/>
      <w:start w:val="1"/>
    </w:lvl>
  </w:abstractNum>
  <w:abstractNum w:abstractNumId="174">
    <w:nsid w:val="25973E32"/>
    <w:multiLevelType w:val="hybridMultilevel"/>
    <w:lvl w:ilvl="0">
      <w:lvlJc w:val="left"/>
      <w:lvlText w:val="(%1)"/>
      <w:numFmt w:val="lowerRoman"/>
      <w:start w:val="1"/>
    </w:lvl>
  </w:abstractNum>
  <w:abstractNum w:abstractNumId="175">
    <w:nsid w:val="EAD6F57"/>
    <w:multiLevelType w:val="hybridMultilevel"/>
    <w:lvl w:ilvl="0">
      <w:lvlJc w:val="left"/>
      <w:lvlText w:val="(%1)"/>
      <w:numFmt w:val="lowerLetter"/>
      <w:start w:val="1"/>
    </w:lvl>
  </w:abstractNum>
  <w:abstractNum w:abstractNumId="176">
    <w:nsid w:val="6EC9D844"/>
    <w:multiLevelType w:val="hybridMultilevel"/>
    <w:lvl w:ilvl="0">
      <w:lvlJc w:val="left"/>
      <w:lvlText w:val="%1."/>
      <w:numFmt w:val="decimal"/>
      <w:start w:val="1"/>
    </w:lvl>
  </w:abstractNum>
  <w:abstractNum w:abstractNumId="177">
    <w:nsid w:val="5C49EAEE"/>
    <w:multiLevelType w:val="hybridMultilevel"/>
    <w:lvl w:ilvl="0">
      <w:lvlJc w:val="left"/>
      <w:lvlText w:val="%1."/>
      <w:numFmt w:val="decimal"/>
      <w:start w:val="6"/>
    </w:lvl>
  </w:abstractNum>
  <w:abstractNum w:abstractNumId="178">
    <w:nsid w:val="64AF49B"/>
    <w:multiLevelType w:val="hybridMultilevel"/>
    <w:lvl w:ilvl="0">
      <w:lvlJc w:val="left"/>
      <w:lvlText w:val="%1."/>
      <w:numFmt w:val="decimal"/>
      <w:start w:val="12"/>
    </w:lvl>
  </w:abstractNum>
  <w:abstractNum w:abstractNumId="179">
    <w:nsid w:val="397C46BC"/>
    <w:multiLevelType w:val="hybridMultilevel"/>
    <w:lvl w:ilvl="0">
      <w:lvlJc w:val="left"/>
      <w:lvlText w:val="(%1)"/>
      <w:numFmt w:val="upperLetter"/>
      <w:start w:val="9"/>
    </w:lvl>
  </w:abstractNum>
  <w:abstractNum w:abstractNumId="180">
    <w:nsid w:val="7E448DE9"/>
    <w:multiLevelType w:val="hybridMultilevel"/>
    <w:lvl w:ilvl="0">
      <w:lvlJc w:val="left"/>
      <w:lvlText w:val="*"/>
      <w:numFmt w:val="bullet"/>
      <w:start w:val="1"/>
    </w:lvl>
  </w:abstractNum>
  <w:abstractNum w:abstractNumId="181">
    <w:nsid w:val="5A9CC3E5"/>
    <w:multiLevelType w:val="hybridMultilevel"/>
    <w:lvl w:ilvl="0">
      <w:lvlJc w:val="left"/>
      <w:lvlText w:val="(%1)"/>
      <w:numFmt w:val="lowerLetter"/>
      <w:start w:val="1"/>
    </w:lvl>
  </w:abstractNum>
  <w:abstractNum w:abstractNumId="182">
    <w:nsid w:val="1AFE3625"/>
    <w:multiLevelType w:val="hybridMultilevel"/>
    <w:lvl w:ilvl="0">
      <w:lvlJc w:val="left"/>
      <w:lvlText w:val="(%1)"/>
      <w:numFmt w:val="lowerLetter"/>
      <w:start w:val="8"/>
    </w:lvl>
  </w:abstractNum>
  <w:abstractNum w:abstractNumId="183">
    <w:nsid w:val="3CA88ECF"/>
    <w:multiLevelType w:val="hybridMultilevel"/>
    <w:lvl w:ilvl="0">
      <w:lvlJc w:val="left"/>
      <w:lvlText w:val="(%1)"/>
      <w:numFmt w:val="lowerLetter"/>
      <w:start w:val="15"/>
    </w:lvl>
  </w:abstractNum>
  <w:abstractNum w:abstractNumId="184">
    <w:nsid w:val="6EBE4208"/>
    <w:multiLevelType w:val="hybridMultilevel"/>
    <w:lvl w:ilvl="0">
      <w:lvlJc w:val="left"/>
      <w:lvlText w:val="(%1)"/>
      <w:numFmt w:val="lowerLetter"/>
      <w:start w:val="1"/>
    </w:lvl>
  </w:abstractNum>
  <w:abstractNum w:abstractNumId="185">
    <w:nsid w:val="C058DF5"/>
    <w:multiLevelType w:val="hybridMultilevel"/>
    <w:lvl w:ilvl="0">
      <w:lvlJc w:val="left"/>
      <w:lvlText w:val="(%1)"/>
      <w:numFmt w:val="lowerLetter"/>
      <w:start w:val="4"/>
    </w:lvl>
  </w:abstractNum>
  <w:abstractNum w:abstractNumId="186">
    <w:nsid w:val="CBE5BE9"/>
    <w:multiLevelType w:val="hybridMultilevel"/>
    <w:lvl w:ilvl="0">
      <w:lvlJc w:val="left"/>
      <w:lvlText w:val="(%1)"/>
      <w:numFmt w:val="lowerLetter"/>
      <w:start w:val="1"/>
    </w:lvl>
  </w:abstractNum>
  <w:abstractNum w:abstractNumId="187">
    <w:nsid w:val="3102BBE2"/>
    <w:multiLevelType w:val="hybridMultilevel"/>
    <w:lvl w:ilvl="0">
      <w:lvlJc w:val="left"/>
      <w:lvlText w:val="(%1)"/>
      <w:numFmt w:val="lowerLetter"/>
      <w:start w:val="6"/>
    </w:lvl>
  </w:abstractNum>
  <w:abstractNum w:abstractNumId="188">
    <w:nsid w:val="26A02C5E"/>
    <w:multiLevelType w:val="hybridMultilevel"/>
    <w:lvl w:ilvl="0">
      <w:lvlJc w:val="left"/>
      <w:lvlText w:val="(%1)"/>
      <w:numFmt w:val="decimal"/>
      <w:start w:val="1"/>
    </w:lvl>
  </w:abstractNum>
  <w:abstractNum w:abstractNumId="189">
    <w:nsid w:val="541C8153"/>
    <w:multiLevelType w:val="hybridMultilevel"/>
    <w:lvl w:ilvl="0">
      <w:lvlJc w:val="left"/>
      <w:lvlText w:val="%1."/>
      <w:numFmt w:val="decimal"/>
      <w:start w:val="1"/>
    </w:lvl>
  </w:abstractNum>
  <w:abstractNum w:abstractNumId="190">
    <w:nsid w:val="67906F60"/>
    <w:multiLevelType w:val="hybridMultilevel"/>
    <w:lvl w:ilvl="0">
      <w:lvlJc w:val="left"/>
      <w:lvlText w:val="(%1)"/>
      <w:numFmt w:val="decimal"/>
      <w:start w:val="1"/>
    </w:lvl>
  </w:abstractNum>
  <w:abstractNum w:abstractNumId="191">
    <w:nsid w:val="10DB9DAA"/>
    <w:multiLevelType w:val="hybridMultilevel"/>
    <w:lvl w:ilvl="0">
      <w:lvlJc w:val="left"/>
      <w:lvlText w:val="(%1)"/>
      <w:numFmt w:val="lowerLetter"/>
      <w:start w:val="6"/>
    </w:lvl>
  </w:abstractNum>
  <w:abstractNum w:abstractNumId="192">
    <w:nsid w:val="697D2D2"/>
    <w:multiLevelType w:val="hybridMultilevel"/>
    <w:lvl w:ilvl="0">
      <w:lvlJc w:val="left"/>
      <w:lvlText w:val="(%1)"/>
      <w:numFmt w:val="decimal"/>
      <w:start w:val="1"/>
    </w:lvl>
  </w:abstractNum>
  <w:abstractNum w:abstractNumId="193">
    <w:nsid w:val="6D68AB2"/>
    <w:multiLevelType w:val="hybridMultilevel"/>
    <w:lvl w:ilvl="0">
      <w:lvlJc w:val="left"/>
      <w:lvlText w:val="%1."/>
      <w:numFmt w:val="decimal"/>
      <w:start w:val="1"/>
    </w:lvl>
  </w:abstractNum>
  <w:abstractNum w:abstractNumId="194">
    <w:nsid w:val="3A966CD0"/>
    <w:multiLevelType w:val="hybridMultilevel"/>
    <w:lvl w:ilvl="0">
      <w:lvlJc w:val="left"/>
      <w:lvlText w:val="%1."/>
      <w:numFmt w:val="decimal"/>
      <w:start w:val="1"/>
    </w:lvl>
  </w:abstractNum>
  <w:abstractNum w:abstractNumId="195">
    <w:nsid w:val="63F37E85"/>
    <w:multiLevelType w:val="hybridMultilevel"/>
    <w:lvl w:ilvl="0">
      <w:lvlJc w:val="left"/>
      <w:lvlText w:val="(%1)"/>
      <w:numFmt w:val="decimal"/>
      <w:start w:val="1"/>
    </w:lvl>
  </w:abstractNum>
  <w:abstractNum w:abstractNumId="196">
    <w:nsid w:val="5895F5FA"/>
    <w:multiLevelType w:val="hybridMultilevel"/>
    <w:lvl w:ilvl="0">
      <w:lvlJc w:val="left"/>
      <w:lvlText w:val="(%1)"/>
      <w:numFmt w:val="decimal"/>
      <w:start w:val="1"/>
    </w:lvl>
  </w:abstractNum>
  <w:abstractNum w:abstractNumId="197">
    <w:nsid w:val="38A5D054"/>
    <w:multiLevelType w:val="hybridMultilevel"/>
    <w:lvl w:ilvl="0">
      <w:lvlJc w:val="left"/>
      <w:lvlText w:val="%1."/>
      <w:numFmt w:val="upperLetter"/>
      <w:start w:val="3"/>
    </w:lvl>
  </w:abstractNum>
  <w:abstractNum w:abstractNumId="198">
    <w:nsid w:val="F3F09D8"/>
    <w:multiLevelType w:val="hybridMultilevel"/>
    <w:lvl w:ilvl="0">
      <w:lvlJc w:val="left"/>
      <w:lvlText w:val="%1."/>
      <w:numFmt w:val="decimal"/>
      <w:start w:val="1"/>
    </w:lvl>
  </w:abstractNum>
  <w:abstractNum w:abstractNumId="199">
    <w:nsid w:val="4B793735"/>
    <w:multiLevelType w:val="hybridMultilevel"/>
    <w:lvl w:ilvl="0">
      <w:lvlJc w:val="left"/>
      <w:lvlText w:val="(%1)"/>
      <w:numFmt w:val="lowerRoman"/>
      <w:start w:val="1"/>
    </w:lvl>
  </w:abstractNum>
  <w:abstractNum w:abstractNumId="200">
    <w:nsid w:val="4A10B4E8"/>
    <w:multiLevelType w:val="hybridMultilevel"/>
    <w:lvl w:ilvl="0">
      <w:lvlJc w:val="left"/>
      <w:lvlText w:val="(%1)"/>
      <w:numFmt w:val="lowerRoman"/>
      <w:start w:val="2"/>
    </w:lvl>
  </w:abstractNum>
  <w:abstractNum w:abstractNumId="201">
    <w:nsid w:val="43D3BC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1" Type="http://schemas.openxmlformats.org/officeDocument/2006/relationships/image" Target="media/image33.png"/><Relationship Id="rId58"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316" Type="http://schemas.openxmlformats.org/officeDocument/2006/relationships/image" Target="media/image289.png"/><Relationship Id="rId317" Type="http://schemas.openxmlformats.org/officeDocument/2006/relationships/image" Target="media/image290.pn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27" Type="http://schemas.openxmlformats.org/officeDocument/2006/relationships/image" Target="media/image300.png"/><Relationship Id="rId328"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png"/><Relationship Id="rId331"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338" Type="http://schemas.openxmlformats.org/officeDocument/2006/relationships/image" Target="media/image311.png"/><Relationship Id="rId339" Type="http://schemas.openxmlformats.org/officeDocument/2006/relationships/image" Target="media/image312.png"/><Relationship Id="rId340" Type="http://schemas.openxmlformats.org/officeDocument/2006/relationships/image" Target="media/image313.png"/><Relationship Id="rId341" Type="http://schemas.openxmlformats.org/officeDocument/2006/relationships/image" Target="media/image314.png"/><Relationship Id="rId342" Type="http://schemas.openxmlformats.org/officeDocument/2006/relationships/image" Target="media/image315.png"/><Relationship Id="rId343" Type="http://schemas.openxmlformats.org/officeDocument/2006/relationships/image" Target="media/image316.png"/><Relationship Id="rId344" Type="http://schemas.openxmlformats.org/officeDocument/2006/relationships/image" Target="media/image317.png"/><Relationship Id="rId345"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8" Type="http://schemas.openxmlformats.org/officeDocument/2006/relationships/image" Target="media/image321.png"/><Relationship Id="rId349" Type="http://schemas.openxmlformats.org/officeDocument/2006/relationships/image" Target="media/image322.png"/><Relationship Id="rId350" Type="http://schemas.openxmlformats.org/officeDocument/2006/relationships/image" Target="media/image323.png"/><Relationship Id="rId351" Type="http://schemas.openxmlformats.org/officeDocument/2006/relationships/image" Target="media/image324.png"/><Relationship Id="rId352" Type="http://schemas.openxmlformats.org/officeDocument/2006/relationships/image" Target="media/image325.png"/><Relationship Id="rId353" Type="http://schemas.openxmlformats.org/officeDocument/2006/relationships/image" Target="media/image326.png"/><Relationship Id="rId354" Type="http://schemas.openxmlformats.org/officeDocument/2006/relationships/image" Target="media/image327.png"/><Relationship Id="rId355" Type="http://schemas.openxmlformats.org/officeDocument/2006/relationships/image" Target="media/image328.png"/><Relationship Id="rId356" Type="http://schemas.openxmlformats.org/officeDocument/2006/relationships/image" Target="media/image329.png"/><Relationship Id="rId357" Type="http://schemas.openxmlformats.org/officeDocument/2006/relationships/image" Target="media/image330.png"/><Relationship Id="rId358" Type="http://schemas.openxmlformats.org/officeDocument/2006/relationships/image" Target="media/image331.png"/><Relationship Id="rId359" Type="http://schemas.openxmlformats.org/officeDocument/2006/relationships/image" Target="media/image332.png"/><Relationship Id="rId360" Type="http://schemas.openxmlformats.org/officeDocument/2006/relationships/image" Target="media/image333.png"/><Relationship Id="rId361" Type="http://schemas.openxmlformats.org/officeDocument/2006/relationships/image" Target="media/image334.png"/><Relationship Id="rId362" Type="http://schemas.openxmlformats.org/officeDocument/2006/relationships/image" Target="media/image335.png"/><Relationship Id="rId363" Type="http://schemas.openxmlformats.org/officeDocument/2006/relationships/image" Target="media/image336.png"/><Relationship Id="rId364" Type="http://schemas.openxmlformats.org/officeDocument/2006/relationships/image" Target="media/image337.png"/><Relationship Id="rId365" Type="http://schemas.openxmlformats.org/officeDocument/2006/relationships/image" Target="media/image338.png"/><Relationship Id="rId366" Type="http://schemas.openxmlformats.org/officeDocument/2006/relationships/image" Target="media/image339.png"/><Relationship Id="rId367" Type="http://schemas.openxmlformats.org/officeDocument/2006/relationships/image" Target="media/image340.png"/><Relationship Id="rId368" Type="http://schemas.openxmlformats.org/officeDocument/2006/relationships/image" Target="media/image341.png"/><Relationship Id="rId369" Type="http://schemas.openxmlformats.org/officeDocument/2006/relationships/image" Target="media/image342.png"/><Relationship Id="rId370" Type="http://schemas.openxmlformats.org/officeDocument/2006/relationships/image" Target="media/image343.png"/><Relationship Id="rId371" Type="http://schemas.openxmlformats.org/officeDocument/2006/relationships/image" Target="media/image344.png"/><Relationship Id="rId372" Type="http://schemas.openxmlformats.org/officeDocument/2006/relationships/image" Target="media/image345.png"/><Relationship Id="rId373" Type="http://schemas.openxmlformats.org/officeDocument/2006/relationships/image" Target="media/image346.png"/><Relationship Id="rId374" Type="http://schemas.openxmlformats.org/officeDocument/2006/relationships/image" Target="media/image347.png"/><Relationship Id="rId375" Type="http://schemas.openxmlformats.org/officeDocument/2006/relationships/image" Target="media/image348.png"/><Relationship Id="rId376" Type="http://schemas.openxmlformats.org/officeDocument/2006/relationships/image" Target="media/image349.png"/><Relationship Id="rId377" Type="http://schemas.openxmlformats.org/officeDocument/2006/relationships/image" Target="media/image350.png"/><Relationship Id="rId378" Type="http://schemas.openxmlformats.org/officeDocument/2006/relationships/image" Target="media/image351.png"/><Relationship Id="rId379" Type="http://schemas.openxmlformats.org/officeDocument/2006/relationships/image" Target="media/image352.png"/><Relationship Id="rId380" Type="http://schemas.openxmlformats.org/officeDocument/2006/relationships/image" Target="media/image353.png"/><Relationship Id="rId381" Type="http://schemas.openxmlformats.org/officeDocument/2006/relationships/image" Target="media/image354.png"/><Relationship Id="rId382" Type="http://schemas.openxmlformats.org/officeDocument/2006/relationships/image" Target="media/image355.png"/><Relationship Id="rId383" Type="http://schemas.openxmlformats.org/officeDocument/2006/relationships/image" Target="media/image356.png"/><Relationship Id="rId384" Type="http://schemas.openxmlformats.org/officeDocument/2006/relationships/image" Target="media/image357.png"/><Relationship Id="rId385" Type="http://schemas.openxmlformats.org/officeDocument/2006/relationships/image" Target="media/image358.png"/><Relationship Id="rId386" Type="http://schemas.openxmlformats.org/officeDocument/2006/relationships/image" Target="media/image359.png"/><Relationship Id="rId387" Type="http://schemas.openxmlformats.org/officeDocument/2006/relationships/image" Target="media/image360.png"/><Relationship Id="rId388" Type="http://schemas.openxmlformats.org/officeDocument/2006/relationships/image" Target="media/image361.png"/><Relationship Id="rId389" Type="http://schemas.openxmlformats.org/officeDocument/2006/relationships/image" Target="media/image362.png"/><Relationship Id="rId390" Type="http://schemas.openxmlformats.org/officeDocument/2006/relationships/image" Target="media/image363.png"/><Relationship Id="rId391" Type="http://schemas.openxmlformats.org/officeDocument/2006/relationships/image" Target="media/image364.png"/><Relationship Id="rId392" Type="http://schemas.openxmlformats.org/officeDocument/2006/relationships/image" Target="media/image365.png"/><Relationship Id="rId393" Type="http://schemas.openxmlformats.org/officeDocument/2006/relationships/image" Target="media/image366.png"/><Relationship Id="rId394" Type="http://schemas.openxmlformats.org/officeDocument/2006/relationships/image" Target="media/image367.png"/><Relationship Id="rId395" Type="http://schemas.openxmlformats.org/officeDocument/2006/relationships/image" Target="media/image368.png"/><Relationship Id="rId396" Type="http://schemas.openxmlformats.org/officeDocument/2006/relationships/image" Target="media/image369.png"/><Relationship Id="rId397" Type="http://schemas.openxmlformats.org/officeDocument/2006/relationships/image" Target="media/image370.png"/><Relationship Id="rId398" Type="http://schemas.openxmlformats.org/officeDocument/2006/relationships/image" Target="media/image371.png"/><Relationship Id="rId399" Type="http://schemas.openxmlformats.org/officeDocument/2006/relationships/image" Target="media/image372.png"/><Relationship Id="rId400" Type="http://schemas.openxmlformats.org/officeDocument/2006/relationships/image" Target="media/image373.png"/><Relationship Id="rId401" Type="http://schemas.openxmlformats.org/officeDocument/2006/relationships/image" Target="media/image374.png"/><Relationship Id="rId402" Type="http://schemas.openxmlformats.org/officeDocument/2006/relationships/image" Target="media/image375.png"/><Relationship Id="rId403" Type="http://schemas.openxmlformats.org/officeDocument/2006/relationships/image" Target="media/image376.png"/><Relationship Id="rId404" Type="http://schemas.openxmlformats.org/officeDocument/2006/relationships/image" Target="media/image377.png"/><Relationship Id="rId405"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08" Type="http://schemas.openxmlformats.org/officeDocument/2006/relationships/image" Target="media/image381.png"/><Relationship Id="rId409" Type="http://schemas.openxmlformats.org/officeDocument/2006/relationships/image" Target="media/image382.png"/><Relationship Id="rId410" Type="http://schemas.openxmlformats.org/officeDocument/2006/relationships/image" Target="media/image383.png"/><Relationship Id="rId411" Type="http://schemas.openxmlformats.org/officeDocument/2006/relationships/image" Target="media/image384.png"/><Relationship Id="rId412" Type="http://schemas.openxmlformats.org/officeDocument/2006/relationships/image" Target="media/image385.png"/><Relationship Id="rId413" Type="http://schemas.openxmlformats.org/officeDocument/2006/relationships/image" Target="media/image386.png"/><Relationship Id="rId414" Type="http://schemas.openxmlformats.org/officeDocument/2006/relationships/image" Target="media/image387.png"/><Relationship Id="rId415" Type="http://schemas.openxmlformats.org/officeDocument/2006/relationships/image" Target="media/image388.png"/><Relationship Id="rId416" Type="http://schemas.openxmlformats.org/officeDocument/2006/relationships/image" Target="media/image389.png"/><Relationship Id="rId417" Type="http://schemas.openxmlformats.org/officeDocument/2006/relationships/image" Target="media/image390.png"/><Relationship Id="rId418" Type="http://schemas.openxmlformats.org/officeDocument/2006/relationships/image" Target="media/image391.png"/><Relationship Id="rId419" Type="http://schemas.openxmlformats.org/officeDocument/2006/relationships/image" Target="media/image392.png"/><Relationship Id="rId420" Type="http://schemas.openxmlformats.org/officeDocument/2006/relationships/image" Target="media/image393.png"/><Relationship Id="rId421" Type="http://schemas.openxmlformats.org/officeDocument/2006/relationships/image" Target="media/image394.png"/><Relationship Id="rId422" Type="http://schemas.openxmlformats.org/officeDocument/2006/relationships/image" Target="media/image395.png"/><Relationship Id="rId423" Type="http://schemas.openxmlformats.org/officeDocument/2006/relationships/image" Target="media/image396.png"/><Relationship Id="rId424" Type="http://schemas.openxmlformats.org/officeDocument/2006/relationships/image" Target="media/image397.png"/><Relationship Id="rId425" Type="http://schemas.openxmlformats.org/officeDocument/2006/relationships/image" Target="media/image398.png"/><Relationship Id="rId426" Type="http://schemas.openxmlformats.org/officeDocument/2006/relationships/image" Target="media/image399.png"/><Relationship Id="rId427" Type="http://schemas.openxmlformats.org/officeDocument/2006/relationships/image" Target="media/image400.png"/><Relationship Id="rId428" Type="http://schemas.openxmlformats.org/officeDocument/2006/relationships/image" Target="media/image401.png"/><Relationship Id="rId429" Type="http://schemas.openxmlformats.org/officeDocument/2006/relationships/image" Target="media/image402.png"/><Relationship Id="rId430" Type="http://schemas.openxmlformats.org/officeDocument/2006/relationships/image" Target="media/image403.png"/><Relationship Id="rId431" Type="http://schemas.openxmlformats.org/officeDocument/2006/relationships/image" Target="media/image404.png"/><Relationship Id="rId432" Type="http://schemas.openxmlformats.org/officeDocument/2006/relationships/image" Target="media/image405.png"/><Relationship Id="rId433" Type="http://schemas.openxmlformats.org/officeDocument/2006/relationships/image" Target="media/image406.png"/><Relationship Id="rId434" Type="http://schemas.openxmlformats.org/officeDocument/2006/relationships/image" Target="media/image407.png"/><Relationship Id="rId435" Type="http://schemas.openxmlformats.org/officeDocument/2006/relationships/image" Target="media/image408.png"/><Relationship Id="rId436" Type="http://schemas.openxmlformats.org/officeDocument/2006/relationships/image" Target="media/image409.png"/><Relationship Id="rId437" Type="http://schemas.openxmlformats.org/officeDocument/2006/relationships/image" Target="media/image410.png"/><Relationship Id="rId438" Type="http://schemas.openxmlformats.org/officeDocument/2006/relationships/image" Target="media/image411.png"/><Relationship Id="rId439"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png"/><Relationship Id="rId442" Type="http://schemas.openxmlformats.org/officeDocument/2006/relationships/image" Target="media/image415.png"/><Relationship Id="rId443" Type="http://schemas.openxmlformats.org/officeDocument/2006/relationships/image" Target="media/image416.png"/><Relationship Id="rId444" Type="http://schemas.openxmlformats.org/officeDocument/2006/relationships/image" Target="media/image417.png"/><Relationship Id="rId445" Type="http://schemas.openxmlformats.org/officeDocument/2006/relationships/image" Target="media/image418.png"/><Relationship Id="rId446" Type="http://schemas.openxmlformats.org/officeDocument/2006/relationships/image" Target="media/image419.png"/><Relationship Id="rId447" Type="http://schemas.openxmlformats.org/officeDocument/2006/relationships/image" Target="media/image420.png"/><Relationship Id="rId448" Type="http://schemas.openxmlformats.org/officeDocument/2006/relationships/image" Target="media/image421.png"/><Relationship Id="rId449" Type="http://schemas.openxmlformats.org/officeDocument/2006/relationships/image" Target="media/image422.png"/><Relationship Id="rId450" Type="http://schemas.openxmlformats.org/officeDocument/2006/relationships/image" Target="media/image423.png"/><Relationship Id="rId451" Type="http://schemas.openxmlformats.org/officeDocument/2006/relationships/image" Target="media/image424.png"/><Relationship Id="rId452" Type="http://schemas.openxmlformats.org/officeDocument/2006/relationships/image" Target="media/image425.png"/><Relationship Id="rId453" Type="http://schemas.openxmlformats.org/officeDocument/2006/relationships/image" Target="media/image426.png"/><Relationship Id="rId454" Type="http://schemas.openxmlformats.org/officeDocument/2006/relationships/image" Target="media/image427.png"/><Relationship Id="rId455" Type="http://schemas.openxmlformats.org/officeDocument/2006/relationships/image" Target="media/image428.png"/><Relationship Id="rId456" Type="http://schemas.openxmlformats.org/officeDocument/2006/relationships/image" Target="media/image429.jpeg"/><Relationship Id="rId457"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0" Type="http://schemas.openxmlformats.org/officeDocument/2006/relationships/image" Target="media/image433.png"/><Relationship Id="rId461" Type="http://schemas.openxmlformats.org/officeDocument/2006/relationships/image" Target="media/image434.png"/><Relationship Id="rId462" Type="http://schemas.openxmlformats.org/officeDocument/2006/relationships/image" Target="media/image435.png"/><Relationship Id="rId463" Type="http://schemas.openxmlformats.org/officeDocument/2006/relationships/image" Target="media/image436.jpeg"/><Relationship Id="rId464" Type="http://schemas.openxmlformats.org/officeDocument/2006/relationships/image" Target="media/image437.png"/><Relationship Id="rId465" Type="http://schemas.openxmlformats.org/officeDocument/2006/relationships/image" Target="media/image438.png"/><Relationship Id="rId466" Type="http://schemas.openxmlformats.org/officeDocument/2006/relationships/image" Target="media/image439.png"/><Relationship Id="rId467" Type="http://schemas.openxmlformats.org/officeDocument/2006/relationships/image" Target="media/image440.jpeg"/><Relationship Id="rId468" Type="http://schemas.openxmlformats.org/officeDocument/2006/relationships/image" Target="media/image441.jpeg"/><Relationship Id="rId469" Type="http://schemas.openxmlformats.org/officeDocument/2006/relationships/image" Target="media/image442.png"/><Relationship Id="rId470" Type="http://schemas.openxmlformats.org/officeDocument/2006/relationships/image" Target="media/image443.jpeg"/><Relationship Id="rId471" Type="http://schemas.openxmlformats.org/officeDocument/2006/relationships/image" Target="media/image444.png"/><Relationship Id="rId472" Type="http://schemas.openxmlformats.org/officeDocument/2006/relationships/image" Target="media/image445.png"/><Relationship Id="rId473" Type="http://schemas.openxmlformats.org/officeDocument/2006/relationships/image" Target="media/image446.jpeg"/><Relationship Id="rId474" Type="http://schemas.openxmlformats.org/officeDocument/2006/relationships/image" Target="media/image447.png"/><Relationship Id="rId475" Type="http://schemas.openxmlformats.org/officeDocument/2006/relationships/image" Target="media/image448.png"/><Relationship Id="rId476" Type="http://schemas.openxmlformats.org/officeDocument/2006/relationships/image" Target="media/image449.jpeg"/><Relationship Id="rId477" Type="http://schemas.openxmlformats.org/officeDocument/2006/relationships/image" Target="media/image450.png"/><Relationship Id="rId478" Type="http://schemas.openxmlformats.org/officeDocument/2006/relationships/image" Target="media/image451.jpeg"/><Relationship Id="rId479" Type="http://schemas.openxmlformats.org/officeDocument/2006/relationships/image" Target="media/image452.png"/><Relationship Id="rId480" Type="http://schemas.openxmlformats.org/officeDocument/2006/relationships/image" Target="media/image453.jpeg"/><Relationship Id="rId481" Type="http://schemas.openxmlformats.org/officeDocument/2006/relationships/image" Target="media/image454.png"/><Relationship Id="rId482" Type="http://schemas.openxmlformats.org/officeDocument/2006/relationships/image" Target="media/image455.jpeg"/><Relationship Id="rId483" Type="http://schemas.openxmlformats.org/officeDocument/2006/relationships/image" Target="media/image456.png"/><Relationship Id="rId484" Type="http://schemas.openxmlformats.org/officeDocument/2006/relationships/image" Target="media/image457.jpeg"/><Relationship Id="rId485" Type="http://schemas.openxmlformats.org/officeDocument/2006/relationships/image" Target="media/image458.jpeg"/><Relationship Id="rId486" Type="http://schemas.openxmlformats.org/officeDocument/2006/relationships/image" Target="media/image459.png"/><Relationship Id="rId487" Type="http://schemas.openxmlformats.org/officeDocument/2006/relationships/image" Target="media/image460.jpeg"/><Relationship Id="rId488" Type="http://schemas.openxmlformats.org/officeDocument/2006/relationships/image" Target="media/image461.png"/><Relationship Id="rId489" Type="http://schemas.openxmlformats.org/officeDocument/2006/relationships/image" Target="media/image462.jpeg"/><Relationship Id="rId490" Type="http://schemas.openxmlformats.org/officeDocument/2006/relationships/image" Target="media/image463.png"/><Relationship Id="rId491" Type="http://schemas.openxmlformats.org/officeDocument/2006/relationships/image" Target="media/image464.jpeg"/><Relationship Id="rId492" Type="http://schemas.openxmlformats.org/officeDocument/2006/relationships/image" Target="media/image465.png"/><Relationship Id="rId493" Type="http://schemas.openxmlformats.org/officeDocument/2006/relationships/image" Target="media/image466.jpeg"/><Relationship Id="rId40" Type="http://schemas.openxmlformats.org/officeDocument/2006/relationships/hyperlink" Target="http://www.sec.gov/Archives/edgar/data/923796/000119312514254491/d750635dex31.htm" TargetMode="External"/><Relationship Id="rId41" Type="http://schemas.openxmlformats.org/officeDocument/2006/relationships/hyperlink" Target="http://www.sec.gov/Archives/edgar/data/923796/000119312514254491/d750635dex32.htm" TargetMode="External"/><Relationship Id="rId42" Type="http://schemas.openxmlformats.org/officeDocument/2006/relationships/hyperlink" Target="http://www.sec.gov/Archives/edgar/data/923796/000119312517137344/d384798dex31.htm" TargetMode="External"/><Relationship Id="rId43" Type="http://schemas.openxmlformats.org/officeDocument/2006/relationships/hyperlink" Target="http://www.sec.gov/Archives/edgar/data/0000923796/000119312521195250/d192125dex31.htm" TargetMode="External"/><Relationship Id="rId44" Type="http://schemas.openxmlformats.org/officeDocument/2006/relationships/hyperlink" Target="http://www.sec.gov/Archives/edgar/data/0000923796/000119312522019826/d305099dex31.htm" TargetMode="External"/><Relationship Id="rId45" Type="http://schemas.openxmlformats.org/officeDocument/2006/relationships/hyperlink" Target="http://www.sec.gov/Archives/edgar/data/923796/000119312522045923/d106900dex31.htm" TargetMode="External"/><Relationship Id="rId46" Type="http://schemas.openxmlformats.org/officeDocument/2006/relationships/hyperlink" Target="http://www.sec.gov/Archives/edgar/data/923796/000119312513124536/d509256dex41.htm" TargetMode="External"/><Relationship Id="rId47" Type="http://schemas.openxmlformats.org/officeDocument/2006/relationships/hyperlink" Target="http://www.sec.gov/Archives/edgar/data/923796/000119312514254491/d750635dex44.htm" TargetMode="External"/><Relationship Id="rId48" Type="http://schemas.openxmlformats.org/officeDocument/2006/relationships/hyperlink" Target="http://www.sec.gov/Archives/edgar/data/923796/000119312514360857/d795633dex41.htm" TargetMode="External"/><Relationship Id="rId49" Type="http://schemas.openxmlformats.org/officeDocument/2006/relationships/hyperlink" Target="http://www.sec.gov/Archives/edgar/data/923796/000119312514360857/d795633dex42.htm" TargetMode="External"/><Relationship Id="rId50" Type="http://schemas.openxmlformats.org/officeDocument/2006/relationships/hyperlink" Target="http://www.sec.gov/Archives/edgar/data/923796/000119312516545008/d172173dex41.htm" TargetMode="External"/><Relationship Id="rId52" Type="http://schemas.openxmlformats.org/officeDocument/2006/relationships/hyperlink" Target="http://www.sec.gov/Archives/edgar/data/0000923796/000119312521065641/d85561dex41.htm" TargetMode="External"/><Relationship Id="rId53" Type="http://schemas.openxmlformats.org/officeDocument/2006/relationships/hyperlink" Target="http://www.sec.gov/Archives/edgar/data/923796/000119312520049748/d841729dex414.htm" TargetMode="External"/><Relationship Id="rId54" Type="http://schemas.openxmlformats.org/officeDocument/2006/relationships/hyperlink" Target="http://www.sec.gov/Archives/edgar/data/914670/000119312520282734/d12605dex41.htm" TargetMode="External"/><Relationship Id="rId55" Type="http://schemas.openxmlformats.org/officeDocument/2006/relationships/hyperlink" Target="http://www.sec.gov/Archives/edgar/data/914670/000119312520282734/d12605dex42.htm" TargetMode="External"/><Relationship Id="rId56" Type="http://schemas.openxmlformats.org/officeDocument/2006/relationships/hyperlink" Target="http://www.sec.gov/Archives/edgar/data/923796/000119312522196691/d346175dex101.htm" TargetMode="External"/><Relationship Id="rId57" Type="http://schemas.openxmlformats.org/officeDocument/2006/relationships/hyperlink" Target="http://www.sec.gov/Archives/edgar/data/914670/000119312522196620/d362315dex231.htm" TargetMode="External"/><Relationship Id="rId59" Type="http://schemas.openxmlformats.org/officeDocument/2006/relationships/hyperlink" Target="http://www.sec.gov/Archives/edgar/data/914670/000119312522196620/d362315ds4.htm#sig" TargetMode="External"/><Relationship Id="rId60" Type="http://schemas.openxmlformats.org/officeDocument/2006/relationships/hyperlink" Target="http://www.sec.gov/Archives/edgar/data/914670/000119312522196620/d362315dex251.htm" TargetMode="External"/><Relationship Id="rId61" Type="http://schemas.openxmlformats.org/officeDocument/2006/relationships/hyperlink" Target="http://www.sec.gov/Archives/edgar/data/914670/000119312522196620/d362315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2022-08-15T10:09:51Z</dcterms:created>
  <dcterms:modified xsi:type="dcterms:W3CDTF">2022-08-15T10:09:51Z</dcterms:modified>
</cp:coreProperties>
</file>